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C2213">
      <w:pPr>
        <w:adjustRightInd w:val="0"/>
        <w:snapToGrid w:val="0"/>
        <w:spacing w:line="288" w:lineRule="auto"/>
        <w:rPr>
          <w:rFonts w:ascii="楷体" w:hAnsi="楷体" w:eastAsia="楷体" w:cs="Times New Roman"/>
          <w:b/>
          <w:color w:val="auto"/>
          <w:spacing w:val="-6"/>
          <w:sz w:val="44"/>
          <w:szCs w:val="44"/>
          <w:highlight w:val="none"/>
        </w:rPr>
      </w:pPr>
    </w:p>
    <w:p w14:paraId="45E413C9">
      <w:pPr>
        <w:adjustRightInd w:val="0"/>
        <w:snapToGrid w:val="0"/>
        <w:spacing w:line="288" w:lineRule="auto"/>
        <w:rPr>
          <w:rFonts w:ascii="楷体" w:hAnsi="楷体" w:eastAsia="楷体" w:cs="Times New Roman"/>
          <w:b/>
          <w:color w:val="auto"/>
          <w:spacing w:val="-6"/>
          <w:sz w:val="44"/>
          <w:szCs w:val="44"/>
          <w:highlight w:val="none"/>
        </w:rPr>
      </w:pPr>
    </w:p>
    <w:p w14:paraId="59D7DA8A">
      <w:pPr>
        <w:adjustRightInd w:val="0"/>
        <w:snapToGrid w:val="0"/>
        <w:spacing w:line="288" w:lineRule="auto"/>
        <w:rPr>
          <w:rFonts w:ascii="楷体" w:hAnsi="楷体" w:eastAsia="楷体" w:cs="Times New Roman"/>
          <w:b/>
          <w:color w:val="auto"/>
          <w:spacing w:val="-6"/>
          <w:sz w:val="44"/>
          <w:szCs w:val="44"/>
          <w:highlight w:val="none"/>
        </w:rPr>
      </w:pPr>
    </w:p>
    <w:p w14:paraId="48E7B5C7">
      <w:pPr>
        <w:adjustRightInd w:val="0"/>
        <w:snapToGrid w:val="0"/>
        <w:spacing w:line="288" w:lineRule="auto"/>
        <w:jc w:val="center"/>
        <w:rPr>
          <w:rFonts w:hint="eastAsia" w:ascii="楷体" w:hAnsi="楷体" w:eastAsia="楷体" w:cs="楷体"/>
          <w:b/>
          <w:bCs/>
          <w:color w:val="auto"/>
          <w:sz w:val="48"/>
          <w:szCs w:val="48"/>
          <w:highlight w:val="none"/>
          <w:lang w:eastAsia="zh-CN"/>
        </w:rPr>
      </w:pPr>
      <w:r>
        <w:rPr>
          <w:rFonts w:hint="eastAsia" w:ascii="楷体" w:hAnsi="楷体" w:eastAsia="楷体" w:cs="楷体"/>
          <w:b/>
          <w:bCs/>
          <w:color w:val="auto"/>
          <w:sz w:val="48"/>
          <w:szCs w:val="48"/>
          <w:highlight w:val="none"/>
          <w:lang w:eastAsia="zh-CN"/>
        </w:rPr>
        <w:t>浙江省文化馆</w:t>
      </w:r>
    </w:p>
    <w:p w14:paraId="7C355E5E">
      <w:pPr>
        <w:adjustRightInd w:val="0"/>
        <w:snapToGrid w:val="0"/>
        <w:spacing w:line="288" w:lineRule="auto"/>
        <w:jc w:val="center"/>
        <w:rPr>
          <w:rFonts w:hint="eastAsia" w:ascii="楷体" w:hAnsi="楷体" w:eastAsia="楷体" w:cs="楷体"/>
          <w:b/>
          <w:bCs/>
          <w:color w:val="auto"/>
          <w:sz w:val="48"/>
          <w:szCs w:val="48"/>
          <w:highlight w:val="none"/>
          <w:lang w:eastAsia="zh-CN"/>
        </w:rPr>
      </w:pPr>
      <w:r>
        <w:rPr>
          <w:rFonts w:hint="eastAsia" w:ascii="楷体" w:hAnsi="楷体" w:eastAsia="楷体" w:cs="楷体"/>
          <w:b/>
          <w:bCs/>
          <w:color w:val="auto"/>
          <w:sz w:val="48"/>
          <w:szCs w:val="48"/>
          <w:highlight w:val="none"/>
          <w:lang w:eastAsia="zh-CN"/>
        </w:rPr>
        <w:t>小剧场楼层防水舞台墙体改造项目</w:t>
      </w:r>
    </w:p>
    <w:p w14:paraId="26723C81">
      <w:pPr>
        <w:adjustRightInd w:val="0"/>
        <w:snapToGrid w:val="0"/>
        <w:spacing w:line="288" w:lineRule="auto"/>
        <w:jc w:val="center"/>
        <w:rPr>
          <w:rFonts w:ascii="楷体" w:hAnsi="楷体" w:eastAsia="楷体" w:cs="楷体"/>
          <w:b/>
          <w:bCs/>
          <w:color w:val="auto"/>
          <w:sz w:val="48"/>
          <w:szCs w:val="48"/>
          <w:highlight w:val="none"/>
        </w:rPr>
      </w:pPr>
    </w:p>
    <w:p w14:paraId="0787DA30">
      <w:pPr>
        <w:adjustRightInd w:val="0"/>
        <w:snapToGrid w:val="0"/>
        <w:spacing w:line="288" w:lineRule="auto"/>
        <w:jc w:val="center"/>
        <w:rPr>
          <w:rFonts w:ascii="楷体" w:hAnsi="楷体" w:eastAsia="楷体" w:cs="楷体"/>
          <w:b/>
          <w:bCs/>
          <w:color w:val="auto"/>
          <w:sz w:val="48"/>
          <w:szCs w:val="48"/>
          <w:highlight w:val="none"/>
        </w:rPr>
      </w:pPr>
    </w:p>
    <w:p w14:paraId="01CA1532">
      <w:pPr>
        <w:adjustRightInd w:val="0"/>
        <w:snapToGrid w:val="0"/>
        <w:spacing w:line="288" w:lineRule="auto"/>
        <w:jc w:val="center"/>
        <w:rPr>
          <w:rFonts w:ascii="楷体" w:hAnsi="楷体" w:eastAsia="楷体" w:cs="楷体"/>
          <w:b/>
          <w:bCs/>
          <w:color w:val="auto"/>
          <w:sz w:val="72"/>
          <w:szCs w:val="72"/>
          <w:highlight w:val="none"/>
        </w:rPr>
      </w:pPr>
      <w:r>
        <w:rPr>
          <w:rFonts w:hint="eastAsia" w:ascii="楷体" w:hAnsi="楷体" w:eastAsia="楷体" w:cs="楷体"/>
          <w:b/>
          <w:bCs/>
          <w:color w:val="auto"/>
          <w:sz w:val="72"/>
          <w:szCs w:val="72"/>
          <w:highlight w:val="none"/>
        </w:rPr>
        <w:t>磋商文件</w:t>
      </w:r>
    </w:p>
    <w:p w14:paraId="409BC3A8">
      <w:pPr>
        <w:adjustRightInd w:val="0"/>
        <w:snapToGrid w:val="0"/>
        <w:spacing w:line="288" w:lineRule="auto"/>
        <w:jc w:val="center"/>
        <w:rPr>
          <w:rFonts w:ascii="楷体" w:hAnsi="楷体" w:eastAsia="楷体" w:cs="楷体"/>
          <w:b/>
          <w:bCs/>
          <w:color w:val="auto"/>
          <w:sz w:val="36"/>
          <w:szCs w:val="36"/>
          <w:highlight w:val="none"/>
        </w:rPr>
      </w:pPr>
      <w:r>
        <w:rPr>
          <w:rFonts w:hint="eastAsia" w:ascii="楷体" w:hAnsi="楷体" w:eastAsia="楷体" w:cs="楷体"/>
          <w:b/>
          <w:bCs/>
          <w:color w:val="auto"/>
          <w:sz w:val="36"/>
          <w:szCs w:val="36"/>
          <w:highlight w:val="none"/>
        </w:rPr>
        <w:t>（线上电子交易）</w:t>
      </w:r>
    </w:p>
    <w:p w14:paraId="32ADC91E">
      <w:pPr>
        <w:adjustRightInd w:val="0"/>
        <w:snapToGrid w:val="0"/>
        <w:spacing w:line="288" w:lineRule="auto"/>
        <w:jc w:val="center"/>
        <w:rPr>
          <w:rFonts w:ascii="楷体" w:hAnsi="楷体" w:eastAsia="楷体" w:cs="楷体"/>
          <w:b/>
          <w:bCs/>
          <w:color w:val="auto"/>
          <w:sz w:val="36"/>
          <w:szCs w:val="36"/>
          <w:highlight w:val="none"/>
        </w:rPr>
      </w:pPr>
    </w:p>
    <w:p w14:paraId="50096082">
      <w:pPr>
        <w:adjustRightInd w:val="0"/>
        <w:snapToGrid w:val="0"/>
        <w:spacing w:line="288" w:lineRule="auto"/>
        <w:jc w:val="center"/>
        <w:rPr>
          <w:rFonts w:ascii="楷体" w:hAnsi="楷体" w:eastAsia="楷体" w:cs="楷体"/>
          <w:b/>
          <w:bCs/>
          <w:color w:val="auto"/>
          <w:sz w:val="36"/>
          <w:szCs w:val="36"/>
          <w:highlight w:val="none"/>
        </w:rPr>
      </w:pPr>
    </w:p>
    <w:p w14:paraId="12C8488D">
      <w:pPr>
        <w:adjustRightInd w:val="0"/>
        <w:snapToGrid w:val="0"/>
        <w:spacing w:line="288" w:lineRule="auto"/>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项目名称：</w:t>
      </w:r>
      <w:r>
        <w:rPr>
          <w:rFonts w:hint="eastAsia" w:ascii="楷体" w:hAnsi="楷体" w:eastAsia="楷体" w:cs="楷体"/>
          <w:b/>
          <w:bCs/>
          <w:color w:val="auto"/>
          <w:sz w:val="30"/>
          <w:szCs w:val="30"/>
          <w:highlight w:val="none"/>
          <w:lang w:eastAsia="zh-CN"/>
        </w:rPr>
        <w:t>小剧场楼层防水舞台墙体改造项目</w:t>
      </w:r>
    </w:p>
    <w:p w14:paraId="2893FD3A">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项目编号：</w:t>
      </w:r>
      <w:r>
        <w:rPr>
          <w:rFonts w:hint="eastAsia" w:ascii="楷体" w:hAnsi="楷体" w:eastAsia="楷体" w:cs="楷体"/>
          <w:b/>
          <w:bCs/>
          <w:color w:val="auto"/>
          <w:sz w:val="30"/>
          <w:szCs w:val="30"/>
          <w:highlight w:val="none"/>
          <w:lang w:eastAsia="zh-CN"/>
        </w:rPr>
        <w:t>JJHZ240923598</w:t>
      </w:r>
    </w:p>
    <w:p w14:paraId="50664FCB">
      <w:pPr>
        <w:adjustRightInd w:val="0"/>
        <w:snapToGrid w:val="0"/>
        <w:spacing w:line="288" w:lineRule="auto"/>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采 购 人：</w:t>
      </w:r>
      <w:r>
        <w:rPr>
          <w:rFonts w:hint="eastAsia" w:ascii="楷体" w:hAnsi="楷体" w:eastAsia="楷体" w:cs="楷体"/>
          <w:b/>
          <w:bCs/>
          <w:color w:val="auto"/>
          <w:sz w:val="30"/>
          <w:szCs w:val="30"/>
          <w:highlight w:val="none"/>
          <w:lang w:eastAsia="zh-CN"/>
        </w:rPr>
        <w:t>浙江省文化馆</w:t>
      </w:r>
    </w:p>
    <w:p w14:paraId="001001A8">
      <w:pPr>
        <w:adjustRightInd w:val="0"/>
        <w:snapToGrid w:val="0"/>
        <w:spacing w:line="288" w:lineRule="auto"/>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采购代理机构：</w:t>
      </w:r>
      <w:r>
        <w:rPr>
          <w:rFonts w:hint="eastAsia" w:ascii="楷体" w:hAnsi="楷体" w:eastAsia="楷体" w:cs="楷体"/>
          <w:b/>
          <w:bCs/>
          <w:color w:val="auto"/>
          <w:sz w:val="30"/>
          <w:szCs w:val="30"/>
          <w:highlight w:val="none"/>
          <w:lang w:eastAsia="zh-CN"/>
        </w:rPr>
        <w:t>建经投资咨询有限公司</w:t>
      </w:r>
    </w:p>
    <w:p w14:paraId="011C3485">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采购计划文号：</w:t>
      </w:r>
      <w:r>
        <w:rPr>
          <w:rFonts w:hint="eastAsia" w:ascii="楷体" w:hAnsi="楷体" w:eastAsia="楷体" w:cs="楷体"/>
          <w:b/>
          <w:bCs/>
          <w:color w:val="auto"/>
          <w:sz w:val="30"/>
          <w:szCs w:val="30"/>
          <w:highlight w:val="none"/>
        </w:rPr>
        <w:fldChar w:fldCharType="begin"/>
      </w:r>
      <w:r>
        <w:rPr>
          <w:rFonts w:hint="eastAsia" w:ascii="楷体" w:hAnsi="楷体" w:eastAsia="楷体" w:cs="楷体"/>
          <w:b/>
          <w:bCs/>
          <w:color w:val="auto"/>
          <w:sz w:val="30"/>
          <w:szCs w:val="30"/>
          <w:highlight w:val="none"/>
        </w:rPr>
        <w:instrText xml:space="preserve"> HYPERLINK "https://pay.zcygov.cn/purchaseplan_front/" \l "/plan/list/view?id=1000000000014365843" \t "https://www.zcygov.cn/delegation-order/_procurement_/order/orderInfo/detail/_blank" </w:instrText>
      </w:r>
      <w:r>
        <w:rPr>
          <w:rFonts w:hint="eastAsia" w:ascii="楷体" w:hAnsi="楷体" w:eastAsia="楷体" w:cs="楷体"/>
          <w:b/>
          <w:bCs/>
          <w:color w:val="auto"/>
          <w:sz w:val="30"/>
          <w:szCs w:val="30"/>
          <w:highlight w:val="none"/>
        </w:rPr>
        <w:fldChar w:fldCharType="separate"/>
      </w:r>
      <w:r>
        <w:rPr>
          <w:rFonts w:hint="eastAsia" w:ascii="楷体" w:hAnsi="楷体" w:eastAsia="楷体" w:cs="楷体"/>
          <w:b/>
          <w:bCs/>
          <w:color w:val="auto"/>
          <w:sz w:val="30"/>
          <w:szCs w:val="30"/>
          <w:highlight w:val="none"/>
          <w:lang w:eastAsia="zh-CN"/>
        </w:rPr>
        <w:t>[2024]56737号</w:t>
      </w:r>
      <w:r>
        <w:rPr>
          <w:rFonts w:hint="eastAsia" w:ascii="楷体" w:hAnsi="楷体" w:eastAsia="楷体" w:cs="楷体"/>
          <w:b/>
          <w:bCs/>
          <w:color w:val="auto"/>
          <w:sz w:val="30"/>
          <w:szCs w:val="30"/>
          <w:highlight w:val="none"/>
        </w:rPr>
        <w:fldChar w:fldCharType="end"/>
      </w:r>
    </w:p>
    <w:p w14:paraId="3217856C">
      <w:pPr>
        <w:widowControl/>
        <w:adjustRightInd w:val="0"/>
        <w:snapToGrid w:val="0"/>
        <w:spacing w:line="288" w:lineRule="auto"/>
        <w:jc w:val="left"/>
        <w:rPr>
          <w:rFonts w:ascii="楷体" w:hAnsi="楷体" w:eastAsia="楷体" w:cs="楷体"/>
          <w:b/>
          <w:bCs/>
          <w:color w:val="auto"/>
          <w:sz w:val="30"/>
          <w:szCs w:val="30"/>
          <w:highlight w:val="none"/>
        </w:rPr>
      </w:pPr>
      <w:r>
        <w:rPr>
          <w:rFonts w:ascii="楷体" w:hAnsi="楷体" w:eastAsia="楷体" w:cs="楷体"/>
          <w:b/>
          <w:bCs/>
          <w:color w:val="auto"/>
          <w:sz w:val="30"/>
          <w:szCs w:val="30"/>
          <w:highlight w:val="none"/>
        </w:rPr>
        <w:br w:type="page"/>
      </w:r>
    </w:p>
    <w:p w14:paraId="4B663CB8">
      <w:pPr>
        <w:adjustRightInd w:val="0"/>
        <w:snapToGrid w:val="0"/>
        <w:spacing w:line="288" w:lineRule="auto"/>
        <w:rPr>
          <w:rFonts w:ascii="楷体" w:hAnsi="楷体" w:eastAsia="楷体" w:cs="楷体"/>
          <w:b/>
          <w:bCs/>
          <w:color w:val="auto"/>
          <w:sz w:val="30"/>
          <w:szCs w:val="30"/>
          <w:highlight w:val="none"/>
        </w:rPr>
      </w:pPr>
    </w:p>
    <w:p w14:paraId="2C343BC2">
      <w:pPr>
        <w:adjustRightInd w:val="0"/>
        <w:snapToGrid w:val="0"/>
        <w:spacing w:line="288" w:lineRule="auto"/>
        <w:jc w:val="center"/>
        <w:outlineLvl w:val="0"/>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 xml:space="preserve">目 </w:t>
      </w:r>
      <w:r>
        <w:rPr>
          <w:rFonts w:ascii="楷体" w:hAnsi="楷体" w:eastAsia="楷体" w:cs="楷体"/>
          <w:b/>
          <w:bCs/>
          <w:color w:val="auto"/>
          <w:sz w:val="48"/>
          <w:szCs w:val="48"/>
          <w:highlight w:val="none"/>
        </w:rPr>
        <w:t xml:space="preserve"> </w:t>
      </w:r>
      <w:r>
        <w:rPr>
          <w:rFonts w:hint="eastAsia" w:ascii="楷体" w:hAnsi="楷体" w:eastAsia="楷体" w:cs="楷体"/>
          <w:b/>
          <w:bCs/>
          <w:color w:val="auto"/>
          <w:sz w:val="48"/>
          <w:szCs w:val="48"/>
          <w:highlight w:val="none"/>
        </w:rPr>
        <w:t>录</w:t>
      </w:r>
    </w:p>
    <w:p w14:paraId="6AE53DF1">
      <w:pPr>
        <w:adjustRightInd w:val="0"/>
        <w:snapToGrid w:val="0"/>
        <w:spacing w:line="288" w:lineRule="auto"/>
        <w:rPr>
          <w:rFonts w:ascii="楷体" w:hAnsi="楷体" w:eastAsia="楷体" w:cs="楷体"/>
          <w:b/>
          <w:bCs/>
          <w:color w:val="auto"/>
          <w:sz w:val="30"/>
          <w:szCs w:val="30"/>
          <w:highlight w:val="none"/>
        </w:rPr>
      </w:pPr>
    </w:p>
    <w:p w14:paraId="778636CA">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第一章  采购邀请</w:t>
      </w:r>
    </w:p>
    <w:p w14:paraId="72F0E77B">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第二章  采购需求</w:t>
      </w:r>
    </w:p>
    <w:p w14:paraId="1EED3C84">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第三章  供应商须知</w:t>
      </w:r>
    </w:p>
    <w:p w14:paraId="0E375DE9">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第四章  评审方法和评审标准</w:t>
      </w:r>
    </w:p>
    <w:p w14:paraId="7D1A71D5">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第五章  拟签订的合同文本</w:t>
      </w:r>
    </w:p>
    <w:p w14:paraId="7A8DEF70">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第六章  响应文件格式</w:t>
      </w:r>
    </w:p>
    <w:p w14:paraId="32278DA8">
      <w:pPr>
        <w:widowControl/>
        <w:jc w:val="left"/>
        <w:rPr>
          <w:color w:val="auto"/>
          <w:highlight w:val="none"/>
        </w:rPr>
      </w:pPr>
    </w:p>
    <w:p w14:paraId="7C720CE2">
      <w:pPr>
        <w:widowControl/>
        <w:jc w:val="left"/>
        <w:rPr>
          <w:color w:val="auto"/>
          <w:highlight w:val="none"/>
        </w:rPr>
        <w:sectPr>
          <w:headerReference r:id="rId3" w:type="default"/>
          <w:footerReference r:id="rId4" w:type="default"/>
          <w:pgSz w:w="11906" w:h="16838"/>
          <w:pgMar w:top="1247" w:right="1247" w:bottom="1247" w:left="1247" w:header="142" w:footer="725" w:gutter="0"/>
          <w:pgNumType w:start="1"/>
          <w:cols w:space="425" w:num="1"/>
          <w:docGrid w:type="lines" w:linePitch="312" w:charSpace="0"/>
        </w:sectPr>
      </w:pPr>
    </w:p>
    <w:p w14:paraId="5FE18F88">
      <w:pPr>
        <w:adjustRightInd w:val="0"/>
        <w:snapToGrid w:val="0"/>
        <w:spacing w:line="288" w:lineRule="auto"/>
        <w:jc w:val="center"/>
        <w:outlineLvl w:val="0"/>
        <w:rPr>
          <w:rFonts w:cs="楷体"/>
          <w:color w:val="auto"/>
          <w:sz w:val="21"/>
          <w:szCs w:val="21"/>
          <w:highlight w:val="none"/>
        </w:rPr>
      </w:pPr>
      <w:r>
        <w:rPr>
          <w:rFonts w:hint="eastAsia"/>
          <w:b/>
          <w:bCs/>
          <w:color w:val="auto"/>
          <w:sz w:val="32"/>
          <w:szCs w:val="32"/>
          <w:highlight w:val="none"/>
        </w:rPr>
        <w:t xml:space="preserve">第一章 </w:t>
      </w:r>
      <w:r>
        <w:rPr>
          <w:b/>
          <w:bCs/>
          <w:color w:val="auto"/>
          <w:sz w:val="32"/>
          <w:szCs w:val="32"/>
          <w:highlight w:val="none"/>
        </w:rPr>
        <w:t xml:space="preserve"> </w:t>
      </w:r>
      <w:r>
        <w:rPr>
          <w:rFonts w:hint="eastAsia"/>
          <w:b/>
          <w:bCs/>
          <w:color w:val="auto"/>
          <w:sz w:val="32"/>
          <w:szCs w:val="32"/>
          <w:highlight w:val="none"/>
        </w:rPr>
        <w:t>采购邀请</w:t>
      </w:r>
    </w:p>
    <w:p w14:paraId="6B4C4A6A">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rPr>
        <w:t>项目概况</w:t>
      </w:r>
    </w:p>
    <w:p w14:paraId="68CFC7EE">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u w:val="single"/>
        </w:rPr>
        <w:t xml:space="preserve"> </w:t>
      </w:r>
      <w:r>
        <w:rPr>
          <w:rFonts w:hint="eastAsia"/>
          <w:b/>
          <w:color w:val="auto"/>
          <w:sz w:val="21"/>
          <w:szCs w:val="21"/>
          <w:highlight w:val="none"/>
          <w:u w:val="single"/>
          <w:lang w:eastAsia="zh-CN"/>
        </w:rPr>
        <w:t>小剧场楼层防水舞台墙体改造项目</w:t>
      </w:r>
      <w:r>
        <w:rPr>
          <w:rFonts w:hint="eastAsia"/>
          <w:b/>
          <w:color w:val="auto"/>
          <w:sz w:val="21"/>
          <w:szCs w:val="21"/>
          <w:highlight w:val="none"/>
          <w:u w:val="single"/>
        </w:rPr>
        <w:t xml:space="preserve"> </w:t>
      </w:r>
      <w:r>
        <w:rPr>
          <w:rFonts w:hint="eastAsia"/>
          <w:b/>
          <w:color w:val="auto"/>
          <w:sz w:val="21"/>
          <w:szCs w:val="21"/>
          <w:highlight w:val="none"/>
        </w:rPr>
        <w:t>采购项目的潜在供应商应在</w:t>
      </w:r>
      <w:r>
        <w:rPr>
          <w:rFonts w:hint="eastAsia"/>
          <w:b/>
          <w:color w:val="auto"/>
          <w:sz w:val="21"/>
          <w:szCs w:val="21"/>
          <w:highlight w:val="none"/>
          <w:u w:val="single"/>
        </w:rPr>
        <w:t xml:space="preserve"> 政府采购云平台（https://www.zcygov.cn） </w:t>
      </w:r>
      <w:r>
        <w:rPr>
          <w:rFonts w:hint="eastAsia"/>
          <w:b/>
          <w:color w:val="auto"/>
          <w:sz w:val="21"/>
          <w:szCs w:val="21"/>
          <w:highlight w:val="none"/>
        </w:rPr>
        <w:t>获取（下载）采购文件，并于</w:t>
      </w:r>
      <w:r>
        <w:rPr>
          <w:rFonts w:hint="eastAsia"/>
          <w:b/>
          <w:color w:val="auto"/>
          <w:sz w:val="21"/>
          <w:szCs w:val="21"/>
          <w:highlight w:val="none"/>
          <w:u w:val="single"/>
        </w:rPr>
        <w:t xml:space="preserve"> 2024年</w:t>
      </w:r>
      <w:r>
        <w:rPr>
          <w:rFonts w:hint="eastAsia"/>
          <w:b/>
          <w:color w:val="auto"/>
          <w:sz w:val="21"/>
          <w:szCs w:val="21"/>
          <w:highlight w:val="none"/>
          <w:u w:val="single"/>
          <w:lang w:val="en-US" w:eastAsia="zh-CN"/>
        </w:rPr>
        <w:t>10月18日14</w:t>
      </w:r>
      <w:r>
        <w:rPr>
          <w:rFonts w:hint="eastAsia"/>
          <w:b/>
          <w:color w:val="auto"/>
          <w:sz w:val="21"/>
          <w:szCs w:val="21"/>
          <w:highlight w:val="none"/>
          <w:u w:val="single"/>
        </w:rPr>
        <w:t>:</w:t>
      </w:r>
      <w:r>
        <w:rPr>
          <w:rFonts w:hint="eastAsia"/>
          <w:b/>
          <w:color w:val="auto"/>
          <w:sz w:val="21"/>
          <w:szCs w:val="21"/>
          <w:highlight w:val="none"/>
          <w:u w:val="single"/>
          <w:lang w:val="en-US" w:eastAsia="zh-CN"/>
        </w:rPr>
        <w:t>0</w:t>
      </w:r>
      <w:r>
        <w:rPr>
          <w:rFonts w:hint="eastAsia"/>
          <w:b/>
          <w:color w:val="auto"/>
          <w:sz w:val="21"/>
          <w:szCs w:val="21"/>
          <w:highlight w:val="none"/>
          <w:u w:val="single"/>
        </w:rPr>
        <w:t>0:00</w:t>
      </w:r>
      <w:r>
        <w:rPr>
          <w:rFonts w:hint="eastAsia"/>
          <w:b/>
          <w:bCs/>
          <w:color w:val="auto"/>
          <w:sz w:val="21"/>
          <w:szCs w:val="21"/>
          <w:highlight w:val="none"/>
        </w:rPr>
        <w:t>（北京时间）前提交（上传）响应文件</w:t>
      </w:r>
      <w:r>
        <w:rPr>
          <w:rFonts w:hint="eastAsia"/>
          <w:b/>
          <w:color w:val="auto"/>
          <w:sz w:val="21"/>
          <w:szCs w:val="21"/>
          <w:highlight w:val="none"/>
        </w:rPr>
        <w:t>。</w:t>
      </w:r>
    </w:p>
    <w:p w14:paraId="0635E662">
      <w:pPr>
        <w:adjustRightInd w:val="0"/>
        <w:snapToGrid w:val="0"/>
        <w:spacing w:line="288" w:lineRule="auto"/>
        <w:rPr>
          <w:b/>
          <w:color w:val="auto"/>
          <w:sz w:val="21"/>
          <w:szCs w:val="21"/>
          <w:highlight w:val="none"/>
        </w:rPr>
      </w:pPr>
      <w:bookmarkStart w:id="0" w:name="_Toc28359079"/>
      <w:bookmarkStart w:id="1" w:name="_Toc35393790"/>
      <w:bookmarkStart w:id="2" w:name="_Toc35393621"/>
      <w:bookmarkStart w:id="3" w:name="_Toc28359002"/>
      <w:bookmarkStart w:id="4" w:name="_Hlk24379207"/>
      <w:r>
        <w:rPr>
          <w:rFonts w:hint="eastAsia"/>
          <w:b/>
          <w:color w:val="auto"/>
          <w:sz w:val="21"/>
          <w:szCs w:val="21"/>
          <w:highlight w:val="none"/>
        </w:rPr>
        <w:t>一、项目基本情况</w:t>
      </w:r>
      <w:bookmarkEnd w:id="0"/>
      <w:bookmarkEnd w:id="1"/>
      <w:bookmarkEnd w:id="2"/>
      <w:bookmarkEnd w:id="3"/>
    </w:p>
    <w:p w14:paraId="5CD3E6D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项目编号：</w:t>
      </w:r>
      <w:r>
        <w:rPr>
          <w:rFonts w:hint="eastAsia"/>
          <w:bCs/>
          <w:color w:val="auto"/>
          <w:sz w:val="21"/>
          <w:szCs w:val="21"/>
          <w:highlight w:val="none"/>
          <w:lang w:eastAsia="zh-CN"/>
        </w:rPr>
        <w:t xml:space="preserve">JJHZ240923598 </w:t>
      </w:r>
      <w:r>
        <w:rPr>
          <w:rFonts w:hint="eastAsia"/>
          <w:bCs/>
          <w:color w:val="auto"/>
          <w:sz w:val="21"/>
          <w:szCs w:val="21"/>
          <w:highlight w:val="none"/>
        </w:rPr>
        <w:t xml:space="preserve">  </w:t>
      </w:r>
    </w:p>
    <w:p w14:paraId="484A8FA8">
      <w:pPr>
        <w:adjustRightInd w:val="0"/>
        <w:snapToGrid w:val="0"/>
        <w:spacing w:line="288" w:lineRule="auto"/>
        <w:ind w:firstLine="420" w:firstLineChars="200"/>
        <w:rPr>
          <w:rFonts w:hint="eastAsia" w:eastAsia="宋体"/>
          <w:color w:val="auto"/>
          <w:sz w:val="21"/>
          <w:szCs w:val="21"/>
          <w:highlight w:val="none"/>
          <w:lang w:eastAsia="zh-CN"/>
        </w:rPr>
      </w:pPr>
      <w:r>
        <w:rPr>
          <w:color w:val="auto"/>
          <w:sz w:val="21"/>
          <w:szCs w:val="21"/>
          <w:highlight w:val="none"/>
        </w:rPr>
        <w:t>2.</w:t>
      </w:r>
      <w:r>
        <w:rPr>
          <w:rFonts w:hint="eastAsia"/>
          <w:color w:val="auto"/>
          <w:sz w:val="21"/>
          <w:szCs w:val="21"/>
          <w:highlight w:val="none"/>
        </w:rPr>
        <w:t>项目名称：</w:t>
      </w:r>
      <w:r>
        <w:rPr>
          <w:rFonts w:hint="eastAsia"/>
          <w:color w:val="auto"/>
          <w:sz w:val="21"/>
          <w:szCs w:val="21"/>
          <w:highlight w:val="none"/>
          <w:lang w:eastAsia="zh-CN"/>
        </w:rPr>
        <w:t>小剧场楼层防水舞台墙体改造项目</w:t>
      </w:r>
    </w:p>
    <w:p w14:paraId="6F75EE8E">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采购方式：竞争性磋商</w:t>
      </w:r>
    </w:p>
    <w:bookmarkEnd w:id="4"/>
    <w:p w14:paraId="1A4DA537">
      <w:pPr>
        <w:adjustRightInd w:val="0"/>
        <w:snapToGrid w:val="0"/>
        <w:spacing w:line="288" w:lineRule="auto"/>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预算金额：</w:t>
      </w:r>
      <w:r>
        <w:rPr>
          <w:rFonts w:hint="eastAsia"/>
          <w:color w:val="auto"/>
          <w:sz w:val="21"/>
          <w:szCs w:val="21"/>
          <w:highlight w:val="none"/>
          <w:lang w:eastAsia="zh-CN"/>
        </w:rPr>
        <w:t>52.64</w:t>
      </w:r>
      <w:r>
        <w:rPr>
          <w:rFonts w:hint="eastAsia"/>
          <w:color w:val="auto"/>
          <w:sz w:val="21"/>
          <w:szCs w:val="21"/>
          <w:highlight w:val="none"/>
        </w:rPr>
        <w:t>万元</w:t>
      </w:r>
    </w:p>
    <w:p w14:paraId="2FC7EA8D">
      <w:pPr>
        <w:adjustRightInd w:val="0"/>
        <w:snapToGrid w:val="0"/>
        <w:spacing w:line="288" w:lineRule="auto"/>
        <w:ind w:firstLine="420" w:firstLineChars="200"/>
        <w:rPr>
          <w:color w:val="auto"/>
          <w:sz w:val="21"/>
          <w:szCs w:val="21"/>
          <w:highlight w:val="none"/>
        </w:rPr>
      </w:pPr>
      <w:r>
        <w:rPr>
          <w:color w:val="auto"/>
          <w:sz w:val="21"/>
          <w:szCs w:val="21"/>
          <w:highlight w:val="none"/>
        </w:rPr>
        <w:t>5.</w:t>
      </w:r>
      <w:r>
        <w:rPr>
          <w:rFonts w:hint="eastAsia"/>
          <w:color w:val="auto"/>
          <w:sz w:val="21"/>
          <w:szCs w:val="21"/>
          <w:highlight w:val="none"/>
        </w:rPr>
        <w:t>最高限价：</w:t>
      </w:r>
      <w:r>
        <w:rPr>
          <w:rFonts w:hint="eastAsia"/>
          <w:color w:val="auto"/>
          <w:sz w:val="21"/>
          <w:szCs w:val="21"/>
          <w:highlight w:val="none"/>
          <w:lang w:eastAsia="zh-CN"/>
        </w:rPr>
        <w:t>52.64</w:t>
      </w:r>
      <w:r>
        <w:rPr>
          <w:rFonts w:hint="eastAsia"/>
          <w:color w:val="auto"/>
          <w:sz w:val="21"/>
          <w:szCs w:val="21"/>
          <w:highlight w:val="none"/>
        </w:rPr>
        <w:t>万元</w:t>
      </w:r>
    </w:p>
    <w:p w14:paraId="237DE636">
      <w:pPr>
        <w:adjustRightInd w:val="0"/>
        <w:snapToGrid w:val="0"/>
        <w:spacing w:line="288" w:lineRule="auto"/>
        <w:ind w:firstLine="420" w:firstLineChars="200"/>
        <w:rPr>
          <w:color w:val="auto"/>
          <w:spacing w:val="-6"/>
          <w:sz w:val="21"/>
          <w:szCs w:val="21"/>
          <w:highlight w:val="none"/>
        </w:rPr>
      </w:pPr>
      <w:r>
        <w:rPr>
          <w:color w:val="auto"/>
          <w:sz w:val="21"/>
          <w:szCs w:val="21"/>
          <w:highlight w:val="none"/>
        </w:rPr>
        <w:t>6.</w:t>
      </w:r>
      <w:r>
        <w:rPr>
          <w:rFonts w:hint="eastAsia"/>
          <w:color w:val="auto"/>
          <w:sz w:val="21"/>
          <w:szCs w:val="21"/>
          <w:highlight w:val="none"/>
        </w:rPr>
        <w:t>合同履约期限：工期</w:t>
      </w:r>
      <w:r>
        <w:rPr>
          <w:color w:val="auto"/>
          <w:sz w:val="21"/>
          <w:szCs w:val="21"/>
          <w:highlight w:val="none"/>
        </w:rPr>
        <w:t>45</w:t>
      </w:r>
      <w:r>
        <w:rPr>
          <w:rFonts w:hint="eastAsia"/>
          <w:color w:val="auto"/>
          <w:sz w:val="21"/>
          <w:szCs w:val="21"/>
          <w:highlight w:val="none"/>
        </w:rPr>
        <w:t>日历天</w:t>
      </w:r>
    </w:p>
    <w:p w14:paraId="2FF567EE">
      <w:pPr>
        <w:adjustRightInd w:val="0"/>
        <w:snapToGrid w:val="0"/>
        <w:spacing w:line="288" w:lineRule="auto"/>
        <w:ind w:firstLine="420" w:firstLineChars="200"/>
        <w:rPr>
          <w:color w:val="auto"/>
          <w:sz w:val="21"/>
          <w:szCs w:val="21"/>
          <w:highlight w:val="none"/>
        </w:rPr>
      </w:pPr>
      <w:r>
        <w:rPr>
          <w:color w:val="auto"/>
          <w:sz w:val="21"/>
          <w:szCs w:val="21"/>
          <w:highlight w:val="none"/>
        </w:rPr>
        <w:t>7.</w:t>
      </w:r>
      <w:r>
        <w:rPr>
          <w:rFonts w:hint="eastAsia"/>
          <w:color w:val="auto"/>
          <w:sz w:val="21"/>
          <w:szCs w:val="21"/>
          <w:highlight w:val="none"/>
        </w:rPr>
        <w:t>本项目（是）接受联合体响应。</w:t>
      </w:r>
    </w:p>
    <w:p w14:paraId="74A0E5C8">
      <w:pPr>
        <w:adjustRightInd w:val="0"/>
        <w:snapToGrid w:val="0"/>
        <w:spacing w:line="288" w:lineRule="auto"/>
        <w:ind w:firstLine="420" w:firstLineChars="200"/>
        <w:rPr>
          <w:color w:val="auto"/>
          <w:sz w:val="21"/>
          <w:szCs w:val="21"/>
          <w:highlight w:val="none"/>
        </w:rPr>
      </w:pPr>
      <w:r>
        <w:rPr>
          <w:color w:val="auto"/>
          <w:sz w:val="21"/>
          <w:szCs w:val="21"/>
          <w:highlight w:val="none"/>
        </w:rPr>
        <w:t>8.</w:t>
      </w:r>
      <w:r>
        <w:rPr>
          <w:rFonts w:hint="eastAsia"/>
          <w:color w:val="auto"/>
          <w:sz w:val="21"/>
          <w:szCs w:val="21"/>
          <w:highlight w:val="none"/>
        </w:rPr>
        <w:t>采购需求：</w:t>
      </w:r>
    </w:p>
    <w:tbl>
      <w:tblPr>
        <w:tblStyle w:val="3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838"/>
        <w:gridCol w:w="903"/>
        <w:gridCol w:w="905"/>
        <w:gridCol w:w="3982"/>
      </w:tblGrid>
      <w:tr w14:paraId="51FD2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1993" w:type="pct"/>
            <w:tcBorders>
              <w:right w:val="single" w:color="auto" w:sz="4" w:space="0"/>
              <w:tl2br w:val="nil"/>
              <w:tr2bl w:val="nil"/>
            </w:tcBorders>
            <w:vAlign w:val="center"/>
          </w:tcPr>
          <w:p w14:paraId="5B9C1F11">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名称</w:t>
            </w:r>
          </w:p>
        </w:tc>
        <w:tc>
          <w:tcPr>
            <w:tcW w:w="469" w:type="pct"/>
            <w:tcBorders>
              <w:tl2br w:val="nil"/>
              <w:tr2bl w:val="nil"/>
            </w:tcBorders>
            <w:vAlign w:val="center"/>
          </w:tcPr>
          <w:p w14:paraId="0F60C14B">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数量</w:t>
            </w:r>
          </w:p>
        </w:tc>
        <w:tc>
          <w:tcPr>
            <w:tcW w:w="470" w:type="pct"/>
            <w:tcBorders>
              <w:tl2br w:val="nil"/>
              <w:tr2bl w:val="nil"/>
            </w:tcBorders>
            <w:vAlign w:val="center"/>
          </w:tcPr>
          <w:p w14:paraId="0DE4263A">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单位</w:t>
            </w:r>
          </w:p>
        </w:tc>
        <w:tc>
          <w:tcPr>
            <w:tcW w:w="2068" w:type="pct"/>
            <w:tcBorders>
              <w:right w:val="single" w:color="auto" w:sz="4" w:space="0"/>
              <w:tl2br w:val="nil"/>
              <w:tr2bl w:val="nil"/>
            </w:tcBorders>
            <w:vAlign w:val="center"/>
          </w:tcPr>
          <w:p w14:paraId="049B3998">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简要技术需求或服务要求</w:t>
            </w:r>
          </w:p>
        </w:tc>
      </w:tr>
      <w:tr w14:paraId="18F41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993" w:type="pct"/>
            <w:tcBorders>
              <w:right w:val="single" w:color="auto" w:sz="4" w:space="0"/>
              <w:tl2br w:val="nil"/>
              <w:tr2bl w:val="nil"/>
            </w:tcBorders>
            <w:vAlign w:val="center"/>
          </w:tcPr>
          <w:p w14:paraId="784F7A84">
            <w:pPr>
              <w:adjustRightInd w:val="0"/>
              <w:snapToGrid w:val="0"/>
              <w:spacing w:line="288" w:lineRule="auto"/>
              <w:jc w:val="center"/>
              <w:rPr>
                <w:rFonts w:hint="eastAsia" w:eastAsia="宋体"/>
                <w:bCs/>
                <w:color w:val="auto"/>
                <w:sz w:val="21"/>
                <w:szCs w:val="21"/>
                <w:highlight w:val="none"/>
                <w:lang w:eastAsia="zh-CN"/>
              </w:rPr>
            </w:pPr>
            <w:r>
              <w:rPr>
                <w:rFonts w:hint="eastAsia"/>
                <w:bCs/>
                <w:color w:val="auto"/>
                <w:sz w:val="21"/>
                <w:szCs w:val="21"/>
                <w:highlight w:val="none"/>
                <w:lang w:eastAsia="zh-CN"/>
              </w:rPr>
              <w:t>小剧场楼层防水舞台墙体改造项目</w:t>
            </w:r>
          </w:p>
        </w:tc>
        <w:tc>
          <w:tcPr>
            <w:tcW w:w="469" w:type="pct"/>
            <w:tcBorders>
              <w:tl2br w:val="nil"/>
              <w:tr2bl w:val="nil"/>
            </w:tcBorders>
            <w:vAlign w:val="center"/>
          </w:tcPr>
          <w:p w14:paraId="1C1C0B66">
            <w:pPr>
              <w:adjustRightInd w:val="0"/>
              <w:snapToGrid w:val="0"/>
              <w:spacing w:line="288" w:lineRule="auto"/>
              <w:jc w:val="center"/>
              <w:rPr>
                <w:bCs/>
                <w:color w:val="auto"/>
                <w:sz w:val="21"/>
                <w:szCs w:val="21"/>
                <w:highlight w:val="none"/>
              </w:rPr>
            </w:pPr>
            <w:r>
              <w:rPr>
                <w:rFonts w:hint="eastAsia"/>
                <w:bCs/>
                <w:color w:val="auto"/>
                <w:sz w:val="21"/>
                <w:szCs w:val="21"/>
                <w:highlight w:val="none"/>
              </w:rPr>
              <w:t>1</w:t>
            </w:r>
          </w:p>
        </w:tc>
        <w:tc>
          <w:tcPr>
            <w:tcW w:w="470" w:type="pct"/>
            <w:tcBorders>
              <w:tl2br w:val="nil"/>
              <w:tr2bl w:val="nil"/>
            </w:tcBorders>
            <w:vAlign w:val="center"/>
          </w:tcPr>
          <w:p w14:paraId="7AEDFBD4">
            <w:pPr>
              <w:adjustRightInd w:val="0"/>
              <w:snapToGrid w:val="0"/>
              <w:spacing w:line="288" w:lineRule="auto"/>
              <w:jc w:val="center"/>
              <w:rPr>
                <w:bCs/>
                <w:color w:val="auto"/>
                <w:sz w:val="21"/>
                <w:szCs w:val="21"/>
                <w:highlight w:val="none"/>
              </w:rPr>
            </w:pPr>
            <w:r>
              <w:rPr>
                <w:rFonts w:hint="eastAsia"/>
                <w:bCs/>
                <w:color w:val="auto"/>
                <w:sz w:val="21"/>
                <w:szCs w:val="21"/>
                <w:highlight w:val="none"/>
              </w:rPr>
              <w:t>项</w:t>
            </w:r>
          </w:p>
        </w:tc>
        <w:tc>
          <w:tcPr>
            <w:tcW w:w="2068" w:type="pct"/>
            <w:tcBorders>
              <w:right w:val="single" w:color="auto" w:sz="4" w:space="0"/>
              <w:tl2br w:val="nil"/>
              <w:tr2bl w:val="nil"/>
            </w:tcBorders>
            <w:vAlign w:val="center"/>
          </w:tcPr>
          <w:p w14:paraId="16E2E190">
            <w:pPr>
              <w:adjustRightInd w:val="0"/>
              <w:snapToGrid w:val="0"/>
              <w:spacing w:line="288" w:lineRule="auto"/>
              <w:jc w:val="left"/>
              <w:rPr>
                <w:bCs/>
                <w:color w:val="auto"/>
                <w:sz w:val="21"/>
                <w:szCs w:val="21"/>
                <w:highlight w:val="none"/>
              </w:rPr>
            </w:pPr>
            <w:bookmarkStart w:id="5" w:name="OLE_LINK1"/>
            <w:r>
              <w:rPr>
                <w:rFonts w:hint="eastAsia"/>
                <w:bCs/>
                <w:color w:val="auto"/>
                <w:sz w:val="21"/>
                <w:szCs w:val="21"/>
                <w:highlight w:val="none"/>
              </w:rPr>
              <w:t>本项目为</w:t>
            </w:r>
            <w:r>
              <w:rPr>
                <w:rFonts w:hint="eastAsia"/>
                <w:bCs/>
                <w:color w:val="auto"/>
                <w:sz w:val="21"/>
                <w:szCs w:val="21"/>
                <w:highlight w:val="none"/>
                <w:lang w:eastAsia="zh-CN"/>
              </w:rPr>
              <w:t>小剧场楼层防水舞台墙体改造项目</w:t>
            </w:r>
            <w:r>
              <w:rPr>
                <w:rFonts w:hint="eastAsia"/>
                <w:bCs/>
                <w:color w:val="auto"/>
                <w:sz w:val="21"/>
                <w:szCs w:val="21"/>
                <w:highlight w:val="none"/>
              </w:rPr>
              <w:t>，具体详见工程量清单。</w:t>
            </w:r>
            <w:bookmarkEnd w:id="5"/>
          </w:p>
        </w:tc>
      </w:tr>
    </w:tbl>
    <w:p w14:paraId="67A465CF">
      <w:pPr>
        <w:adjustRightInd w:val="0"/>
        <w:snapToGrid w:val="0"/>
        <w:spacing w:line="288" w:lineRule="auto"/>
        <w:rPr>
          <w:b/>
          <w:color w:val="auto"/>
          <w:sz w:val="21"/>
          <w:szCs w:val="21"/>
          <w:highlight w:val="none"/>
        </w:rPr>
      </w:pPr>
      <w:bookmarkStart w:id="6" w:name="_Toc28359003"/>
      <w:bookmarkStart w:id="7" w:name="_Toc35393622"/>
      <w:bookmarkStart w:id="8" w:name="_Toc35393791"/>
      <w:bookmarkStart w:id="9" w:name="_Toc28359080"/>
      <w:r>
        <w:rPr>
          <w:rFonts w:hint="eastAsia"/>
          <w:b/>
          <w:color w:val="auto"/>
          <w:sz w:val="21"/>
          <w:szCs w:val="21"/>
          <w:highlight w:val="none"/>
        </w:rPr>
        <w:t>二、申请人的资格要求：</w:t>
      </w:r>
      <w:bookmarkEnd w:id="6"/>
      <w:bookmarkEnd w:id="7"/>
      <w:bookmarkEnd w:id="8"/>
      <w:bookmarkEnd w:id="9"/>
    </w:p>
    <w:p w14:paraId="28E291FD">
      <w:pPr>
        <w:adjustRightInd w:val="0"/>
        <w:snapToGrid w:val="0"/>
        <w:spacing w:line="288" w:lineRule="auto"/>
        <w:ind w:firstLine="420" w:firstLineChars="200"/>
        <w:rPr>
          <w:rFonts w:cs="Times New Roman"/>
          <w:bCs/>
          <w:color w:val="auto"/>
          <w:sz w:val="21"/>
          <w:szCs w:val="21"/>
          <w:highlight w:val="none"/>
        </w:rPr>
      </w:pPr>
      <w:bookmarkStart w:id="10" w:name="_Toc28359081"/>
      <w:bookmarkStart w:id="11" w:name="_Toc28359004"/>
      <w:r>
        <w:rPr>
          <w:rFonts w:hint="eastAsia" w:cs="Times New Roman"/>
          <w:bCs/>
          <w:color w:val="auto"/>
          <w:sz w:val="21"/>
          <w:szCs w:val="21"/>
          <w:highlight w:val="none"/>
        </w:rPr>
        <w:t>1.</w:t>
      </w:r>
      <w:bookmarkStart w:id="12" w:name="OLE_LINK2"/>
      <w:r>
        <w:rPr>
          <w:rFonts w:hint="eastAsia" w:cs="Times New Roman"/>
          <w:bCs/>
          <w:color w:val="auto"/>
          <w:sz w:val="21"/>
          <w:szCs w:val="21"/>
          <w:highlight w:val="none"/>
        </w:rPr>
        <w:t>满足《中华人民共和国政府采购法》第二十二条规定，未被“信用中国”（</w:t>
      </w:r>
      <w:r>
        <w:rPr>
          <w:rFonts w:cs="Times New Roman"/>
          <w:bCs/>
          <w:color w:val="auto"/>
          <w:sz w:val="21"/>
          <w:szCs w:val="21"/>
          <w:highlight w:val="none"/>
        </w:rPr>
        <w:t>www.creditchina.gov.cn</w:t>
      </w:r>
      <w:r>
        <w:rPr>
          <w:rFonts w:hint="eastAsia" w:cs="Times New Roman"/>
          <w:bCs/>
          <w:color w:val="auto"/>
          <w:sz w:val="21"/>
          <w:szCs w:val="21"/>
          <w:highlight w:val="none"/>
        </w:rPr>
        <w:t>）</w:t>
      </w:r>
      <w:r>
        <w:rPr>
          <w:rFonts w:cs="Times New Roman"/>
          <w:bCs/>
          <w:color w:val="auto"/>
          <w:sz w:val="21"/>
          <w:szCs w:val="21"/>
          <w:highlight w:val="none"/>
        </w:rPr>
        <w:t>、中国政府采购网（www.ccgp.gov.cn）列入失信被执行人、重大税收违法案件当事人名单、政府采购严重违法失信行为记录名单。</w:t>
      </w:r>
      <w:bookmarkEnd w:id="12"/>
    </w:p>
    <w:p w14:paraId="17075DF2">
      <w:pPr>
        <w:adjustRightInd w:val="0"/>
        <w:snapToGrid w:val="0"/>
        <w:spacing w:line="288" w:lineRule="auto"/>
        <w:ind w:firstLine="422" w:firstLineChars="200"/>
        <w:rPr>
          <w:rFonts w:cs="Times New Roman"/>
          <w:b/>
          <w:bCs/>
          <w:color w:val="auto"/>
          <w:sz w:val="21"/>
          <w:szCs w:val="21"/>
          <w:highlight w:val="none"/>
        </w:rPr>
      </w:pPr>
      <w:r>
        <w:rPr>
          <w:rFonts w:hint="eastAsia" w:cs="Times New Roman"/>
          <w:b/>
          <w:bCs/>
          <w:color w:val="auto"/>
          <w:sz w:val="21"/>
          <w:szCs w:val="21"/>
          <w:highlight w:val="none"/>
        </w:rPr>
        <w:t>2.落实政府采购政策需满足的资格要求：本项目整体专门面向中小企业采购。</w:t>
      </w:r>
    </w:p>
    <w:p w14:paraId="10ABC7E3">
      <w:pPr>
        <w:adjustRightInd w:val="0"/>
        <w:snapToGrid w:val="0"/>
        <w:spacing w:line="288" w:lineRule="auto"/>
        <w:ind w:firstLine="422" w:firstLineChars="200"/>
        <w:rPr>
          <w:rFonts w:cs="Times New Roman"/>
          <w:b/>
          <w:bCs/>
          <w:color w:val="auto"/>
          <w:sz w:val="21"/>
          <w:szCs w:val="21"/>
          <w:highlight w:val="none"/>
        </w:rPr>
      </w:pPr>
      <w:r>
        <w:rPr>
          <w:rFonts w:cs="Times New Roman"/>
          <w:b/>
          <w:bCs/>
          <w:color w:val="auto"/>
          <w:sz w:val="21"/>
          <w:szCs w:val="21"/>
          <w:highlight w:val="none"/>
        </w:rPr>
        <w:t>工程由中小企业承建，即工程施工单位为中小企业；</w:t>
      </w:r>
    </w:p>
    <w:p w14:paraId="29200112">
      <w:pPr>
        <w:adjustRightInd w:val="0"/>
        <w:snapToGrid w:val="0"/>
        <w:spacing w:line="288" w:lineRule="auto"/>
        <w:ind w:firstLine="422" w:firstLineChars="200"/>
        <w:rPr>
          <w:rFonts w:cs="Times New Roman"/>
          <w:b/>
          <w:bCs/>
          <w:color w:val="auto"/>
          <w:sz w:val="21"/>
          <w:szCs w:val="21"/>
          <w:highlight w:val="none"/>
        </w:rPr>
      </w:pPr>
      <w:r>
        <w:rPr>
          <w:rFonts w:hint="eastAsia" w:cs="Times New Roman"/>
          <w:b/>
          <w:bCs/>
          <w:color w:val="auto"/>
          <w:sz w:val="21"/>
          <w:szCs w:val="21"/>
          <w:highlight w:val="none"/>
        </w:rPr>
        <w:t>监狱企业、残疾人福利性单位视同小型、微型企业；</w:t>
      </w:r>
    </w:p>
    <w:p w14:paraId="4BD5CC75">
      <w:pPr>
        <w:adjustRightInd w:val="0"/>
        <w:snapToGrid w:val="0"/>
        <w:spacing w:line="288" w:lineRule="auto"/>
        <w:ind w:firstLine="422" w:firstLineChars="200"/>
        <w:rPr>
          <w:rFonts w:cs="Times New Roman"/>
          <w:b/>
          <w:bCs/>
          <w:color w:val="auto"/>
          <w:sz w:val="21"/>
          <w:szCs w:val="21"/>
          <w:highlight w:val="none"/>
        </w:rPr>
      </w:pPr>
      <w:r>
        <w:rPr>
          <w:rFonts w:hint="eastAsia" w:cs="Times New Roman"/>
          <w:b/>
          <w:bCs/>
          <w:color w:val="auto"/>
          <w:sz w:val="21"/>
          <w:szCs w:val="21"/>
          <w:highlight w:val="none"/>
        </w:rPr>
        <w:t>本项目属性为：</w:t>
      </w:r>
      <w:r>
        <w:rPr>
          <w:rFonts w:cs="Times New Roman"/>
          <w:b/>
          <w:bCs/>
          <w:color w:val="auto"/>
          <w:sz w:val="21"/>
          <w:szCs w:val="21"/>
          <w:highlight w:val="none"/>
        </w:rPr>
        <w:t>工程</w:t>
      </w:r>
    </w:p>
    <w:p w14:paraId="641171D4">
      <w:pPr>
        <w:adjustRightInd w:val="0"/>
        <w:snapToGrid w:val="0"/>
        <w:spacing w:line="288" w:lineRule="auto"/>
        <w:ind w:firstLine="422" w:firstLineChars="200"/>
        <w:rPr>
          <w:rFonts w:cs="Times New Roman"/>
          <w:b/>
          <w:bCs/>
          <w:color w:val="auto"/>
          <w:sz w:val="21"/>
          <w:szCs w:val="21"/>
          <w:highlight w:val="none"/>
        </w:rPr>
      </w:pPr>
      <w:r>
        <w:rPr>
          <w:rFonts w:hint="eastAsia" w:cs="Times New Roman"/>
          <w:b/>
          <w:bCs/>
          <w:color w:val="auto"/>
          <w:sz w:val="21"/>
          <w:szCs w:val="21"/>
          <w:highlight w:val="none"/>
        </w:rPr>
        <w:t>采购标的对应的中小企业划分标准所属行业：建筑业。</w:t>
      </w:r>
    </w:p>
    <w:p w14:paraId="0C48BD3E">
      <w:pPr>
        <w:adjustRightInd w:val="0"/>
        <w:snapToGrid w:val="0"/>
        <w:spacing w:line="288" w:lineRule="auto"/>
        <w:ind w:firstLine="422" w:firstLineChars="200"/>
        <w:rPr>
          <w:rFonts w:cs="Times New Roman"/>
          <w:b/>
          <w:bCs/>
          <w:color w:val="auto"/>
          <w:sz w:val="21"/>
          <w:szCs w:val="21"/>
          <w:highlight w:val="none"/>
        </w:rPr>
      </w:pPr>
      <w:r>
        <w:rPr>
          <w:rFonts w:hint="eastAsia" w:cs="Times New Roman"/>
          <w:b/>
          <w:bCs/>
          <w:color w:val="auto"/>
          <w:sz w:val="21"/>
          <w:szCs w:val="21"/>
          <w:highlight w:val="none"/>
        </w:rPr>
        <w:t>中小企业划型标准：营业收入</w:t>
      </w:r>
      <w:r>
        <w:rPr>
          <w:rFonts w:cs="Times New Roman"/>
          <w:b/>
          <w:bCs/>
          <w:color w:val="auto"/>
          <w:sz w:val="21"/>
          <w:szCs w:val="21"/>
          <w:highlight w:val="none"/>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8D763AC">
      <w:pPr>
        <w:numPr>
          <w:ilvl w:val="0"/>
          <w:numId w:val="0"/>
        </w:numPr>
        <w:adjustRightInd w:val="0"/>
        <w:snapToGrid w:val="0"/>
        <w:spacing w:line="288" w:lineRule="auto"/>
        <w:ind w:firstLine="480" w:firstLineChars="200"/>
        <w:rPr>
          <w:highlight w:val="none"/>
        </w:rPr>
      </w:pPr>
      <w:r>
        <w:rPr>
          <w:rFonts w:ascii="宋体" w:hAnsi="宋体" w:eastAsia="宋体" w:cs="宋体"/>
          <w:kern w:val="2"/>
          <w:sz w:val="24"/>
          <w:szCs w:val="24"/>
          <w:highlight w:val="none"/>
          <w:lang w:val="en-US" w:eastAsia="zh-CN" w:bidi="ar-SA"/>
        </w:rPr>
        <w:t>3.</w:t>
      </w:r>
      <w:r>
        <w:rPr>
          <w:rFonts w:hint="eastAsia"/>
          <w:color w:val="auto"/>
          <w:sz w:val="21"/>
          <w:szCs w:val="21"/>
          <w:highlight w:val="none"/>
        </w:rPr>
        <w:t>本项目的特定资格要求：</w:t>
      </w:r>
    </w:p>
    <w:p w14:paraId="779DE7FF">
      <w:pPr>
        <w:numPr>
          <w:ilvl w:val="0"/>
          <w:numId w:val="0"/>
        </w:num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具有建筑装修装饰工程专业承包二级</w:t>
      </w:r>
      <w:r>
        <w:rPr>
          <w:rFonts w:hint="eastAsia"/>
          <w:color w:val="auto"/>
          <w:sz w:val="21"/>
          <w:szCs w:val="21"/>
          <w:highlight w:val="none"/>
          <w:lang w:val="en-US" w:eastAsia="zh-CN"/>
        </w:rPr>
        <w:t>及以上资质或防水防腐保温工程专业承包二级资质</w:t>
      </w:r>
      <w:r>
        <w:rPr>
          <w:rFonts w:hint="eastAsia"/>
          <w:color w:val="auto"/>
          <w:sz w:val="21"/>
          <w:szCs w:val="21"/>
          <w:highlight w:val="none"/>
        </w:rPr>
        <w:t>；</w:t>
      </w:r>
    </w:p>
    <w:p w14:paraId="5D90A43A">
      <w:pPr>
        <w:numPr>
          <w:ilvl w:val="0"/>
          <w:numId w:val="0"/>
        </w:num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w:t>
      </w:r>
      <w:r>
        <w:rPr>
          <w:rFonts w:hint="eastAsia"/>
          <w:color w:val="auto"/>
          <w:sz w:val="21"/>
          <w:szCs w:val="21"/>
          <w:highlight w:val="none"/>
          <w:lang w:eastAsia="zh-CN"/>
        </w:rPr>
        <w:t>供应商具有在有效期内的企业安全生产许可证；</w:t>
      </w:r>
    </w:p>
    <w:p w14:paraId="12BDE012">
      <w:pPr>
        <w:numPr>
          <w:ilvl w:val="0"/>
          <w:numId w:val="0"/>
        </w:numPr>
        <w:adjustRightInd w:val="0"/>
        <w:snapToGrid w:val="0"/>
        <w:spacing w:line="288" w:lineRule="auto"/>
        <w:ind w:firstLine="420" w:firstLineChars="200"/>
        <w:rPr>
          <w:rFonts w:hint="default" w:eastAsia="宋体"/>
          <w:color w:val="auto"/>
          <w:sz w:val="21"/>
          <w:szCs w:val="21"/>
          <w:highlight w:val="none"/>
          <w:lang w:val="en-US" w:eastAsia="zh-CN"/>
        </w:rPr>
      </w:pPr>
      <w:r>
        <w:rPr>
          <w:rFonts w:hint="eastAsia"/>
          <w:color w:val="auto"/>
          <w:sz w:val="21"/>
          <w:szCs w:val="21"/>
          <w:highlight w:val="none"/>
          <w:lang w:eastAsia="zh-CN"/>
        </w:rPr>
        <w:t>（</w:t>
      </w:r>
      <w:r>
        <w:rPr>
          <w:rFonts w:hint="eastAsia"/>
          <w:color w:val="auto"/>
          <w:sz w:val="21"/>
          <w:szCs w:val="21"/>
          <w:highlight w:val="none"/>
          <w:lang w:val="en-US" w:eastAsia="zh-CN"/>
        </w:rPr>
        <w:t>3</w:t>
      </w:r>
      <w:r>
        <w:rPr>
          <w:rFonts w:hint="eastAsia"/>
          <w:color w:val="auto"/>
          <w:sz w:val="21"/>
          <w:szCs w:val="21"/>
          <w:highlight w:val="none"/>
          <w:lang w:eastAsia="zh-CN"/>
        </w:rPr>
        <w:t>）拟派项目负责人具有注册在投标人单位的建筑工程专业二级及以上建造师执业资格，同时具有“三类人员”B类证书。</w:t>
      </w:r>
    </w:p>
    <w:p w14:paraId="10F92176">
      <w:pPr>
        <w:adjustRightInd w:val="0"/>
        <w:snapToGrid w:val="0"/>
        <w:spacing w:line="288" w:lineRule="auto"/>
        <w:rPr>
          <w:b/>
          <w:color w:val="auto"/>
          <w:sz w:val="21"/>
          <w:szCs w:val="21"/>
          <w:highlight w:val="none"/>
        </w:rPr>
      </w:pPr>
      <w:bookmarkStart w:id="13" w:name="_Toc35393623"/>
      <w:bookmarkStart w:id="14" w:name="_Toc35393792"/>
      <w:r>
        <w:rPr>
          <w:rFonts w:hint="eastAsia"/>
          <w:b/>
          <w:color w:val="auto"/>
          <w:sz w:val="21"/>
          <w:szCs w:val="21"/>
          <w:highlight w:val="none"/>
        </w:rPr>
        <w:t>三、获取（下载）采购文件</w:t>
      </w:r>
      <w:bookmarkEnd w:id="10"/>
      <w:bookmarkEnd w:id="11"/>
      <w:bookmarkEnd w:id="13"/>
      <w:bookmarkEnd w:id="14"/>
    </w:p>
    <w:p w14:paraId="40855DEB">
      <w:pPr>
        <w:adjustRightInd w:val="0"/>
        <w:snapToGrid w:val="0"/>
        <w:spacing w:line="288" w:lineRule="auto"/>
        <w:ind w:firstLine="420" w:firstLineChars="200"/>
        <w:rPr>
          <w:color w:val="auto"/>
          <w:sz w:val="21"/>
          <w:szCs w:val="21"/>
          <w:highlight w:val="none"/>
        </w:rPr>
      </w:pPr>
      <w:bookmarkStart w:id="15" w:name="_Toc28359082"/>
      <w:bookmarkStart w:id="16" w:name="_Toc35393624"/>
      <w:bookmarkStart w:id="17" w:name="_Toc28359005"/>
      <w:bookmarkStart w:id="18" w:name="_Toc35393793"/>
      <w:r>
        <w:rPr>
          <w:rFonts w:hint="eastAsia"/>
          <w:color w:val="auto"/>
          <w:sz w:val="21"/>
          <w:szCs w:val="21"/>
          <w:highlight w:val="none"/>
        </w:rPr>
        <w:t>时间：</w:t>
      </w:r>
      <w:r>
        <w:rPr>
          <w:rFonts w:hint="eastAsia"/>
          <w:color w:val="auto"/>
          <w:sz w:val="21"/>
          <w:szCs w:val="21"/>
          <w:highlight w:val="none"/>
          <w:lang w:val="en-US" w:eastAsia="zh-CN"/>
        </w:rPr>
        <w:t>/</w:t>
      </w:r>
      <w:r>
        <w:rPr>
          <w:rFonts w:hint="eastAsia"/>
          <w:color w:val="auto"/>
          <w:sz w:val="21"/>
          <w:szCs w:val="21"/>
          <w:highlight w:val="none"/>
        </w:rPr>
        <w:t>至2024年</w:t>
      </w:r>
      <w:r>
        <w:rPr>
          <w:rFonts w:hint="eastAsia"/>
          <w:color w:val="auto"/>
          <w:sz w:val="21"/>
          <w:szCs w:val="21"/>
          <w:highlight w:val="none"/>
          <w:lang w:val="en-US" w:eastAsia="zh-CN"/>
        </w:rPr>
        <w:t>10月18日</w:t>
      </w:r>
      <w:r>
        <w:rPr>
          <w:rFonts w:hint="eastAsia"/>
          <w:color w:val="auto"/>
          <w:sz w:val="21"/>
          <w:szCs w:val="21"/>
          <w:highlight w:val="none"/>
        </w:rPr>
        <w:t>，每天上午00:00至12:00，下午12:00至23:59（北京时间，线上获取法定节假日均可，线下获取文件法定节假日除外）</w:t>
      </w:r>
    </w:p>
    <w:p w14:paraId="5770E71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地点（网址）：政府采购云平台（</w:t>
      </w:r>
      <w:r>
        <w:rPr>
          <w:color w:val="auto"/>
          <w:sz w:val="21"/>
          <w:szCs w:val="21"/>
          <w:highlight w:val="none"/>
        </w:rPr>
        <w:t>https://www.zcygov.cn</w:t>
      </w:r>
      <w:r>
        <w:rPr>
          <w:rFonts w:hint="eastAsia"/>
          <w:color w:val="auto"/>
          <w:sz w:val="21"/>
          <w:szCs w:val="21"/>
          <w:highlight w:val="none"/>
        </w:rPr>
        <w:t>）</w:t>
      </w:r>
    </w:p>
    <w:p w14:paraId="215E850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方式：供应商登录政采云平台（</w:t>
      </w:r>
      <w:r>
        <w:rPr>
          <w:color w:val="auto"/>
          <w:sz w:val="21"/>
          <w:szCs w:val="21"/>
          <w:highlight w:val="none"/>
        </w:rPr>
        <w:t>https://www.zcygov.cn</w:t>
      </w:r>
      <w:r>
        <w:rPr>
          <w:rFonts w:hint="eastAsia"/>
          <w:color w:val="auto"/>
          <w:sz w:val="21"/>
          <w:szCs w:val="21"/>
          <w:highlight w:val="none"/>
        </w:rPr>
        <w:t>）</w:t>
      </w:r>
      <w:r>
        <w:rPr>
          <w:color w:val="auto"/>
          <w:sz w:val="21"/>
          <w:szCs w:val="21"/>
          <w:highlight w:val="none"/>
        </w:rPr>
        <w:t>在线申请获取采购文件（进入“项目采购”应用，在获取采购文件菜单中选择项目，申请获取采购文件）</w:t>
      </w:r>
    </w:p>
    <w:p w14:paraId="4222E47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售价（元）：0</w:t>
      </w:r>
    </w:p>
    <w:p w14:paraId="4FA39188">
      <w:pPr>
        <w:adjustRightInd w:val="0"/>
        <w:snapToGrid w:val="0"/>
        <w:spacing w:line="288" w:lineRule="auto"/>
        <w:rPr>
          <w:b/>
          <w:color w:val="auto"/>
          <w:sz w:val="21"/>
          <w:szCs w:val="21"/>
          <w:highlight w:val="none"/>
        </w:rPr>
      </w:pPr>
      <w:r>
        <w:rPr>
          <w:rFonts w:hint="eastAsia"/>
          <w:b/>
          <w:color w:val="auto"/>
          <w:sz w:val="21"/>
          <w:szCs w:val="21"/>
          <w:highlight w:val="none"/>
        </w:rPr>
        <w:t>四、</w:t>
      </w:r>
      <w:bookmarkEnd w:id="15"/>
      <w:bookmarkEnd w:id="16"/>
      <w:bookmarkEnd w:id="17"/>
      <w:bookmarkEnd w:id="18"/>
      <w:r>
        <w:rPr>
          <w:rFonts w:hint="eastAsia"/>
          <w:b/>
          <w:color w:val="auto"/>
          <w:sz w:val="21"/>
          <w:szCs w:val="21"/>
          <w:highlight w:val="none"/>
        </w:rPr>
        <w:t>响应文件提交（上传）</w:t>
      </w:r>
    </w:p>
    <w:p w14:paraId="5112E240">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截止时间：2024年</w:t>
      </w:r>
      <w:r>
        <w:rPr>
          <w:rFonts w:hint="eastAsia"/>
          <w:bCs/>
          <w:color w:val="auto"/>
          <w:sz w:val="21"/>
          <w:szCs w:val="21"/>
          <w:highlight w:val="none"/>
          <w:lang w:val="en-US" w:eastAsia="zh-CN"/>
        </w:rPr>
        <w:t>10月18日14</w:t>
      </w:r>
      <w:r>
        <w:rPr>
          <w:rFonts w:hint="eastAsia"/>
          <w:bCs/>
          <w:color w:val="auto"/>
          <w:sz w:val="21"/>
          <w:szCs w:val="21"/>
          <w:highlight w:val="none"/>
        </w:rPr>
        <w:t>:</w:t>
      </w:r>
      <w:r>
        <w:rPr>
          <w:rFonts w:hint="eastAsia"/>
          <w:bCs/>
          <w:color w:val="auto"/>
          <w:sz w:val="21"/>
          <w:szCs w:val="21"/>
          <w:highlight w:val="none"/>
          <w:lang w:val="en-US" w:eastAsia="zh-CN"/>
        </w:rPr>
        <w:t>0</w:t>
      </w:r>
      <w:r>
        <w:rPr>
          <w:rFonts w:hint="eastAsia"/>
          <w:bCs/>
          <w:color w:val="auto"/>
          <w:sz w:val="21"/>
          <w:szCs w:val="21"/>
          <w:highlight w:val="none"/>
        </w:rPr>
        <w:t>0:00（北京时间）</w:t>
      </w:r>
    </w:p>
    <w:p w14:paraId="5C7E94E7">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（网址）：政府采购云平台（https://www.zcygov.cn）</w:t>
      </w:r>
    </w:p>
    <w:p w14:paraId="7F235215">
      <w:pPr>
        <w:adjustRightInd w:val="0"/>
        <w:snapToGrid w:val="0"/>
        <w:spacing w:line="288" w:lineRule="auto"/>
        <w:rPr>
          <w:b/>
          <w:color w:val="auto"/>
          <w:sz w:val="21"/>
          <w:szCs w:val="21"/>
          <w:highlight w:val="none"/>
        </w:rPr>
      </w:pPr>
      <w:bookmarkStart w:id="19" w:name="_Toc35393794"/>
      <w:bookmarkStart w:id="20" w:name="_Toc28359084"/>
      <w:bookmarkStart w:id="21" w:name="_Toc28359007"/>
      <w:bookmarkStart w:id="22" w:name="_Toc35393625"/>
      <w:r>
        <w:rPr>
          <w:rFonts w:hint="eastAsia"/>
          <w:b/>
          <w:color w:val="auto"/>
          <w:sz w:val="21"/>
          <w:szCs w:val="21"/>
          <w:highlight w:val="none"/>
        </w:rPr>
        <w:t>五、响应文件开启</w:t>
      </w:r>
    </w:p>
    <w:p w14:paraId="0910EC9D">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开启时间：2024年</w:t>
      </w:r>
      <w:r>
        <w:rPr>
          <w:rFonts w:hint="eastAsia"/>
          <w:bCs/>
          <w:color w:val="auto"/>
          <w:sz w:val="21"/>
          <w:szCs w:val="21"/>
          <w:highlight w:val="none"/>
          <w:lang w:val="en-US" w:eastAsia="zh-CN"/>
        </w:rPr>
        <w:t>10月18日14</w:t>
      </w:r>
      <w:r>
        <w:rPr>
          <w:rFonts w:hint="eastAsia"/>
          <w:bCs/>
          <w:color w:val="auto"/>
          <w:sz w:val="21"/>
          <w:szCs w:val="21"/>
          <w:highlight w:val="none"/>
        </w:rPr>
        <w:t>:</w:t>
      </w:r>
      <w:r>
        <w:rPr>
          <w:rFonts w:hint="eastAsia"/>
          <w:bCs/>
          <w:color w:val="auto"/>
          <w:sz w:val="21"/>
          <w:szCs w:val="21"/>
          <w:highlight w:val="none"/>
          <w:lang w:val="en-US" w:eastAsia="zh-CN"/>
        </w:rPr>
        <w:t>0</w:t>
      </w:r>
      <w:r>
        <w:rPr>
          <w:rFonts w:hint="eastAsia"/>
          <w:bCs/>
          <w:color w:val="auto"/>
          <w:sz w:val="21"/>
          <w:szCs w:val="21"/>
          <w:highlight w:val="none"/>
        </w:rPr>
        <w:t>0:00（北京时间）</w:t>
      </w:r>
    </w:p>
    <w:p w14:paraId="6951F59C">
      <w:pPr>
        <w:adjustRightInd w:val="0"/>
        <w:snapToGrid w:val="0"/>
        <w:spacing w:line="288" w:lineRule="auto"/>
        <w:ind w:firstLine="420" w:firstLineChars="200"/>
        <w:rPr>
          <w:rFonts w:hint="eastAsia" w:eastAsia="宋体"/>
          <w:bCs/>
          <w:color w:val="auto"/>
          <w:sz w:val="21"/>
          <w:szCs w:val="21"/>
          <w:highlight w:val="none"/>
          <w:lang w:eastAsia="zh-CN"/>
        </w:rPr>
      </w:pPr>
      <w:r>
        <w:rPr>
          <w:rFonts w:hint="eastAsia"/>
          <w:bCs/>
          <w:color w:val="auto"/>
          <w:sz w:val="21"/>
          <w:szCs w:val="21"/>
          <w:highlight w:val="none"/>
        </w:rPr>
        <w:t>地点</w:t>
      </w:r>
      <w:r>
        <w:rPr>
          <w:rFonts w:hint="eastAsia"/>
          <w:color w:val="auto"/>
          <w:sz w:val="21"/>
          <w:szCs w:val="21"/>
          <w:highlight w:val="none"/>
        </w:rPr>
        <w:t>（网址）：政府采购云平台（https://www.zcygov.cn）</w:t>
      </w:r>
      <w:r>
        <w:rPr>
          <w:rFonts w:hint="eastAsia" w:cs="Times New Roman"/>
          <w:color w:val="auto"/>
          <w:sz w:val="21"/>
          <w:szCs w:val="21"/>
          <w:highlight w:val="none"/>
        </w:rPr>
        <w:t>/</w:t>
      </w:r>
      <w:r>
        <w:rPr>
          <w:rFonts w:hint="eastAsia" w:cs="Times New Roman"/>
          <w:color w:val="auto"/>
          <w:sz w:val="21"/>
          <w:szCs w:val="21"/>
          <w:highlight w:val="none"/>
          <w:lang w:eastAsia="zh-CN"/>
        </w:rPr>
        <w:t>杭州建国北路586号嘉联华铭座6楼会议室</w:t>
      </w:r>
    </w:p>
    <w:p w14:paraId="084852D1">
      <w:pPr>
        <w:adjustRightInd w:val="0"/>
        <w:snapToGrid w:val="0"/>
        <w:spacing w:line="288" w:lineRule="auto"/>
        <w:rPr>
          <w:b/>
          <w:color w:val="auto"/>
          <w:sz w:val="21"/>
          <w:szCs w:val="21"/>
          <w:highlight w:val="none"/>
        </w:rPr>
      </w:pPr>
      <w:r>
        <w:rPr>
          <w:rFonts w:hint="eastAsia"/>
          <w:b/>
          <w:color w:val="auto"/>
          <w:sz w:val="21"/>
          <w:szCs w:val="21"/>
          <w:highlight w:val="none"/>
        </w:rPr>
        <w:t>六、公告期限</w:t>
      </w:r>
      <w:bookmarkEnd w:id="19"/>
      <w:bookmarkEnd w:id="20"/>
      <w:bookmarkEnd w:id="21"/>
      <w:bookmarkEnd w:id="22"/>
    </w:p>
    <w:p w14:paraId="599DDA0A">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自本公告发布之日起3个工作日。</w:t>
      </w:r>
    </w:p>
    <w:p w14:paraId="17C2A1BA">
      <w:pPr>
        <w:adjustRightInd w:val="0"/>
        <w:snapToGrid w:val="0"/>
        <w:spacing w:line="288" w:lineRule="auto"/>
        <w:rPr>
          <w:b/>
          <w:color w:val="auto"/>
          <w:sz w:val="21"/>
          <w:szCs w:val="21"/>
          <w:highlight w:val="none"/>
        </w:rPr>
      </w:pPr>
      <w:bookmarkStart w:id="23" w:name="_Toc35393626"/>
      <w:bookmarkStart w:id="24" w:name="_Toc35393795"/>
      <w:r>
        <w:rPr>
          <w:rFonts w:hint="eastAsia"/>
          <w:b/>
          <w:color w:val="auto"/>
          <w:sz w:val="21"/>
          <w:szCs w:val="21"/>
          <w:highlight w:val="none"/>
        </w:rPr>
        <w:t>七、其他补充事宜</w:t>
      </w:r>
      <w:bookmarkEnd w:id="23"/>
      <w:bookmarkEnd w:id="24"/>
    </w:p>
    <w:p w14:paraId="20C32C39">
      <w:pPr>
        <w:adjustRightInd w:val="0"/>
        <w:snapToGrid w:val="0"/>
        <w:spacing w:line="288" w:lineRule="auto"/>
        <w:ind w:firstLine="420" w:firstLineChars="200"/>
        <w:rPr>
          <w:rFonts w:cs="Times New Roman"/>
          <w:color w:val="auto"/>
          <w:sz w:val="21"/>
          <w:szCs w:val="21"/>
          <w:highlight w:val="none"/>
        </w:rPr>
      </w:pPr>
      <w:bookmarkStart w:id="25" w:name="_Hlk97039575"/>
      <w:bookmarkStart w:id="26" w:name="_Toc28359008"/>
      <w:bookmarkStart w:id="27" w:name="_Toc35393796"/>
      <w:bookmarkStart w:id="28" w:name="_Toc35393627"/>
      <w:bookmarkStart w:id="29" w:name="_Toc28359085"/>
      <w:r>
        <w:rPr>
          <w:rFonts w:cs="Times New Roman"/>
          <w:color w:val="auto"/>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A843D67">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E34892F">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07FB827">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4.其他事项：</w:t>
      </w:r>
    </w:p>
    <w:p w14:paraId="3EC86F1C">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w:t>
      </w:r>
      <w:r>
        <w:rPr>
          <w:rFonts w:hint="eastAsia" w:cs="Times New Roman"/>
          <w:color w:val="auto"/>
          <w:sz w:val="21"/>
          <w:szCs w:val="21"/>
          <w:highlight w:val="none"/>
        </w:rPr>
        <w:t>1</w:t>
      </w:r>
      <w:r>
        <w:rPr>
          <w:rFonts w:cs="Times New Roman"/>
          <w:color w:val="auto"/>
          <w:sz w:val="21"/>
          <w:szCs w:val="21"/>
          <w:highlight w:val="none"/>
        </w:rPr>
        <w:t>）需要落实的政府采购政策：包括节约资源、保护环境、</w:t>
      </w:r>
      <w:r>
        <w:rPr>
          <w:rFonts w:hint="eastAsia" w:cs="Times New Roman"/>
          <w:color w:val="auto"/>
          <w:sz w:val="21"/>
          <w:szCs w:val="21"/>
          <w:highlight w:val="none"/>
        </w:rPr>
        <w:t>支持科技创新、</w:t>
      </w:r>
      <w:r>
        <w:rPr>
          <w:rFonts w:cs="Times New Roman"/>
          <w:color w:val="auto"/>
          <w:sz w:val="21"/>
          <w:szCs w:val="21"/>
          <w:highlight w:val="none"/>
        </w:rPr>
        <w:t>促进中小企业发展等。详见磋商文件的第</w:t>
      </w:r>
      <w:r>
        <w:rPr>
          <w:rFonts w:hint="eastAsia" w:cs="Times New Roman"/>
          <w:color w:val="auto"/>
          <w:sz w:val="21"/>
          <w:szCs w:val="21"/>
          <w:highlight w:val="none"/>
        </w:rPr>
        <w:t>三章-采购项目需要落实的政府采购政策</w:t>
      </w:r>
      <w:r>
        <w:rPr>
          <w:rFonts w:cs="Times New Roman"/>
          <w:color w:val="auto"/>
          <w:sz w:val="21"/>
          <w:szCs w:val="21"/>
          <w:highlight w:val="none"/>
        </w:rPr>
        <w:t>。</w:t>
      </w:r>
    </w:p>
    <w:bookmarkEnd w:id="25"/>
    <w:p w14:paraId="2A5B4ED4">
      <w:pPr>
        <w:adjustRightInd w:val="0"/>
        <w:snapToGrid w:val="0"/>
        <w:spacing w:line="288" w:lineRule="auto"/>
        <w:ind w:firstLine="420" w:firstLineChars="200"/>
        <w:rPr>
          <w:bCs/>
          <w:color w:val="auto"/>
          <w:sz w:val="21"/>
          <w:szCs w:val="21"/>
          <w:highlight w:val="none"/>
        </w:rPr>
      </w:pPr>
      <w:r>
        <w:rPr>
          <w:rFonts w:hint="eastAsia" w:cs="Times New Roman"/>
          <w:color w:val="auto"/>
          <w:sz w:val="21"/>
          <w:szCs w:val="21"/>
          <w:highlight w:val="none"/>
        </w:rPr>
        <w:t>▲</w:t>
      </w:r>
      <w:bookmarkStart w:id="30" w:name="_Hlk92271072"/>
      <w:r>
        <w:rPr>
          <w:rFonts w:hint="eastAsia" w:cs="Times New Roman"/>
          <w:color w:val="auto"/>
          <w:sz w:val="21"/>
          <w:szCs w:val="21"/>
          <w:highlight w:val="none"/>
        </w:rPr>
        <w:t>（2）</w:t>
      </w:r>
      <w:r>
        <w:rPr>
          <w:rFonts w:cs="Times New Roman"/>
          <w:color w:val="auto"/>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30"/>
    </w:p>
    <w:p w14:paraId="0BEBEF2A">
      <w:pPr>
        <w:adjustRightInd w:val="0"/>
        <w:snapToGrid w:val="0"/>
        <w:spacing w:line="288" w:lineRule="auto"/>
        <w:rPr>
          <w:b/>
          <w:color w:val="auto"/>
          <w:sz w:val="21"/>
          <w:szCs w:val="21"/>
          <w:highlight w:val="none"/>
        </w:rPr>
      </w:pPr>
      <w:r>
        <w:rPr>
          <w:rFonts w:hint="eastAsia"/>
          <w:b/>
          <w:color w:val="auto"/>
          <w:sz w:val="21"/>
          <w:szCs w:val="21"/>
          <w:highlight w:val="none"/>
        </w:rPr>
        <w:t>八、凡对本次采购提出询问、质疑、投诉请按以下方式联系</w:t>
      </w:r>
      <w:bookmarkEnd w:id="26"/>
      <w:bookmarkEnd w:id="27"/>
      <w:bookmarkEnd w:id="28"/>
      <w:bookmarkEnd w:id="29"/>
    </w:p>
    <w:p w14:paraId="7542D10E">
      <w:pPr>
        <w:adjustRightInd w:val="0"/>
        <w:snapToGrid w:val="0"/>
        <w:spacing w:line="288" w:lineRule="auto"/>
        <w:ind w:firstLine="424" w:firstLineChars="202"/>
        <w:rPr>
          <w:color w:val="auto"/>
          <w:sz w:val="21"/>
          <w:szCs w:val="21"/>
          <w:highlight w:val="none"/>
        </w:rPr>
      </w:pPr>
      <w:r>
        <w:rPr>
          <w:color w:val="auto"/>
          <w:sz w:val="21"/>
          <w:szCs w:val="21"/>
          <w:highlight w:val="none"/>
        </w:rPr>
        <w:t>1.采购人信息</w:t>
      </w:r>
    </w:p>
    <w:p w14:paraId="1F5B0C23">
      <w:pPr>
        <w:adjustRightInd w:val="0"/>
        <w:snapToGrid w:val="0"/>
        <w:spacing w:line="288" w:lineRule="auto"/>
        <w:ind w:firstLine="424" w:firstLineChars="202"/>
        <w:rPr>
          <w:rFonts w:hint="eastAsia" w:eastAsia="宋体"/>
          <w:color w:val="auto"/>
          <w:sz w:val="21"/>
          <w:szCs w:val="21"/>
          <w:highlight w:val="none"/>
          <w:lang w:eastAsia="zh-CN"/>
        </w:rPr>
      </w:pPr>
      <w:r>
        <w:rPr>
          <w:rFonts w:hint="eastAsia"/>
          <w:color w:val="auto"/>
          <w:sz w:val="21"/>
          <w:szCs w:val="21"/>
          <w:highlight w:val="none"/>
        </w:rPr>
        <w:t>名称：</w:t>
      </w:r>
      <w:r>
        <w:rPr>
          <w:rFonts w:hint="eastAsia"/>
          <w:color w:val="auto"/>
          <w:sz w:val="21"/>
          <w:szCs w:val="21"/>
          <w:highlight w:val="none"/>
          <w:lang w:eastAsia="zh-CN"/>
        </w:rPr>
        <w:t>浙江省文化馆</w:t>
      </w:r>
    </w:p>
    <w:p w14:paraId="02ED4C8C">
      <w:pPr>
        <w:adjustRightInd w:val="0"/>
        <w:snapToGrid w:val="0"/>
        <w:spacing w:line="288" w:lineRule="auto"/>
        <w:ind w:firstLine="424" w:firstLineChars="202"/>
        <w:rPr>
          <w:rFonts w:hint="eastAsia" w:eastAsia="宋体"/>
          <w:color w:val="auto"/>
          <w:sz w:val="21"/>
          <w:szCs w:val="21"/>
          <w:highlight w:val="none"/>
          <w:lang w:eastAsia="zh-CN"/>
        </w:rPr>
      </w:pPr>
      <w:r>
        <w:rPr>
          <w:rFonts w:hint="eastAsia"/>
          <w:color w:val="auto"/>
          <w:sz w:val="21"/>
          <w:szCs w:val="21"/>
          <w:highlight w:val="none"/>
        </w:rPr>
        <w:t>地址：</w:t>
      </w:r>
      <w:r>
        <w:rPr>
          <w:rFonts w:hint="eastAsia"/>
          <w:color w:val="auto"/>
          <w:sz w:val="21"/>
          <w:szCs w:val="21"/>
          <w:highlight w:val="none"/>
          <w:lang w:eastAsia="zh-CN"/>
        </w:rPr>
        <w:t>杭州市武林路71号</w:t>
      </w:r>
    </w:p>
    <w:p w14:paraId="649E4251">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r>
        <w:rPr>
          <w:color w:val="auto"/>
          <w:sz w:val="21"/>
          <w:szCs w:val="21"/>
          <w:highlight w:val="none"/>
        </w:rPr>
        <w:t>/</w:t>
      </w:r>
    </w:p>
    <w:p w14:paraId="266304C2">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项目联系人（询问）：</w:t>
      </w:r>
      <w:r>
        <w:rPr>
          <w:rFonts w:hint="eastAsia"/>
          <w:color w:val="auto"/>
          <w:sz w:val="21"/>
          <w:szCs w:val="21"/>
          <w:highlight w:val="none"/>
          <w:lang w:val="en-US" w:eastAsia="zh-CN"/>
        </w:rPr>
        <w:t>张</w:t>
      </w:r>
      <w:r>
        <w:rPr>
          <w:rFonts w:hint="eastAsia"/>
          <w:color w:val="auto"/>
          <w:sz w:val="21"/>
          <w:szCs w:val="21"/>
          <w:highlight w:val="none"/>
        </w:rPr>
        <w:t>老师</w:t>
      </w:r>
    </w:p>
    <w:p w14:paraId="3FBA3D1A">
      <w:pPr>
        <w:adjustRightInd w:val="0"/>
        <w:snapToGrid w:val="0"/>
        <w:spacing w:line="288" w:lineRule="auto"/>
        <w:ind w:firstLine="424" w:firstLineChars="202"/>
        <w:rPr>
          <w:highlight w:val="none"/>
        </w:rPr>
      </w:pPr>
      <w:r>
        <w:rPr>
          <w:rFonts w:hint="eastAsia"/>
          <w:color w:val="auto"/>
          <w:sz w:val="21"/>
          <w:szCs w:val="21"/>
          <w:highlight w:val="none"/>
        </w:rPr>
        <w:t>项目联系方式（询问）：0571-</w:t>
      </w:r>
      <w:r>
        <w:rPr>
          <w:color w:val="auto"/>
          <w:sz w:val="21"/>
          <w:szCs w:val="21"/>
          <w:highlight w:val="none"/>
        </w:rPr>
        <w:t>8</w:t>
      </w:r>
      <w:r>
        <w:rPr>
          <w:rFonts w:hint="eastAsia"/>
          <w:color w:val="auto"/>
          <w:sz w:val="21"/>
          <w:szCs w:val="21"/>
          <w:highlight w:val="none"/>
          <w:lang w:val="en-US" w:eastAsia="zh-CN"/>
        </w:rPr>
        <w:t>7028416</w:t>
      </w:r>
    </w:p>
    <w:p w14:paraId="66C6D1E1">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质疑联系人：</w:t>
      </w:r>
      <w:r>
        <w:rPr>
          <w:rFonts w:hint="eastAsia"/>
          <w:color w:val="auto"/>
          <w:sz w:val="21"/>
          <w:szCs w:val="21"/>
          <w:highlight w:val="none"/>
          <w:lang w:val="en-US" w:eastAsia="zh-Hans"/>
        </w:rPr>
        <w:t>雷</w:t>
      </w:r>
      <w:r>
        <w:rPr>
          <w:rFonts w:hint="eastAsia"/>
          <w:color w:val="auto"/>
          <w:sz w:val="21"/>
          <w:szCs w:val="21"/>
          <w:highlight w:val="none"/>
        </w:rPr>
        <w:t>老师</w:t>
      </w:r>
    </w:p>
    <w:p w14:paraId="746E90DB">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质疑联系方式：</w:t>
      </w:r>
      <w:r>
        <w:rPr>
          <w:color w:val="auto"/>
          <w:sz w:val="21"/>
          <w:szCs w:val="21"/>
          <w:highlight w:val="none"/>
        </w:rPr>
        <w:t>0571-879</w:t>
      </w:r>
      <w:r>
        <w:rPr>
          <w:rFonts w:hint="default"/>
          <w:color w:val="auto"/>
          <w:sz w:val="21"/>
          <w:szCs w:val="21"/>
          <w:highlight w:val="none"/>
        </w:rPr>
        <w:t>14415</w:t>
      </w:r>
    </w:p>
    <w:p w14:paraId="50B825E2">
      <w:pPr>
        <w:adjustRightInd w:val="0"/>
        <w:snapToGrid w:val="0"/>
        <w:spacing w:line="288" w:lineRule="auto"/>
        <w:ind w:firstLine="424" w:firstLineChars="202"/>
        <w:rPr>
          <w:color w:val="auto"/>
          <w:sz w:val="21"/>
          <w:szCs w:val="21"/>
          <w:highlight w:val="none"/>
        </w:rPr>
      </w:pPr>
    </w:p>
    <w:p w14:paraId="4392208C">
      <w:pPr>
        <w:adjustRightInd w:val="0"/>
        <w:snapToGrid w:val="0"/>
        <w:spacing w:line="288" w:lineRule="auto"/>
        <w:ind w:firstLine="424" w:firstLineChars="202"/>
        <w:rPr>
          <w:color w:val="auto"/>
          <w:sz w:val="21"/>
          <w:szCs w:val="21"/>
          <w:highlight w:val="none"/>
        </w:rPr>
      </w:pPr>
      <w:r>
        <w:rPr>
          <w:color w:val="auto"/>
          <w:sz w:val="21"/>
          <w:szCs w:val="21"/>
          <w:highlight w:val="none"/>
        </w:rPr>
        <w:t>2.采购代理机构信息</w:t>
      </w:r>
    </w:p>
    <w:p w14:paraId="57F785B5">
      <w:pPr>
        <w:adjustRightInd w:val="0"/>
        <w:snapToGrid w:val="0"/>
        <w:spacing w:line="288" w:lineRule="auto"/>
        <w:ind w:firstLine="424" w:firstLineChars="202"/>
        <w:rPr>
          <w:rFonts w:hint="eastAsia" w:eastAsia="宋体"/>
          <w:color w:val="auto"/>
          <w:sz w:val="21"/>
          <w:szCs w:val="21"/>
          <w:highlight w:val="none"/>
          <w:lang w:eastAsia="zh-CN"/>
        </w:rPr>
      </w:pPr>
      <w:r>
        <w:rPr>
          <w:rFonts w:hint="eastAsia"/>
          <w:color w:val="auto"/>
          <w:sz w:val="21"/>
          <w:szCs w:val="21"/>
          <w:highlight w:val="none"/>
        </w:rPr>
        <w:t>名称：</w:t>
      </w:r>
      <w:r>
        <w:rPr>
          <w:rFonts w:hint="eastAsia"/>
          <w:color w:val="auto"/>
          <w:sz w:val="21"/>
          <w:szCs w:val="21"/>
          <w:highlight w:val="none"/>
          <w:lang w:eastAsia="zh-CN"/>
        </w:rPr>
        <w:t>建经投资咨询有限公司</w:t>
      </w:r>
    </w:p>
    <w:p w14:paraId="4DD14B57">
      <w:pPr>
        <w:adjustRightInd w:val="0"/>
        <w:snapToGrid w:val="0"/>
        <w:spacing w:line="288" w:lineRule="auto"/>
        <w:ind w:firstLine="424" w:firstLineChars="202"/>
        <w:rPr>
          <w:rFonts w:hint="eastAsia" w:eastAsia="宋体"/>
          <w:color w:val="auto"/>
          <w:sz w:val="21"/>
          <w:szCs w:val="21"/>
          <w:highlight w:val="none"/>
          <w:lang w:eastAsia="zh-CN"/>
        </w:rPr>
      </w:pPr>
      <w:r>
        <w:rPr>
          <w:rFonts w:hint="eastAsia"/>
          <w:color w:val="auto"/>
          <w:sz w:val="21"/>
          <w:szCs w:val="21"/>
          <w:highlight w:val="none"/>
        </w:rPr>
        <w:t>地址：</w:t>
      </w:r>
      <w:r>
        <w:rPr>
          <w:rFonts w:hint="eastAsia"/>
          <w:color w:val="auto"/>
          <w:sz w:val="21"/>
          <w:szCs w:val="21"/>
          <w:highlight w:val="none"/>
          <w:lang w:eastAsia="zh-CN"/>
        </w:rPr>
        <w:t>杭州建国北路586号嘉联华铭座6楼603室</w:t>
      </w:r>
    </w:p>
    <w:p w14:paraId="71443998">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r>
        <w:rPr>
          <w:color w:val="auto"/>
          <w:sz w:val="21"/>
          <w:szCs w:val="21"/>
          <w:highlight w:val="none"/>
        </w:rPr>
        <w:t>/</w:t>
      </w:r>
    </w:p>
    <w:p w14:paraId="6162791F">
      <w:pPr>
        <w:adjustRightInd w:val="0"/>
        <w:snapToGrid w:val="0"/>
        <w:spacing w:line="288" w:lineRule="auto"/>
        <w:ind w:firstLine="424" w:firstLineChars="202"/>
        <w:rPr>
          <w:rFonts w:hint="eastAsia" w:eastAsia="宋体"/>
          <w:color w:val="auto"/>
          <w:sz w:val="21"/>
          <w:szCs w:val="21"/>
          <w:highlight w:val="none"/>
          <w:lang w:eastAsia="zh-CN"/>
        </w:rPr>
      </w:pPr>
      <w:r>
        <w:rPr>
          <w:rFonts w:hint="eastAsia"/>
          <w:color w:val="auto"/>
          <w:sz w:val="21"/>
          <w:szCs w:val="21"/>
          <w:highlight w:val="none"/>
        </w:rPr>
        <w:t>项目联系人（询问）：</w:t>
      </w:r>
      <w:r>
        <w:rPr>
          <w:rFonts w:hint="eastAsia"/>
          <w:color w:val="auto"/>
          <w:sz w:val="21"/>
          <w:szCs w:val="21"/>
          <w:highlight w:val="none"/>
          <w:lang w:eastAsia="zh-CN"/>
        </w:rPr>
        <w:t>陆伟</w:t>
      </w:r>
    </w:p>
    <w:p w14:paraId="19CD92AD">
      <w:pPr>
        <w:adjustRightInd w:val="0"/>
        <w:snapToGrid w:val="0"/>
        <w:spacing w:line="288" w:lineRule="auto"/>
        <w:ind w:firstLine="424" w:firstLineChars="202"/>
        <w:rPr>
          <w:rFonts w:hint="eastAsia" w:eastAsia="宋体"/>
          <w:color w:val="auto"/>
          <w:sz w:val="21"/>
          <w:szCs w:val="21"/>
          <w:highlight w:val="none"/>
          <w:lang w:eastAsia="zh-CN"/>
        </w:rPr>
      </w:pPr>
      <w:r>
        <w:rPr>
          <w:rFonts w:hint="eastAsia"/>
          <w:color w:val="auto"/>
          <w:sz w:val="21"/>
          <w:szCs w:val="21"/>
          <w:highlight w:val="none"/>
        </w:rPr>
        <w:t>项目联系方式（询问）：</w:t>
      </w:r>
      <w:r>
        <w:rPr>
          <w:rFonts w:hint="eastAsia"/>
          <w:color w:val="auto"/>
          <w:sz w:val="21"/>
          <w:szCs w:val="21"/>
          <w:highlight w:val="none"/>
          <w:lang w:eastAsia="zh-CN"/>
        </w:rPr>
        <w:t>18800200063</w:t>
      </w:r>
    </w:p>
    <w:p w14:paraId="7E80A659">
      <w:pPr>
        <w:adjustRightInd w:val="0"/>
        <w:snapToGrid w:val="0"/>
        <w:spacing w:line="288" w:lineRule="auto"/>
        <w:ind w:firstLine="424" w:firstLineChars="202"/>
        <w:rPr>
          <w:rFonts w:hint="eastAsia" w:eastAsia="宋体"/>
          <w:color w:val="auto"/>
          <w:sz w:val="21"/>
          <w:szCs w:val="21"/>
          <w:highlight w:val="none"/>
          <w:lang w:eastAsia="zh-CN"/>
        </w:rPr>
      </w:pPr>
      <w:r>
        <w:rPr>
          <w:rFonts w:hint="eastAsia"/>
          <w:color w:val="auto"/>
          <w:sz w:val="21"/>
          <w:szCs w:val="21"/>
          <w:highlight w:val="none"/>
        </w:rPr>
        <w:t>质疑联系人：</w:t>
      </w:r>
      <w:r>
        <w:rPr>
          <w:rFonts w:hint="eastAsia"/>
          <w:color w:val="auto"/>
          <w:sz w:val="21"/>
          <w:szCs w:val="21"/>
          <w:highlight w:val="none"/>
          <w:lang w:eastAsia="zh-CN"/>
        </w:rPr>
        <w:t>王金木</w:t>
      </w:r>
    </w:p>
    <w:p w14:paraId="287AAAAE">
      <w:pPr>
        <w:adjustRightInd w:val="0"/>
        <w:snapToGrid w:val="0"/>
        <w:spacing w:line="288" w:lineRule="auto"/>
        <w:ind w:firstLine="424" w:firstLineChars="202"/>
        <w:rPr>
          <w:rFonts w:hint="eastAsia" w:eastAsia="宋体"/>
          <w:color w:val="auto"/>
          <w:sz w:val="21"/>
          <w:szCs w:val="21"/>
          <w:highlight w:val="none"/>
          <w:lang w:eastAsia="zh-CN"/>
        </w:rPr>
      </w:pPr>
      <w:r>
        <w:rPr>
          <w:rFonts w:hint="eastAsia"/>
          <w:color w:val="auto"/>
          <w:sz w:val="21"/>
          <w:szCs w:val="21"/>
          <w:highlight w:val="none"/>
        </w:rPr>
        <w:t>质疑联系方式：</w:t>
      </w:r>
      <w:r>
        <w:rPr>
          <w:rFonts w:hint="eastAsia"/>
          <w:color w:val="auto"/>
          <w:sz w:val="21"/>
          <w:szCs w:val="21"/>
          <w:highlight w:val="none"/>
          <w:lang w:eastAsia="zh-CN"/>
        </w:rPr>
        <w:t>0571-85809385</w:t>
      </w:r>
    </w:p>
    <w:p w14:paraId="04F2A2EA">
      <w:pPr>
        <w:adjustRightInd w:val="0"/>
        <w:snapToGrid w:val="0"/>
        <w:spacing w:line="288" w:lineRule="auto"/>
        <w:ind w:firstLine="424" w:firstLineChars="202"/>
        <w:rPr>
          <w:rFonts w:hint="eastAsia" w:eastAsia="宋体"/>
          <w:color w:val="auto"/>
          <w:sz w:val="21"/>
          <w:szCs w:val="21"/>
          <w:highlight w:val="none"/>
          <w:lang w:eastAsia="zh-CN"/>
        </w:rPr>
      </w:pPr>
      <w:r>
        <w:rPr>
          <w:rFonts w:hint="eastAsia"/>
          <w:color w:val="auto"/>
          <w:sz w:val="21"/>
          <w:szCs w:val="21"/>
          <w:highlight w:val="none"/>
        </w:rPr>
        <w:t>质疑邮箱：</w:t>
      </w:r>
      <w:r>
        <w:rPr>
          <w:rFonts w:hint="eastAsia"/>
          <w:color w:val="auto"/>
          <w:sz w:val="21"/>
          <w:szCs w:val="21"/>
          <w:highlight w:val="none"/>
          <w:lang w:eastAsia="zh-CN"/>
        </w:rPr>
        <w:t>jjtz01@126.com</w:t>
      </w:r>
    </w:p>
    <w:p w14:paraId="6B60AC58">
      <w:pPr>
        <w:adjustRightInd w:val="0"/>
        <w:snapToGrid w:val="0"/>
        <w:spacing w:line="288" w:lineRule="auto"/>
        <w:ind w:firstLine="424" w:firstLineChars="202"/>
        <w:rPr>
          <w:rFonts w:cs="Times New Roman"/>
          <w:color w:val="auto"/>
          <w:sz w:val="21"/>
          <w:szCs w:val="21"/>
          <w:highlight w:val="none"/>
        </w:rPr>
      </w:pPr>
    </w:p>
    <w:p w14:paraId="76C094CA">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3.同级政府采购监督管理部门</w:t>
      </w:r>
    </w:p>
    <w:p w14:paraId="55190E14">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名称：浙江省财政厅政府采购监管处、浙江省政府采购行政裁决服务中心（杭州）</w:t>
      </w:r>
    </w:p>
    <w:p w14:paraId="3D3E097B">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地址：杭州市上城区四季青街道新业路市民之家G03办公室</w:t>
      </w:r>
    </w:p>
    <w:p w14:paraId="0FFE82F6">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传真：/</w:t>
      </w:r>
    </w:p>
    <w:p w14:paraId="31F2D196">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联系人：朱女士、王女士</w:t>
      </w:r>
    </w:p>
    <w:p w14:paraId="4B5F4680">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监督投诉电话：0571-85252453</w:t>
      </w:r>
    </w:p>
    <w:p w14:paraId="212082A1">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政策咨询：何一平、冯华，0571-87058424、87055741</w:t>
      </w:r>
    </w:p>
    <w:p w14:paraId="77402411">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预算金额未达100万元的采购项目，由采购人处理采购争议。</w:t>
      </w:r>
    </w:p>
    <w:p w14:paraId="72B48840">
      <w:pPr>
        <w:adjustRightInd w:val="0"/>
        <w:snapToGrid w:val="0"/>
        <w:spacing w:line="288" w:lineRule="auto"/>
        <w:rPr>
          <w:rFonts w:cs="Times New Roman"/>
          <w:color w:val="auto"/>
          <w:spacing w:val="-6"/>
          <w:sz w:val="21"/>
          <w:szCs w:val="21"/>
          <w:highlight w:val="none"/>
        </w:rPr>
      </w:pPr>
    </w:p>
    <w:p w14:paraId="12DBE4A2">
      <w:pPr>
        <w:adjustRightInd w:val="0"/>
        <w:snapToGrid w:val="0"/>
        <w:spacing w:line="288" w:lineRule="auto"/>
        <w:ind w:firstLine="420" w:firstLineChars="200"/>
        <w:rPr>
          <w:rFonts w:cs="Times New Roman"/>
          <w:color w:val="auto"/>
          <w:sz w:val="21"/>
          <w:szCs w:val="21"/>
          <w:highlight w:val="none"/>
        </w:rPr>
      </w:pPr>
      <w:r>
        <w:rPr>
          <w:rFonts w:hint="eastAsia" w:cs="Times New Roman"/>
          <w:color w:val="auto"/>
          <w:sz w:val="21"/>
          <w:szCs w:val="21"/>
          <w:highlight w:val="none"/>
        </w:rPr>
        <w:t>若对项目采购电子交易系统操作有疑问，可登录政采云（</w:t>
      </w:r>
      <w:r>
        <w:rPr>
          <w:rFonts w:cs="Times New Roman"/>
          <w:color w:val="auto"/>
          <w:sz w:val="21"/>
          <w:szCs w:val="21"/>
          <w:highlight w:val="none"/>
        </w:rPr>
        <w:t>https://www.zcygov.cn/），点击右侧咨询小采，获取采小蜜智能服务管家帮助，或拨打政采云服务热线95763获取热线服务帮助。</w:t>
      </w:r>
    </w:p>
    <w:p w14:paraId="18DEC530">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CA问题联系电话（人工）：汇信CA 400-888-4636；天谷CA 400-087-8198。</w:t>
      </w:r>
    </w:p>
    <w:p w14:paraId="353F8DF7">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62361A2A">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第二章  采购需求</w:t>
      </w:r>
    </w:p>
    <w:p w14:paraId="1C8448D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1"/>
        <w:rPr>
          <w:rFonts w:hint="eastAsia" w:ascii="仿宋" w:hAnsi="仿宋" w:eastAsia="仿宋" w:cs="仿宋"/>
          <w:b/>
          <w:sz w:val="21"/>
          <w:szCs w:val="21"/>
          <w:highlight w:val="none"/>
        </w:rPr>
      </w:pPr>
      <w:r>
        <w:rPr>
          <w:rFonts w:hint="eastAsia" w:ascii="仿宋" w:hAnsi="仿宋" w:eastAsia="仿宋" w:cs="仿宋"/>
          <w:b/>
          <w:sz w:val="21"/>
          <w:szCs w:val="21"/>
          <w:highlight w:val="none"/>
        </w:rPr>
        <w:t>一、为落实政府采购政策需满足的要求</w:t>
      </w:r>
    </w:p>
    <w:tbl>
      <w:tblPr>
        <w:tblStyle w:val="3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34"/>
        <w:gridCol w:w="5751"/>
      </w:tblGrid>
      <w:tr w14:paraId="5CF99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708" w:type="dxa"/>
            <w:vAlign w:val="center"/>
          </w:tcPr>
          <w:p w14:paraId="29353DE4">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序号</w:t>
            </w:r>
          </w:p>
        </w:tc>
        <w:tc>
          <w:tcPr>
            <w:tcW w:w="3034" w:type="dxa"/>
            <w:vAlign w:val="center"/>
          </w:tcPr>
          <w:p w14:paraId="47D2266B">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政策名称</w:t>
            </w:r>
          </w:p>
        </w:tc>
        <w:tc>
          <w:tcPr>
            <w:tcW w:w="5751" w:type="dxa"/>
            <w:vAlign w:val="center"/>
          </w:tcPr>
          <w:p w14:paraId="1992F411">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内容</w:t>
            </w:r>
          </w:p>
        </w:tc>
      </w:tr>
      <w:tr w14:paraId="183BC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dxa"/>
            <w:vAlign w:val="center"/>
          </w:tcPr>
          <w:p w14:paraId="0AD86C3E">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1</w:t>
            </w:r>
          </w:p>
        </w:tc>
        <w:tc>
          <w:tcPr>
            <w:tcW w:w="3034" w:type="dxa"/>
            <w:vAlign w:val="center"/>
          </w:tcPr>
          <w:p w14:paraId="5623979C">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政府采购进口产品</w:t>
            </w:r>
          </w:p>
        </w:tc>
        <w:tc>
          <w:tcPr>
            <w:tcW w:w="5751" w:type="dxa"/>
            <w:vAlign w:val="center"/>
          </w:tcPr>
          <w:p w14:paraId="4AA971B9">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不适用</w:t>
            </w:r>
          </w:p>
        </w:tc>
      </w:tr>
      <w:tr w14:paraId="7F06E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dxa"/>
            <w:vAlign w:val="center"/>
          </w:tcPr>
          <w:p w14:paraId="09251FCC">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2</w:t>
            </w:r>
          </w:p>
        </w:tc>
        <w:tc>
          <w:tcPr>
            <w:tcW w:w="3034" w:type="dxa"/>
            <w:vAlign w:val="center"/>
          </w:tcPr>
          <w:p w14:paraId="01EC3D1E">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政府强制采购节能产品</w:t>
            </w:r>
          </w:p>
        </w:tc>
        <w:tc>
          <w:tcPr>
            <w:tcW w:w="5751" w:type="dxa"/>
            <w:vAlign w:val="center"/>
          </w:tcPr>
          <w:p w14:paraId="5116A9CF">
            <w:pPr>
              <w:rPr>
                <w:rFonts w:hint="eastAsia" w:ascii="仿宋" w:hAnsi="仿宋" w:eastAsia="仿宋" w:cs="仿宋"/>
                <w:sz w:val="21"/>
                <w:szCs w:val="21"/>
                <w:highlight w:val="none"/>
              </w:rPr>
            </w:pPr>
            <w:r>
              <w:rPr>
                <w:rFonts w:hint="eastAsia" w:ascii="仿宋" w:hAnsi="仿宋" w:eastAsia="仿宋" w:cs="仿宋"/>
                <w:sz w:val="21"/>
                <w:szCs w:val="21"/>
                <w:highlight w:val="none"/>
              </w:rPr>
              <w:t>不适用</w:t>
            </w:r>
          </w:p>
        </w:tc>
      </w:tr>
      <w:tr w14:paraId="71C7A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dxa"/>
            <w:vAlign w:val="center"/>
          </w:tcPr>
          <w:p w14:paraId="3C382828">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3</w:t>
            </w:r>
          </w:p>
        </w:tc>
        <w:tc>
          <w:tcPr>
            <w:tcW w:w="3034" w:type="dxa"/>
            <w:vAlign w:val="center"/>
          </w:tcPr>
          <w:p w14:paraId="4077EF04">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政府优先采购节能、环保产品</w:t>
            </w:r>
          </w:p>
        </w:tc>
        <w:tc>
          <w:tcPr>
            <w:tcW w:w="5751" w:type="dxa"/>
            <w:vAlign w:val="center"/>
          </w:tcPr>
          <w:p w14:paraId="4D82B076">
            <w:pPr>
              <w:rPr>
                <w:rFonts w:hint="eastAsia" w:ascii="仿宋" w:hAnsi="仿宋" w:eastAsia="仿宋" w:cs="仿宋"/>
                <w:sz w:val="21"/>
                <w:szCs w:val="21"/>
                <w:highlight w:val="none"/>
              </w:rPr>
            </w:pPr>
            <w:r>
              <w:rPr>
                <w:rFonts w:hint="eastAsia" w:ascii="仿宋" w:hAnsi="仿宋" w:eastAsia="仿宋" w:cs="仿宋"/>
                <w:sz w:val="21"/>
                <w:szCs w:val="21"/>
                <w:highlight w:val="none"/>
              </w:rPr>
              <w:t>提供材料详见</w:t>
            </w:r>
            <w:r>
              <w:rPr>
                <w:rFonts w:hint="eastAsia" w:ascii="仿宋" w:hAnsi="仿宋" w:eastAsia="仿宋" w:cs="仿宋"/>
                <w:sz w:val="21"/>
                <w:szCs w:val="21"/>
                <w:highlight w:val="none"/>
                <w:lang w:eastAsia="zh-CN"/>
              </w:rPr>
              <w:t>磋商文件</w:t>
            </w:r>
            <w:r>
              <w:rPr>
                <w:rFonts w:hint="eastAsia" w:ascii="仿宋" w:hAnsi="仿宋" w:eastAsia="仿宋" w:cs="仿宋"/>
                <w:sz w:val="21"/>
                <w:szCs w:val="21"/>
                <w:highlight w:val="none"/>
              </w:rPr>
              <w:t>第六章“</w:t>
            </w:r>
            <w:r>
              <w:rPr>
                <w:rFonts w:hint="eastAsia" w:ascii="仿宋" w:hAnsi="仿宋" w:eastAsia="仿宋" w:cs="仿宋"/>
                <w:sz w:val="21"/>
                <w:szCs w:val="21"/>
                <w:highlight w:val="none"/>
                <w:lang w:val="en-US" w:eastAsia="zh-CN"/>
              </w:rPr>
              <w:t>商务和技术</w:t>
            </w:r>
            <w:r>
              <w:rPr>
                <w:rFonts w:hint="eastAsia" w:ascii="仿宋" w:hAnsi="仿宋" w:eastAsia="仿宋" w:cs="仿宋"/>
                <w:sz w:val="21"/>
                <w:szCs w:val="21"/>
                <w:highlight w:val="none"/>
              </w:rPr>
              <w:t>文件”</w:t>
            </w:r>
          </w:p>
        </w:tc>
      </w:tr>
      <w:tr w14:paraId="46FAE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dxa"/>
            <w:vAlign w:val="center"/>
          </w:tcPr>
          <w:p w14:paraId="35629F0A">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4</w:t>
            </w:r>
          </w:p>
        </w:tc>
        <w:tc>
          <w:tcPr>
            <w:tcW w:w="3034" w:type="dxa"/>
            <w:vAlign w:val="center"/>
          </w:tcPr>
          <w:p w14:paraId="061508C9">
            <w:pPr>
              <w:jc w:val="center"/>
              <w:rPr>
                <w:rFonts w:hint="default" w:ascii="仿宋" w:hAnsi="仿宋" w:eastAsia="仿宋" w:cs="仿宋"/>
                <w:b/>
                <w:bCs/>
                <w:sz w:val="21"/>
                <w:szCs w:val="21"/>
                <w:highlight w:val="none"/>
                <w:lang w:val="en-US" w:eastAsia="zh-CN"/>
              </w:rPr>
            </w:pPr>
            <w:r>
              <w:rPr>
                <w:rFonts w:hint="eastAsia" w:ascii="仿宋" w:hAnsi="仿宋" w:eastAsia="仿宋" w:cs="仿宋"/>
                <w:b/>
                <w:bCs/>
                <w:sz w:val="21"/>
                <w:szCs w:val="21"/>
                <w:highlight w:val="none"/>
              </w:rPr>
              <w:t>政府采购支持</w:t>
            </w:r>
            <w:r>
              <w:rPr>
                <w:rFonts w:hint="eastAsia" w:ascii="仿宋" w:hAnsi="仿宋" w:eastAsia="仿宋" w:cs="仿宋"/>
                <w:b/>
                <w:bCs/>
                <w:sz w:val="21"/>
                <w:szCs w:val="21"/>
                <w:highlight w:val="none"/>
                <w:lang w:val="en-US" w:eastAsia="zh-CN"/>
              </w:rPr>
              <w:t>科技创新</w:t>
            </w:r>
          </w:p>
        </w:tc>
        <w:tc>
          <w:tcPr>
            <w:tcW w:w="5751" w:type="dxa"/>
            <w:vAlign w:val="center"/>
          </w:tcPr>
          <w:p w14:paraId="6400F24F">
            <w:pPr>
              <w:rPr>
                <w:rFonts w:hint="eastAsia" w:ascii="仿宋" w:hAnsi="仿宋" w:eastAsia="仿宋" w:cs="仿宋"/>
                <w:sz w:val="21"/>
                <w:szCs w:val="21"/>
                <w:highlight w:val="none"/>
              </w:rPr>
            </w:pPr>
            <w:r>
              <w:rPr>
                <w:rFonts w:hint="eastAsia" w:ascii="仿宋" w:hAnsi="仿宋" w:eastAsia="仿宋" w:cs="仿宋"/>
                <w:sz w:val="21"/>
                <w:szCs w:val="21"/>
                <w:highlight w:val="none"/>
              </w:rPr>
              <w:t>不适用</w:t>
            </w:r>
          </w:p>
        </w:tc>
      </w:tr>
      <w:tr w14:paraId="325CB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dxa"/>
            <w:vAlign w:val="center"/>
          </w:tcPr>
          <w:p w14:paraId="6D444AF3">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5</w:t>
            </w:r>
          </w:p>
        </w:tc>
        <w:tc>
          <w:tcPr>
            <w:tcW w:w="3034" w:type="dxa"/>
            <w:vAlign w:val="center"/>
          </w:tcPr>
          <w:p w14:paraId="6E8ADF52">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政府采购促进中小企业发展</w:t>
            </w:r>
          </w:p>
        </w:tc>
        <w:tc>
          <w:tcPr>
            <w:tcW w:w="5751" w:type="dxa"/>
            <w:vAlign w:val="center"/>
          </w:tcPr>
          <w:p w14:paraId="35C3088A">
            <w:pPr>
              <w:rPr>
                <w:rFonts w:hint="eastAsia" w:ascii="仿宋" w:hAnsi="仿宋" w:eastAsia="仿宋" w:cs="仿宋"/>
                <w:sz w:val="21"/>
                <w:szCs w:val="21"/>
                <w:highlight w:val="none"/>
              </w:rPr>
            </w:pPr>
            <w:r>
              <w:rPr>
                <w:rFonts w:hint="eastAsia" w:ascii="仿宋" w:hAnsi="仿宋" w:eastAsia="仿宋" w:cs="仿宋"/>
                <w:sz w:val="21"/>
                <w:szCs w:val="21"/>
                <w:highlight w:val="none"/>
              </w:rPr>
              <w:t>提供材料详见</w:t>
            </w:r>
            <w:r>
              <w:rPr>
                <w:rFonts w:hint="eastAsia" w:ascii="仿宋" w:hAnsi="仿宋" w:eastAsia="仿宋" w:cs="仿宋"/>
                <w:sz w:val="21"/>
                <w:szCs w:val="21"/>
                <w:highlight w:val="none"/>
                <w:lang w:eastAsia="zh-CN"/>
              </w:rPr>
              <w:t>磋商文件</w:t>
            </w:r>
            <w:r>
              <w:rPr>
                <w:rFonts w:hint="eastAsia" w:ascii="仿宋" w:hAnsi="仿宋" w:eastAsia="仿宋" w:cs="仿宋"/>
                <w:sz w:val="21"/>
                <w:szCs w:val="21"/>
                <w:highlight w:val="none"/>
              </w:rPr>
              <w:t>第六章“</w:t>
            </w:r>
            <w:r>
              <w:rPr>
                <w:rFonts w:hint="eastAsia" w:ascii="仿宋" w:hAnsi="仿宋" w:eastAsia="仿宋" w:cs="仿宋"/>
                <w:sz w:val="21"/>
                <w:szCs w:val="21"/>
                <w:highlight w:val="none"/>
                <w:lang w:val="en-US" w:eastAsia="zh-CN"/>
              </w:rPr>
              <w:t>资格</w:t>
            </w:r>
            <w:r>
              <w:rPr>
                <w:rFonts w:hint="eastAsia" w:ascii="仿宋" w:hAnsi="仿宋" w:eastAsia="仿宋" w:cs="仿宋"/>
                <w:sz w:val="21"/>
                <w:szCs w:val="21"/>
                <w:highlight w:val="none"/>
              </w:rPr>
              <w:t>文件”</w:t>
            </w:r>
          </w:p>
          <w:p w14:paraId="37EB7B58">
            <w:pPr>
              <w:rPr>
                <w:rFonts w:hint="eastAsia" w:ascii="仿宋" w:hAnsi="仿宋" w:eastAsia="仿宋" w:cs="仿宋"/>
                <w:sz w:val="21"/>
                <w:szCs w:val="21"/>
                <w:highlight w:val="none"/>
              </w:rPr>
            </w:pPr>
            <w:r>
              <w:rPr>
                <w:rFonts w:hint="eastAsia" w:ascii="仿宋" w:hAnsi="仿宋" w:eastAsia="仿宋" w:cs="仿宋"/>
                <w:sz w:val="21"/>
                <w:szCs w:val="21"/>
                <w:highlight w:val="none"/>
              </w:rPr>
              <w:t>本项目</w:t>
            </w:r>
            <w:r>
              <w:rPr>
                <w:rFonts w:hint="eastAsia" w:ascii="仿宋" w:hAnsi="仿宋" w:eastAsia="仿宋" w:cs="仿宋"/>
                <w:sz w:val="21"/>
                <w:szCs w:val="21"/>
                <w:highlight w:val="none"/>
                <w:lang w:val="en-US" w:eastAsia="zh-CN"/>
              </w:rPr>
              <w:t>属性为工程</w:t>
            </w:r>
            <w:r>
              <w:rPr>
                <w:rFonts w:hint="eastAsia" w:ascii="仿宋" w:hAnsi="仿宋" w:eastAsia="仿宋" w:cs="仿宋"/>
                <w:sz w:val="21"/>
                <w:szCs w:val="21"/>
                <w:highlight w:val="none"/>
              </w:rPr>
              <w:t>，采购标的对应的中小企业划分标准所属行业</w:t>
            </w:r>
            <w:r>
              <w:rPr>
                <w:rFonts w:hint="eastAsia" w:ascii="仿宋" w:hAnsi="仿宋" w:eastAsia="仿宋" w:cs="仿宋"/>
                <w:sz w:val="21"/>
                <w:szCs w:val="21"/>
                <w:highlight w:val="none"/>
                <w:lang w:val="en-US" w:eastAsia="zh-CN"/>
              </w:rPr>
              <w:t>为</w:t>
            </w:r>
            <w:r>
              <w:rPr>
                <w:rFonts w:hint="eastAsia" w:ascii="仿宋" w:hAnsi="仿宋" w:eastAsia="仿宋" w:cs="仿宋"/>
                <w:b/>
                <w:bCs/>
                <w:sz w:val="21"/>
                <w:szCs w:val="21"/>
                <w:highlight w:val="none"/>
                <w:lang w:val="en-US" w:eastAsia="zh-CN"/>
              </w:rPr>
              <w:t>建筑业，</w:t>
            </w:r>
            <w:r>
              <w:rPr>
                <w:rFonts w:hint="eastAsia" w:ascii="仿宋" w:hAnsi="仿宋" w:eastAsia="仿宋" w:cs="仿宋"/>
                <w:b/>
                <w:bCs/>
                <w:sz w:val="21"/>
                <w:szCs w:val="21"/>
                <w:highlight w:val="none"/>
              </w:rPr>
              <w:t>中小企业划型标准：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5289E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dxa"/>
            <w:vAlign w:val="center"/>
          </w:tcPr>
          <w:p w14:paraId="2ABD98CD">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6</w:t>
            </w:r>
          </w:p>
        </w:tc>
        <w:tc>
          <w:tcPr>
            <w:tcW w:w="3034" w:type="dxa"/>
            <w:vAlign w:val="center"/>
          </w:tcPr>
          <w:p w14:paraId="14EAF404">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政府采购支持监狱企业发展</w:t>
            </w:r>
          </w:p>
        </w:tc>
        <w:tc>
          <w:tcPr>
            <w:tcW w:w="5751" w:type="dxa"/>
            <w:vAlign w:val="center"/>
          </w:tcPr>
          <w:p w14:paraId="5566F348">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视同小微企业，</w:t>
            </w:r>
            <w:r>
              <w:rPr>
                <w:rFonts w:hint="eastAsia" w:ascii="仿宋" w:hAnsi="仿宋" w:eastAsia="仿宋" w:cs="仿宋"/>
                <w:sz w:val="21"/>
                <w:szCs w:val="21"/>
                <w:highlight w:val="none"/>
              </w:rPr>
              <w:t>提供材料详见</w:t>
            </w:r>
            <w:r>
              <w:rPr>
                <w:rFonts w:hint="eastAsia" w:ascii="仿宋" w:hAnsi="仿宋" w:eastAsia="仿宋" w:cs="仿宋"/>
                <w:sz w:val="21"/>
                <w:szCs w:val="21"/>
                <w:highlight w:val="none"/>
                <w:lang w:eastAsia="zh-CN"/>
              </w:rPr>
              <w:t>磋商文件第六章“资格文件”。</w:t>
            </w:r>
          </w:p>
        </w:tc>
      </w:tr>
      <w:tr w14:paraId="2F080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dxa"/>
            <w:vAlign w:val="center"/>
          </w:tcPr>
          <w:p w14:paraId="31D22F6D">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7</w:t>
            </w:r>
          </w:p>
        </w:tc>
        <w:tc>
          <w:tcPr>
            <w:tcW w:w="3034" w:type="dxa"/>
            <w:vAlign w:val="center"/>
          </w:tcPr>
          <w:p w14:paraId="4340165E">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政府采购促进残疾人就业</w:t>
            </w:r>
          </w:p>
        </w:tc>
        <w:tc>
          <w:tcPr>
            <w:tcW w:w="5751" w:type="dxa"/>
            <w:vAlign w:val="center"/>
          </w:tcPr>
          <w:p w14:paraId="44A4C12D">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视同小微企业，</w:t>
            </w:r>
            <w:r>
              <w:rPr>
                <w:rFonts w:hint="eastAsia" w:ascii="仿宋" w:hAnsi="仿宋" w:eastAsia="仿宋" w:cs="仿宋"/>
                <w:sz w:val="21"/>
                <w:szCs w:val="21"/>
                <w:highlight w:val="none"/>
              </w:rPr>
              <w:t>提供材料详见</w:t>
            </w:r>
            <w:r>
              <w:rPr>
                <w:rFonts w:hint="eastAsia" w:ascii="仿宋" w:hAnsi="仿宋" w:eastAsia="仿宋" w:cs="仿宋"/>
                <w:sz w:val="21"/>
                <w:szCs w:val="21"/>
                <w:highlight w:val="none"/>
                <w:lang w:eastAsia="zh-CN"/>
              </w:rPr>
              <w:t>磋商文件第六章“资格文件”。</w:t>
            </w:r>
          </w:p>
        </w:tc>
      </w:tr>
    </w:tbl>
    <w:p w14:paraId="4C3E13A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both"/>
        <w:textAlignment w:val="auto"/>
        <w:rPr>
          <w:rFonts w:hint="eastAsia" w:ascii="仿宋" w:hAnsi="仿宋" w:eastAsia="仿宋" w:cs="仿宋"/>
          <w:b/>
          <w:spacing w:val="-4"/>
          <w:sz w:val="21"/>
          <w:szCs w:val="21"/>
          <w:highlight w:val="none"/>
        </w:rPr>
      </w:pPr>
    </w:p>
    <w:p w14:paraId="1F53184C">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both"/>
        <w:textAlignment w:val="auto"/>
        <w:outlineLvl w:val="1"/>
        <w:rPr>
          <w:rFonts w:hint="eastAsia" w:ascii="仿宋" w:hAnsi="仿宋" w:eastAsia="仿宋" w:cs="仿宋"/>
          <w:b/>
          <w:sz w:val="21"/>
          <w:szCs w:val="21"/>
          <w:highlight w:val="none"/>
        </w:rPr>
      </w:pPr>
      <w:r>
        <w:rPr>
          <w:rFonts w:hint="eastAsia" w:ascii="仿宋" w:hAnsi="仿宋" w:eastAsia="仿宋" w:cs="仿宋"/>
          <w:b/>
          <w:sz w:val="21"/>
          <w:szCs w:val="21"/>
          <w:highlight w:val="none"/>
        </w:rPr>
        <w:t>二、采购资金的支付方式、时间、条件</w:t>
      </w:r>
    </w:p>
    <w:tbl>
      <w:tblPr>
        <w:tblStyle w:val="33"/>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31"/>
        <w:gridCol w:w="6697"/>
      </w:tblGrid>
      <w:tr w14:paraId="78E918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jc w:val="center"/>
        </w:trPr>
        <w:tc>
          <w:tcPr>
            <w:tcW w:w="2931" w:type="dxa"/>
            <w:tcBorders>
              <w:top w:val="single" w:color="auto" w:sz="4" w:space="0"/>
              <w:left w:val="single" w:color="auto" w:sz="4" w:space="0"/>
              <w:bottom w:val="single" w:color="auto" w:sz="4" w:space="0"/>
              <w:right w:val="single" w:color="auto" w:sz="4" w:space="0"/>
            </w:tcBorders>
            <w:vAlign w:val="center"/>
          </w:tcPr>
          <w:p w14:paraId="13B0D377">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支付方式</w:t>
            </w:r>
          </w:p>
        </w:tc>
        <w:tc>
          <w:tcPr>
            <w:tcW w:w="6697" w:type="dxa"/>
            <w:tcBorders>
              <w:top w:val="single" w:color="auto" w:sz="4" w:space="0"/>
              <w:left w:val="single" w:color="auto" w:sz="4" w:space="0"/>
              <w:bottom w:val="single" w:color="auto" w:sz="4" w:space="0"/>
              <w:right w:val="single" w:color="auto" w:sz="4" w:space="0"/>
            </w:tcBorders>
            <w:vAlign w:val="center"/>
          </w:tcPr>
          <w:p w14:paraId="3FD4A6E2">
            <w:pPr>
              <w:rPr>
                <w:rFonts w:hint="eastAsia" w:ascii="仿宋" w:hAnsi="仿宋" w:eastAsia="仿宋" w:cs="仿宋"/>
                <w:sz w:val="21"/>
                <w:szCs w:val="21"/>
                <w:highlight w:val="none"/>
              </w:rPr>
            </w:pPr>
            <w:r>
              <w:rPr>
                <w:rFonts w:hint="eastAsia" w:ascii="仿宋" w:hAnsi="仿宋" w:eastAsia="仿宋" w:cs="仿宋"/>
                <w:sz w:val="21"/>
                <w:szCs w:val="21"/>
                <w:highlight w:val="none"/>
              </w:rPr>
              <w:t>银行转账</w:t>
            </w:r>
          </w:p>
        </w:tc>
      </w:tr>
      <w:tr w14:paraId="6B4AAE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931" w:type="dxa"/>
            <w:tcBorders>
              <w:top w:val="single" w:color="auto" w:sz="4" w:space="0"/>
              <w:left w:val="single" w:color="auto" w:sz="4" w:space="0"/>
              <w:bottom w:val="single" w:color="auto" w:sz="4" w:space="0"/>
              <w:right w:val="single" w:color="auto" w:sz="4" w:space="0"/>
            </w:tcBorders>
            <w:vAlign w:val="center"/>
          </w:tcPr>
          <w:p w14:paraId="5DE51444">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工程款支付时间及条件</w:t>
            </w:r>
          </w:p>
        </w:tc>
        <w:tc>
          <w:tcPr>
            <w:tcW w:w="6697" w:type="dxa"/>
            <w:tcBorders>
              <w:top w:val="single" w:color="auto" w:sz="4" w:space="0"/>
              <w:left w:val="single" w:color="auto" w:sz="4" w:space="0"/>
              <w:bottom w:val="single" w:color="auto" w:sz="4" w:space="0"/>
              <w:right w:val="single" w:color="auto" w:sz="4" w:space="0"/>
            </w:tcBorders>
            <w:vAlign w:val="center"/>
          </w:tcPr>
          <w:p w14:paraId="0F8DC902">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1.预付款：合同生效以及具备实施条件且成交供应商的履约担保提交后采购人向成交供应商支付合同总价的40%（支付条件：成交供应商向采购人提交银行、保险公司等金融机构出具的预付款保函）；</w:t>
            </w:r>
          </w:p>
          <w:p w14:paraId="1A4CA341">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工程款：开工后至竣工结算支付前，工程竣工后由采购人组织有关部门验收，验收合格后工程移交采购人管理，工程竣工后15天内成交供应商清退全部临时设施、建筑材料、机械设备（含设备基础）并按合同约定提供规定数目的竣工图、归档及验收的相关资料，经采购人确认同意后支付至合同总价的80%（含预付款）；工程竣工结算经审计，采购人和成交供应商双方签字确认且成交供应商缴纳质量保证金后采购人支付至结算审定价的100%（如结算审定价超过合同金额，采购人支付至合同金额的100%，超出部分按《浙江省政府采购合同暂行办法》相关规定执行）；</w:t>
            </w:r>
          </w:p>
        </w:tc>
      </w:tr>
      <w:tr w14:paraId="0FE271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931" w:type="dxa"/>
            <w:tcBorders>
              <w:top w:val="single" w:color="auto" w:sz="4" w:space="0"/>
              <w:left w:val="single" w:color="auto" w:sz="4" w:space="0"/>
              <w:bottom w:val="single" w:color="auto" w:sz="4" w:space="0"/>
              <w:right w:val="single" w:color="auto" w:sz="4" w:space="0"/>
            </w:tcBorders>
            <w:vAlign w:val="center"/>
          </w:tcPr>
          <w:p w14:paraId="376866B2">
            <w:pPr>
              <w:jc w:val="center"/>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履约担保</w:t>
            </w:r>
          </w:p>
        </w:tc>
        <w:tc>
          <w:tcPr>
            <w:tcW w:w="6697" w:type="dxa"/>
            <w:tcBorders>
              <w:top w:val="single" w:color="auto" w:sz="4" w:space="0"/>
              <w:left w:val="single" w:color="auto" w:sz="4" w:space="0"/>
              <w:bottom w:val="single" w:color="auto" w:sz="4" w:space="0"/>
              <w:right w:val="single" w:color="auto" w:sz="4" w:space="0"/>
            </w:tcBorders>
            <w:vAlign w:val="center"/>
          </w:tcPr>
          <w:p w14:paraId="06EB498A">
            <w:pPr>
              <w:rPr>
                <w:rFonts w:hint="eastAsia" w:ascii="仿宋" w:hAnsi="仿宋" w:eastAsia="仿宋" w:cs="仿宋"/>
                <w:sz w:val="21"/>
                <w:szCs w:val="21"/>
                <w:highlight w:val="none"/>
              </w:rPr>
            </w:pPr>
            <w:r>
              <w:rPr>
                <w:rFonts w:hint="eastAsia" w:ascii="仿宋" w:hAnsi="仿宋" w:eastAsia="仿宋" w:cs="仿宋"/>
                <w:color w:val="auto"/>
                <w:sz w:val="21"/>
                <w:szCs w:val="21"/>
                <w:highlight w:val="none"/>
                <w:lang w:val="en-US" w:eastAsia="zh-CN"/>
              </w:rPr>
              <w:t>成交供应商在收到采购人发出的签订合同要约后7天内向采购人</w:t>
            </w:r>
            <w:r>
              <w:rPr>
                <w:rFonts w:hint="eastAsia" w:ascii="仿宋" w:hAnsi="仿宋" w:eastAsia="仿宋" w:cs="仿宋"/>
                <w:color w:val="000000"/>
                <w:sz w:val="21"/>
                <w:szCs w:val="21"/>
                <w:highlight w:val="none"/>
              </w:rPr>
              <w:t>提交</w:t>
            </w:r>
            <w:r>
              <w:rPr>
                <w:rFonts w:hint="eastAsia" w:ascii="仿宋" w:hAnsi="仿宋" w:eastAsia="仿宋" w:cs="仿宋"/>
                <w:color w:val="auto"/>
                <w:sz w:val="21"/>
                <w:szCs w:val="21"/>
                <w:highlight w:val="none"/>
                <w:lang w:val="en-US" w:eastAsia="zh-CN"/>
              </w:rPr>
              <w:t>合同金额的2%作为履约担保</w:t>
            </w:r>
            <w:r>
              <w:rPr>
                <w:rFonts w:hint="eastAsia" w:ascii="仿宋" w:hAnsi="仿宋" w:eastAsia="仿宋" w:cs="仿宋"/>
                <w:color w:val="000000"/>
                <w:sz w:val="21"/>
                <w:szCs w:val="21"/>
                <w:highlight w:val="none"/>
              </w:rPr>
              <w:t>（提交方式：支票、汇票、本票或者金融机构、担保机构出具的保函等非现金形式）</w:t>
            </w:r>
            <w:r>
              <w:rPr>
                <w:rFonts w:hint="eastAsia" w:ascii="仿宋" w:hAnsi="仿宋" w:eastAsia="仿宋" w:cs="仿宋"/>
                <w:color w:val="000000"/>
                <w:sz w:val="21"/>
                <w:szCs w:val="21"/>
                <w:highlight w:val="none"/>
                <w:lang w:eastAsia="zh-CN"/>
              </w:rPr>
              <w:t>，履约</w:t>
            </w:r>
            <w:r>
              <w:rPr>
                <w:rFonts w:hint="eastAsia" w:ascii="仿宋" w:hAnsi="仿宋" w:eastAsia="仿宋" w:cs="仿宋"/>
                <w:color w:val="000000"/>
                <w:sz w:val="21"/>
                <w:szCs w:val="21"/>
                <w:highlight w:val="none"/>
                <w:lang w:val="en-US" w:eastAsia="zh-CN"/>
              </w:rPr>
              <w:t>担保</w:t>
            </w:r>
            <w:r>
              <w:rPr>
                <w:rFonts w:hint="eastAsia" w:ascii="仿宋" w:hAnsi="仿宋" w:eastAsia="仿宋" w:cs="仿宋"/>
                <w:color w:val="000000"/>
                <w:sz w:val="21"/>
                <w:szCs w:val="21"/>
                <w:highlight w:val="none"/>
                <w:lang w:eastAsia="zh-CN"/>
              </w:rPr>
              <w:t>在工程竣工验收合格、</w:t>
            </w:r>
            <w:r>
              <w:rPr>
                <w:rFonts w:hint="eastAsia" w:ascii="仿宋" w:hAnsi="仿宋" w:eastAsia="仿宋" w:cs="仿宋"/>
                <w:color w:val="000000"/>
                <w:sz w:val="21"/>
                <w:szCs w:val="21"/>
                <w:highlight w:val="none"/>
                <w:lang w:val="en-US" w:eastAsia="zh-CN"/>
              </w:rPr>
              <w:t>成交供应商</w:t>
            </w:r>
            <w:r>
              <w:rPr>
                <w:rFonts w:hint="eastAsia" w:ascii="仿宋" w:hAnsi="仿宋" w:eastAsia="仿宋" w:cs="仿宋"/>
                <w:color w:val="000000"/>
                <w:sz w:val="21"/>
                <w:szCs w:val="21"/>
                <w:highlight w:val="none"/>
                <w:lang w:eastAsia="zh-CN"/>
              </w:rPr>
              <w:t>履行了合同约定的责任和义务（如有违约，扣除违约金）后无息退还。</w:t>
            </w:r>
          </w:p>
        </w:tc>
      </w:tr>
      <w:tr w14:paraId="50F5F0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931" w:type="dxa"/>
            <w:tcBorders>
              <w:top w:val="single" w:color="auto" w:sz="4" w:space="0"/>
              <w:left w:val="single" w:color="auto" w:sz="4" w:space="0"/>
              <w:right w:val="single" w:color="auto" w:sz="4" w:space="0"/>
            </w:tcBorders>
            <w:vAlign w:val="center"/>
          </w:tcPr>
          <w:p w14:paraId="2E68EDB3">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lang w:val="en-US" w:eastAsia="zh-CN"/>
              </w:rPr>
              <w:t>质量保证金</w:t>
            </w:r>
          </w:p>
        </w:tc>
        <w:tc>
          <w:tcPr>
            <w:tcW w:w="6697" w:type="dxa"/>
            <w:tcBorders>
              <w:top w:val="single" w:color="auto" w:sz="4" w:space="0"/>
              <w:left w:val="single" w:color="auto" w:sz="4" w:space="0"/>
              <w:bottom w:val="single" w:color="auto" w:sz="4" w:space="0"/>
              <w:right w:val="single" w:color="auto" w:sz="4" w:space="0"/>
            </w:tcBorders>
            <w:vAlign w:val="center"/>
          </w:tcPr>
          <w:p w14:paraId="00128D65">
            <w:pPr>
              <w:rPr>
                <w:rFonts w:hint="eastAsia" w:ascii="仿宋" w:hAnsi="仿宋" w:eastAsia="仿宋" w:cs="仿宋"/>
                <w:sz w:val="21"/>
                <w:szCs w:val="21"/>
                <w:highlight w:val="none"/>
              </w:rPr>
            </w:pPr>
            <w:r>
              <w:rPr>
                <w:rFonts w:hint="eastAsia" w:ascii="仿宋" w:hAnsi="仿宋" w:eastAsia="仿宋" w:cs="仿宋"/>
                <w:sz w:val="21"/>
                <w:szCs w:val="21"/>
                <w:highlight w:val="none"/>
              </w:rPr>
              <w:t>竣工结算审计完成后，成交供应商</w:t>
            </w:r>
            <w:r>
              <w:rPr>
                <w:rFonts w:hint="eastAsia" w:ascii="仿宋" w:hAnsi="仿宋" w:eastAsia="仿宋" w:cs="仿宋"/>
                <w:sz w:val="21"/>
                <w:szCs w:val="21"/>
                <w:highlight w:val="none"/>
                <w:lang w:val="en-US" w:eastAsia="zh-CN"/>
              </w:rPr>
              <w:t>提交</w:t>
            </w:r>
            <w:r>
              <w:rPr>
                <w:rFonts w:hint="eastAsia" w:ascii="仿宋" w:hAnsi="仿宋" w:eastAsia="仿宋" w:cs="仿宋"/>
                <w:sz w:val="21"/>
                <w:szCs w:val="21"/>
                <w:highlight w:val="none"/>
              </w:rPr>
              <w:t>结算审定价1.5%</w:t>
            </w:r>
            <w:r>
              <w:rPr>
                <w:rFonts w:hint="eastAsia" w:ascii="仿宋" w:hAnsi="仿宋" w:eastAsia="仿宋" w:cs="仿宋"/>
                <w:sz w:val="21"/>
                <w:szCs w:val="21"/>
                <w:highlight w:val="none"/>
                <w:lang w:val="en-US" w:eastAsia="zh-CN"/>
              </w:rPr>
              <w:t>的</w:t>
            </w:r>
            <w:r>
              <w:rPr>
                <w:rFonts w:hint="eastAsia" w:ascii="仿宋" w:hAnsi="仿宋" w:eastAsia="仿宋" w:cs="仿宋"/>
                <w:sz w:val="21"/>
                <w:szCs w:val="21"/>
                <w:highlight w:val="none"/>
              </w:rPr>
              <w:t>质量保证金</w:t>
            </w:r>
            <w:r>
              <w:rPr>
                <w:rFonts w:hint="eastAsia" w:ascii="仿宋" w:hAnsi="仿宋" w:eastAsia="仿宋" w:cs="仿宋"/>
                <w:sz w:val="21"/>
                <w:szCs w:val="21"/>
                <w:highlight w:val="none"/>
                <w:lang w:eastAsia="zh-CN"/>
              </w:rPr>
              <w:t>。</w:t>
            </w:r>
          </w:p>
          <w:p w14:paraId="18B76223">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工程竣工验收合格之日起满两年且回访质量符合要求后一次性退还（无息），如保修期间产生维修费、赔偿金等则扣除相应的维修费、赔偿金等款项后退还。</w:t>
            </w:r>
          </w:p>
        </w:tc>
      </w:tr>
    </w:tbl>
    <w:p w14:paraId="220AF27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both"/>
        <w:textAlignment w:val="auto"/>
        <w:rPr>
          <w:rFonts w:hint="eastAsia" w:ascii="仿宋" w:hAnsi="仿宋" w:eastAsia="仿宋" w:cs="仿宋"/>
          <w:spacing w:val="-4"/>
          <w:sz w:val="21"/>
          <w:szCs w:val="21"/>
          <w:highlight w:val="none"/>
        </w:rPr>
      </w:pPr>
    </w:p>
    <w:p w14:paraId="539957D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both"/>
        <w:textAlignment w:val="auto"/>
        <w:outlineLvl w:val="1"/>
        <w:rPr>
          <w:rFonts w:hint="eastAsia" w:ascii="仿宋" w:hAnsi="仿宋" w:eastAsia="仿宋" w:cs="仿宋"/>
          <w:b/>
          <w:sz w:val="21"/>
          <w:szCs w:val="21"/>
          <w:highlight w:val="none"/>
        </w:rPr>
      </w:pPr>
      <w:r>
        <w:rPr>
          <w:rFonts w:hint="eastAsia" w:ascii="仿宋" w:hAnsi="仿宋" w:eastAsia="仿宋" w:cs="仿宋"/>
          <w:b/>
          <w:sz w:val="21"/>
          <w:szCs w:val="21"/>
          <w:highlight w:val="none"/>
        </w:rPr>
        <w:t>三、服务要求（技术要求里另有注明的以技术要求为准）</w:t>
      </w:r>
    </w:p>
    <w:tbl>
      <w:tblPr>
        <w:tblStyle w:val="33"/>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72"/>
        <w:gridCol w:w="6956"/>
      </w:tblGrid>
      <w:tr w14:paraId="6BD3AE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jc w:val="center"/>
        </w:trPr>
        <w:tc>
          <w:tcPr>
            <w:tcW w:w="2672" w:type="dxa"/>
            <w:tcBorders>
              <w:top w:val="single" w:color="auto" w:sz="4" w:space="0"/>
              <w:left w:val="single" w:color="auto" w:sz="4" w:space="0"/>
              <w:bottom w:val="single" w:color="auto" w:sz="4" w:space="0"/>
              <w:right w:val="single" w:color="auto" w:sz="4" w:space="0"/>
            </w:tcBorders>
            <w:vAlign w:val="center"/>
          </w:tcPr>
          <w:p w14:paraId="7D793F09">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lang w:val="en-US" w:eastAsia="zh-CN"/>
              </w:rPr>
              <w:t>工期</w:t>
            </w:r>
          </w:p>
        </w:tc>
        <w:tc>
          <w:tcPr>
            <w:tcW w:w="6956" w:type="dxa"/>
            <w:tcBorders>
              <w:top w:val="single" w:color="auto" w:sz="4" w:space="0"/>
              <w:left w:val="single" w:color="auto" w:sz="4" w:space="0"/>
              <w:bottom w:val="single" w:color="auto" w:sz="4" w:space="0"/>
              <w:right w:val="single" w:color="auto" w:sz="4" w:space="0"/>
            </w:tcBorders>
            <w:vAlign w:val="center"/>
          </w:tcPr>
          <w:p w14:paraId="56F9D7EC">
            <w:pPr>
              <w:rPr>
                <w:rFonts w:hint="default"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45日历天</w:t>
            </w:r>
          </w:p>
        </w:tc>
      </w:tr>
      <w:tr w14:paraId="221A1C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672" w:type="dxa"/>
            <w:tcBorders>
              <w:top w:val="single" w:color="auto" w:sz="4" w:space="0"/>
              <w:left w:val="single" w:color="auto" w:sz="4" w:space="0"/>
              <w:bottom w:val="single" w:color="auto" w:sz="4" w:space="0"/>
              <w:right w:val="single" w:color="auto" w:sz="4" w:space="0"/>
            </w:tcBorders>
            <w:vAlign w:val="center"/>
          </w:tcPr>
          <w:p w14:paraId="217BCB82">
            <w:pPr>
              <w:jc w:val="center"/>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保修期</w:t>
            </w:r>
          </w:p>
        </w:tc>
        <w:tc>
          <w:tcPr>
            <w:tcW w:w="6956" w:type="dxa"/>
            <w:tcBorders>
              <w:top w:val="single" w:color="auto" w:sz="4" w:space="0"/>
              <w:left w:val="single" w:color="auto" w:sz="4" w:space="0"/>
              <w:bottom w:val="single" w:color="auto" w:sz="4" w:space="0"/>
              <w:right w:val="single" w:color="auto" w:sz="4" w:space="0"/>
            </w:tcBorders>
            <w:vAlign w:val="center"/>
          </w:tcPr>
          <w:p w14:paraId="1463A38A">
            <w:pPr>
              <w:rPr>
                <w:rFonts w:hint="eastAsia" w:ascii="仿宋" w:hAnsi="仿宋" w:eastAsia="仿宋" w:cs="仿宋"/>
                <w:sz w:val="21"/>
                <w:szCs w:val="21"/>
                <w:highlight w:val="none"/>
              </w:rPr>
            </w:pPr>
            <w:r>
              <w:rPr>
                <w:rFonts w:hint="eastAsia" w:ascii="仿宋" w:hAnsi="仿宋" w:eastAsia="仿宋" w:cs="仿宋"/>
                <w:bCs/>
                <w:sz w:val="21"/>
                <w:szCs w:val="21"/>
                <w:highlight w:val="none"/>
              </w:rPr>
              <w:t>按《建筑工程质量管理条例》执行</w:t>
            </w:r>
            <w:r>
              <w:rPr>
                <w:rFonts w:hint="eastAsia" w:ascii="仿宋" w:hAnsi="仿宋" w:eastAsia="仿宋" w:cs="仿宋"/>
                <w:bCs/>
                <w:sz w:val="21"/>
                <w:szCs w:val="21"/>
                <w:highlight w:val="none"/>
                <w:lang w:eastAsia="zh-CN"/>
              </w:rPr>
              <w:t>（</w:t>
            </w:r>
            <w:r>
              <w:rPr>
                <w:rFonts w:hint="eastAsia" w:ascii="仿宋" w:hAnsi="仿宋" w:eastAsia="仿宋" w:cs="仿宋"/>
                <w:bCs/>
                <w:sz w:val="21"/>
                <w:szCs w:val="21"/>
                <w:highlight w:val="none"/>
              </w:rPr>
              <w:t>2年</w:t>
            </w:r>
            <w:r>
              <w:rPr>
                <w:rFonts w:hint="eastAsia" w:ascii="仿宋" w:hAnsi="仿宋" w:eastAsia="仿宋" w:cs="仿宋"/>
                <w:bCs/>
                <w:sz w:val="21"/>
                <w:szCs w:val="21"/>
                <w:highlight w:val="none"/>
                <w:lang w:eastAsia="zh-CN"/>
              </w:rPr>
              <w:t>）</w:t>
            </w:r>
            <w:r>
              <w:rPr>
                <w:rFonts w:hint="eastAsia" w:ascii="仿宋" w:hAnsi="仿宋" w:eastAsia="仿宋" w:cs="仿宋"/>
                <w:bCs/>
                <w:sz w:val="21"/>
                <w:szCs w:val="21"/>
                <w:highlight w:val="none"/>
              </w:rPr>
              <w:t>，如国家有新规定从其规定</w:t>
            </w:r>
            <w:r>
              <w:rPr>
                <w:rFonts w:hint="eastAsia" w:ascii="仿宋" w:hAnsi="仿宋" w:eastAsia="仿宋" w:cs="仿宋"/>
                <w:bCs/>
                <w:sz w:val="21"/>
                <w:szCs w:val="21"/>
                <w:highlight w:val="none"/>
                <w:lang w:eastAsia="zh-CN"/>
              </w:rPr>
              <w:t>。</w:t>
            </w:r>
          </w:p>
        </w:tc>
      </w:tr>
      <w:tr w14:paraId="77CBFF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672" w:type="dxa"/>
            <w:tcBorders>
              <w:top w:val="single" w:color="auto" w:sz="4" w:space="0"/>
              <w:left w:val="single" w:color="auto" w:sz="4" w:space="0"/>
              <w:bottom w:val="single" w:color="auto" w:sz="4" w:space="0"/>
              <w:right w:val="single" w:color="auto" w:sz="4" w:space="0"/>
            </w:tcBorders>
            <w:vAlign w:val="center"/>
          </w:tcPr>
          <w:p w14:paraId="370E8290">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lang w:val="en-US" w:eastAsia="zh-CN"/>
              </w:rPr>
              <w:t>响应时间</w:t>
            </w:r>
          </w:p>
        </w:tc>
        <w:tc>
          <w:tcPr>
            <w:tcW w:w="6956" w:type="dxa"/>
            <w:tcBorders>
              <w:top w:val="single" w:color="auto" w:sz="4" w:space="0"/>
              <w:left w:val="single" w:color="auto" w:sz="4" w:space="0"/>
              <w:bottom w:val="single" w:color="auto" w:sz="4" w:space="0"/>
              <w:right w:val="single" w:color="auto" w:sz="4" w:space="0"/>
            </w:tcBorders>
            <w:vAlign w:val="center"/>
          </w:tcPr>
          <w:p w14:paraId="1C7C2347">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保修期间接到修理通知后，需至现场查看的应在2小时内到达并在4小时内给出修理方案，无需现场查看的应在2小时内回复修理方案，凡是因质量原因引起的各类维修或物品更换所产生的费用及人工费、交通费等相关费用均由成交供应商承担。</w:t>
            </w:r>
          </w:p>
        </w:tc>
      </w:tr>
    </w:tbl>
    <w:p w14:paraId="5F67743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both"/>
        <w:textAlignment w:val="auto"/>
        <w:outlineLvl w:val="9"/>
        <w:rPr>
          <w:rFonts w:hint="eastAsia" w:ascii="仿宋" w:hAnsi="仿宋" w:eastAsia="仿宋" w:cs="仿宋"/>
          <w:b/>
          <w:sz w:val="21"/>
          <w:szCs w:val="21"/>
          <w:highlight w:val="none"/>
        </w:rPr>
      </w:pPr>
    </w:p>
    <w:p w14:paraId="0265DF3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both"/>
        <w:textAlignment w:val="auto"/>
        <w:outlineLvl w:val="1"/>
        <w:rPr>
          <w:rFonts w:hint="eastAsia" w:ascii="仿宋" w:hAnsi="仿宋" w:eastAsia="仿宋" w:cs="仿宋"/>
          <w:sz w:val="21"/>
          <w:szCs w:val="21"/>
          <w:highlight w:val="none"/>
        </w:rPr>
      </w:pPr>
      <w:r>
        <w:rPr>
          <w:rFonts w:hint="eastAsia" w:ascii="仿宋" w:hAnsi="仿宋" w:eastAsia="仿宋" w:cs="仿宋"/>
          <w:b/>
          <w:sz w:val="21"/>
          <w:szCs w:val="21"/>
          <w:highlight w:val="none"/>
        </w:rPr>
        <w:t>四、技术要求</w:t>
      </w:r>
      <w:bookmarkStart w:id="31" w:name="_Hlk45005556"/>
    </w:p>
    <w:bookmarkEnd w:id="31"/>
    <w:p w14:paraId="15DDAC4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2" w:firstLineChars="200"/>
        <w:jc w:val="both"/>
        <w:textAlignment w:val="auto"/>
        <w:outlineLvl w:val="9"/>
        <w:rPr>
          <w:rFonts w:hint="eastAsia" w:ascii="仿宋" w:hAnsi="仿宋" w:eastAsia="仿宋" w:cs="仿宋"/>
          <w:b w:val="0"/>
          <w:bCs w:val="0"/>
          <w:sz w:val="21"/>
          <w:szCs w:val="21"/>
          <w:highlight w:val="none"/>
        </w:rPr>
      </w:pPr>
      <w:bookmarkStart w:id="32" w:name="_Hlk92271413"/>
      <w:r>
        <w:rPr>
          <w:rFonts w:hint="eastAsia" w:ascii="仿宋" w:hAnsi="仿宋" w:eastAsia="仿宋" w:cs="仿宋"/>
          <w:b/>
          <w:bCs/>
          <w:sz w:val="21"/>
          <w:szCs w:val="21"/>
          <w:highlight w:val="none"/>
        </w:rPr>
        <w:t>1.需执行的国家相关标准、行业标准、地方标准或者其他标准、规范：</w:t>
      </w:r>
      <w:r>
        <w:rPr>
          <w:rFonts w:hint="eastAsia" w:ascii="仿宋" w:hAnsi="仿宋" w:eastAsia="仿宋" w:cs="仿宋"/>
          <w:b w:val="0"/>
          <w:bCs w:val="0"/>
          <w:sz w:val="21"/>
          <w:szCs w:val="21"/>
          <w:highlight w:val="none"/>
        </w:rPr>
        <w:t>材料、设备、施工达到以下现行中华人民共和国及省、市、行业的一切有关法规、规范的要求，如下述标准及规范要求有出入则以较严格者为准，有最新标准的按最新标准执行。</w:t>
      </w:r>
    </w:p>
    <w:p w14:paraId="37E0716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1）《建筑工程施工质量验收统一标准》 GB50300-2013</w:t>
      </w:r>
    </w:p>
    <w:p w14:paraId="61B56DC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2</w:t>
      </w:r>
      <w:r>
        <w:rPr>
          <w:rFonts w:hint="eastAsia" w:ascii="仿宋" w:hAnsi="仿宋" w:eastAsia="仿宋" w:cs="仿宋"/>
          <w:b w:val="0"/>
          <w:bCs w:val="0"/>
          <w:sz w:val="21"/>
          <w:szCs w:val="21"/>
          <w:highlight w:val="none"/>
        </w:rPr>
        <w:t>）《建筑装饰装修工程质量验收规范》 GB50210-2001</w:t>
      </w:r>
    </w:p>
    <w:p w14:paraId="32CA028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3</w:t>
      </w:r>
      <w:r>
        <w:rPr>
          <w:rFonts w:hint="eastAsia" w:ascii="仿宋" w:hAnsi="仿宋" w:eastAsia="仿宋" w:cs="仿宋"/>
          <w:b w:val="0"/>
          <w:bCs w:val="0"/>
          <w:sz w:val="21"/>
          <w:szCs w:val="21"/>
          <w:highlight w:val="none"/>
        </w:rPr>
        <w:t>）工程建设标准强制性条文</w:t>
      </w:r>
    </w:p>
    <w:p w14:paraId="36814CB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4</w:t>
      </w:r>
      <w:r>
        <w:rPr>
          <w:rFonts w:hint="eastAsia" w:ascii="仿宋" w:hAnsi="仿宋" w:eastAsia="仿宋" w:cs="仿宋"/>
          <w:b w:val="0"/>
          <w:bCs w:val="0"/>
          <w:sz w:val="21"/>
          <w:szCs w:val="21"/>
          <w:highlight w:val="none"/>
        </w:rPr>
        <w:t>）建设工程质量管理条例</w:t>
      </w:r>
    </w:p>
    <w:p w14:paraId="7AE3830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5</w:t>
      </w:r>
      <w:r>
        <w:rPr>
          <w:rFonts w:hint="eastAsia" w:ascii="仿宋" w:hAnsi="仿宋" w:eastAsia="仿宋" w:cs="仿宋"/>
          <w:b w:val="0"/>
          <w:bCs w:val="0"/>
          <w:sz w:val="21"/>
          <w:szCs w:val="21"/>
          <w:highlight w:val="none"/>
        </w:rPr>
        <w:t>）有关环保标准</w:t>
      </w:r>
    </w:p>
    <w:p w14:paraId="78B9672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lang w:val="en-US" w:eastAsia="zh-CN"/>
        </w:rPr>
        <w:t>6</w:t>
      </w:r>
      <w:r>
        <w:rPr>
          <w:rFonts w:hint="eastAsia" w:ascii="仿宋" w:hAnsi="仿宋" w:eastAsia="仿宋" w:cs="仿宋"/>
          <w:b w:val="0"/>
          <w:bCs w:val="0"/>
          <w:sz w:val="21"/>
          <w:szCs w:val="21"/>
          <w:highlight w:val="none"/>
        </w:rPr>
        <w:t>）其他现行的相关国家、地方和行业质量标准、规范标准、规范</w:t>
      </w:r>
    </w:p>
    <w:bookmarkEnd w:id="32"/>
    <w:p w14:paraId="013B697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2" w:firstLineChars="200"/>
        <w:jc w:val="both"/>
        <w:textAlignment w:val="auto"/>
        <w:outlineLvl w:val="9"/>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2.需实现的功能或者目标：</w:t>
      </w:r>
    </w:p>
    <w:p w14:paraId="33E8AEE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val="en-US" w:eastAsia="zh-CN"/>
        </w:rPr>
        <w:t>2.1浙江省文化馆小剧场楼层防水舞台墙体改造项目包括舞台、化妆间、通道的地面墙体改造及防水工程等内容；</w:t>
      </w:r>
    </w:p>
    <w:p w14:paraId="0806487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val="en-US" w:eastAsia="zh-CN"/>
        </w:rPr>
        <w:t>2</w:t>
      </w:r>
      <w:r>
        <w:rPr>
          <w:rFonts w:hint="eastAsia" w:ascii="仿宋" w:hAnsi="仿宋" w:eastAsia="仿宋" w:cs="仿宋"/>
          <w:b w:val="0"/>
          <w:bCs w:val="0"/>
          <w:sz w:val="21"/>
          <w:szCs w:val="21"/>
          <w:highlight w:val="none"/>
          <w:lang w:eastAsia="zh-CN"/>
        </w:rPr>
        <w:t>.2工程质量</w:t>
      </w:r>
    </w:p>
    <w:p w14:paraId="64197F8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1）保质保量保进度，项目前期及竣工涉及的所有报批报建及消防验收；</w:t>
      </w:r>
    </w:p>
    <w:p w14:paraId="4E9EC32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2）严格按照采购需求、工程技术要求及行业规范进行施工，无条件地接受采购人全方位、全过程的监督管理；</w:t>
      </w:r>
    </w:p>
    <w:p w14:paraId="104B7D6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3）所有材料在检验合格经采购人同意后方可用于本工程；</w:t>
      </w:r>
    </w:p>
    <w:p w14:paraId="2E5BA02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4）隐蔽工程经采购人检查、验收后方可进行下一道工序；</w:t>
      </w:r>
    </w:p>
    <w:p w14:paraId="1274755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b w:val="0"/>
          <w:bCs w:val="0"/>
          <w:sz w:val="21"/>
          <w:szCs w:val="21"/>
          <w:highlight w:val="none"/>
          <w:lang w:eastAsia="zh-CN"/>
        </w:rPr>
      </w:pPr>
      <w:r>
        <w:rPr>
          <w:rFonts w:hint="eastAsia" w:ascii="仿宋" w:hAnsi="仿宋" w:eastAsia="仿宋" w:cs="仿宋"/>
          <w:b w:val="0"/>
          <w:bCs w:val="0"/>
          <w:sz w:val="21"/>
          <w:szCs w:val="21"/>
          <w:highlight w:val="none"/>
          <w:lang w:eastAsia="zh-CN"/>
        </w:rPr>
        <w:t>5）采购人有权监督、检查、检验成交供应商的施工质量、进度，成交供应商应把工程质量放在首位，加强技术管理和质量保证体系、严格认真地执行技术标准和规范。</w:t>
      </w:r>
    </w:p>
    <w:p w14:paraId="0BF5D496">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3.需满足的质量、安全、技术规格、物理特性等要求：</w:t>
      </w:r>
    </w:p>
    <w:p w14:paraId="63B5014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3.1项目概况</w:t>
      </w:r>
    </w:p>
    <w:p w14:paraId="7020288F">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1）本项目为</w:t>
      </w:r>
      <w:r>
        <w:rPr>
          <w:rFonts w:hint="eastAsia" w:ascii="仿宋" w:hAnsi="仿宋" w:eastAsia="仿宋" w:cs="仿宋"/>
          <w:sz w:val="21"/>
          <w:szCs w:val="21"/>
          <w:highlight w:val="none"/>
          <w:lang w:val="en-US" w:eastAsia="zh-CN"/>
        </w:rPr>
        <w:t>浙江省文化馆小剧场楼层防水舞台墙体改造项目</w:t>
      </w:r>
      <w:r>
        <w:rPr>
          <w:rFonts w:hint="eastAsia" w:ascii="仿宋" w:hAnsi="仿宋" w:eastAsia="仿宋" w:cs="仿宋"/>
          <w:b w:val="0"/>
          <w:bCs w:val="0"/>
          <w:sz w:val="21"/>
          <w:szCs w:val="21"/>
          <w:highlight w:val="none"/>
          <w:lang w:val="en-US" w:eastAsia="zh-CN"/>
        </w:rPr>
        <w:t>，项目地址：浙江省杭州市；</w:t>
      </w:r>
    </w:p>
    <w:p w14:paraId="5751D7A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2）工程改造内容：详见工程量清单；</w:t>
      </w:r>
    </w:p>
    <w:p w14:paraId="7294C146">
      <w:pPr>
        <w:keepNext w:val="0"/>
        <w:keepLines w:val="0"/>
        <w:pageBreakBefore w:val="0"/>
        <w:kinsoku/>
        <w:wordWrap/>
        <w:overflowPunct/>
        <w:topLinePunct w:val="0"/>
        <w:autoSpaceDE/>
        <w:autoSpaceDN/>
        <w:bidi w:val="0"/>
        <w:spacing w:line="288" w:lineRule="auto"/>
        <w:ind w:firstLine="422" w:firstLineChars="20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浙江省文化馆小剧场楼层防水舞台墙体改造项目-工程量清单</w:t>
      </w:r>
    </w:p>
    <w:tbl>
      <w:tblPr>
        <w:tblStyle w:val="33"/>
        <w:tblW w:w="9423" w:type="dxa"/>
        <w:jc w:val="center"/>
        <w:tblLayout w:type="fixed"/>
        <w:tblCellMar>
          <w:top w:w="0" w:type="dxa"/>
          <w:left w:w="0" w:type="dxa"/>
          <w:bottom w:w="0" w:type="dxa"/>
          <w:right w:w="0" w:type="dxa"/>
        </w:tblCellMar>
      </w:tblPr>
      <w:tblGrid>
        <w:gridCol w:w="579"/>
        <w:gridCol w:w="2166"/>
        <w:gridCol w:w="5062"/>
        <w:gridCol w:w="922"/>
        <w:gridCol w:w="694"/>
      </w:tblGrid>
      <w:tr w14:paraId="527FD3CF">
        <w:tblPrEx>
          <w:tblCellMar>
            <w:top w:w="0" w:type="dxa"/>
            <w:left w:w="0" w:type="dxa"/>
            <w:bottom w:w="0" w:type="dxa"/>
            <w:right w:w="0" w:type="dxa"/>
          </w:tblCellMar>
        </w:tblPrEx>
        <w:trPr>
          <w:trHeight w:val="34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F087E3">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序号</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D80184">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工程内容</w:t>
            </w: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2FB624">
            <w:pPr>
              <w:jc w:val="center"/>
              <w:rPr>
                <w:rFonts w:hint="default"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规格及型号</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6536CD">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工程量</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CF9A2E">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单位</w:t>
            </w:r>
          </w:p>
        </w:tc>
      </w:tr>
      <w:tr w14:paraId="2B3B4212">
        <w:tblPrEx>
          <w:tblCellMar>
            <w:top w:w="0" w:type="dxa"/>
            <w:left w:w="0" w:type="dxa"/>
            <w:bottom w:w="0" w:type="dxa"/>
            <w:right w:w="0" w:type="dxa"/>
          </w:tblCellMar>
        </w:tblPrEx>
        <w:trPr>
          <w:trHeight w:val="340" w:hRule="atLeast"/>
          <w:jc w:val="center"/>
        </w:trPr>
        <w:tc>
          <w:tcPr>
            <w:tcW w:w="9423"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E2D177">
            <w:pPr>
              <w:jc w:val="both"/>
              <w:rPr>
                <w:rFonts w:hint="eastAsia" w:ascii="仿宋" w:hAnsi="仿宋" w:eastAsia="仿宋" w:cs="仿宋"/>
                <w:b w:val="0"/>
                <w:bCs w:val="0"/>
                <w:color w:val="auto"/>
                <w:sz w:val="18"/>
                <w:szCs w:val="18"/>
                <w:highlight w:val="none"/>
                <w:lang w:eastAsia="zh-CN"/>
              </w:rPr>
            </w:pPr>
            <w:r>
              <w:rPr>
                <w:rFonts w:hint="eastAsia" w:ascii="仿宋" w:hAnsi="仿宋" w:eastAsia="仿宋" w:cs="仿宋"/>
                <w:b/>
                <w:bCs/>
                <w:color w:val="auto"/>
                <w:sz w:val="18"/>
                <w:szCs w:val="18"/>
                <w:highlight w:val="none"/>
              </w:rPr>
              <w:t>一</w:t>
            </w:r>
            <w:r>
              <w:rPr>
                <w:rFonts w:hint="eastAsia" w:ascii="仿宋" w:hAnsi="仿宋" w:eastAsia="仿宋" w:cs="仿宋"/>
                <w:b/>
                <w:bCs/>
                <w:color w:val="auto"/>
                <w:sz w:val="18"/>
                <w:szCs w:val="18"/>
                <w:highlight w:val="none"/>
                <w:lang w:eastAsia="zh-CN"/>
              </w:rPr>
              <w:t>、化妆间改造</w:t>
            </w:r>
          </w:p>
        </w:tc>
      </w:tr>
      <w:tr w14:paraId="59685E9E">
        <w:tblPrEx>
          <w:tblCellMar>
            <w:top w:w="0" w:type="dxa"/>
            <w:left w:w="0" w:type="dxa"/>
            <w:bottom w:w="0" w:type="dxa"/>
            <w:right w:w="0" w:type="dxa"/>
          </w:tblCellMar>
        </w:tblPrEx>
        <w:trPr>
          <w:trHeight w:val="34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9C5464">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rPr>
            </w:pPr>
            <w:r>
              <w:rPr>
                <w:rFonts w:hint="eastAsia" w:ascii="仿宋" w:hAnsi="仿宋" w:eastAsia="仿宋" w:cs="仿宋"/>
                <w:b w:val="0"/>
                <w:bCs w:val="0"/>
                <w:i w:val="0"/>
                <w:iCs w:val="0"/>
                <w:color w:val="auto"/>
                <w:kern w:val="0"/>
                <w:sz w:val="18"/>
                <w:szCs w:val="18"/>
                <w:highlight w:val="none"/>
                <w:u w:val="none"/>
                <w:lang w:val="en-US" w:eastAsia="zh-CN" w:bidi="ar"/>
              </w:rPr>
              <w:t>1</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FAF56C">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腻子铲除．标准铺砖</w:t>
            </w: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14:paraId="74295EB3">
            <w:pPr>
              <w:rPr>
                <w:rFonts w:hint="eastAsia" w:ascii="仿宋" w:hAnsi="仿宋" w:eastAsia="仿宋" w:cs="仿宋"/>
                <w:b w:val="0"/>
                <w:bCs w:val="0"/>
                <w:color w:val="auto"/>
                <w:sz w:val="18"/>
                <w:szCs w:val="18"/>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4C06F9">
            <w:pPr>
              <w:keepNext w:val="0"/>
              <w:keepLines w:val="0"/>
              <w:widowControl/>
              <w:suppressLineNumbers w:val="0"/>
              <w:jc w:val="center"/>
              <w:textAlignment w:val="center"/>
              <w:rPr>
                <w:rFonts w:hint="eastAsia" w:ascii="仿宋" w:hAnsi="仿宋" w:eastAsia="仿宋" w:cs="仿宋"/>
                <w:b w:val="0"/>
                <w:bCs w:val="0"/>
                <w:color w:val="auto"/>
                <w:kern w:val="0"/>
                <w:sz w:val="18"/>
                <w:szCs w:val="18"/>
                <w:highlight w:val="none"/>
                <w:u w:val="none"/>
                <w:lang w:bidi="ar"/>
              </w:rPr>
            </w:pPr>
            <w:r>
              <w:rPr>
                <w:rFonts w:hint="eastAsia" w:ascii="仿宋" w:hAnsi="仿宋" w:eastAsia="仿宋" w:cs="仿宋"/>
                <w:i w:val="0"/>
                <w:iCs w:val="0"/>
                <w:color w:val="auto"/>
                <w:kern w:val="0"/>
                <w:sz w:val="18"/>
                <w:szCs w:val="18"/>
                <w:highlight w:val="none"/>
                <w:u w:val="none"/>
                <w:lang w:val="en-US" w:eastAsia="zh-CN" w:bidi="ar"/>
              </w:rPr>
              <w:t>122.13</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14403F">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w:t>
            </w:r>
          </w:p>
        </w:tc>
      </w:tr>
      <w:tr w14:paraId="0D8A7604">
        <w:tblPrEx>
          <w:tblCellMar>
            <w:top w:w="0" w:type="dxa"/>
            <w:left w:w="0" w:type="dxa"/>
            <w:bottom w:w="0" w:type="dxa"/>
            <w:right w:w="0" w:type="dxa"/>
          </w:tblCellMar>
        </w:tblPrEx>
        <w:trPr>
          <w:trHeight w:val="34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D813CE">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rPr>
            </w:pPr>
            <w:r>
              <w:rPr>
                <w:rFonts w:hint="eastAsia" w:ascii="仿宋" w:hAnsi="仿宋" w:eastAsia="仿宋" w:cs="仿宋"/>
                <w:b w:val="0"/>
                <w:bCs w:val="0"/>
                <w:i w:val="0"/>
                <w:iCs w:val="0"/>
                <w:color w:val="auto"/>
                <w:kern w:val="0"/>
                <w:sz w:val="18"/>
                <w:szCs w:val="18"/>
                <w:highlight w:val="none"/>
                <w:u w:val="none"/>
                <w:lang w:val="en-US" w:eastAsia="zh-CN" w:bidi="ar"/>
              </w:rPr>
              <w:t>2</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614C4E">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腻子基层</w:t>
            </w: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14:paraId="77A5C4AB">
            <w:pPr>
              <w:rPr>
                <w:rFonts w:hint="default" w:ascii="仿宋" w:hAnsi="仿宋" w:eastAsia="仿宋" w:cs="仿宋"/>
                <w:b w:val="0"/>
                <w:bCs w:val="0"/>
                <w:color w:val="auto"/>
                <w:sz w:val="18"/>
                <w:szCs w:val="18"/>
                <w:highlight w:val="none"/>
                <w:lang w:val="en-US"/>
              </w:rPr>
            </w:pPr>
            <w:r>
              <w:rPr>
                <w:rFonts w:hint="eastAsia" w:ascii="仿宋" w:hAnsi="仿宋" w:eastAsia="仿宋" w:cs="仿宋"/>
                <w:b w:val="0"/>
                <w:bCs w:val="0"/>
                <w:color w:val="auto"/>
                <w:sz w:val="18"/>
                <w:szCs w:val="18"/>
                <w:highlight w:val="none"/>
                <w:lang w:val="en-US" w:eastAsia="zh-CN"/>
              </w:rPr>
              <w:t>二遍，需挂网格布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A25409">
            <w:pPr>
              <w:keepNext w:val="0"/>
              <w:keepLines w:val="0"/>
              <w:widowControl/>
              <w:suppressLineNumbers w:val="0"/>
              <w:jc w:val="center"/>
              <w:textAlignment w:val="center"/>
              <w:rPr>
                <w:rFonts w:hint="eastAsia" w:ascii="仿宋" w:hAnsi="仿宋" w:eastAsia="仿宋" w:cs="仿宋"/>
                <w:b w:val="0"/>
                <w:bCs w:val="0"/>
                <w:color w:val="auto"/>
                <w:kern w:val="0"/>
                <w:sz w:val="18"/>
                <w:szCs w:val="18"/>
                <w:highlight w:val="none"/>
                <w:u w:val="none"/>
                <w:lang w:bidi="ar"/>
              </w:rPr>
            </w:pPr>
            <w:r>
              <w:rPr>
                <w:rFonts w:hint="eastAsia" w:ascii="仿宋" w:hAnsi="仿宋" w:eastAsia="仿宋" w:cs="仿宋"/>
                <w:i w:val="0"/>
                <w:iCs w:val="0"/>
                <w:color w:val="auto"/>
                <w:kern w:val="0"/>
                <w:sz w:val="18"/>
                <w:szCs w:val="18"/>
                <w:highlight w:val="none"/>
                <w:u w:val="none"/>
                <w:lang w:val="en-US" w:eastAsia="zh-CN" w:bidi="ar"/>
              </w:rPr>
              <w:t>122.13</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98DC49">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w:t>
            </w:r>
          </w:p>
        </w:tc>
      </w:tr>
      <w:tr w14:paraId="6CBB4AA0">
        <w:tblPrEx>
          <w:tblCellMar>
            <w:top w:w="0" w:type="dxa"/>
            <w:left w:w="0" w:type="dxa"/>
            <w:bottom w:w="0" w:type="dxa"/>
            <w:right w:w="0" w:type="dxa"/>
          </w:tblCellMar>
        </w:tblPrEx>
        <w:trPr>
          <w:trHeight w:val="34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254D0D">
            <w:pPr>
              <w:keepNext w:val="0"/>
              <w:keepLines w:val="0"/>
              <w:widowControl/>
              <w:suppressLineNumbers w:val="0"/>
              <w:jc w:val="center"/>
              <w:textAlignment w:val="center"/>
              <w:rPr>
                <w:rFonts w:hint="default"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3</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613AC9">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乳胶漆</w:t>
            </w: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14:paraId="09A73D08">
            <w:pPr>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lang w:val="en-US" w:eastAsia="zh-CN"/>
              </w:rPr>
              <w:t>二遍</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43BBBE">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122.13</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104127">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w:t>
            </w:r>
          </w:p>
        </w:tc>
      </w:tr>
      <w:tr w14:paraId="55B3EB0D">
        <w:tblPrEx>
          <w:tblCellMar>
            <w:top w:w="0" w:type="dxa"/>
            <w:left w:w="0" w:type="dxa"/>
            <w:bottom w:w="0" w:type="dxa"/>
            <w:right w:w="0" w:type="dxa"/>
          </w:tblCellMar>
        </w:tblPrEx>
        <w:trPr>
          <w:trHeight w:val="34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C60B54">
            <w:pPr>
              <w:keepNext w:val="0"/>
              <w:keepLines w:val="0"/>
              <w:widowControl/>
              <w:suppressLineNumbers w:val="0"/>
              <w:jc w:val="center"/>
              <w:textAlignment w:val="center"/>
              <w:rPr>
                <w:rFonts w:hint="default"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4</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C40007">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复合多层实木踢脚线</w:t>
            </w: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14:paraId="3CCEC3E8">
            <w:pPr>
              <w:rPr>
                <w:rFonts w:hint="eastAsia" w:ascii="仿宋" w:hAnsi="仿宋" w:eastAsia="仿宋" w:cs="仿宋"/>
                <w:b w:val="0"/>
                <w:bCs w:val="0"/>
                <w:color w:val="auto"/>
                <w:sz w:val="18"/>
                <w:szCs w:val="18"/>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ED24E6">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33.78</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355F50">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m</w:t>
            </w:r>
          </w:p>
        </w:tc>
      </w:tr>
      <w:tr w14:paraId="1D6B3ED5">
        <w:tblPrEx>
          <w:tblCellMar>
            <w:top w:w="0" w:type="dxa"/>
            <w:left w:w="0" w:type="dxa"/>
            <w:bottom w:w="0" w:type="dxa"/>
            <w:right w:w="0" w:type="dxa"/>
          </w:tblCellMar>
        </w:tblPrEx>
        <w:trPr>
          <w:trHeight w:val="34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8B9989">
            <w:pPr>
              <w:keepNext w:val="0"/>
              <w:keepLines w:val="0"/>
              <w:widowControl/>
              <w:suppressLineNumbers w:val="0"/>
              <w:jc w:val="center"/>
              <w:textAlignment w:val="center"/>
              <w:rPr>
                <w:rFonts w:hint="default"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5</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B92171">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地面木地板</w:t>
            </w: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14:paraId="6EAF5BCA">
            <w:pPr>
              <w:rPr>
                <w:rFonts w:hint="eastAsia" w:ascii="仿宋" w:hAnsi="仿宋" w:eastAsia="仿宋" w:cs="仿宋"/>
                <w:b w:val="0"/>
                <w:bCs w:val="0"/>
                <w:color w:val="auto"/>
                <w:sz w:val="18"/>
                <w:szCs w:val="18"/>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A46AFE">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20.236</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F0BDBD">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w:t>
            </w:r>
          </w:p>
        </w:tc>
      </w:tr>
      <w:tr w14:paraId="77CCFA52">
        <w:tblPrEx>
          <w:tblCellMar>
            <w:top w:w="0" w:type="dxa"/>
            <w:left w:w="0" w:type="dxa"/>
            <w:bottom w:w="0" w:type="dxa"/>
            <w:right w:w="0" w:type="dxa"/>
          </w:tblCellMar>
        </w:tblPrEx>
        <w:trPr>
          <w:trHeight w:val="34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9AB935">
            <w:pPr>
              <w:keepNext w:val="0"/>
              <w:keepLines w:val="0"/>
              <w:widowControl/>
              <w:suppressLineNumbers w:val="0"/>
              <w:jc w:val="center"/>
              <w:textAlignment w:val="center"/>
              <w:rPr>
                <w:rFonts w:hint="default"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6</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C1C1FB">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原木地板拆除</w:t>
            </w: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14:paraId="77B2821A">
            <w:pPr>
              <w:rPr>
                <w:rFonts w:hint="eastAsia" w:ascii="仿宋" w:hAnsi="仿宋" w:eastAsia="仿宋" w:cs="仿宋"/>
                <w:b w:val="0"/>
                <w:bCs w:val="0"/>
                <w:color w:val="auto"/>
                <w:sz w:val="18"/>
                <w:szCs w:val="18"/>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7E2089">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20.236</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3CCCA8">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w:t>
            </w:r>
          </w:p>
        </w:tc>
      </w:tr>
      <w:tr w14:paraId="2D241FA1">
        <w:tblPrEx>
          <w:tblCellMar>
            <w:top w:w="0" w:type="dxa"/>
            <w:left w:w="0" w:type="dxa"/>
            <w:bottom w:w="0" w:type="dxa"/>
            <w:right w:w="0" w:type="dxa"/>
          </w:tblCellMar>
        </w:tblPrEx>
        <w:trPr>
          <w:trHeight w:val="34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47324A">
            <w:pPr>
              <w:keepNext w:val="0"/>
              <w:keepLines w:val="0"/>
              <w:widowControl/>
              <w:suppressLineNumbers w:val="0"/>
              <w:jc w:val="center"/>
              <w:textAlignment w:val="center"/>
              <w:rPr>
                <w:rFonts w:hint="default"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7</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2A8043">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化妆台（含灯具）</w:t>
            </w: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14:paraId="38CA00E7">
            <w:pPr>
              <w:rPr>
                <w:rFonts w:hint="eastAsia" w:ascii="仿宋" w:hAnsi="仿宋" w:eastAsia="仿宋" w:cs="仿宋"/>
                <w:b w:val="0"/>
                <w:bCs w:val="0"/>
                <w:color w:val="auto"/>
                <w:sz w:val="18"/>
                <w:szCs w:val="18"/>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6580A7">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10</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A5C62D">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只</w:t>
            </w:r>
          </w:p>
        </w:tc>
      </w:tr>
      <w:tr w14:paraId="68453232">
        <w:tblPrEx>
          <w:tblCellMar>
            <w:top w:w="0" w:type="dxa"/>
            <w:left w:w="0" w:type="dxa"/>
            <w:bottom w:w="0" w:type="dxa"/>
            <w:right w:w="0" w:type="dxa"/>
          </w:tblCellMar>
        </w:tblPrEx>
        <w:trPr>
          <w:trHeight w:val="34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9F7A0A">
            <w:pPr>
              <w:keepNext w:val="0"/>
              <w:keepLines w:val="0"/>
              <w:widowControl/>
              <w:suppressLineNumbers w:val="0"/>
              <w:jc w:val="center"/>
              <w:textAlignment w:val="center"/>
              <w:rPr>
                <w:rFonts w:hint="default"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8</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44A9BC">
            <w:pPr>
              <w:keepNext w:val="0"/>
              <w:keepLines w:val="0"/>
              <w:widowControl/>
              <w:suppressLineNumbers w:val="0"/>
              <w:jc w:val="center"/>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新增化妆间空调</w:t>
            </w: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14:paraId="0F7F2D5C">
            <w:pPr>
              <w:rPr>
                <w:rFonts w:hint="eastAsia" w:ascii="仿宋" w:hAnsi="仿宋" w:eastAsia="仿宋" w:cs="仿宋"/>
                <w:b w:val="0"/>
                <w:bCs w:val="0"/>
                <w:color w:val="auto"/>
                <w:sz w:val="18"/>
                <w:szCs w:val="18"/>
                <w:highlight w:val="none"/>
                <w:lang w:eastAsia="zh-CN"/>
              </w:rPr>
            </w:pPr>
            <w:r>
              <w:rPr>
                <w:rFonts w:hint="eastAsia" w:ascii="仿宋" w:hAnsi="仿宋" w:eastAsia="仿宋" w:cs="仿宋"/>
                <w:b w:val="0"/>
                <w:bCs w:val="0"/>
                <w:color w:val="auto"/>
                <w:sz w:val="18"/>
                <w:szCs w:val="18"/>
                <w:highlight w:val="none"/>
                <w:lang w:val="en-US" w:eastAsia="zh-CN"/>
              </w:rPr>
              <w:t>（1.5匹、3匹各1台）</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39A5F4">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2</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F6E0DD">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台</w:t>
            </w:r>
          </w:p>
        </w:tc>
      </w:tr>
      <w:tr w14:paraId="054FDB5D">
        <w:tblPrEx>
          <w:tblCellMar>
            <w:top w:w="0" w:type="dxa"/>
            <w:left w:w="0" w:type="dxa"/>
            <w:bottom w:w="0" w:type="dxa"/>
            <w:right w:w="0" w:type="dxa"/>
          </w:tblCellMar>
        </w:tblPrEx>
        <w:trPr>
          <w:trHeight w:val="34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D3200F">
            <w:pPr>
              <w:keepNext w:val="0"/>
              <w:keepLines w:val="0"/>
              <w:widowControl/>
              <w:suppressLineNumbers w:val="0"/>
              <w:jc w:val="center"/>
              <w:textAlignment w:val="center"/>
              <w:rPr>
                <w:rFonts w:hint="default"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9</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CE326E">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空调室外机安装</w:t>
            </w: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14:paraId="1E361136">
            <w:pPr>
              <w:rPr>
                <w:rFonts w:hint="eastAsia" w:ascii="仿宋" w:hAnsi="仿宋" w:eastAsia="仿宋" w:cs="仿宋"/>
                <w:b w:val="0"/>
                <w:bCs w:val="0"/>
                <w:color w:val="auto"/>
                <w:sz w:val="18"/>
                <w:szCs w:val="18"/>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67F3F5">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9CCF54">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项</w:t>
            </w:r>
          </w:p>
        </w:tc>
      </w:tr>
      <w:tr w14:paraId="59EDCD17">
        <w:tblPrEx>
          <w:tblCellMar>
            <w:top w:w="0" w:type="dxa"/>
            <w:left w:w="0" w:type="dxa"/>
            <w:bottom w:w="0" w:type="dxa"/>
            <w:right w:w="0" w:type="dxa"/>
          </w:tblCellMar>
        </w:tblPrEx>
        <w:trPr>
          <w:trHeight w:val="34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99E4E2">
            <w:pPr>
              <w:keepNext w:val="0"/>
              <w:keepLines w:val="0"/>
              <w:widowControl/>
              <w:suppressLineNumbers w:val="0"/>
              <w:jc w:val="center"/>
              <w:textAlignment w:val="center"/>
              <w:rPr>
                <w:rFonts w:hint="default"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10</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C30020">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原墙体空调调打孔</w:t>
            </w: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14:paraId="53046731">
            <w:pPr>
              <w:rPr>
                <w:rFonts w:hint="eastAsia" w:ascii="仿宋" w:hAnsi="仿宋" w:eastAsia="仿宋" w:cs="仿宋"/>
                <w:b w:val="0"/>
                <w:bCs w:val="0"/>
                <w:color w:val="auto"/>
                <w:sz w:val="18"/>
                <w:szCs w:val="18"/>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5A0327">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5</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F35CA4">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个</w:t>
            </w:r>
          </w:p>
        </w:tc>
      </w:tr>
      <w:tr w14:paraId="45D6CF75">
        <w:tblPrEx>
          <w:tblCellMar>
            <w:top w:w="0" w:type="dxa"/>
            <w:left w:w="0" w:type="dxa"/>
            <w:bottom w:w="0" w:type="dxa"/>
            <w:right w:w="0" w:type="dxa"/>
          </w:tblCellMar>
        </w:tblPrEx>
        <w:trPr>
          <w:trHeight w:val="34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41F51E">
            <w:pPr>
              <w:keepNext w:val="0"/>
              <w:keepLines w:val="0"/>
              <w:widowControl/>
              <w:suppressLineNumbers w:val="0"/>
              <w:jc w:val="center"/>
              <w:textAlignment w:val="center"/>
              <w:rPr>
                <w:rFonts w:hint="default"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11</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14462F">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增加铜管</w:t>
            </w: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14:paraId="4EA90E7B">
            <w:pPr>
              <w:rPr>
                <w:rFonts w:hint="eastAsia" w:ascii="仿宋" w:hAnsi="仿宋" w:eastAsia="仿宋" w:cs="仿宋"/>
                <w:b w:val="0"/>
                <w:bCs w:val="0"/>
                <w:color w:val="auto"/>
                <w:sz w:val="18"/>
                <w:szCs w:val="18"/>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6594AC">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20</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823354">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m</w:t>
            </w:r>
          </w:p>
        </w:tc>
      </w:tr>
      <w:tr w14:paraId="211CFC72">
        <w:tblPrEx>
          <w:tblCellMar>
            <w:top w:w="0" w:type="dxa"/>
            <w:left w:w="0" w:type="dxa"/>
            <w:bottom w:w="0" w:type="dxa"/>
            <w:right w:w="0" w:type="dxa"/>
          </w:tblCellMar>
        </w:tblPrEx>
        <w:trPr>
          <w:trHeight w:val="34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0C5DB8">
            <w:pPr>
              <w:keepNext w:val="0"/>
              <w:keepLines w:val="0"/>
              <w:widowControl/>
              <w:suppressLineNumbers w:val="0"/>
              <w:jc w:val="center"/>
              <w:textAlignment w:val="center"/>
              <w:rPr>
                <w:rFonts w:hint="default"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12</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62240C">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过道地面开槽</w:t>
            </w: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14:paraId="7529DC87">
            <w:pPr>
              <w:rPr>
                <w:rFonts w:hint="eastAsia" w:ascii="仿宋" w:hAnsi="仿宋" w:eastAsia="仿宋" w:cs="仿宋"/>
                <w:b w:val="0"/>
                <w:bCs w:val="0"/>
                <w:color w:val="auto"/>
                <w:sz w:val="18"/>
                <w:szCs w:val="18"/>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74DA01">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10</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39D31B">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m</w:t>
            </w:r>
          </w:p>
        </w:tc>
      </w:tr>
      <w:tr w14:paraId="24DEEF47">
        <w:tblPrEx>
          <w:tblCellMar>
            <w:top w:w="0" w:type="dxa"/>
            <w:left w:w="0" w:type="dxa"/>
            <w:bottom w:w="0" w:type="dxa"/>
            <w:right w:w="0" w:type="dxa"/>
          </w:tblCellMar>
        </w:tblPrEx>
        <w:trPr>
          <w:trHeight w:val="34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E6B3D4">
            <w:pPr>
              <w:keepNext w:val="0"/>
              <w:keepLines w:val="0"/>
              <w:widowControl/>
              <w:suppressLineNumbers w:val="0"/>
              <w:jc w:val="center"/>
              <w:textAlignment w:val="center"/>
              <w:rPr>
                <w:rFonts w:hint="default"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13</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47748E">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墙面顶面腻子粉刷</w:t>
            </w: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14:paraId="7AD6CDD9">
            <w:pPr>
              <w:rPr>
                <w:rFonts w:hint="eastAsia" w:ascii="仿宋" w:hAnsi="仿宋" w:eastAsia="仿宋" w:cs="仿宋"/>
                <w:b w:val="0"/>
                <w:bCs w:val="0"/>
                <w:color w:val="auto"/>
                <w:sz w:val="18"/>
                <w:szCs w:val="18"/>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294C51">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113</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2DC688">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w:t>
            </w:r>
          </w:p>
        </w:tc>
      </w:tr>
      <w:tr w14:paraId="4F3FF870">
        <w:tblPrEx>
          <w:tblCellMar>
            <w:top w:w="0" w:type="dxa"/>
            <w:left w:w="0" w:type="dxa"/>
            <w:bottom w:w="0" w:type="dxa"/>
            <w:right w:w="0" w:type="dxa"/>
          </w:tblCellMar>
        </w:tblPrEx>
        <w:trPr>
          <w:trHeight w:val="34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8EB5DE">
            <w:pPr>
              <w:keepNext w:val="0"/>
              <w:keepLines w:val="0"/>
              <w:widowControl/>
              <w:suppressLineNumbers w:val="0"/>
              <w:jc w:val="center"/>
              <w:textAlignment w:val="center"/>
              <w:rPr>
                <w:rFonts w:hint="default"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14</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031161">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乳胶漆</w:t>
            </w: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14:paraId="6FC1479B">
            <w:pPr>
              <w:rPr>
                <w:rFonts w:hint="eastAsia" w:ascii="仿宋" w:hAnsi="仿宋" w:eastAsia="仿宋" w:cs="仿宋"/>
                <w:b w:val="0"/>
                <w:bCs w:val="0"/>
                <w:color w:val="auto"/>
                <w:sz w:val="18"/>
                <w:szCs w:val="18"/>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DC6F7A">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113</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FC342E">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w:t>
            </w:r>
          </w:p>
        </w:tc>
      </w:tr>
      <w:tr w14:paraId="2397091F">
        <w:tblPrEx>
          <w:tblCellMar>
            <w:top w:w="0" w:type="dxa"/>
            <w:left w:w="0" w:type="dxa"/>
            <w:bottom w:w="0" w:type="dxa"/>
            <w:right w:w="0" w:type="dxa"/>
          </w:tblCellMar>
        </w:tblPrEx>
        <w:trPr>
          <w:trHeight w:val="34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FFF264">
            <w:pPr>
              <w:keepNext w:val="0"/>
              <w:keepLines w:val="0"/>
              <w:widowControl/>
              <w:suppressLineNumbers w:val="0"/>
              <w:jc w:val="center"/>
              <w:textAlignment w:val="center"/>
              <w:rPr>
                <w:rFonts w:hint="default"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15</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821E0F">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原墙开线管槽</w:t>
            </w: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14:paraId="1F73F4BE">
            <w:pPr>
              <w:rPr>
                <w:rFonts w:hint="eastAsia" w:ascii="仿宋" w:hAnsi="仿宋" w:eastAsia="仿宋" w:cs="仿宋"/>
                <w:b w:val="0"/>
                <w:bCs w:val="0"/>
                <w:color w:val="auto"/>
                <w:sz w:val="18"/>
                <w:szCs w:val="18"/>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10F74E">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19</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F19CA3">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m</w:t>
            </w:r>
          </w:p>
        </w:tc>
      </w:tr>
      <w:tr w14:paraId="4B4DA9B2">
        <w:tblPrEx>
          <w:tblCellMar>
            <w:top w:w="0" w:type="dxa"/>
            <w:left w:w="0" w:type="dxa"/>
            <w:bottom w:w="0" w:type="dxa"/>
            <w:right w:w="0" w:type="dxa"/>
          </w:tblCellMar>
        </w:tblPrEx>
        <w:trPr>
          <w:trHeight w:val="34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F53167">
            <w:pPr>
              <w:keepNext w:val="0"/>
              <w:keepLines w:val="0"/>
              <w:widowControl/>
              <w:suppressLineNumbers w:val="0"/>
              <w:jc w:val="center"/>
              <w:textAlignment w:val="center"/>
              <w:rPr>
                <w:rFonts w:hint="default"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16</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33B261">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更换电线，电线管穿线</w:t>
            </w: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14:paraId="2A68808A">
            <w:pPr>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lang w:val="en-US" w:eastAsia="zh-CN"/>
              </w:rPr>
              <w:t>BVR2.5</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82FAED">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35</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B936E7">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m</w:t>
            </w:r>
          </w:p>
        </w:tc>
      </w:tr>
      <w:tr w14:paraId="13EEAA69">
        <w:tblPrEx>
          <w:tblCellMar>
            <w:top w:w="0" w:type="dxa"/>
            <w:left w:w="0" w:type="dxa"/>
            <w:bottom w:w="0" w:type="dxa"/>
            <w:right w:w="0" w:type="dxa"/>
          </w:tblCellMar>
        </w:tblPrEx>
        <w:trPr>
          <w:trHeight w:val="34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BDF1FE">
            <w:pPr>
              <w:keepNext w:val="0"/>
              <w:keepLines w:val="0"/>
              <w:widowControl/>
              <w:suppressLineNumbers w:val="0"/>
              <w:jc w:val="center"/>
              <w:textAlignment w:val="center"/>
              <w:rPr>
                <w:rFonts w:hint="default"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17</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79759C">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原木踢脚拆除</w:t>
            </w: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14:paraId="3B418F30">
            <w:pPr>
              <w:rPr>
                <w:rFonts w:hint="eastAsia" w:ascii="仿宋" w:hAnsi="仿宋" w:eastAsia="仿宋" w:cs="仿宋"/>
                <w:b w:val="0"/>
                <w:bCs w:val="0"/>
                <w:color w:val="auto"/>
                <w:sz w:val="18"/>
                <w:szCs w:val="18"/>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267414">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24.75</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2B2301">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m</w:t>
            </w:r>
          </w:p>
        </w:tc>
      </w:tr>
      <w:tr w14:paraId="2E6A0143">
        <w:tblPrEx>
          <w:tblCellMar>
            <w:top w:w="0" w:type="dxa"/>
            <w:left w:w="0" w:type="dxa"/>
            <w:bottom w:w="0" w:type="dxa"/>
            <w:right w:w="0" w:type="dxa"/>
          </w:tblCellMar>
        </w:tblPrEx>
        <w:trPr>
          <w:trHeight w:val="34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8395DC">
            <w:pPr>
              <w:keepNext w:val="0"/>
              <w:keepLines w:val="0"/>
              <w:widowControl/>
              <w:suppressLineNumbers w:val="0"/>
              <w:jc w:val="center"/>
              <w:textAlignment w:val="center"/>
              <w:rPr>
                <w:rFonts w:hint="default"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18</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11D008">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更换木踢脚</w:t>
            </w: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14:paraId="126A0A6B">
            <w:pPr>
              <w:rPr>
                <w:rFonts w:hint="eastAsia" w:ascii="仿宋" w:hAnsi="仿宋" w:eastAsia="仿宋" w:cs="仿宋"/>
                <w:b w:val="0"/>
                <w:bCs w:val="0"/>
                <w:color w:val="auto"/>
                <w:sz w:val="18"/>
                <w:szCs w:val="18"/>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4C1043">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24.75</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BDB745">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m</w:t>
            </w:r>
          </w:p>
        </w:tc>
      </w:tr>
      <w:tr w14:paraId="78A8FC03">
        <w:tblPrEx>
          <w:tblCellMar>
            <w:top w:w="0" w:type="dxa"/>
            <w:left w:w="0" w:type="dxa"/>
            <w:bottom w:w="0" w:type="dxa"/>
            <w:right w:w="0" w:type="dxa"/>
          </w:tblCellMar>
        </w:tblPrEx>
        <w:trPr>
          <w:trHeight w:val="34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AF4BDF">
            <w:pPr>
              <w:keepNext w:val="0"/>
              <w:keepLines w:val="0"/>
              <w:widowControl/>
              <w:suppressLineNumbers w:val="0"/>
              <w:jc w:val="center"/>
              <w:textAlignment w:val="center"/>
              <w:rPr>
                <w:rFonts w:hint="default"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19</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7307D3">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会议室整改漏水及修整</w:t>
            </w: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14:paraId="5C8EA93E">
            <w:pPr>
              <w:rPr>
                <w:rFonts w:hint="eastAsia" w:ascii="仿宋" w:hAnsi="仿宋" w:eastAsia="仿宋" w:cs="仿宋"/>
                <w:b w:val="0"/>
                <w:bCs w:val="0"/>
                <w:color w:val="auto"/>
                <w:sz w:val="18"/>
                <w:szCs w:val="18"/>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4B345D">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1A360B">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项</w:t>
            </w:r>
          </w:p>
        </w:tc>
      </w:tr>
      <w:tr w14:paraId="1A04BE7C">
        <w:tblPrEx>
          <w:tblCellMar>
            <w:top w:w="0" w:type="dxa"/>
            <w:left w:w="0" w:type="dxa"/>
            <w:bottom w:w="0" w:type="dxa"/>
            <w:right w:w="0" w:type="dxa"/>
          </w:tblCellMar>
        </w:tblPrEx>
        <w:trPr>
          <w:trHeight w:val="34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688CB8">
            <w:pPr>
              <w:keepNext w:val="0"/>
              <w:keepLines w:val="0"/>
              <w:widowControl/>
              <w:suppressLineNumbers w:val="0"/>
              <w:jc w:val="center"/>
              <w:textAlignment w:val="center"/>
              <w:rPr>
                <w:rFonts w:hint="default"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20</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D95C91">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强电布线（化妆间、过道）</w:t>
            </w: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bottom"/>
          </w:tcPr>
          <w:p w14:paraId="074B38AE">
            <w:pPr>
              <w:rPr>
                <w:rFonts w:hint="eastAsia" w:ascii="仿宋" w:hAnsi="仿宋" w:eastAsia="仿宋" w:cs="仿宋"/>
                <w:b w:val="0"/>
                <w:bCs w:val="0"/>
                <w:color w:val="auto"/>
                <w:sz w:val="18"/>
                <w:szCs w:val="18"/>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A81F26">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48</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6A9E39">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m2</w:t>
            </w:r>
          </w:p>
        </w:tc>
      </w:tr>
      <w:tr w14:paraId="0705735C">
        <w:tblPrEx>
          <w:tblCellMar>
            <w:top w:w="0" w:type="dxa"/>
            <w:left w:w="0" w:type="dxa"/>
            <w:bottom w:w="0" w:type="dxa"/>
            <w:right w:w="0" w:type="dxa"/>
          </w:tblCellMar>
        </w:tblPrEx>
        <w:trPr>
          <w:trHeight w:val="340" w:hRule="atLeast"/>
          <w:jc w:val="center"/>
        </w:trPr>
        <w:tc>
          <w:tcPr>
            <w:tcW w:w="9423"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44A9B6">
            <w:pPr>
              <w:keepNext w:val="0"/>
              <w:keepLines w:val="0"/>
              <w:widowControl/>
              <w:suppressLineNumbers w:val="0"/>
              <w:jc w:val="both"/>
              <w:textAlignment w:val="center"/>
              <w:rPr>
                <w:rFonts w:hint="eastAsia" w:ascii="仿宋" w:hAnsi="仿宋" w:eastAsia="仿宋" w:cs="仿宋"/>
                <w:b w:val="0"/>
                <w:bCs w:val="0"/>
                <w:i w:val="0"/>
                <w:color w:val="auto"/>
                <w:kern w:val="0"/>
                <w:sz w:val="18"/>
                <w:szCs w:val="18"/>
                <w:highlight w:val="none"/>
                <w:u w:val="none"/>
                <w:lang w:val="en-US" w:eastAsia="zh-CN" w:bidi="ar"/>
              </w:rPr>
            </w:pPr>
            <w:r>
              <w:rPr>
                <w:rFonts w:hint="eastAsia" w:ascii="仿宋" w:hAnsi="仿宋" w:eastAsia="仿宋" w:cs="仿宋"/>
                <w:b/>
                <w:bCs/>
                <w:i w:val="0"/>
                <w:iCs w:val="0"/>
                <w:color w:val="auto"/>
                <w:kern w:val="0"/>
                <w:sz w:val="18"/>
                <w:szCs w:val="18"/>
                <w:highlight w:val="none"/>
                <w:u w:val="none"/>
                <w:lang w:val="en-US" w:eastAsia="zh-CN" w:bidi="ar"/>
              </w:rPr>
              <w:t>二、舞台改造</w:t>
            </w:r>
          </w:p>
        </w:tc>
      </w:tr>
      <w:tr w14:paraId="34AE2624">
        <w:tblPrEx>
          <w:tblCellMar>
            <w:top w:w="0" w:type="dxa"/>
            <w:left w:w="0" w:type="dxa"/>
            <w:bottom w:w="0" w:type="dxa"/>
            <w:right w:w="0" w:type="dxa"/>
          </w:tblCellMar>
        </w:tblPrEx>
        <w:trPr>
          <w:trHeight w:val="34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04199C">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rPr>
            </w:pPr>
            <w:r>
              <w:rPr>
                <w:rFonts w:hint="eastAsia" w:ascii="仿宋" w:hAnsi="仿宋" w:eastAsia="仿宋" w:cs="仿宋"/>
                <w:b w:val="0"/>
                <w:bCs w:val="0"/>
                <w:i w:val="0"/>
                <w:iCs w:val="0"/>
                <w:color w:val="auto"/>
                <w:kern w:val="0"/>
                <w:sz w:val="18"/>
                <w:szCs w:val="18"/>
                <w:highlight w:val="none"/>
                <w:u w:val="none"/>
                <w:lang w:val="en-US" w:eastAsia="zh-CN" w:bidi="ar"/>
              </w:rPr>
              <w:t>1</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613AA5">
            <w:pPr>
              <w:keepNext w:val="0"/>
              <w:keepLines w:val="0"/>
              <w:widowControl/>
              <w:suppressLineNumbers w:val="0"/>
              <w:jc w:val="center"/>
              <w:textAlignment w:val="center"/>
              <w:rPr>
                <w:rFonts w:hint="eastAsia" w:ascii="仿宋" w:hAnsi="仿宋" w:eastAsia="仿宋" w:cs="仿宋"/>
                <w:b w:val="0"/>
                <w:bCs w:val="0"/>
                <w:color w:val="auto"/>
                <w:kern w:val="0"/>
                <w:sz w:val="18"/>
                <w:szCs w:val="18"/>
                <w:highlight w:val="none"/>
                <w:u w:val="none"/>
                <w:lang w:bidi="ar"/>
              </w:rPr>
            </w:pPr>
            <w:r>
              <w:rPr>
                <w:rFonts w:hint="eastAsia" w:ascii="仿宋" w:hAnsi="仿宋" w:eastAsia="仿宋" w:cs="仿宋"/>
                <w:i w:val="0"/>
                <w:iCs w:val="0"/>
                <w:color w:val="auto"/>
                <w:kern w:val="0"/>
                <w:sz w:val="18"/>
                <w:szCs w:val="18"/>
                <w:highlight w:val="none"/>
                <w:u w:val="none"/>
                <w:lang w:val="en-US" w:eastAsia="zh-CN" w:bidi="ar"/>
              </w:rPr>
              <w:t>实木地板拆除</w:t>
            </w: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4A3AF7">
            <w:pPr>
              <w:jc w:val="left"/>
              <w:rPr>
                <w:rFonts w:hint="eastAsia" w:ascii="仿宋" w:hAnsi="仿宋" w:eastAsia="仿宋" w:cs="仿宋"/>
                <w:b w:val="0"/>
                <w:bCs w:val="0"/>
                <w:color w:val="auto"/>
                <w:sz w:val="18"/>
                <w:szCs w:val="18"/>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F1572B">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128.474</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4B59F9">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w:t>
            </w:r>
          </w:p>
        </w:tc>
      </w:tr>
      <w:tr w14:paraId="6B9D71F0">
        <w:tblPrEx>
          <w:tblCellMar>
            <w:top w:w="0" w:type="dxa"/>
            <w:left w:w="0" w:type="dxa"/>
            <w:bottom w:w="0" w:type="dxa"/>
            <w:right w:w="0" w:type="dxa"/>
          </w:tblCellMar>
        </w:tblPrEx>
        <w:trPr>
          <w:trHeight w:val="34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D0D623">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rPr>
            </w:pPr>
            <w:r>
              <w:rPr>
                <w:rFonts w:hint="eastAsia" w:ascii="仿宋" w:hAnsi="仿宋" w:eastAsia="仿宋" w:cs="仿宋"/>
                <w:b w:val="0"/>
                <w:bCs w:val="0"/>
                <w:i w:val="0"/>
                <w:iCs w:val="0"/>
                <w:color w:val="auto"/>
                <w:kern w:val="0"/>
                <w:sz w:val="18"/>
                <w:szCs w:val="18"/>
                <w:highlight w:val="none"/>
                <w:u w:val="none"/>
                <w:lang w:val="en-US" w:eastAsia="zh-CN" w:bidi="ar"/>
              </w:rPr>
              <w:t>2</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113ED2">
            <w:pPr>
              <w:keepNext w:val="0"/>
              <w:keepLines w:val="0"/>
              <w:widowControl/>
              <w:suppressLineNumbers w:val="0"/>
              <w:jc w:val="center"/>
              <w:textAlignment w:val="center"/>
              <w:rPr>
                <w:rFonts w:hint="eastAsia" w:ascii="仿宋" w:hAnsi="仿宋" w:eastAsia="仿宋" w:cs="仿宋"/>
                <w:b w:val="0"/>
                <w:bCs w:val="0"/>
                <w:color w:val="auto"/>
                <w:kern w:val="0"/>
                <w:sz w:val="18"/>
                <w:szCs w:val="18"/>
                <w:highlight w:val="none"/>
                <w:u w:val="none"/>
                <w:lang w:bidi="ar"/>
              </w:rPr>
            </w:pPr>
            <w:r>
              <w:rPr>
                <w:rFonts w:hint="eastAsia" w:ascii="仿宋" w:hAnsi="仿宋" w:eastAsia="仿宋" w:cs="仿宋"/>
                <w:i w:val="0"/>
                <w:iCs w:val="0"/>
                <w:color w:val="auto"/>
                <w:kern w:val="0"/>
                <w:sz w:val="18"/>
                <w:szCs w:val="18"/>
                <w:highlight w:val="none"/>
                <w:u w:val="none"/>
                <w:lang w:val="en-US" w:eastAsia="zh-CN" w:bidi="ar"/>
              </w:rPr>
              <w:t>舞台基础拆除</w:t>
            </w: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6A1335">
            <w:pPr>
              <w:keepNext w:val="0"/>
              <w:keepLines w:val="0"/>
              <w:widowControl/>
              <w:suppressLineNumbers w:val="0"/>
              <w:jc w:val="left"/>
              <w:textAlignment w:val="center"/>
              <w:rPr>
                <w:rFonts w:hint="eastAsia" w:ascii="仿宋" w:hAnsi="仿宋" w:eastAsia="仿宋" w:cs="仿宋"/>
                <w:b w:val="0"/>
                <w:bCs w:val="0"/>
                <w:color w:val="auto"/>
                <w:sz w:val="18"/>
                <w:szCs w:val="18"/>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112ECE">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128.474</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C6E365">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w:t>
            </w:r>
          </w:p>
        </w:tc>
      </w:tr>
      <w:tr w14:paraId="17EE0745">
        <w:tblPrEx>
          <w:tblCellMar>
            <w:top w:w="0" w:type="dxa"/>
            <w:left w:w="0" w:type="dxa"/>
            <w:bottom w:w="0" w:type="dxa"/>
            <w:right w:w="0" w:type="dxa"/>
          </w:tblCellMar>
        </w:tblPrEx>
        <w:trPr>
          <w:trHeight w:val="34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DD4DE6">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rPr>
            </w:pPr>
            <w:r>
              <w:rPr>
                <w:rFonts w:hint="eastAsia" w:ascii="仿宋" w:hAnsi="仿宋" w:eastAsia="仿宋" w:cs="仿宋"/>
                <w:b w:val="0"/>
                <w:bCs w:val="0"/>
                <w:i w:val="0"/>
                <w:iCs w:val="0"/>
                <w:color w:val="auto"/>
                <w:kern w:val="0"/>
                <w:sz w:val="18"/>
                <w:szCs w:val="18"/>
                <w:highlight w:val="none"/>
                <w:u w:val="none"/>
                <w:lang w:val="en-US" w:eastAsia="zh-CN" w:bidi="ar"/>
              </w:rPr>
              <w:t>3</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C52AA5">
            <w:pPr>
              <w:keepNext w:val="0"/>
              <w:keepLines w:val="0"/>
              <w:widowControl/>
              <w:suppressLineNumbers w:val="0"/>
              <w:jc w:val="center"/>
              <w:textAlignment w:val="center"/>
              <w:rPr>
                <w:rFonts w:hint="default" w:ascii="仿宋" w:hAnsi="仿宋" w:eastAsia="仿宋" w:cs="仿宋"/>
                <w:b w:val="0"/>
                <w:bCs w:val="0"/>
                <w:color w:val="auto"/>
                <w:kern w:val="0"/>
                <w:sz w:val="18"/>
                <w:szCs w:val="18"/>
                <w:highlight w:val="none"/>
                <w:u w:val="none"/>
                <w:lang w:val="en-US" w:bidi="ar"/>
              </w:rPr>
            </w:pPr>
            <w:r>
              <w:rPr>
                <w:rFonts w:hint="eastAsia" w:ascii="仿宋" w:hAnsi="仿宋" w:eastAsia="仿宋" w:cs="仿宋"/>
                <w:i w:val="0"/>
                <w:iCs w:val="0"/>
                <w:color w:val="auto"/>
                <w:kern w:val="0"/>
                <w:sz w:val="18"/>
                <w:szCs w:val="18"/>
                <w:highlight w:val="none"/>
                <w:u w:val="none"/>
                <w:lang w:val="en-US" w:eastAsia="zh-CN" w:bidi="ar"/>
              </w:rPr>
              <w:t>舞台木结构基层</w:t>
            </w: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E678C8">
            <w:pPr>
              <w:jc w:val="left"/>
              <w:rPr>
                <w:rFonts w:hint="eastAsia" w:ascii="仿宋" w:hAnsi="仿宋" w:eastAsia="仿宋" w:cs="仿宋"/>
                <w:b w:val="0"/>
                <w:bCs w:val="0"/>
                <w:color w:val="auto"/>
                <w:sz w:val="18"/>
                <w:szCs w:val="18"/>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786838">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128.474</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7400C0">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w:t>
            </w:r>
          </w:p>
        </w:tc>
      </w:tr>
      <w:tr w14:paraId="1549B594">
        <w:tblPrEx>
          <w:tblCellMar>
            <w:top w:w="0" w:type="dxa"/>
            <w:left w:w="0" w:type="dxa"/>
            <w:bottom w:w="0" w:type="dxa"/>
            <w:right w:w="0" w:type="dxa"/>
          </w:tblCellMar>
        </w:tblPrEx>
        <w:trPr>
          <w:trHeight w:val="34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6B4DCD">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rPr>
            </w:pPr>
            <w:r>
              <w:rPr>
                <w:rFonts w:hint="eastAsia" w:ascii="仿宋" w:hAnsi="仿宋" w:eastAsia="仿宋" w:cs="仿宋"/>
                <w:b w:val="0"/>
                <w:bCs w:val="0"/>
                <w:i w:val="0"/>
                <w:iCs w:val="0"/>
                <w:color w:val="auto"/>
                <w:kern w:val="0"/>
                <w:sz w:val="18"/>
                <w:szCs w:val="18"/>
                <w:highlight w:val="none"/>
                <w:u w:val="none"/>
                <w:lang w:val="en-US" w:eastAsia="zh-CN" w:bidi="ar"/>
              </w:rPr>
              <w:t>4</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279BDE">
            <w:pPr>
              <w:keepNext w:val="0"/>
              <w:keepLines w:val="0"/>
              <w:widowControl/>
              <w:suppressLineNumbers w:val="0"/>
              <w:jc w:val="center"/>
              <w:textAlignment w:val="center"/>
              <w:rPr>
                <w:rFonts w:hint="eastAsia" w:ascii="仿宋" w:hAnsi="仿宋" w:eastAsia="仿宋" w:cs="仿宋"/>
                <w:b w:val="0"/>
                <w:bCs w:val="0"/>
                <w:color w:val="auto"/>
                <w:kern w:val="0"/>
                <w:sz w:val="18"/>
                <w:szCs w:val="18"/>
                <w:highlight w:val="none"/>
                <w:u w:val="none"/>
                <w:lang w:bidi="ar"/>
              </w:rPr>
            </w:pPr>
            <w:r>
              <w:rPr>
                <w:rFonts w:hint="eastAsia" w:ascii="仿宋" w:hAnsi="仿宋" w:eastAsia="仿宋" w:cs="仿宋"/>
                <w:i w:val="0"/>
                <w:iCs w:val="0"/>
                <w:color w:val="auto"/>
                <w:kern w:val="0"/>
                <w:sz w:val="18"/>
                <w:szCs w:val="18"/>
                <w:highlight w:val="none"/>
                <w:u w:val="none"/>
                <w:lang w:val="en-US" w:eastAsia="zh-CN" w:bidi="ar"/>
              </w:rPr>
              <w:t>多层板基</w:t>
            </w: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721A07">
            <w:pPr>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lang w:val="en-US" w:eastAsia="zh-CN"/>
              </w:rPr>
              <w:t>16.5*1220*2440</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AA2C1A">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128.474</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54661E">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w:t>
            </w:r>
          </w:p>
        </w:tc>
      </w:tr>
      <w:tr w14:paraId="344F21CD">
        <w:tblPrEx>
          <w:tblCellMar>
            <w:top w:w="0" w:type="dxa"/>
            <w:left w:w="0" w:type="dxa"/>
            <w:bottom w:w="0" w:type="dxa"/>
            <w:right w:w="0" w:type="dxa"/>
          </w:tblCellMar>
        </w:tblPrEx>
        <w:trPr>
          <w:trHeight w:val="34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D22268">
            <w:pPr>
              <w:keepNext w:val="0"/>
              <w:keepLines w:val="0"/>
              <w:widowControl/>
              <w:suppressLineNumbers w:val="0"/>
              <w:jc w:val="center"/>
              <w:textAlignment w:val="center"/>
              <w:rPr>
                <w:rFonts w:hint="default"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5</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EAA742">
            <w:pPr>
              <w:keepNext w:val="0"/>
              <w:keepLines w:val="0"/>
              <w:widowControl/>
              <w:suppressLineNumbers w:val="0"/>
              <w:jc w:val="center"/>
              <w:textAlignment w:val="center"/>
              <w:rPr>
                <w:rFonts w:hint="default"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舞台地板（舞台专用）</w:t>
            </w: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B5CC7A">
            <w:pPr>
              <w:jc w:val="left"/>
              <w:rPr>
                <w:rFonts w:hint="eastAsia" w:ascii="仿宋" w:hAnsi="仿宋" w:eastAsia="仿宋" w:cs="仿宋"/>
                <w:b w:val="0"/>
                <w:bCs w:val="0"/>
                <w:color w:val="auto"/>
                <w:sz w:val="18"/>
                <w:szCs w:val="18"/>
                <w:highlight w:val="none"/>
                <w:lang w:val="en-US" w:eastAsia="zh-CN"/>
              </w:rPr>
            </w:pPr>
            <w:r>
              <w:rPr>
                <w:rFonts w:hint="eastAsia" w:ascii="仿宋" w:hAnsi="仿宋" w:eastAsia="仿宋" w:cs="仿宋"/>
                <w:b w:val="0"/>
                <w:bCs w:val="0"/>
                <w:color w:val="auto"/>
                <w:sz w:val="18"/>
                <w:szCs w:val="18"/>
                <w:highlight w:val="none"/>
                <w:lang w:val="en-US" w:eastAsia="zh-CN"/>
              </w:rPr>
              <w:t>1、拆除原有舞台旧地板，将旧地板搬出小剧场；</w:t>
            </w:r>
          </w:p>
          <w:p w14:paraId="4B839DCD">
            <w:pPr>
              <w:jc w:val="left"/>
              <w:rPr>
                <w:rFonts w:hint="eastAsia" w:ascii="仿宋" w:hAnsi="仿宋" w:eastAsia="仿宋" w:cs="仿宋"/>
                <w:b w:val="0"/>
                <w:bCs w:val="0"/>
                <w:color w:val="auto"/>
                <w:sz w:val="18"/>
                <w:szCs w:val="18"/>
                <w:highlight w:val="none"/>
                <w:lang w:val="en-US" w:eastAsia="zh-CN"/>
              </w:rPr>
            </w:pPr>
            <w:r>
              <w:rPr>
                <w:rFonts w:hint="eastAsia" w:ascii="仿宋" w:hAnsi="仿宋" w:eastAsia="仿宋" w:cs="仿宋"/>
                <w:b w:val="0"/>
                <w:bCs w:val="0"/>
                <w:color w:val="auto"/>
                <w:sz w:val="18"/>
                <w:szCs w:val="18"/>
                <w:highlight w:val="none"/>
                <w:lang w:val="en-US" w:eastAsia="zh-CN"/>
              </w:rPr>
              <w:t>2、拆除白蚁蛀过的木龙骨，将旧龙工搬出小剧场；</w:t>
            </w:r>
          </w:p>
          <w:p w14:paraId="159BD35E">
            <w:pPr>
              <w:jc w:val="left"/>
              <w:rPr>
                <w:rFonts w:hint="eastAsia" w:ascii="仿宋" w:hAnsi="仿宋" w:eastAsia="仿宋" w:cs="仿宋"/>
                <w:b w:val="0"/>
                <w:bCs w:val="0"/>
                <w:color w:val="auto"/>
                <w:sz w:val="18"/>
                <w:szCs w:val="18"/>
                <w:highlight w:val="none"/>
                <w:lang w:val="en-US" w:eastAsia="zh-CN"/>
              </w:rPr>
            </w:pPr>
            <w:r>
              <w:rPr>
                <w:rFonts w:hint="eastAsia" w:ascii="仿宋" w:hAnsi="仿宋" w:eastAsia="仿宋" w:cs="仿宋"/>
                <w:b w:val="0"/>
                <w:bCs w:val="0"/>
                <w:color w:val="auto"/>
                <w:sz w:val="18"/>
                <w:szCs w:val="18"/>
                <w:highlight w:val="none"/>
                <w:lang w:val="en-US" w:eastAsia="zh-CN"/>
              </w:rPr>
              <w:t>3、舞台底下台仓卫生清理，等待用户做预防白蚁措施；</w:t>
            </w:r>
          </w:p>
          <w:p w14:paraId="2AECEE66">
            <w:pPr>
              <w:jc w:val="left"/>
              <w:rPr>
                <w:rFonts w:hint="eastAsia" w:ascii="仿宋" w:hAnsi="仿宋" w:eastAsia="仿宋" w:cs="仿宋"/>
                <w:b w:val="0"/>
                <w:bCs w:val="0"/>
                <w:color w:val="auto"/>
                <w:sz w:val="18"/>
                <w:szCs w:val="18"/>
                <w:highlight w:val="none"/>
                <w:lang w:val="en-US" w:eastAsia="zh-CN"/>
              </w:rPr>
            </w:pPr>
            <w:r>
              <w:rPr>
                <w:rFonts w:hint="eastAsia" w:ascii="仿宋" w:hAnsi="仿宋" w:eastAsia="仿宋" w:cs="仿宋"/>
                <w:b w:val="0"/>
                <w:bCs w:val="0"/>
                <w:color w:val="auto"/>
                <w:sz w:val="18"/>
                <w:szCs w:val="18"/>
                <w:highlight w:val="none"/>
                <w:lang w:val="en-US" w:eastAsia="zh-CN"/>
              </w:rPr>
              <w:t>4、安装舞台基础木龙骨（100mm*50mm木龙骨，防火防潮防霉处理），共128.74平米；</w:t>
            </w:r>
          </w:p>
          <w:p w14:paraId="31F3167C">
            <w:pPr>
              <w:jc w:val="left"/>
              <w:rPr>
                <w:rFonts w:hint="eastAsia" w:ascii="仿宋" w:hAnsi="仿宋" w:eastAsia="仿宋" w:cs="仿宋"/>
                <w:b w:val="0"/>
                <w:bCs w:val="0"/>
                <w:color w:val="auto"/>
                <w:sz w:val="18"/>
                <w:szCs w:val="18"/>
                <w:highlight w:val="none"/>
                <w:lang w:val="en-US" w:eastAsia="zh-CN"/>
              </w:rPr>
            </w:pPr>
            <w:r>
              <w:rPr>
                <w:rFonts w:hint="eastAsia" w:ascii="仿宋" w:hAnsi="仿宋" w:eastAsia="仿宋" w:cs="仿宋"/>
                <w:b w:val="0"/>
                <w:bCs w:val="0"/>
                <w:color w:val="auto"/>
                <w:sz w:val="18"/>
                <w:szCs w:val="18"/>
                <w:highlight w:val="none"/>
                <w:lang w:val="en-US" w:eastAsia="zh-CN"/>
              </w:rPr>
              <w:t>5、安装舞台毛地板（2.44m*1.22m，18mm厚多层板，防火防潮防霉处理），共48张；</w:t>
            </w:r>
          </w:p>
          <w:p w14:paraId="27A06D16">
            <w:pPr>
              <w:jc w:val="left"/>
              <w:rPr>
                <w:rFonts w:hint="eastAsia" w:ascii="仿宋" w:hAnsi="仿宋" w:eastAsia="仿宋" w:cs="仿宋"/>
                <w:b w:val="0"/>
                <w:bCs w:val="0"/>
                <w:color w:val="auto"/>
                <w:sz w:val="18"/>
                <w:szCs w:val="18"/>
                <w:highlight w:val="none"/>
                <w:lang w:val="en-US" w:eastAsia="zh-CN"/>
              </w:rPr>
            </w:pPr>
            <w:r>
              <w:rPr>
                <w:rFonts w:hint="eastAsia" w:ascii="仿宋" w:hAnsi="仿宋" w:eastAsia="仿宋" w:cs="仿宋"/>
                <w:b w:val="0"/>
                <w:bCs w:val="0"/>
                <w:color w:val="auto"/>
                <w:sz w:val="18"/>
                <w:szCs w:val="18"/>
                <w:highlight w:val="none"/>
                <w:lang w:val="en-US" w:eastAsia="zh-CN"/>
              </w:rPr>
              <w:t>6、安装舞台木地板（成型实木地板，厚18mm，提供实木地板样品，由用户选择确定），共136m²；</w:t>
            </w:r>
          </w:p>
          <w:p w14:paraId="0F513FC1">
            <w:pPr>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lang w:val="en-US" w:eastAsia="zh-CN"/>
              </w:rPr>
              <w:t>7、安装木地板与水泥地面伸缩缝压条，台口脚灯槽地板压边条（定制，地板原木纹），共约52米</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F9F317">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128.474</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9CAAE2">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w:t>
            </w:r>
          </w:p>
        </w:tc>
      </w:tr>
      <w:tr w14:paraId="6FD44B3E">
        <w:tblPrEx>
          <w:tblCellMar>
            <w:top w:w="0" w:type="dxa"/>
            <w:left w:w="0" w:type="dxa"/>
            <w:bottom w:w="0" w:type="dxa"/>
            <w:right w:w="0" w:type="dxa"/>
          </w:tblCellMar>
        </w:tblPrEx>
        <w:trPr>
          <w:trHeight w:val="34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68B564">
            <w:pPr>
              <w:keepNext w:val="0"/>
              <w:keepLines w:val="0"/>
              <w:widowControl/>
              <w:suppressLineNumbers w:val="0"/>
              <w:jc w:val="center"/>
              <w:textAlignment w:val="center"/>
              <w:rPr>
                <w:rFonts w:hint="default"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6</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8E79ED">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舞台侧边小楼梯基层</w:t>
            </w: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D590D5">
            <w:pPr>
              <w:jc w:val="left"/>
              <w:rPr>
                <w:rFonts w:hint="eastAsia" w:ascii="仿宋" w:hAnsi="仿宋" w:eastAsia="仿宋" w:cs="仿宋"/>
                <w:b w:val="0"/>
                <w:bCs w:val="0"/>
                <w:color w:val="auto"/>
                <w:sz w:val="18"/>
                <w:szCs w:val="18"/>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A57B01">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2</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E65405">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套</w:t>
            </w:r>
          </w:p>
        </w:tc>
      </w:tr>
      <w:tr w14:paraId="642E0CCA">
        <w:tblPrEx>
          <w:tblCellMar>
            <w:top w:w="0" w:type="dxa"/>
            <w:left w:w="0" w:type="dxa"/>
            <w:bottom w:w="0" w:type="dxa"/>
            <w:right w:w="0" w:type="dxa"/>
          </w:tblCellMar>
        </w:tblPrEx>
        <w:trPr>
          <w:trHeight w:val="34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E75067">
            <w:pPr>
              <w:keepNext w:val="0"/>
              <w:keepLines w:val="0"/>
              <w:widowControl/>
              <w:suppressLineNumbers w:val="0"/>
              <w:jc w:val="center"/>
              <w:textAlignment w:val="center"/>
              <w:rPr>
                <w:rFonts w:hint="default"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7</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BCE460">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舞台侧边小楼梯木地板面层</w:t>
            </w: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05B128">
            <w:pPr>
              <w:jc w:val="left"/>
              <w:rPr>
                <w:rFonts w:hint="eastAsia" w:ascii="仿宋" w:hAnsi="仿宋" w:eastAsia="仿宋" w:cs="仿宋"/>
                <w:b w:val="0"/>
                <w:bCs w:val="0"/>
                <w:color w:val="auto"/>
                <w:sz w:val="18"/>
                <w:szCs w:val="18"/>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0E1557">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2</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33BF92">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项</w:t>
            </w:r>
          </w:p>
        </w:tc>
      </w:tr>
      <w:tr w14:paraId="019D9E3C">
        <w:tblPrEx>
          <w:tblCellMar>
            <w:top w:w="0" w:type="dxa"/>
            <w:left w:w="0" w:type="dxa"/>
            <w:bottom w:w="0" w:type="dxa"/>
            <w:right w:w="0" w:type="dxa"/>
          </w:tblCellMar>
        </w:tblPrEx>
        <w:trPr>
          <w:trHeight w:val="34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D2F426">
            <w:pPr>
              <w:keepNext w:val="0"/>
              <w:keepLines w:val="0"/>
              <w:widowControl/>
              <w:suppressLineNumbers w:val="0"/>
              <w:jc w:val="center"/>
              <w:textAlignment w:val="center"/>
              <w:rPr>
                <w:rFonts w:hint="default"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8</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F86F46">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舞台幕布（三道）</w:t>
            </w: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69FD09">
            <w:pPr>
              <w:jc w:val="left"/>
              <w:rPr>
                <w:rFonts w:hint="eastAsia" w:ascii="仿宋" w:hAnsi="仿宋" w:eastAsia="仿宋" w:cs="仿宋"/>
                <w:b w:val="0"/>
                <w:bCs w:val="0"/>
                <w:color w:val="auto"/>
                <w:sz w:val="18"/>
                <w:szCs w:val="18"/>
                <w:highlight w:val="none"/>
                <w:lang w:val="en-US" w:eastAsia="zh-CN"/>
              </w:rPr>
            </w:pPr>
            <w:r>
              <w:rPr>
                <w:rFonts w:hint="eastAsia" w:ascii="仿宋" w:hAnsi="仿宋" w:eastAsia="仿宋" w:cs="仿宋"/>
                <w:b w:val="0"/>
                <w:bCs w:val="0"/>
                <w:color w:val="auto"/>
                <w:sz w:val="18"/>
                <w:szCs w:val="18"/>
                <w:highlight w:val="none"/>
                <w:lang w:val="en-US" w:eastAsia="zh-CN"/>
              </w:rPr>
              <w:t>1、尺寸：宽2m*8m；</w:t>
            </w:r>
          </w:p>
          <w:p w14:paraId="78D0B2BD">
            <w:pPr>
              <w:jc w:val="left"/>
              <w:rPr>
                <w:rFonts w:hint="eastAsia" w:ascii="仿宋" w:hAnsi="仿宋" w:eastAsia="仿宋" w:cs="仿宋"/>
                <w:b w:val="0"/>
                <w:bCs w:val="0"/>
                <w:color w:val="auto"/>
                <w:sz w:val="18"/>
                <w:szCs w:val="18"/>
                <w:highlight w:val="none"/>
                <w:lang w:val="en-US" w:eastAsia="zh-CN"/>
              </w:rPr>
            </w:pPr>
            <w:r>
              <w:rPr>
                <w:rFonts w:hint="eastAsia" w:ascii="仿宋" w:hAnsi="仿宋" w:eastAsia="仿宋" w:cs="仿宋"/>
                <w:b w:val="0"/>
                <w:bCs w:val="0"/>
                <w:color w:val="auto"/>
                <w:sz w:val="18"/>
                <w:szCs w:val="18"/>
                <w:highlight w:val="none"/>
                <w:lang w:val="en-US" w:eastAsia="zh-CN"/>
              </w:rPr>
              <w:t>2、褶比3：1；</w:t>
            </w:r>
          </w:p>
          <w:p w14:paraId="7B715204">
            <w:pPr>
              <w:jc w:val="left"/>
              <w:rPr>
                <w:rFonts w:hint="eastAsia" w:ascii="仿宋" w:hAnsi="仿宋" w:eastAsia="仿宋" w:cs="仿宋"/>
                <w:b w:val="0"/>
                <w:bCs w:val="0"/>
                <w:color w:val="auto"/>
                <w:sz w:val="18"/>
                <w:szCs w:val="18"/>
                <w:highlight w:val="none"/>
                <w:lang w:val="en-US" w:eastAsia="zh-CN"/>
              </w:rPr>
            </w:pPr>
            <w:r>
              <w:rPr>
                <w:rFonts w:hint="eastAsia" w:ascii="仿宋" w:hAnsi="仿宋" w:eastAsia="仿宋" w:cs="仿宋"/>
                <w:b w:val="0"/>
                <w:bCs w:val="0"/>
                <w:color w:val="auto"/>
                <w:sz w:val="18"/>
                <w:szCs w:val="18"/>
                <w:highlight w:val="none"/>
                <w:lang w:val="en-US" w:eastAsia="zh-CN"/>
              </w:rPr>
              <w:t>3、面料：墨绿天鹅绒（300克/m²）；</w:t>
            </w:r>
          </w:p>
          <w:p w14:paraId="56EA0ACB">
            <w:pPr>
              <w:jc w:val="left"/>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lang w:val="en-US" w:eastAsia="zh-CN"/>
              </w:rPr>
              <w:t>4、阻燃B1级浸染。</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8EEB72">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673.2</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F59A19">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w:t>
            </w:r>
          </w:p>
        </w:tc>
      </w:tr>
      <w:tr w14:paraId="79884579">
        <w:tblPrEx>
          <w:tblCellMar>
            <w:top w:w="0" w:type="dxa"/>
            <w:left w:w="0" w:type="dxa"/>
            <w:bottom w:w="0" w:type="dxa"/>
            <w:right w:w="0" w:type="dxa"/>
          </w:tblCellMar>
        </w:tblPrEx>
        <w:trPr>
          <w:trHeight w:val="34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0740BC">
            <w:pPr>
              <w:keepNext w:val="0"/>
              <w:keepLines w:val="0"/>
              <w:widowControl/>
              <w:suppressLineNumbers w:val="0"/>
              <w:jc w:val="center"/>
              <w:textAlignment w:val="center"/>
              <w:rPr>
                <w:rFonts w:hint="default"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9</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E873AC">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会议台布</w:t>
            </w: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44E278">
            <w:pPr>
              <w:jc w:val="left"/>
              <w:rPr>
                <w:rFonts w:hint="eastAsia" w:ascii="仿宋" w:hAnsi="仿宋" w:eastAsia="仿宋" w:cs="仿宋"/>
                <w:b w:val="0"/>
                <w:bCs w:val="0"/>
                <w:color w:val="auto"/>
                <w:sz w:val="18"/>
                <w:szCs w:val="18"/>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34B999">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80</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B5D1AA">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w:t>
            </w:r>
          </w:p>
        </w:tc>
      </w:tr>
      <w:tr w14:paraId="0EFD4315">
        <w:tblPrEx>
          <w:tblCellMar>
            <w:top w:w="0" w:type="dxa"/>
            <w:left w:w="0" w:type="dxa"/>
            <w:bottom w:w="0" w:type="dxa"/>
            <w:right w:w="0" w:type="dxa"/>
          </w:tblCellMar>
        </w:tblPrEx>
        <w:trPr>
          <w:trHeight w:val="340" w:hRule="atLeast"/>
          <w:jc w:val="center"/>
        </w:trPr>
        <w:tc>
          <w:tcPr>
            <w:tcW w:w="9423"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7049A9">
            <w:pPr>
              <w:keepNext w:val="0"/>
              <w:keepLines w:val="0"/>
              <w:widowControl/>
              <w:suppressLineNumbers w:val="0"/>
              <w:jc w:val="both"/>
              <w:textAlignment w:val="center"/>
              <w:rPr>
                <w:rFonts w:hint="default"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bCs/>
                <w:i w:val="0"/>
                <w:iCs w:val="0"/>
                <w:color w:val="auto"/>
                <w:kern w:val="0"/>
                <w:sz w:val="18"/>
                <w:szCs w:val="18"/>
                <w:highlight w:val="none"/>
                <w:u w:val="none"/>
                <w:lang w:val="en-US" w:eastAsia="zh-CN" w:bidi="ar"/>
              </w:rPr>
              <w:t>三、防水工程</w:t>
            </w:r>
          </w:p>
        </w:tc>
      </w:tr>
      <w:tr w14:paraId="3E90C28B">
        <w:tblPrEx>
          <w:tblCellMar>
            <w:top w:w="0" w:type="dxa"/>
            <w:left w:w="0" w:type="dxa"/>
            <w:bottom w:w="0" w:type="dxa"/>
            <w:right w:w="0" w:type="dxa"/>
          </w:tblCellMar>
        </w:tblPrEx>
        <w:trPr>
          <w:trHeight w:val="34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43F800">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lang w:eastAsia="zh-CN"/>
              </w:rPr>
            </w:pPr>
            <w:r>
              <w:rPr>
                <w:rFonts w:hint="eastAsia" w:ascii="仿宋" w:hAnsi="仿宋" w:eastAsia="仿宋" w:cs="仿宋"/>
                <w:b w:val="0"/>
                <w:bCs w:val="0"/>
                <w:i w:val="0"/>
                <w:iCs w:val="0"/>
                <w:color w:val="auto"/>
                <w:kern w:val="0"/>
                <w:sz w:val="18"/>
                <w:szCs w:val="18"/>
                <w:highlight w:val="none"/>
                <w:u w:val="none"/>
                <w:lang w:val="en-US" w:eastAsia="zh-CN" w:bidi="ar"/>
              </w:rPr>
              <w:t>1</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2CB7E7">
            <w:pPr>
              <w:keepNext w:val="0"/>
              <w:keepLines w:val="0"/>
              <w:widowControl/>
              <w:suppressLineNumbers w:val="0"/>
              <w:jc w:val="center"/>
              <w:textAlignment w:val="center"/>
              <w:rPr>
                <w:rFonts w:hint="eastAsia" w:ascii="仿宋" w:hAnsi="仿宋" w:eastAsia="仿宋" w:cs="仿宋"/>
                <w:b w:val="0"/>
                <w:bCs w:val="0"/>
                <w:color w:val="auto"/>
                <w:kern w:val="0"/>
                <w:sz w:val="18"/>
                <w:szCs w:val="18"/>
                <w:highlight w:val="none"/>
                <w:u w:val="none"/>
                <w:lang w:bidi="ar"/>
              </w:rPr>
            </w:pPr>
            <w:r>
              <w:rPr>
                <w:rFonts w:hint="eastAsia" w:ascii="仿宋" w:hAnsi="仿宋" w:eastAsia="仿宋" w:cs="仿宋"/>
                <w:i w:val="0"/>
                <w:iCs w:val="0"/>
                <w:color w:val="auto"/>
                <w:kern w:val="0"/>
                <w:sz w:val="18"/>
                <w:szCs w:val="18"/>
                <w:highlight w:val="none"/>
                <w:u w:val="none"/>
                <w:lang w:val="en-US" w:eastAsia="zh-CN" w:bidi="ar"/>
              </w:rPr>
              <w:t>空调设备平台清理、修补</w:t>
            </w: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00344F">
            <w:pPr>
              <w:jc w:val="left"/>
              <w:rPr>
                <w:rFonts w:hint="eastAsia" w:ascii="仿宋" w:hAnsi="仿宋" w:eastAsia="仿宋" w:cs="仿宋"/>
                <w:b w:val="0"/>
                <w:bCs w:val="0"/>
                <w:color w:val="auto"/>
                <w:sz w:val="18"/>
                <w:szCs w:val="18"/>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72BAD9">
            <w:pPr>
              <w:keepNext w:val="0"/>
              <w:keepLines w:val="0"/>
              <w:widowControl/>
              <w:suppressLineNumbers w:val="0"/>
              <w:jc w:val="center"/>
              <w:textAlignment w:val="center"/>
              <w:rPr>
                <w:rFonts w:hint="eastAsia" w:ascii="仿宋" w:hAnsi="仿宋" w:eastAsia="仿宋" w:cs="仿宋"/>
                <w:b w:val="0"/>
                <w:bCs w:val="0"/>
                <w:color w:val="auto"/>
                <w:kern w:val="0"/>
                <w:sz w:val="18"/>
                <w:szCs w:val="18"/>
                <w:highlight w:val="none"/>
                <w:u w:val="none"/>
                <w:lang w:bidi="ar"/>
              </w:rPr>
            </w:pPr>
            <w:r>
              <w:rPr>
                <w:rFonts w:hint="eastAsia" w:ascii="仿宋" w:hAnsi="仿宋" w:eastAsia="仿宋" w:cs="仿宋"/>
                <w:i w:val="0"/>
                <w:iCs w:val="0"/>
                <w:color w:val="auto"/>
                <w:kern w:val="0"/>
                <w:sz w:val="18"/>
                <w:szCs w:val="18"/>
                <w:highlight w:val="none"/>
                <w:u w:val="none"/>
                <w:lang w:val="en-US" w:eastAsia="zh-CN"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51BCDD">
            <w:pPr>
              <w:keepNext w:val="0"/>
              <w:keepLines w:val="0"/>
              <w:widowControl/>
              <w:suppressLineNumbers w:val="0"/>
              <w:jc w:val="center"/>
              <w:textAlignment w:val="center"/>
              <w:rPr>
                <w:rFonts w:hint="eastAsia" w:ascii="仿宋" w:hAnsi="仿宋" w:eastAsia="仿宋" w:cs="仿宋"/>
                <w:b w:val="0"/>
                <w:bCs w:val="0"/>
                <w:color w:val="auto"/>
                <w:kern w:val="0"/>
                <w:sz w:val="18"/>
                <w:szCs w:val="18"/>
                <w:highlight w:val="none"/>
                <w:u w:val="none"/>
                <w:lang w:bidi="ar"/>
              </w:rPr>
            </w:pPr>
            <w:r>
              <w:rPr>
                <w:rFonts w:hint="eastAsia" w:ascii="仿宋" w:hAnsi="仿宋" w:eastAsia="仿宋" w:cs="仿宋"/>
                <w:i w:val="0"/>
                <w:iCs w:val="0"/>
                <w:color w:val="auto"/>
                <w:kern w:val="0"/>
                <w:sz w:val="18"/>
                <w:szCs w:val="18"/>
                <w:highlight w:val="none"/>
                <w:u w:val="none"/>
                <w:lang w:val="en-US" w:eastAsia="zh-CN" w:bidi="ar"/>
              </w:rPr>
              <w:t>项</w:t>
            </w:r>
          </w:p>
        </w:tc>
      </w:tr>
      <w:tr w14:paraId="63B62C0A">
        <w:tblPrEx>
          <w:tblCellMar>
            <w:top w:w="0" w:type="dxa"/>
            <w:left w:w="0" w:type="dxa"/>
            <w:bottom w:w="0" w:type="dxa"/>
            <w:right w:w="0" w:type="dxa"/>
          </w:tblCellMar>
        </w:tblPrEx>
        <w:trPr>
          <w:trHeight w:val="399"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1119E6">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rPr>
            </w:pPr>
            <w:r>
              <w:rPr>
                <w:rFonts w:hint="eastAsia" w:ascii="仿宋" w:hAnsi="仿宋" w:eastAsia="仿宋" w:cs="仿宋"/>
                <w:b w:val="0"/>
                <w:bCs w:val="0"/>
                <w:i w:val="0"/>
                <w:iCs w:val="0"/>
                <w:color w:val="auto"/>
                <w:kern w:val="0"/>
                <w:sz w:val="18"/>
                <w:szCs w:val="18"/>
                <w:highlight w:val="none"/>
                <w:u w:val="none"/>
                <w:lang w:val="en-US" w:eastAsia="zh-CN" w:bidi="ar"/>
              </w:rPr>
              <w:t>2</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3C60EE">
            <w:pPr>
              <w:keepNext w:val="0"/>
              <w:keepLines w:val="0"/>
              <w:widowControl/>
              <w:suppressLineNumbers w:val="0"/>
              <w:jc w:val="center"/>
              <w:textAlignment w:val="center"/>
              <w:rPr>
                <w:rFonts w:hint="default" w:ascii="仿宋" w:hAnsi="仿宋" w:eastAsia="仿宋" w:cs="仿宋"/>
                <w:b w:val="0"/>
                <w:bCs w:val="0"/>
                <w:color w:val="auto"/>
                <w:kern w:val="0"/>
                <w:sz w:val="18"/>
                <w:szCs w:val="18"/>
                <w:highlight w:val="none"/>
                <w:u w:val="none"/>
                <w:lang w:val="en-US" w:bidi="ar"/>
              </w:rPr>
            </w:pPr>
            <w:r>
              <w:rPr>
                <w:rFonts w:hint="eastAsia" w:ascii="仿宋" w:hAnsi="仿宋" w:eastAsia="仿宋" w:cs="仿宋"/>
                <w:i w:val="0"/>
                <w:iCs w:val="0"/>
                <w:color w:val="auto"/>
                <w:kern w:val="0"/>
                <w:sz w:val="18"/>
                <w:szCs w:val="18"/>
                <w:highlight w:val="none"/>
                <w:u w:val="none"/>
                <w:lang w:val="en-US" w:eastAsia="zh-CN" w:bidi="ar"/>
              </w:rPr>
              <w:t>平台基面清理（固沙剂）</w:t>
            </w: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31F9C0">
            <w:pPr>
              <w:jc w:val="left"/>
              <w:rPr>
                <w:rFonts w:hint="eastAsia" w:ascii="仿宋" w:hAnsi="仿宋" w:eastAsia="仿宋" w:cs="仿宋"/>
                <w:b w:val="0"/>
                <w:bCs w:val="0"/>
                <w:color w:val="auto"/>
                <w:sz w:val="18"/>
                <w:szCs w:val="18"/>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A324D1">
            <w:pPr>
              <w:keepNext w:val="0"/>
              <w:keepLines w:val="0"/>
              <w:widowControl/>
              <w:suppressLineNumbers w:val="0"/>
              <w:jc w:val="center"/>
              <w:textAlignment w:val="center"/>
              <w:rPr>
                <w:rFonts w:hint="eastAsia" w:ascii="仿宋" w:hAnsi="仿宋" w:eastAsia="仿宋" w:cs="仿宋"/>
                <w:b w:val="0"/>
                <w:bCs w:val="0"/>
                <w:color w:val="auto"/>
                <w:kern w:val="0"/>
                <w:sz w:val="18"/>
                <w:szCs w:val="18"/>
                <w:highlight w:val="none"/>
                <w:u w:val="none"/>
                <w:lang w:bidi="ar"/>
              </w:rPr>
            </w:pPr>
            <w:r>
              <w:rPr>
                <w:rFonts w:hint="eastAsia" w:ascii="仿宋" w:hAnsi="仿宋" w:eastAsia="仿宋" w:cs="仿宋"/>
                <w:i w:val="0"/>
                <w:iCs w:val="0"/>
                <w:color w:val="auto"/>
                <w:kern w:val="0"/>
                <w:sz w:val="18"/>
                <w:szCs w:val="18"/>
                <w:highlight w:val="none"/>
                <w:u w:val="none"/>
                <w:lang w:val="en-US" w:eastAsia="zh-CN" w:bidi="ar"/>
              </w:rPr>
              <w:t>990.5</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6A18D3">
            <w:pPr>
              <w:keepNext w:val="0"/>
              <w:keepLines w:val="0"/>
              <w:widowControl/>
              <w:suppressLineNumbers w:val="0"/>
              <w:jc w:val="center"/>
              <w:textAlignment w:val="center"/>
              <w:rPr>
                <w:rFonts w:hint="eastAsia" w:ascii="仿宋" w:hAnsi="仿宋" w:eastAsia="仿宋" w:cs="仿宋"/>
                <w:b w:val="0"/>
                <w:bCs w:val="0"/>
                <w:color w:val="auto"/>
                <w:kern w:val="0"/>
                <w:sz w:val="18"/>
                <w:szCs w:val="18"/>
                <w:highlight w:val="none"/>
                <w:u w:val="none"/>
                <w:lang w:bidi="ar"/>
              </w:rPr>
            </w:pPr>
            <w:r>
              <w:rPr>
                <w:rFonts w:hint="eastAsia" w:ascii="仿宋" w:hAnsi="仿宋" w:eastAsia="仿宋" w:cs="仿宋"/>
                <w:i w:val="0"/>
                <w:iCs w:val="0"/>
                <w:color w:val="auto"/>
                <w:kern w:val="0"/>
                <w:sz w:val="18"/>
                <w:szCs w:val="18"/>
                <w:highlight w:val="none"/>
                <w:u w:val="none"/>
                <w:lang w:val="en-US" w:eastAsia="zh-CN" w:bidi="ar"/>
              </w:rPr>
              <w:t>㎡</w:t>
            </w:r>
          </w:p>
        </w:tc>
      </w:tr>
      <w:tr w14:paraId="3661EBBA">
        <w:tblPrEx>
          <w:tblCellMar>
            <w:top w:w="0" w:type="dxa"/>
            <w:left w:w="0" w:type="dxa"/>
            <w:bottom w:w="0" w:type="dxa"/>
            <w:right w:w="0" w:type="dxa"/>
          </w:tblCellMar>
        </w:tblPrEx>
        <w:trPr>
          <w:trHeight w:val="34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E53B68">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rPr>
            </w:pPr>
            <w:r>
              <w:rPr>
                <w:rFonts w:hint="eastAsia" w:ascii="仿宋" w:hAnsi="仿宋" w:eastAsia="仿宋" w:cs="仿宋"/>
                <w:b w:val="0"/>
                <w:bCs w:val="0"/>
                <w:i w:val="0"/>
                <w:iCs w:val="0"/>
                <w:color w:val="auto"/>
                <w:kern w:val="0"/>
                <w:sz w:val="18"/>
                <w:szCs w:val="18"/>
                <w:highlight w:val="none"/>
                <w:u w:val="none"/>
                <w:lang w:val="en-US" w:eastAsia="zh-CN" w:bidi="ar"/>
              </w:rPr>
              <w:t>3</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5C33B1">
            <w:pPr>
              <w:keepNext w:val="0"/>
              <w:keepLines w:val="0"/>
              <w:widowControl/>
              <w:suppressLineNumbers w:val="0"/>
              <w:jc w:val="center"/>
              <w:textAlignment w:val="center"/>
              <w:rPr>
                <w:rFonts w:hint="eastAsia" w:ascii="仿宋" w:hAnsi="仿宋" w:eastAsia="仿宋" w:cs="仿宋"/>
                <w:b w:val="0"/>
                <w:bCs w:val="0"/>
                <w:color w:val="auto"/>
                <w:kern w:val="0"/>
                <w:sz w:val="18"/>
                <w:szCs w:val="18"/>
                <w:highlight w:val="none"/>
                <w:u w:val="none"/>
                <w:lang w:bidi="ar"/>
              </w:rPr>
            </w:pPr>
            <w:r>
              <w:rPr>
                <w:rFonts w:hint="eastAsia" w:ascii="仿宋" w:hAnsi="仿宋" w:eastAsia="仿宋" w:cs="仿宋"/>
                <w:i w:val="0"/>
                <w:iCs w:val="0"/>
                <w:color w:val="auto"/>
                <w:kern w:val="0"/>
                <w:sz w:val="18"/>
                <w:szCs w:val="18"/>
                <w:highlight w:val="none"/>
                <w:u w:val="none"/>
                <w:lang w:val="en-US" w:eastAsia="zh-CN" w:bidi="ar"/>
              </w:rPr>
              <w:t>防水涂料</w:t>
            </w: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D12399">
            <w:pPr>
              <w:keepNext w:val="0"/>
              <w:keepLines w:val="0"/>
              <w:widowControl/>
              <w:suppressLineNumbers w:val="0"/>
              <w:jc w:val="left"/>
              <w:textAlignment w:val="center"/>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lang w:val="en-US" w:eastAsia="zh-CN"/>
              </w:rPr>
              <w:t>3.0 SBS加丙烯酸防水涂料</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00325D">
            <w:pPr>
              <w:keepNext w:val="0"/>
              <w:keepLines w:val="0"/>
              <w:widowControl/>
              <w:suppressLineNumbers w:val="0"/>
              <w:jc w:val="center"/>
              <w:textAlignment w:val="center"/>
              <w:rPr>
                <w:rFonts w:hint="eastAsia" w:ascii="仿宋" w:hAnsi="仿宋" w:eastAsia="仿宋" w:cs="仿宋"/>
                <w:b w:val="0"/>
                <w:bCs w:val="0"/>
                <w:color w:val="auto"/>
                <w:kern w:val="0"/>
                <w:sz w:val="18"/>
                <w:szCs w:val="18"/>
                <w:highlight w:val="none"/>
                <w:u w:val="none"/>
                <w:lang w:bidi="ar"/>
              </w:rPr>
            </w:pPr>
            <w:r>
              <w:rPr>
                <w:rFonts w:hint="eastAsia" w:ascii="仿宋" w:hAnsi="仿宋" w:eastAsia="仿宋" w:cs="仿宋"/>
                <w:i w:val="0"/>
                <w:iCs w:val="0"/>
                <w:color w:val="auto"/>
                <w:kern w:val="0"/>
                <w:sz w:val="18"/>
                <w:szCs w:val="18"/>
                <w:highlight w:val="none"/>
                <w:u w:val="none"/>
                <w:lang w:val="en-US" w:eastAsia="zh-CN" w:bidi="ar"/>
              </w:rPr>
              <w:t>990.5</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9A267D">
            <w:pPr>
              <w:keepNext w:val="0"/>
              <w:keepLines w:val="0"/>
              <w:widowControl/>
              <w:suppressLineNumbers w:val="0"/>
              <w:jc w:val="center"/>
              <w:textAlignment w:val="center"/>
              <w:rPr>
                <w:rFonts w:hint="eastAsia" w:ascii="仿宋" w:hAnsi="仿宋" w:eastAsia="仿宋" w:cs="仿宋"/>
                <w:b w:val="0"/>
                <w:bCs w:val="0"/>
                <w:color w:val="auto"/>
                <w:kern w:val="0"/>
                <w:sz w:val="18"/>
                <w:szCs w:val="18"/>
                <w:highlight w:val="none"/>
                <w:u w:val="none"/>
                <w:lang w:bidi="ar"/>
              </w:rPr>
            </w:pPr>
            <w:r>
              <w:rPr>
                <w:rFonts w:hint="eastAsia" w:ascii="仿宋" w:hAnsi="仿宋" w:eastAsia="仿宋" w:cs="仿宋"/>
                <w:i w:val="0"/>
                <w:iCs w:val="0"/>
                <w:color w:val="auto"/>
                <w:kern w:val="0"/>
                <w:sz w:val="18"/>
                <w:szCs w:val="18"/>
                <w:highlight w:val="none"/>
                <w:u w:val="none"/>
                <w:lang w:val="en-US" w:eastAsia="zh-CN" w:bidi="ar"/>
              </w:rPr>
              <w:t>㎡</w:t>
            </w:r>
          </w:p>
        </w:tc>
      </w:tr>
      <w:tr w14:paraId="4B6DF107">
        <w:tblPrEx>
          <w:tblCellMar>
            <w:top w:w="0" w:type="dxa"/>
            <w:left w:w="0" w:type="dxa"/>
            <w:bottom w:w="0" w:type="dxa"/>
            <w:right w:w="0" w:type="dxa"/>
          </w:tblCellMar>
        </w:tblPrEx>
        <w:trPr>
          <w:trHeight w:val="34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1667EC">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4</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357F84">
            <w:pPr>
              <w:keepNext w:val="0"/>
              <w:keepLines w:val="0"/>
              <w:widowControl/>
              <w:suppressLineNumbers w:val="0"/>
              <w:jc w:val="center"/>
              <w:textAlignment w:val="center"/>
              <w:rPr>
                <w:rFonts w:hint="default"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防水注浆清理点位</w:t>
            </w: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64E1B5">
            <w:pPr>
              <w:keepNext w:val="0"/>
              <w:keepLines w:val="0"/>
              <w:widowControl/>
              <w:suppressLineNumbers w:val="0"/>
              <w:jc w:val="left"/>
              <w:textAlignment w:val="center"/>
              <w:rPr>
                <w:rFonts w:hint="eastAsia" w:ascii="仿宋" w:hAnsi="仿宋" w:eastAsia="仿宋" w:cs="仿宋"/>
                <w:b w:val="0"/>
                <w:bCs w:val="0"/>
                <w:color w:val="auto"/>
                <w:sz w:val="18"/>
                <w:szCs w:val="18"/>
                <w:highlight w:val="none"/>
              </w:rPr>
            </w:pPr>
            <w:r>
              <w:rPr>
                <w:rFonts w:hint="eastAsia" w:ascii="仿宋" w:hAnsi="仿宋" w:eastAsia="仿宋" w:cs="仿宋"/>
                <w:b w:val="0"/>
                <w:bCs w:val="0"/>
                <w:color w:val="auto"/>
                <w:sz w:val="18"/>
                <w:szCs w:val="18"/>
                <w:highlight w:val="none"/>
                <w:lang w:val="en-US" w:eastAsia="zh-CN"/>
              </w:rPr>
              <w:t>聚脲、背防砂桨加固</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CC2226">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14</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6AFA69">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点位</w:t>
            </w:r>
          </w:p>
        </w:tc>
      </w:tr>
      <w:tr w14:paraId="4D0AD980">
        <w:tblPrEx>
          <w:tblCellMar>
            <w:top w:w="0" w:type="dxa"/>
            <w:left w:w="0" w:type="dxa"/>
            <w:bottom w:w="0" w:type="dxa"/>
            <w:right w:w="0" w:type="dxa"/>
          </w:tblCellMar>
        </w:tblPrEx>
        <w:trPr>
          <w:trHeight w:val="34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F5276A">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5</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60F7B2">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顶面不锈钢排水沟</w:t>
            </w: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E28371">
            <w:pPr>
              <w:keepNext w:val="0"/>
              <w:keepLines w:val="0"/>
              <w:widowControl/>
              <w:suppressLineNumbers w:val="0"/>
              <w:jc w:val="left"/>
              <w:textAlignment w:val="center"/>
              <w:rPr>
                <w:rFonts w:hint="eastAsia" w:ascii="仿宋" w:hAnsi="仿宋" w:eastAsia="仿宋" w:cs="仿宋"/>
                <w:b w:val="0"/>
                <w:bCs w:val="0"/>
                <w:color w:val="auto"/>
                <w:sz w:val="18"/>
                <w:szCs w:val="18"/>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CBD0B7">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45.5</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CEA32C">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m</w:t>
            </w:r>
          </w:p>
        </w:tc>
      </w:tr>
      <w:tr w14:paraId="49A26E87">
        <w:tblPrEx>
          <w:tblCellMar>
            <w:top w:w="0" w:type="dxa"/>
            <w:left w:w="0" w:type="dxa"/>
            <w:bottom w:w="0" w:type="dxa"/>
            <w:right w:w="0" w:type="dxa"/>
          </w:tblCellMar>
        </w:tblPrEx>
        <w:trPr>
          <w:trHeight w:val="34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BEA83A">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6</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9742B7">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PVC排水管</w:t>
            </w: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137A87">
            <w:pPr>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line="300" w:lineRule="atLeast"/>
              <w:jc w:val="left"/>
              <w:textAlignment w:val="auto"/>
              <w:rPr>
                <w:rFonts w:hint="default" w:ascii="仿宋" w:hAnsi="仿宋" w:eastAsia="仿宋" w:cs="仿宋"/>
                <w:b w:val="0"/>
                <w:bCs w:val="0"/>
                <w:color w:val="auto"/>
                <w:sz w:val="18"/>
                <w:szCs w:val="18"/>
                <w:highlight w:val="none"/>
                <w:lang w:val="en-US"/>
              </w:rPr>
            </w:pPr>
            <w:r>
              <w:rPr>
                <w:rFonts w:hint="eastAsia" w:ascii="仿宋" w:hAnsi="仿宋" w:eastAsia="仿宋" w:cs="仿宋"/>
                <w:i w:val="0"/>
                <w:iCs w:val="0"/>
                <w:caps w:val="0"/>
                <w:color w:val="auto"/>
                <w:spacing w:val="0"/>
                <w:kern w:val="2"/>
                <w:sz w:val="18"/>
                <w:szCs w:val="18"/>
                <w:highlight w:val="none"/>
                <w:shd w:val="clear"/>
                <w:lang w:val="en-US" w:eastAsia="zh-CN" w:bidi="ar"/>
              </w:rPr>
              <w:t>外径：40cm</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EAC863">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238</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21B4B6">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m</w:t>
            </w:r>
          </w:p>
        </w:tc>
      </w:tr>
      <w:tr w14:paraId="54FDA1FD">
        <w:tblPrEx>
          <w:tblCellMar>
            <w:top w:w="0" w:type="dxa"/>
            <w:left w:w="0" w:type="dxa"/>
            <w:bottom w:w="0" w:type="dxa"/>
            <w:right w:w="0" w:type="dxa"/>
          </w:tblCellMar>
        </w:tblPrEx>
        <w:trPr>
          <w:trHeight w:val="34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F52E39">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7</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133AA3">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钢结构及彩钢顶棚拆除</w:t>
            </w: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03A607">
            <w:pPr>
              <w:keepNext w:val="0"/>
              <w:keepLines w:val="0"/>
              <w:widowControl/>
              <w:suppressLineNumbers w:val="0"/>
              <w:jc w:val="left"/>
              <w:textAlignment w:val="center"/>
              <w:rPr>
                <w:rFonts w:hint="eastAsia" w:ascii="仿宋" w:hAnsi="仿宋" w:eastAsia="仿宋" w:cs="仿宋"/>
                <w:b w:val="0"/>
                <w:bCs w:val="0"/>
                <w:color w:val="auto"/>
                <w:sz w:val="18"/>
                <w:szCs w:val="18"/>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2F8D97">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120.64</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A5A346">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w:t>
            </w:r>
          </w:p>
        </w:tc>
      </w:tr>
      <w:tr w14:paraId="262E7421">
        <w:tblPrEx>
          <w:tblCellMar>
            <w:top w:w="0" w:type="dxa"/>
            <w:left w:w="0" w:type="dxa"/>
            <w:bottom w:w="0" w:type="dxa"/>
            <w:right w:w="0" w:type="dxa"/>
          </w:tblCellMar>
        </w:tblPrEx>
        <w:trPr>
          <w:trHeight w:val="34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AC60E2">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8</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F33552">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钢结构及彩钢顶棚</w:t>
            </w: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926E94">
            <w:pPr>
              <w:keepNext w:val="0"/>
              <w:keepLines w:val="0"/>
              <w:widowControl/>
              <w:suppressLineNumbers w:val="0"/>
              <w:jc w:val="left"/>
              <w:textAlignment w:val="center"/>
              <w:rPr>
                <w:rFonts w:hint="eastAsia" w:ascii="仿宋" w:hAnsi="仿宋" w:eastAsia="仿宋" w:cs="仿宋"/>
                <w:b w:val="0"/>
                <w:bCs w:val="0"/>
                <w:color w:val="auto"/>
                <w:sz w:val="18"/>
                <w:szCs w:val="18"/>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E570FB">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120.64</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4CB718">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w:t>
            </w:r>
          </w:p>
        </w:tc>
      </w:tr>
      <w:tr w14:paraId="54C21455">
        <w:tblPrEx>
          <w:tblCellMar>
            <w:top w:w="0" w:type="dxa"/>
            <w:left w:w="0" w:type="dxa"/>
            <w:bottom w:w="0" w:type="dxa"/>
            <w:right w:w="0" w:type="dxa"/>
          </w:tblCellMar>
        </w:tblPrEx>
        <w:trPr>
          <w:trHeight w:val="34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4BDEAA">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9</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0FB3EF">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拆除原阳光房天棚</w:t>
            </w: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990C32">
            <w:pPr>
              <w:keepNext w:val="0"/>
              <w:keepLines w:val="0"/>
              <w:widowControl/>
              <w:suppressLineNumbers w:val="0"/>
              <w:jc w:val="left"/>
              <w:textAlignment w:val="center"/>
              <w:rPr>
                <w:rFonts w:hint="eastAsia" w:ascii="仿宋" w:hAnsi="仿宋" w:eastAsia="仿宋" w:cs="仿宋"/>
                <w:b w:val="0"/>
                <w:bCs w:val="0"/>
                <w:color w:val="auto"/>
                <w:sz w:val="18"/>
                <w:szCs w:val="18"/>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FE5E4F">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96.48</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1E6176">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w:t>
            </w:r>
          </w:p>
        </w:tc>
      </w:tr>
      <w:tr w14:paraId="73ACF3EF">
        <w:tblPrEx>
          <w:tblCellMar>
            <w:top w:w="0" w:type="dxa"/>
            <w:left w:w="0" w:type="dxa"/>
            <w:bottom w:w="0" w:type="dxa"/>
            <w:right w:w="0" w:type="dxa"/>
          </w:tblCellMar>
        </w:tblPrEx>
        <w:trPr>
          <w:trHeight w:val="34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0CB48E">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10</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54EA59">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原阳光房钢架及天棚安装</w:t>
            </w: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695DBA">
            <w:pPr>
              <w:keepNext w:val="0"/>
              <w:keepLines w:val="0"/>
              <w:widowControl/>
              <w:suppressLineNumbers w:val="0"/>
              <w:jc w:val="left"/>
              <w:textAlignment w:val="center"/>
              <w:rPr>
                <w:rFonts w:hint="eastAsia" w:ascii="仿宋" w:hAnsi="仿宋" w:eastAsia="仿宋" w:cs="仿宋"/>
                <w:b w:val="0"/>
                <w:bCs w:val="0"/>
                <w:color w:val="auto"/>
                <w:sz w:val="18"/>
                <w:szCs w:val="18"/>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621894">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96.48</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5442FF">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w:t>
            </w:r>
          </w:p>
        </w:tc>
      </w:tr>
      <w:tr w14:paraId="4D7B1729">
        <w:tblPrEx>
          <w:tblCellMar>
            <w:top w:w="0" w:type="dxa"/>
            <w:left w:w="0" w:type="dxa"/>
            <w:bottom w:w="0" w:type="dxa"/>
            <w:right w:w="0" w:type="dxa"/>
          </w:tblCellMar>
        </w:tblPrEx>
        <w:trPr>
          <w:trHeight w:val="34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65C8FD">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11</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1CB193">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水槽及龙头</w:t>
            </w: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337335">
            <w:pPr>
              <w:keepNext w:val="0"/>
              <w:keepLines w:val="0"/>
              <w:widowControl/>
              <w:suppressLineNumbers w:val="0"/>
              <w:jc w:val="left"/>
              <w:textAlignment w:val="center"/>
              <w:rPr>
                <w:rFonts w:hint="default" w:ascii="仿宋" w:hAnsi="仿宋" w:eastAsia="仿宋" w:cs="仿宋"/>
                <w:b w:val="0"/>
                <w:bCs w:val="0"/>
                <w:color w:val="auto"/>
                <w:sz w:val="18"/>
                <w:szCs w:val="18"/>
                <w:highlight w:val="none"/>
                <w:lang w:val="en-US" w:eastAsia="zh-CN"/>
              </w:rPr>
            </w:pPr>
            <w:r>
              <w:rPr>
                <w:rFonts w:hint="eastAsia" w:ascii="仿宋" w:hAnsi="仿宋" w:eastAsia="仿宋" w:cs="仿宋"/>
                <w:b w:val="0"/>
                <w:bCs w:val="0"/>
                <w:color w:val="auto"/>
                <w:sz w:val="18"/>
                <w:szCs w:val="18"/>
                <w:highlight w:val="none"/>
                <w:lang w:val="en-US" w:eastAsia="zh-CN"/>
              </w:rPr>
              <w:t>长宽高：42</w:t>
            </w:r>
            <w:r>
              <w:rPr>
                <w:rFonts w:hint="eastAsia" w:ascii="仿宋" w:hAnsi="仿宋" w:eastAsia="仿宋" w:cs="仿宋"/>
                <w:i w:val="0"/>
                <w:iCs w:val="0"/>
                <w:caps w:val="0"/>
                <w:color w:val="auto"/>
                <w:spacing w:val="0"/>
                <w:kern w:val="2"/>
                <w:sz w:val="18"/>
                <w:szCs w:val="18"/>
                <w:highlight w:val="none"/>
                <w:shd w:val="clear"/>
                <w:lang w:val="en-US" w:eastAsia="zh-CN" w:bidi="ar"/>
              </w:rPr>
              <w:t>cm</w:t>
            </w:r>
            <w:r>
              <w:rPr>
                <w:rFonts w:hint="eastAsia" w:ascii="仿宋" w:hAnsi="仿宋" w:eastAsia="仿宋" w:cs="仿宋"/>
                <w:b w:val="0"/>
                <w:bCs w:val="0"/>
                <w:color w:val="auto"/>
                <w:sz w:val="18"/>
                <w:szCs w:val="18"/>
                <w:highlight w:val="none"/>
                <w:lang w:val="en-US" w:eastAsia="zh-CN"/>
              </w:rPr>
              <w:t>*20</w:t>
            </w:r>
            <w:r>
              <w:rPr>
                <w:rFonts w:hint="eastAsia" w:ascii="仿宋" w:hAnsi="仿宋" w:eastAsia="仿宋" w:cs="仿宋"/>
                <w:i w:val="0"/>
                <w:iCs w:val="0"/>
                <w:caps w:val="0"/>
                <w:color w:val="auto"/>
                <w:spacing w:val="0"/>
                <w:kern w:val="2"/>
                <w:sz w:val="18"/>
                <w:szCs w:val="18"/>
                <w:highlight w:val="none"/>
                <w:shd w:val="clear"/>
                <w:lang w:val="en-US" w:eastAsia="zh-CN" w:bidi="ar"/>
              </w:rPr>
              <w:t>cm</w:t>
            </w:r>
            <w:r>
              <w:rPr>
                <w:rFonts w:hint="eastAsia" w:ascii="仿宋" w:hAnsi="仿宋" w:eastAsia="仿宋" w:cs="仿宋"/>
                <w:b w:val="0"/>
                <w:bCs w:val="0"/>
                <w:color w:val="auto"/>
                <w:sz w:val="18"/>
                <w:szCs w:val="18"/>
                <w:highlight w:val="none"/>
                <w:lang w:val="en-US" w:eastAsia="zh-CN"/>
              </w:rPr>
              <w:t>*18</w:t>
            </w:r>
            <w:r>
              <w:rPr>
                <w:rFonts w:hint="eastAsia" w:ascii="仿宋" w:hAnsi="仿宋" w:eastAsia="仿宋" w:cs="仿宋"/>
                <w:i w:val="0"/>
                <w:iCs w:val="0"/>
                <w:caps w:val="0"/>
                <w:color w:val="auto"/>
                <w:spacing w:val="0"/>
                <w:kern w:val="2"/>
                <w:sz w:val="18"/>
                <w:szCs w:val="18"/>
                <w:highlight w:val="none"/>
                <w:shd w:val="clear"/>
                <w:lang w:val="en-US" w:eastAsia="zh-CN" w:bidi="ar"/>
              </w:rPr>
              <w:t>cm</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283A01">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E63545">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套</w:t>
            </w:r>
          </w:p>
        </w:tc>
      </w:tr>
      <w:tr w14:paraId="104B36B4">
        <w:tblPrEx>
          <w:tblCellMar>
            <w:top w:w="0" w:type="dxa"/>
            <w:left w:w="0" w:type="dxa"/>
            <w:bottom w:w="0" w:type="dxa"/>
            <w:right w:w="0" w:type="dxa"/>
          </w:tblCellMar>
        </w:tblPrEx>
        <w:trPr>
          <w:trHeight w:val="340" w:hRule="atLeast"/>
          <w:jc w:val="center"/>
        </w:trPr>
        <w:tc>
          <w:tcPr>
            <w:tcW w:w="9423"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462DBB">
            <w:pPr>
              <w:keepNext w:val="0"/>
              <w:keepLines w:val="0"/>
              <w:widowControl/>
              <w:suppressLineNumbers w:val="0"/>
              <w:jc w:val="both"/>
              <w:textAlignment w:val="center"/>
              <w:rPr>
                <w:rFonts w:hint="eastAsia" w:ascii="仿宋" w:hAnsi="仿宋" w:eastAsia="仿宋" w:cs="仿宋"/>
                <w:b w:val="0"/>
                <w:bCs w:val="0"/>
                <w:color w:val="auto"/>
                <w:sz w:val="18"/>
                <w:szCs w:val="18"/>
                <w:highlight w:val="none"/>
                <w:lang w:val="en-US" w:eastAsia="zh-CN"/>
              </w:rPr>
            </w:pPr>
            <w:r>
              <w:rPr>
                <w:rFonts w:hint="eastAsia" w:ascii="仿宋" w:hAnsi="仿宋" w:eastAsia="仿宋" w:cs="仿宋"/>
                <w:b/>
                <w:bCs/>
                <w:color w:val="auto"/>
                <w:kern w:val="0"/>
                <w:sz w:val="18"/>
                <w:szCs w:val="18"/>
                <w:highlight w:val="none"/>
                <w:u w:val="none"/>
                <w:lang w:val="en-US" w:eastAsia="zh-CN" w:bidi="ar"/>
              </w:rPr>
              <w:t>四、防火门及木门</w:t>
            </w:r>
          </w:p>
        </w:tc>
      </w:tr>
      <w:tr w14:paraId="43A0B316">
        <w:tblPrEx>
          <w:tblCellMar>
            <w:top w:w="0" w:type="dxa"/>
            <w:left w:w="0" w:type="dxa"/>
            <w:bottom w:w="0" w:type="dxa"/>
            <w:right w:w="0" w:type="dxa"/>
          </w:tblCellMar>
        </w:tblPrEx>
        <w:trPr>
          <w:trHeight w:val="34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37859F">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rPr>
            </w:pPr>
            <w:r>
              <w:rPr>
                <w:rFonts w:hint="eastAsia" w:ascii="仿宋" w:hAnsi="仿宋" w:eastAsia="仿宋" w:cs="仿宋"/>
                <w:b w:val="0"/>
                <w:bCs w:val="0"/>
                <w:i w:val="0"/>
                <w:iCs w:val="0"/>
                <w:color w:val="auto"/>
                <w:kern w:val="0"/>
                <w:sz w:val="18"/>
                <w:szCs w:val="18"/>
                <w:highlight w:val="none"/>
                <w:u w:val="none"/>
                <w:lang w:val="en-US" w:eastAsia="zh-CN" w:bidi="ar"/>
              </w:rPr>
              <w:t>1</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7BCECB">
            <w:pPr>
              <w:keepNext w:val="0"/>
              <w:keepLines w:val="0"/>
              <w:widowControl/>
              <w:suppressLineNumbers w:val="0"/>
              <w:jc w:val="center"/>
              <w:textAlignment w:val="center"/>
              <w:rPr>
                <w:rFonts w:hint="eastAsia" w:ascii="仿宋" w:hAnsi="仿宋" w:eastAsia="仿宋" w:cs="仿宋"/>
                <w:b w:val="0"/>
                <w:bCs w:val="0"/>
                <w:color w:val="auto"/>
                <w:kern w:val="0"/>
                <w:sz w:val="18"/>
                <w:szCs w:val="18"/>
                <w:highlight w:val="none"/>
                <w:u w:val="none"/>
                <w:lang w:bidi="ar"/>
              </w:rPr>
            </w:pPr>
            <w:r>
              <w:rPr>
                <w:rFonts w:hint="eastAsia" w:ascii="仿宋" w:hAnsi="仿宋" w:eastAsia="仿宋" w:cs="仿宋"/>
                <w:i w:val="0"/>
                <w:iCs w:val="0"/>
                <w:color w:val="auto"/>
                <w:kern w:val="0"/>
                <w:sz w:val="18"/>
                <w:szCs w:val="18"/>
                <w:highlight w:val="none"/>
                <w:u w:val="none"/>
                <w:lang w:val="en-US" w:eastAsia="zh-CN" w:bidi="ar"/>
              </w:rPr>
              <w:t>剧场甲级防火门（含人工）</w:t>
            </w: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621815">
            <w:pPr>
              <w:jc w:val="left"/>
              <w:rPr>
                <w:rFonts w:hint="eastAsia" w:ascii="仿宋" w:hAnsi="仿宋" w:eastAsia="仿宋" w:cs="仿宋"/>
                <w:b w:val="0"/>
                <w:bCs w:val="0"/>
                <w:color w:val="auto"/>
                <w:sz w:val="18"/>
                <w:szCs w:val="18"/>
                <w:highlight w:val="none"/>
                <w:lang w:val="en-US" w:eastAsia="zh-CN"/>
              </w:rPr>
            </w:pPr>
            <w:r>
              <w:rPr>
                <w:rFonts w:hint="eastAsia" w:ascii="仿宋" w:hAnsi="仿宋" w:eastAsia="仿宋" w:cs="仿宋"/>
                <w:b w:val="0"/>
                <w:bCs w:val="0"/>
                <w:color w:val="auto"/>
                <w:sz w:val="18"/>
                <w:szCs w:val="18"/>
                <w:highlight w:val="none"/>
                <w:lang w:val="en-US" w:eastAsia="zh-CN"/>
              </w:rPr>
              <w:t>1.材质要求‌：剧场防火门的主要材质是钢材，其厚度一般应不小于1.0mm。同时，防火门的表面应采用耐磨、防腐蚀的材料进行处理，以提高其使用寿命和耐久性。</w:t>
            </w:r>
          </w:p>
          <w:p w14:paraId="1E05F0EE">
            <w:pPr>
              <w:jc w:val="left"/>
              <w:rPr>
                <w:rFonts w:hint="eastAsia" w:ascii="仿宋" w:hAnsi="仿宋" w:eastAsia="仿宋" w:cs="仿宋"/>
                <w:b w:val="0"/>
                <w:bCs w:val="0"/>
                <w:color w:val="auto"/>
                <w:sz w:val="18"/>
                <w:szCs w:val="18"/>
                <w:highlight w:val="none"/>
                <w:lang w:val="en-US" w:eastAsia="zh-CN"/>
              </w:rPr>
            </w:pPr>
            <w:r>
              <w:rPr>
                <w:rFonts w:hint="eastAsia" w:ascii="仿宋" w:hAnsi="仿宋" w:eastAsia="仿宋" w:cs="仿宋"/>
                <w:b w:val="0"/>
                <w:bCs w:val="0"/>
                <w:color w:val="auto"/>
                <w:sz w:val="18"/>
                <w:szCs w:val="18"/>
                <w:highlight w:val="none"/>
                <w:lang w:val="en-US" w:eastAsia="zh-CN"/>
              </w:rPr>
              <w:t>2.‌结构要求‌：剧场防火门的门扇应采用多层板材或者填充隔热材料，以提高其隔热性能。门框应采用合理的结构设计，以确保防火门的稳固性和密封性。门锁应采用防火锁具，以确保防火门在火灾时能够有效地关闭和锁紧。</w:t>
            </w:r>
          </w:p>
          <w:p w14:paraId="325F89BF">
            <w:pPr>
              <w:jc w:val="left"/>
              <w:rPr>
                <w:rFonts w:hint="eastAsia" w:ascii="仿宋" w:hAnsi="仿宋" w:eastAsia="仿宋" w:cs="仿宋"/>
                <w:b w:val="0"/>
                <w:bCs w:val="0"/>
                <w:color w:val="auto"/>
                <w:sz w:val="18"/>
                <w:szCs w:val="18"/>
                <w:highlight w:val="none"/>
                <w:lang w:val="en-US" w:eastAsia="zh-CN"/>
              </w:rPr>
            </w:pPr>
            <w:r>
              <w:rPr>
                <w:rFonts w:hint="eastAsia" w:ascii="仿宋" w:hAnsi="仿宋" w:eastAsia="仿宋" w:cs="仿宋"/>
                <w:b w:val="0"/>
                <w:bCs w:val="0"/>
                <w:color w:val="auto"/>
                <w:sz w:val="18"/>
                <w:szCs w:val="18"/>
                <w:highlight w:val="none"/>
                <w:lang w:val="en-US" w:eastAsia="zh-CN"/>
              </w:rPr>
              <w:t>3.‌防火等级：要求防火等级甲级（A级）防火门，以满足剧场的防火需求。</w:t>
            </w:r>
          </w:p>
          <w:p w14:paraId="64DF8F2C">
            <w:pPr>
              <w:jc w:val="left"/>
              <w:rPr>
                <w:rFonts w:hint="eastAsia" w:ascii="仿宋" w:hAnsi="仿宋" w:eastAsia="仿宋" w:cs="仿宋"/>
                <w:b w:val="0"/>
                <w:bCs w:val="0"/>
                <w:color w:val="auto"/>
                <w:sz w:val="18"/>
                <w:szCs w:val="18"/>
                <w:highlight w:val="none"/>
                <w:lang w:val="en-US" w:eastAsia="zh-CN"/>
              </w:rPr>
            </w:pPr>
            <w:r>
              <w:rPr>
                <w:rFonts w:hint="eastAsia" w:ascii="仿宋" w:hAnsi="仿宋" w:eastAsia="仿宋" w:cs="仿宋"/>
                <w:b w:val="0"/>
                <w:bCs w:val="0"/>
                <w:color w:val="auto"/>
                <w:sz w:val="18"/>
                <w:szCs w:val="18"/>
                <w:highlight w:val="none"/>
                <w:lang w:val="en-US" w:eastAsia="zh-CN"/>
              </w:rPr>
              <w:t>‌4.安装要求‌：剧场防火门的安装应由专业人员进行，安装过程中应注意保证门扇与门框的密合度，确保门扇能够完全关闭并锁紧。同时，门扇的下部应安装防火门门底，以阻止烟气和火焰的蔓延。</w:t>
            </w:r>
          </w:p>
          <w:p w14:paraId="69985A8B">
            <w:pPr>
              <w:jc w:val="left"/>
              <w:rPr>
                <w:rFonts w:hint="default" w:ascii="仿宋" w:hAnsi="仿宋" w:eastAsia="仿宋" w:cs="仿宋"/>
                <w:b w:val="0"/>
                <w:bCs w:val="0"/>
                <w:color w:val="auto"/>
                <w:sz w:val="18"/>
                <w:szCs w:val="18"/>
                <w:highlight w:val="none"/>
                <w:lang w:val="en-US" w:eastAsia="zh-CN"/>
              </w:rPr>
            </w:pPr>
            <w:r>
              <w:rPr>
                <w:rFonts w:hint="eastAsia" w:ascii="仿宋" w:hAnsi="仿宋" w:eastAsia="仿宋" w:cs="仿宋"/>
                <w:b w:val="0"/>
                <w:bCs w:val="0"/>
                <w:color w:val="auto"/>
                <w:sz w:val="18"/>
                <w:szCs w:val="18"/>
                <w:highlight w:val="none"/>
                <w:lang w:val="en-US" w:eastAsia="zh-CN"/>
              </w:rPr>
              <w:t>‌5.相关测试：剧场防火门在出厂前需要进行相关的耐火性能测试，并获得甲级（A级）产品合格证书。【证明材料：甲级（A级）产品合格证书】</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42ECA7">
            <w:pPr>
              <w:keepNext w:val="0"/>
              <w:keepLines w:val="0"/>
              <w:widowControl/>
              <w:suppressLineNumbers w:val="0"/>
              <w:jc w:val="center"/>
              <w:textAlignment w:val="center"/>
              <w:rPr>
                <w:rFonts w:hint="eastAsia" w:ascii="仿宋" w:hAnsi="仿宋" w:eastAsia="仿宋" w:cs="仿宋"/>
                <w:b w:val="0"/>
                <w:bCs w:val="0"/>
                <w:color w:val="auto"/>
                <w:kern w:val="0"/>
                <w:sz w:val="18"/>
                <w:szCs w:val="18"/>
                <w:highlight w:val="none"/>
                <w:u w:val="none"/>
                <w:lang w:bidi="ar"/>
              </w:rPr>
            </w:pPr>
            <w:r>
              <w:rPr>
                <w:rFonts w:hint="eastAsia" w:ascii="仿宋" w:hAnsi="仿宋" w:eastAsia="仿宋" w:cs="仿宋"/>
                <w:i w:val="0"/>
                <w:iCs w:val="0"/>
                <w:color w:val="auto"/>
                <w:kern w:val="0"/>
                <w:sz w:val="18"/>
                <w:szCs w:val="18"/>
                <w:highlight w:val="none"/>
                <w:u w:val="none"/>
                <w:lang w:val="en-US" w:eastAsia="zh-CN" w:bidi="ar"/>
              </w:rPr>
              <w:t>6</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68F423">
            <w:pPr>
              <w:keepNext w:val="0"/>
              <w:keepLines w:val="0"/>
              <w:widowControl/>
              <w:suppressLineNumbers w:val="0"/>
              <w:jc w:val="center"/>
              <w:textAlignment w:val="center"/>
              <w:rPr>
                <w:rFonts w:hint="eastAsia" w:ascii="仿宋" w:hAnsi="仿宋" w:eastAsia="仿宋" w:cs="仿宋"/>
                <w:b w:val="0"/>
                <w:bCs w:val="0"/>
                <w:color w:val="auto"/>
                <w:kern w:val="0"/>
                <w:sz w:val="18"/>
                <w:szCs w:val="18"/>
                <w:highlight w:val="none"/>
                <w:u w:val="none"/>
                <w:lang w:bidi="ar"/>
              </w:rPr>
            </w:pPr>
            <w:r>
              <w:rPr>
                <w:rFonts w:hint="eastAsia" w:ascii="仿宋" w:hAnsi="仿宋" w:eastAsia="仿宋" w:cs="仿宋"/>
                <w:i w:val="0"/>
                <w:iCs w:val="0"/>
                <w:color w:val="auto"/>
                <w:kern w:val="0"/>
                <w:sz w:val="18"/>
                <w:szCs w:val="18"/>
                <w:highlight w:val="none"/>
                <w:u w:val="none"/>
                <w:lang w:val="en-US" w:eastAsia="zh-CN" w:bidi="ar"/>
              </w:rPr>
              <w:t>樘</w:t>
            </w:r>
          </w:p>
        </w:tc>
      </w:tr>
      <w:tr w14:paraId="7813C4E9">
        <w:tblPrEx>
          <w:tblCellMar>
            <w:top w:w="0" w:type="dxa"/>
            <w:left w:w="0" w:type="dxa"/>
            <w:bottom w:w="0" w:type="dxa"/>
            <w:right w:w="0" w:type="dxa"/>
          </w:tblCellMar>
        </w:tblPrEx>
        <w:trPr>
          <w:trHeight w:val="34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459A2B">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rPr>
            </w:pPr>
            <w:r>
              <w:rPr>
                <w:rFonts w:hint="eastAsia" w:ascii="仿宋" w:hAnsi="仿宋" w:eastAsia="仿宋" w:cs="仿宋"/>
                <w:b w:val="0"/>
                <w:bCs w:val="0"/>
                <w:i w:val="0"/>
                <w:iCs w:val="0"/>
                <w:color w:val="auto"/>
                <w:kern w:val="0"/>
                <w:sz w:val="18"/>
                <w:szCs w:val="18"/>
                <w:highlight w:val="none"/>
                <w:u w:val="none"/>
                <w:lang w:val="en-US" w:eastAsia="zh-CN" w:bidi="ar"/>
              </w:rPr>
              <w:t>2</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A80C73">
            <w:pPr>
              <w:keepNext w:val="0"/>
              <w:keepLines w:val="0"/>
              <w:widowControl/>
              <w:suppressLineNumbers w:val="0"/>
              <w:jc w:val="center"/>
              <w:textAlignment w:val="center"/>
              <w:rPr>
                <w:rFonts w:hint="eastAsia" w:ascii="仿宋" w:hAnsi="仿宋" w:eastAsia="仿宋" w:cs="仿宋"/>
                <w:b w:val="0"/>
                <w:bCs w:val="0"/>
                <w:color w:val="auto"/>
                <w:kern w:val="0"/>
                <w:sz w:val="18"/>
                <w:szCs w:val="18"/>
                <w:highlight w:val="none"/>
                <w:u w:val="none"/>
                <w:lang w:bidi="ar"/>
              </w:rPr>
            </w:pPr>
            <w:r>
              <w:rPr>
                <w:rFonts w:hint="eastAsia" w:ascii="仿宋" w:hAnsi="仿宋" w:eastAsia="仿宋" w:cs="仿宋"/>
                <w:i w:val="0"/>
                <w:iCs w:val="0"/>
                <w:color w:val="auto"/>
                <w:kern w:val="0"/>
                <w:sz w:val="18"/>
                <w:szCs w:val="18"/>
                <w:highlight w:val="none"/>
                <w:u w:val="none"/>
                <w:lang w:val="en-US" w:eastAsia="zh-CN" w:bidi="ar"/>
              </w:rPr>
              <w:t>原防火门拆除</w:t>
            </w: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980880">
            <w:pPr>
              <w:jc w:val="left"/>
              <w:rPr>
                <w:rFonts w:hint="eastAsia" w:ascii="仿宋" w:hAnsi="仿宋" w:eastAsia="仿宋" w:cs="仿宋"/>
                <w:b w:val="0"/>
                <w:bCs w:val="0"/>
                <w:color w:val="auto"/>
                <w:sz w:val="18"/>
                <w:szCs w:val="18"/>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83ADDE">
            <w:pPr>
              <w:keepNext w:val="0"/>
              <w:keepLines w:val="0"/>
              <w:widowControl/>
              <w:suppressLineNumbers w:val="0"/>
              <w:jc w:val="center"/>
              <w:textAlignment w:val="center"/>
              <w:rPr>
                <w:rFonts w:hint="eastAsia" w:ascii="仿宋" w:hAnsi="仿宋" w:eastAsia="仿宋" w:cs="仿宋"/>
                <w:b w:val="0"/>
                <w:bCs w:val="0"/>
                <w:color w:val="auto"/>
                <w:kern w:val="0"/>
                <w:sz w:val="18"/>
                <w:szCs w:val="18"/>
                <w:highlight w:val="none"/>
                <w:u w:val="none"/>
                <w:lang w:bidi="ar"/>
              </w:rPr>
            </w:pPr>
            <w:r>
              <w:rPr>
                <w:rFonts w:hint="eastAsia" w:ascii="仿宋" w:hAnsi="仿宋" w:eastAsia="仿宋" w:cs="仿宋"/>
                <w:i w:val="0"/>
                <w:iCs w:val="0"/>
                <w:color w:val="auto"/>
                <w:kern w:val="0"/>
                <w:sz w:val="18"/>
                <w:szCs w:val="18"/>
                <w:highlight w:val="none"/>
                <w:u w:val="none"/>
                <w:lang w:val="en-US" w:eastAsia="zh-CN" w:bidi="ar"/>
              </w:rPr>
              <w:t>6</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44E473">
            <w:pPr>
              <w:keepNext w:val="0"/>
              <w:keepLines w:val="0"/>
              <w:widowControl/>
              <w:suppressLineNumbers w:val="0"/>
              <w:jc w:val="center"/>
              <w:textAlignment w:val="center"/>
              <w:rPr>
                <w:rFonts w:hint="eastAsia" w:ascii="仿宋" w:hAnsi="仿宋" w:eastAsia="仿宋" w:cs="仿宋"/>
                <w:b w:val="0"/>
                <w:bCs w:val="0"/>
                <w:color w:val="auto"/>
                <w:kern w:val="0"/>
                <w:sz w:val="18"/>
                <w:szCs w:val="18"/>
                <w:highlight w:val="none"/>
                <w:u w:val="none"/>
                <w:lang w:bidi="ar"/>
              </w:rPr>
            </w:pPr>
            <w:r>
              <w:rPr>
                <w:rFonts w:hint="eastAsia" w:ascii="仿宋" w:hAnsi="仿宋" w:eastAsia="仿宋" w:cs="仿宋"/>
                <w:i w:val="0"/>
                <w:iCs w:val="0"/>
                <w:color w:val="auto"/>
                <w:kern w:val="0"/>
                <w:sz w:val="18"/>
                <w:szCs w:val="18"/>
                <w:highlight w:val="none"/>
                <w:u w:val="none"/>
                <w:lang w:val="en-US" w:eastAsia="zh-CN" w:bidi="ar"/>
              </w:rPr>
              <w:t>樘</w:t>
            </w:r>
          </w:p>
        </w:tc>
      </w:tr>
      <w:tr w14:paraId="0C5C0089">
        <w:tblPrEx>
          <w:tblCellMar>
            <w:top w:w="0" w:type="dxa"/>
            <w:left w:w="0" w:type="dxa"/>
            <w:bottom w:w="0" w:type="dxa"/>
            <w:right w:w="0" w:type="dxa"/>
          </w:tblCellMar>
        </w:tblPrEx>
        <w:trPr>
          <w:trHeight w:val="34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80157F">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rPr>
            </w:pPr>
            <w:r>
              <w:rPr>
                <w:rFonts w:hint="eastAsia" w:ascii="仿宋" w:hAnsi="仿宋" w:eastAsia="仿宋" w:cs="仿宋"/>
                <w:b w:val="0"/>
                <w:bCs w:val="0"/>
                <w:i w:val="0"/>
                <w:iCs w:val="0"/>
                <w:color w:val="auto"/>
                <w:kern w:val="0"/>
                <w:sz w:val="18"/>
                <w:szCs w:val="18"/>
                <w:highlight w:val="none"/>
                <w:u w:val="none"/>
                <w:lang w:val="en-US" w:eastAsia="zh-CN" w:bidi="ar"/>
              </w:rPr>
              <w:t>3</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4BD07F">
            <w:pPr>
              <w:keepNext w:val="0"/>
              <w:keepLines w:val="0"/>
              <w:widowControl/>
              <w:suppressLineNumbers w:val="0"/>
              <w:jc w:val="center"/>
              <w:textAlignment w:val="center"/>
              <w:rPr>
                <w:rFonts w:hint="eastAsia" w:ascii="仿宋" w:hAnsi="仿宋" w:eastAsia="仿宋" w:cs="仿宋"/>
                <w:b w:val="0"/>
                <w:bCs w:val="0"/>
                <w:color w:val="auto"/>
                <w:kern w:val="0"/>
                <w:sz w:val="18"/>
                <w:szCs w:val="18"/>
                <w:highlight w:val="none"/>
                <w:u w:val="none"/>
                <w:lang w:bidi="ar"/>
              </w:rPr>
            </w:pPr>
            <w:r>
              <w:rPr>
                <w:rFonts w:hint="eastAsia" w:ascii="仿宋" w:hAnsi="仿宋" w:eastAsia="仿宋" w:cs="仿宋"/>
                <w:i w:val="0"/>
                <w:iCs w:val="0"/>
                <w:color w:val="auto"/>
                <w:kern w:val="0"/>
                <w:sz w:val="18"/>
                <w:szCs w:val="18"/>
                <w:highlight w:val="none"/>
                <w:u w:val="none"/>
                <w:lang w:val="en-US" w:eastAsia="zh-CN" w:bidi="ar"/>
              </w:rPr>
              <w:t>通道拆除原木门</w:t>
            </w: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07FCBD">
            <w:pPr>
              <w:jc w:val="left"/>
              <w:rPr>
                <w:rFonts w:hint="eastAsia" w:ascii="仿宋" w:hAnsi="仿宋" w:eastAsia="仿宋" w:cs="仿宋"/>
                <w:b w:val="0"/>
                <w:bCs w:val="0"/>
                <w:color w:val="auto"/>
                <w:sz w:val="18"/>
                <w:szCs w:val="18"/>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55A336">
            <w:pPr>
              <w:keepNext w:val="0"/>
              <w:keepLines w:val="0"/>
              <w:widowControl/>
              <w:suppressLineNumbers w:val="0"/>
              <w:jc w:val="center"/>
              <w:textAlignment w:val="center"/>
              <w:rPr>
                <w:rFonts w:hint="eastAsia" w:ascii="仿宋" w:hAnsi="仿宋" w:eastAsia="仿宋" w:cs="仿宋"/>
                <w:b w:val="0"/>
                <w:bCs w:val="0"/>
                <w:color w:val="auto"/>
                <w:kern w:val="0"/>
                <w:sz w:val="18"/>
                <w:szCs w:val="18"/>
                <w:highlight w:val="none"/>
                <w:u w:val="none"/>
                <w:lang w:bidi="ar"/>
              </w:rPr>
            </w:pPr>
            <w:r>
              <w:rPr>
                <w:rFonts w:hint="eastAsia" w:ascii="仿宋" w:hAnsi="仿宋" w:eastAsia="仿宋" w:cs="仿宋"/>
                <w:i w:val="0"/>
                <w:iCs w:val="0"/>
                <w:color w:val="auto"/>
                <w:kern w:val="0"/>
                <w:sz w:val="18"/>
                <w:szCs w:val="18"/>
                <w:highlight w:val="none"/>
                <w:u w:val="none"/>
                <w:lang w:val="en-US" w:eastAsia="zh-CN" w:bidi="ar"/>
              </w:rPr>
              <w:t>5</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9FD6CE">
            <w:pPr>
              <w:keepNext w:val="0"/>
              <w:keepLines w:val="0"/>
              <w:widowControl/>
              <w:suppressLineNumbers w:val="0"/>
              <w:jc w:val="center"/>
              <w:textAlignment w:val="center"/>
              <w:rPr>
                <w:rFonts w:hint="eastAsia" w:ascii="仿宋" w:hAnsi="仿宋" w:eastAsia="仿宋" w:cs="仿宋"/>
                <w:b w:val="0"/>
                <w:bCs w:val="0"/>
                <w:color w:val="auto"/>
                <w:kern w:val="0"/>
                <w:sz w:val="18"/>
                <w:szCs w:val="18"/>
                <w:highlight w:val="none"/>
                <w:u w:val="none"/>
                <w:lang w:bidi="ar"/>
              </w:rPr>
            </w:pPr>
            <w:r>
              <w:rPr>
                <w:rFonts w:hint="eastAsia" w:ascii="仿宋" w:hAnsi="仿宋" w:eastAsia="仿宋" w:cs="仿宋"/>
                <w:i w:val="0"/>
                <w:iCs w:val="0"/>
                <w:color w:val="auto"/>
                <w:kern w:val="0"/>
                <w:sz w:val="18"/>
                <w:szCs w:val="18"/>
                <w:highlight w:val="none"/>
                <w:u w:val="none"/>
                <w:lang w:val="en-US" w:eastAsia="zh-CN" w:bidi="ar"/>
              </w:rPr>
              <w:t>樘</w:t>
            </w:r>
          </w:p>
        </w:tc>
      </w:tr>
      <w:tr w14:paraId="02FD4659">
        <w:tblPrEx>
          <w:tblCellMar>
            <w:top w:w="0" w:type="dxa"/>
            <w:left w:w="0" w:type="dxa"/>
            <w:bottom w:w="0" w:type="dxa"/>
            <w:right w:w="0" w:type="dxa"/>
          </w:tblCellMar>
        </w:tblPrEx>
        <w:trPr>
          <w:trHeight w:val="34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FB6DC9">
            <w:pPr>
              <w:keepNext w:val="0"/>
              <w:keepLines w:val="0"/>
              <w:widowControl/>
              <w:suppressLineNumbers w:val="0"/>
              <w:jc w:val="center"/>
              <w:textAlignment w:val="center"/>
              <w:rPr>
                <w:rFonts w:hint="default"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4</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3C6261">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安装木门及门套</w:t>
            </w: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8B8D1C">
            <w:pPr>
              <w:jc w:val="left"/>
              <w:rPr>
                <w:rFonts w:hint="default" w:ascii="仿宋" w:hAnsi="仿宋" w:eastAsia="仿宋" w:cs="仿宋"/>
                <w:b w:val="0"/>
                <w:bCs w:val="0"/>
                <w:color w:val="auto"/>
                <w:sz w:val="18"/>
                <w:szCs w:val="18"/>
                <w:highlight w:val="none"/>
                <w:lang w:val="en-US" w:eastAsia="zh-CN"/>
              </w:rPr>
            </w:pPr>
            <w:r>
              <w:rPr>
                <w:rFonts w:hint="eastAsia" w:ascii="仿宋" w:hAnsi="仿宋" w:eastAsia="仿宋" w:cs="仿宋"/>
                <w:b w:val="0"/>
                <w:bCs w:val="0"/>
                <w:color w:val="auto"/>
                <w:sz w:val="18"/>
                <w:szCs w:val="18"/>
                <w:highlight w:val="none"/>
                <w:lang w:val="en-US" w:eastAsia="zh-CN"/>
              </w:rPr>
              <w:t>长宽：210</w:t>
            </w:r>
            <w:r>
              <w:rPr>
                <w:rFonts w:hint="eastAsia" w:ascii="仿宋" w:hAnsi="仿宋" w:eastAsia="仿宋" w:cs="仿宋"/>
                <w:i w:val="0"/>
                <w:iCs w:val="0"/>
                <w:caps w:val="0"/>
                <w:color w:val="auto"/>
                <w:spacing w:val="0"/>
                <w:kern w:val="2"/>
                <w:sz w:val="18"/>
                <w:szCs w:val="18"/>
                <w:highlight w:val="none"/>
                <w:shd w:val="clear"/>
                <w:lang w:val="en-US" w:eastAsia="zh-CN" w:bidi="ar"/>
              </w:rPr>
              <w:t>cm</w:t>
            </w:r>
            <w:r>
              <w:rPr>
                <w:rFonts w:hint="eastAsia" w:ascii="仿宋" w:hAnsi="仿宋" w:eastAsia="仿宋" w:cs="仿宋"/>
                <w:b w:val="0"/>
                <w:bCs w:val="0"/>
                <w:color w:val="auto"/>
                <w:sz w:val="18"/>
                <w:szCs w:val="18"/>
                <w:highlight w:val="none"/>
                <w:lang w:val="en-US" w:eastAsia="zh-CN"/>
              </w:rPr>
              <w:t>*92</w:t>
            </w:r>
            <w:r>
              <w:rPr>
                <w:rFonts w:hint="eastAsia" w:ascii="仿宋" w:hAnsi="仿宋" w:eastAsia="仿宋" w:cs="仿宋"/>
                <w:i w:val="0"/>
                <w:iCs w:val="0"/>
                <w:caps w:val="0"/>
                <w:color w:val="auto"/>
                <w:spacing w:val="0"/>
                <w:kern w:val="2"/>
                <w:sz w:val="18"/>
                <w:szCs w:val="18"/>
                <w:highlight w:val="none"/>
                <w:shd w:val="clear"/>
                <w:lang w:val="en-US" w:eastAsia="zh-CN" w:bidi="ar"/>
              </w:rPr>
              <w:t>cm</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130D1B">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5</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9A9297">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樘</w:t>
            </w:r>
          </w:p>
        </w:tc>
      </w:tr>
      <w:tr w14:paraId="123D0AAE">
        <w:tblPrEx>
          <w:tblCellMar>
            <w:top w:w="0" w:type="dxa"/>
            <w:left w:w="0" w:type="dxa"/>
            <w:bottom w:w="0" w:type="dxa"/>
            <w:right w:w="0" w:type="dxa"/>
          </w:tblCellMar>
        </w:tblPrEx>
        <w:trPr>
          <w:trHeight w:val="340" w:hRule="atLeast"/>
          <w:jc w:val="center"/>
        </w:trPr>
        <w:tc>
          <w:tcPr>
            <w:tcW w:w="9423"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528984">
            <w:pPr>
              <w:keepNext w:val="0"/>
              <w:keepLines w:val="0"/>
              <w:widowControl/>
              <w:suppressLineNumbers w:val="0"/>
              <w:jc w:val="both"/>
              <w:textAlignment w:val="center"/>
              <w:rPr>
                <w:rFonts w:hint="default" w:ascii="仿宋" w:hAnsi="仿宋" w:eastAsia="仿宋" w:cs="仿宋"/>
                <w:b w:val="0"/>
                <w:bCs w:val="0"/>
                <w:color w:val="auto"/>
                <w:sz w:val="18"/>
                <w:szCs w:val="18"/>
                <w:highlight w:val="none"/>
                <w:lang w:val="en-US"/>
              </w:rPr>
            </w:pPr>
            <w:r>
              <w:rPr>
                <w:rFonts w:hint="eastAsia" w:ascii="仿宋" w:hAnsi="仿宋" w:eastAsia="仿宋" w:cs="仿宋"/>
                <w:b/>
                <w:bCs/>
                <w:i w:val="0"/>
                <w:iCs w:val="0"/>
                <w:color w:val="auto"/>
                <w:kern w:val="0"/>
                <w:sz w:val="18"/>
                <w:szCs w:val="18"/>
                <w:highlight w:val="none"/>
                <w:u w:val="none"/>
                <w:lang w:val="en-US" w:eastAsia="zh-CN" w:bidi="ar"/>
              </w:rPr>
              <w:t>五、其他费用</w:t>
            </w:r>
          </w:p>
        </w:tc>
      </w:tr>
      <w:tr w14:paraId="73ADBE77">
        <w:tblPrEx>
          <w:tblCellMar>
            <w:top w:w="0" w:type="dxa"/>
            <w:left w:w="0" w:type="dxa"/>
            <w:bottom w:w="0" w:type="dxa"/>
            <w:right w:w="0" w:type="dxa"/>
          </w:tblCellMar>
        </w:tblPrEx>
        <w:trPr>
          <w:trHeight w:val="34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11EBDB">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rPr>
            </w:pPr>
            <w:r>
              <w:rPr>
                <w:rFonts w:hint="eastAsia" w:ascii="仿宋" w:hAnsi="仿宋" w:eastAsia="仿宋" w:cs="仿宋"/>
                <w:b w:val="0"/>
                <w:bCs w:val="0"/>
                <w:i w:val="0"/>
                <w:iCs w:val="0"/>
                <w:color w:val="auto"/>
                <w:kern w:val="0"/>
                <w:sz w:val="18"/>
                <w:szCs w:val="18"/>
                <w:highlight w:val="none"/>
                <w:u w:val="none"/>
                <w:lang w:val="en-US" w:eastAsia="zh-CN" w:bidi="ar"/>
              </w:rPr>
              <w:t>1</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613115">
            <w:pPr>
              <w:keepNext w:val="0"/>
              <w:keepLines w:val="0"/>
              <w:widowControl/>
              <w:suppressLineNumbers w:val="0"/>
              <w:jc w:val="center"/>
              <w:textAlignment w:val="center"/>
              <w:rPr>
                <w:rFonts w:hint="eastAsia" w:ascii="仿宋" w:hAnsi="仿宋" w:eastAsia="仿宋" w:cs="仿宋"/>
                <w:b w:val="0"/>
                <w:bCs w:val="0"/>
                <w:color w:val="auto"/>
                <w:kern w:val="0"/>
                <w:sz w:val="18"/>
                <w:szCs w:val="18"/>
                <w:highlight w:val="none"/>
                <w:u w:val="none"/>
                <w:lang w:bidi="ar"/>
              </w:rPr>
            </w:pPr>
            <w:r>
              <w:rPr>
                <w:rFonts w:hint="eastAsia" w:ascii="仿宋" w:hAnsi="仿宋" w:eastAsia="仿宋" w:cs="仿宋"/>
                <w:i w:val="0"/>
                <w:iCs w:val="0"/>
                <w:color w:val="auto"/>
                <w:kern w:val="0"/>
                <w:sz w:val="18"/>
                <w:szCs w:val="18"/>
                <w:highlight w:val="none"/>
                <w:u w:val="none"/>
                <w:lang w:val="en-US" w:eastAsia="zh-CN" w:bidi="ar"/>
              </w:rPr>
              <w:t>材料搬楼费</w:t>
            </w: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443FA3">
            <w:pPr>
              <w:jc w:val="left"/>
              <w:rPr>
                <w:rFonts w:hint="eastAsia" w:ascii="仿宋" w:hAnsi="仿宋" w:eastAsia="仿宋" w:cs="仿宋"/>
                <w:b w:val="0"/>
                <w:bCs w:val="0"/>
                <w:color w:val="auto"/>
                <w:sz w:val="18"/>
                <w:szCs w:val="18"/>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208344">
            <w:pPr>
              <w:keepNext w:val="0"/>
              <w:keepLines w:val="0"/>
              <w:widowControl/>
              <w:suppressLineNumbers w:val="0"/>
              <w:jc w:val="center"/>
              <w:textAlignment w:val="center"/>
              <w:rPr>
                <w:rFonts w:hint="eastAsia" w:ascii="仿宋" w:hAnsi="仿宋" w:eastAsia="仿宋" w:cs="仿宋"/>
                <w:b w:val="0"/>
                <w:bCs w:val="0"/>
                <w:color w:val="auto"/>
                <w:kern w:val="0"/>
                <w:sz w:val="18"/>
                <w:szCs w:val="18"/>
                <w:highlight w:val="none"/>
                <w:u w:val="none"/>
                <w:lang w:bidi="ar"/>
              </w:rPr>
            </w:pPr>
            <w:r>
              <w:rPr>
                <w:rFonts w:hint="eastAsia" w:ascii="仿宋" w:hAnsi="仿宋" w:eastAsia="仿宋" w:cs="仿宋"/>
                <w:i w:val="0"/>
                <w:iCs w:val="0"/>
                <w:color w:val="auto"/>
                <w:kern w:val="0"/>
                <w:sz w:val="18"/>
                <w:szCs w:val="18"/>
                <w:highlight w:val="none"/>
                <w:u w:val="none"/>
                <w:lang w:val="en-US" w:eastAsia="zh-CN" w:bidi="ar"/>
              </w:rPr>
              <w:t>1</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0FB044">
            <w:pPr>
              <w:keepNext w:val="0"/>
              <w:keepLines w:val="0"/>
              <w:widowControl/>
              <w:suppressLineNumbers w:val="0"/>
              <w:jc w:val="center"/>
              <w:textAlignment w:val="center"/>
              <w:rPr>
                <w:rFonts w:hint="eastAsia" w:ascii="仿宋" w:hAnsi="仿宋" w:eastAsia="仿宋" w:cs="仿宋"/>
                <w:b w:val="0"/>
                <w:bCs w:val="0"/>
                <w:color w:val="auto"/>
                <w:kern w:val="0"/>
                <w:sz w:val="18"/>
                <w:szCs w:val="18"/>
                <w:highlight w:val="none"/>
                <w:u w:val="none"/>
                <w:lang w:bidi="ar"/>
              </w:rPr>
            </w:pPr>
            <w:r>
              <w:rPr>
                <w:rFonts w:hint="eastAsia" w:ascii="仿宋" w:hAnsi="仿宋" w:eastAsia="仿宋" w:cs="仿宋"/>
                <w:i w:val="0"/>
                <w:iCs w:val="0"/>
                <w:color w:val="auto"/>
                <w:kern w:val="0"/>
                <w:sz w:val="18"/>
                <w:szCs w:val="18"/>
                <w:highlight w:val="none"/>
                <w:u w:val="none"/>
                <w:lang w:val="en-US" w:eastAsia="zh-CN" w:bidi="ar"/>
              </w:rPr>
              <w:t>项</w:t>
            </w:r>
          </w:p>
        </w:tc>
      </w:tr>
      <w:tr w14:paraId="29304D1D">
        <w:tblPrEx>
          <w:tblCellMar>
            <w:top w:w="0" w:type="dxa"/>
            <w:left w:w="0" w:type="dxa"/>
            <w:bottom w:w="0" w:type="dxa"/>
            <w:right w:w="0" w:type="dxa"/>
          </w:tblCellMar>
        </w:tblPrEx>
        <w:trPr>
          <w:trHeight w:val="34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D3FEE8">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rPr>
            </w:pPr>
            <w:r>
              <w:rPr>
                <w:rFonts w:hint="eastAsia" w:ascii="仿宋" w:hAnsi="仿宋" w:eastAsia="仿宋" w:cs="仿宋"/>
                <w:b w:val="0"/>
                <w:bCs w:val="0"/>
                <w:i w:val="0"/>
                <w:iCs w:val="0"/>
                <w:color w:val="auto"/>
                <w:kern w:val="0"/>
                <w:sz w:val="18"/>
                <w:szCs w:val="18"/>
                <w:highlight w:val="none"/>
                <w:u w:val="none"/>
                <w:lang w:val="en-US" w:eastAsia="zh-CN" w:bidi="ar"/>
              </w:rPr>
              <w:t>2</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C85B8B">
            <w:pPr>
              <w:keepNext w:val="0"/>
              <w:keepLines w:val="0"/>
              <w:widowControl/>
              <w:suppressLineNumbers w:val="0"/>
              <w:jc w:val="center"/>
              <w:textAlignment w:val="center"/>
              <w:rPr>
                <w:rFonts w:hint="eastAsia" w:ascii="仿宋" w:hAnsi="仿宋" w:eastAsia="仿宋" w:cs="仿宋"/>
                <w:b w:val="0"/>
                <w:bCs w:val="0"/>
                <w:color w:val="auto"/>
                <w:kern w:val="0"/>
                <w:sz w:val="18"/>
                <w:szCs w:val="18"/>
                <w:highlight w:val="none"/>
                <w:u w:val="none"/>
                <w:lang w:bidi="ar"/>
              </w:rPr>
            </w:pPr>
            <w:r>
              <w:rPr>
                <w:rFonts w:hint="eastAsia" w:ascii="仿宋" w:hAnsi="仿宋" w:eastAsia="仿宋" w:cs="仿宋"/>
                <w:i w:val="0"/>
                <w:iCs w:val="0"/>
                <w:color w:val="auto"/>
                <w:kern w:val="0"/>
                <w:sz w:val="18"/>
                <w:szCs w:val="18"/>
                <w:highlight w:val="none"/>
                <w:u w:val="none"/>
                <w:lang w:val="en-US" w:eastAsia="zh-CN" w:bidi="ar"/>
              </w:rPr>
              <w:t>材料运输费</w:t>
            </w: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22C386">
            <w:pPr>
              <w:jc w:val="left"/>
              <w:rPr>
                <w:rFonts w:hint="eastAsia" w:ascii="仿宋" w:hAnsi="仿宋" w:eastAsia="仿宋" w:cs="仿宋"/>
                <w:b w:val="0"/>
                <w:bCs w:val="0"/>
                <w:color w:val="auto"/>
                <w:sz w:val="18"/>
                <w:szCs w:val="18"/>
                <w:highlight w:val="none"/>
                <w:lang w:eastAsia="zh-CN"/>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8D0B2A">
            <w:pPr>
              <w:keepNext w:val="0"/>
              <w:keepLines w:val="0"/>
              <w:widowControl/>
              <w:suppressLineNumbers w:val="0"/>
              <w:jc w:val="center"/>
              <w:textAlignment w:val="center"/>
              <w:rPr>
                <w:rFonts w:hint="eastAsia" w:ascii="仿宋" w:hAnsi="仿宋" w:eastAsia="仿宋" w:cs="仿宋"/>
                <w:b w:val="0"/>
                <w:bCs w:val="0"/>
                <w:color w:val="auto"/>
                <w:kern w:val="0"/>
                <w:sz w:val="18"/>
                <w:szCs w:val="18"/>
                <w:highlight w:val="none"/>
                <w:u w:val="none"/>
                <w:lang w:bidi="ar"/>
              </w:rPr>
            </w:pPr>
            <w:r>
              <w:rPr>
                <w:rFonts w:hint="eastAsia" w:ascii="仿宋" w:hAnsi="仿宋" w:eastAsia="仿宋" w:cs="仿宋"/>
                <w:i w:val="0"/>
                <w:iCs w:val="0"/>
                <w:color w:val="auto"/>
                <w:kern w:val="0"/>
                <w:sz w:val="18"/>
                <w:szCs w:val="18"/>
                <w:highlight w:val="none"/>
                <w:u w:val="none"/>
                <w:lang w:val="en-US" w:eastAsia="zh-CN" w:bidi="ar"/>
              </w:rPr>
              <w:t>1</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0EA073">
            <w:pPr>
              <w:keepNext w:val="0"/>
              <w:keepLines w:val="0"/>
              <w:widowControl/>
              <w:suppressLineNumbers w:val="0"/>
              <w:jc w:val="center"/>
              <w:textAlignment w:val="center"/>
              <w:rPr>
                <w:rFonts w:hint="eastAsia" w:ascii="仿宋" w:hAnsi="仿宋" w:eastAsia="仿宋" w:cs="仿宋"/>
                <w:b w:val="0"/>
                <w:bCs w:val="0"/>
                <w:color w:val="auto"/>
                <w:kern w:val="0"/>
                <w:sz w:val="18"/>
                <w:szCs w:val="18"/>
                <w:highlight w:val="none"/>
                <w:u w:val="none"/>
                <w:lang w:bidi="ar"/>
              </w:rPr>
            </w:pPr>
            <w:r>
              <w:rPr>
                <w:rFonts w:hint="eastAsia" w:ascii="仿宋" w:hAnsi="仿宋" w:eastAsia="仿宋" w:cs="仿宋"/>
                <w:i w:val="0"/>
                <w:iCs w:val="0"/>
                <w:color w:val="auto"/>
                <w:kern w:val="0"/>
                <w:sz w:val="18"/>
                <w:szCs w:val="18"/>
                <w:highlight w:val="none"/>
                <w:u w:val="none"/>
                <w:lang w:val="en-US" w:eastAsia="zh-CN" w:bidi="ar"/>
              </w:rPr>
              <w:t>项</w:t>
            </w:r>
          </w:p>
        </w:tc>
      </w:tr>
      <w:tr w14:paraId="41D60D07">
        <w:tblPrEx>
          <w:tblCellMar>
            <w:top w:w="0" w:type="dxa"/>
            <w:left w:w="0" w:type="dxa"/>
            <w:bottom w:w="0" w:type="dxa"/>
            <w:right w:w="0" w:type="dxa"/>
          </w:tblCellMar>
        </w:tblPrEx>
        <w:trPr>
          <w:trHeight w:val="34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5F4A74">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3</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824D4A">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垃圾清理费</w:t>
            </w: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29C02E">
            <w:pPr>
              <w:jc w:val="left"/>
              <w:rPr>
                <w:rFonts w:hint="eastAsia" w:ascii="仿宋" w:hAnsi="仿宋" w:eastAsia="仿宋" w:cs="仿宋"/>
                <w:b w:val="0"/>
                <w:bCs w:val="0"/>
                <w:color w:val="auto"/>
                <w:sz w:val="18"/>
                <w:szCs w:val="18"/>
                <w:highlight w:val="none"/>
                <w:lang w:eastAsia="zh-CN"/>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C8E4FD">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F8BAB5">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项</w:t>
            </w:r>
          </w:p>
        </w:tc>
      </w:tr>
      <w:tr w14:paraId="0B5B1B5F">
        <w:tblPrEx>
          <w:tblCellMar>
            <w:top w:w="0" w:type="dxa"/>
            <w:left w:w="0" w:type="dxa"/>
            <w:bottom w:w="0" w:type="dxa"/>
            <w:right w:w="0" w:type="dxa"/>
          </w:tblCellMar>
        </w:tblPrEx>
        <w:trPr>
          <w:trHeight w:val="34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BAD964">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4</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2B08A1">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完工保洁费</w:t>
            </w: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39E124">
            <w:pPr>
              <w:jc w:val="left"/>
              <w:rPr>
                <w:rFonts w:hint="eastAsia" w:ascii="仿宋" w:hAnsi="仿宋" w:eastAsia="仿宋" w:cs="仿宋"/>
                <w:b w:val="0"/>
                <w:bCs w:val="0"/>
                <w:color w:val="auto"/>
                <w:sz w:val="18"/>
                <w:szCs w:val="18"/>
                <w:highlight w:val="none"/>
                <w:lang w:eastAsia="zh-CN"/>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A6C700">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7206A4">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项</w:t>
            </w:r>
          </w:p>
        </w:tc>
      </w:tr>
      <w:tr w14:paraId="72F81026">
        <w:tblPrEx>
          <w:tblCellMar>
            <w:top w:w="0" w:type="dxa"/>
            <w:left w:w="0" w:type="dxa"/>
            <w:bottom w:w="0" w:type="dxa"/>
            <w:right w:w="0" w:type="dxa"/>
          </w:tblCellMar>
        </w:tblPrEx>
        <w:trPr>
          <w:trHeight w:val="34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256EC6">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5</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97CFCA">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装修垃圾外运</w:t>
            </w: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CA3D3A">
            <w:pPr>
              <w:jc w:val="left"/>
              <w:rPr>
                <w:rFonts w:hint="eastAsia" w:ascii="仿宋" w:hAnsi="仿宋" w:eastAsia="仿宋" w:cs="仿宋"/>
                <w:b w:val="0"/>
                <w:bCs w:val="0"/>
                <w:color w:val="auto"/>
                <w:sz w:val="18"/>
                <w:szCs w:val="18"/>
                <w:highlight w:val="none"/>
                <w:lang w:eastAsia="zh-CN"/>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7EA42D">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A839C3">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项</w:t>
            </w:r>
          </w:p>
        </w:tc>
      </w:tr>
      <w:tr w14:paraId="6CCC0A5E">
        <w:tblPrEx>
          <w:tblCellMar>
            <w:top w:w="0" w:type="dxa"/>
            <w:left w:w="0" w:type="dxa"/>
            <w:bottom w:w="0" w:type="dxa"/>
            <w:right w:w="0" w:type="dxa"/>
          </w:tblCellMar>
        </w:tblPrEx>
        <w:trPr>
          <w:trHeight w:val="34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7A55E9">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6</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99FD46">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垃圾上车费用</w:t>
            </w:r>
          </w:p>
        </w:tc>
        <w:tc>
          <w:tcPr>
            <w:tcW w:w="50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DBBA14">
            <w:pPr>
              <w:jc w:val="left"/>
              <w:rPr>
                <w:rFonts w:hint="eastAsia" w:ascii="仿宋" w:hAnsi="仿宋" w:eastAsia="仿宋" w:cs="仿宋"/>
                <w:b w:val="0"/>
                <w:bCs w:val="0"/>
                <w:color w:val="auto"/>
                <w:sz w:val="18"/>
                <w:szCs w:val="18"/>
                <w:highlight w:val="none"/>
                <w:lang w:eastAsia="zh-CN"/>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21C334">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C37A45">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项</w:t>
            </w:r>
          </w:p>
        </w:tc>
      </w:tr>
    </w:tbl>
    <w:p w14:paraId="2CB6A782">
      <w:pPr>
        <w:keepNext w:val="0"/>
        <w:keepLines w:val="0"/>
        <w:pageBreakBefore w:val="0"/>
        <w:widowControl w:val="0"/>
        <w:kinsoku/>
        <w:wordWrap/>
        <w:overflowPunct/>
        <w:topLinePunct w:val="0"/>
        <w:autoSpaceDE/>
        <w:autoSpaceDN/>
        <w:bidi w:val="0"/>
        <w:spacing w:line="288" w:lineRule="auto"/>
        <w:ind w:firstLine="0" w:firstLineChars="0"/>
        <w:textAlignment w:val="auto"/>
        <w:rPr>
          <w:rFonts w:hint="eastAsia" w:ascii="仿宋" w:hAnsi="仿宋" w:eastAsia="仿宋" w:cs="仿宋"/>
          <w:bCs/>
          <w:sz w:val="21"/>
          <w:szCs w:val="21"/>
          <w:highlight w:val="none"/>
          <w:lang w:val="en-US" w:eastAsia="zh-CN"/>
        </w:rPr>
      </w:pPr>
    </w:p>
    <w:p w14:paraId="43C35C9C">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仿宋" w:hAnsi="仿宋" w:eastAsia="仿宋" w:cs="仿宋"/>
          <w:bCs/>
          <w:sz w:val="21"/>
          <w:szCs w:val="21"/>
          <w:highlight w:val="none"/>
          <w:lang w:eastAsia="zh-CN"/>
        </w:rPr>
      </w:pPr>
      <w:r>
        <w:rPr>
          <w:rFonts w:hint="eastAsia" w:ascii="仿宋" w:hAnsi="仿宋" w:eastAsia="仿宋" w:cs="仿宋"/>
          <w:bCs/>
          <w:sz w:val="21"/>
          <w:szCs w:val="21"/>
          <w:highlight w:val="none"/>
          <w:lang w:val="en-US" w:eastAsia="zh-CN"/>
        </w:rPr>
        <w:t xml:space="preserve">3.2 </w:t>
      </w:r>
      <w:r>
        <w:rPr>
          <w:rFonts w:hint="eastAsia" w:ascii="仿宋" w:hAnsi="仿宋" w:eastAsia="仿宋" w:cs="仿宋"/>
          <w:bCs/>
          <w:sz w:val="21"/>
          <w:szCs w:val="21"/>
          <w:highlight w:val="none"/>
          <w:lang w:eastAsia="zh-CN"/>
        </w:rPr>
        <w:t>材料</w:t>
      </w:r>
    </w:p>
    <w:p w14:paraId="10FAB07A">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仿宋" w:hAnsi="仿宋" w:eastAsia="仿宋" w:cs="仿宋"/>
          <w:bCs/>
          <w:sz w:val="21"/>
          <w:szCs w:val="21"/>
          <w:highlight w:val="none"/>
        </w:rPr>
      </w:pPr>
      <w:r>
        <w:rPr>
          <w:rFonts w:hint="eastAsia" w:ascii="仿宋" w:hAnsi="仿宋" w:eastAsia="仿宋" w:cs="仿宋"/>
          <w:bCs/>
          <w:sz w:val="21"/>
          <w:szCs w:val="21"/>
          <w:highlight w:val="none"/>
          <w:lang w:val="en-US" w:eastAsia="zh-CN"/>
        </w:rPr>
        <w:t>1）</w:t>
      </w:r>
      <w:r>
        <w:rPr>
          <w:rFonts w:hint="eastAsia" w:ascii="仿宋" w:hAnsi="仿宋" w:eastAsia="仿宋" w:cs="仿宋"/>
          <w:bCs/>
          <w:sz w:val="21"/>
          <w:szCs w:val="21"/>
          <w:highlight w:val="none"/>
          <w:lang w:eastAsia="zh-CN"/>
        </w:rPr>
        <w:t>材料</w:t>
      </w:r>
      <w:r>
        <w:rPr>
          <w:rFonts w:hint="eastAsia" w:ascii="仿宋" w:hAnsi="仿宋" w:eastAsia="仿宋" w:cs="仿宋"/>
          <w:bCs/>
          <w:sz w:val="21"/>
          <w:szCs w:val="21"/>
          <w:highlight w:val="none"/>
        </w:rPr>
        <w:t>选择</w:t>
      </w:r>
    </w:p>
    <w:p w14:paraId="758C85E3">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仿宋" w:hAnsi="仿宋" w:eastAsia="仿宋" w:cs="仿宋"/>
          <w:bCs/>
          <w:sz w:val="21"/>
          <w:szCs w:val="21"/>
          <w:highlight w:val="none"/>
        </w:rPr>
      </w:pPr>
      <w:r>
        <w:rPr>
          <w:rFonts w:hint="eastAsia" w:ascii="仿宋" w:hAnsi="仿宋" w:eastAsia="仿宋" w:cs="仿宋"/>
          <w:bCs/>
          <w:sz w:val="21"/>
          <w:szCs w:val="21"/>
          <w:highlight w:val="none"/>
        </w:rPr>
        <w:t>1</w:t>
      </w:r>
      <w:r>
        <w:rPr>
          <w:rFonts w:hint="eastAsia" w:ascii="仿宋" w:hAnsi="仿宋" w:eastAsia="仿宋" w:cs="仿宋"/>
          <w:bCs/>
          <w:sz w:val="21"/>
          <w:szCs w:val="21"/>
          <w:highlight w:val="none"/>
          <w:lang w:eastAsia="zh-CN"/>
        </w:rPr>
        <w:t>.</w:t>
      </w:r>
      <w:r>
        <w:rPr>
          <w:rFonts w:hint="eastAsia" w:ascii="仿宋" w:hAnsi="仿宋" w:eastAsia="仿宋" w:cs="仿宋"/>
          <w:bCs/>
          <w:sz w:val="21"/>
          <w:szCs w:val="21"/>
          <w:highlight w:val="none"/>
          <w:lang w:val="en-US" w:eastAsia="zh-CN"/>
        </w:rPr>
        <w:t>1</w:t>
      </w:r>
      <w:r>
        <w:rPr>
          <w:rFonts w:hint="eastAsia" w:ascii="仿宋" w:hAnsi="仿宋" w:eastAsia="仿宋" w:cs="仿宋"/>
          <w:bCs/>
          <w:sz w:val="21"/>
          <w:szCs w:val="21"/>
          <w:highlight w:val="none"/>
        </w:rPr>
        <w:t>）本项目涉及的主要</w:t>
      </w:r>
      <w:r>
        <w:rPr>
          <w:rFonts w:hint="eastAsia" w:ascii="仿宋" w:hAnsi="仿宋" w:eastAsia="仿宋" w:cs="仿宋"/>
          <w:bCs/>
          <w:sz w:val="21"/>
          <w:szCs w:val="21"/>
          <w:highlight w:val="none"/>
          <w:lang w:eastAsia="zh-CN"/>
        </w:rPr>
        <w:t>材料</w:t>
      </w:r>
      <w:r>
        <w:rPr>
          <w:rFonts w:hint="eastAsia" w:ascii="仿宋" w:hAnsi="仿宋" w:eastAsia="仿宋" w:cs="仿宋"/>
          <w:bCs/>
          <w:sz w:val="21"/>
          <w:szCs w:val="21"/>
          <w:highlight w:val="none"/>
        </w:rPr>
        <w:t>，成交供应商根据</w:t>
      </w:r>
      <w:r>
        <w:rPr>
          <w:rFonts w:hint="eastAsia" w:ascii="仿宋" w:hAnsi="仿宋" w:eastAsia="仿宋" w:cs="仿宋"/>
          <w:bCs/>
          <w:sz w:val="21"/>
          <w:szCs w:val="21"/>
          <w:highlight w:val="none"/>
          <w:lang w:val="en-US" w:eastAsia="zh-CN"/>
        </w:rPr>
        <w:t>设计</w:t>
      </w:r>
      <w:r>
        <w:rPr>
          <w:rFonts w:hint="eastAsia" w:ascii="仿宋" w:hAnsi="仿宋" w:eastAsia="仿宋" w:cs="仿宋"/>
          <w:bCs/>
          <w:sz w:val="21"/>
          <w:szCs w:val="21"/>
          <w:highlight w:val="none"/>
        </w:rPr>
        <w:t>施工图的要求及意图按中高档的用材标准进行选材并报价，所有</w:t>
      </w:r>
      <w:r>
        <w:rPr>
          <w:rFonts w:hint="eastAsia" w:ascii="仿宋" w:hAnsi="仿宋" w:eastAsia="仿宋" w:cs="仿宋"/>
          <w:bCs/>
          <w:sz w:val="21"/>
          <w:szCs w:val="21"/>
          <w:highlight w:val="none"/>
          <w:lang w:eastAsia="zh-CN"/>
        </w:rPr>
        <w:t>材料</w:t>
      </w:r>
      <w:r>
        <w:rPr>
          <w:rFonts w:hint="eastAsia" w:ascii="仿宋" w:hAnsi="仿宋" w:eastAsia="仿宋" w:cs="仿宋"/>
          <w:bCs/>
          <w:sz w:val="21"/>
          <w:szCs w:val="21"/>
          <w:highlight w:val="none"/>
        </w:rPr>
        <w:t>在行业内具有一定知名度；</w:t>
      </w:r>
    </w:p>
    <w:p w14:paraId="1C8202BD">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仿宋" w:hAnsi="仿宋" w:eastAsia="仿宋" w:cs="仿宋"/>
          <w:bCs/>
          <w:sz w:val="21"/>
          <w:szCs w:val="21"/>
          <w:highlight w:val="none"/>
        </w:rPr>
      </w:pPr>
      <w:r>
        <w:rPr>
          <w:rFonts w:hint="eastAsia" w:ascii="仿宋" w:hAnsi="仿宋" w:eastAsia="仿宋" w:cs="仿宋"/>
          <w:bCs/>
          <w:sz w:val="21"/>
          <w:szCs w:val="21"/>
          <w:highlight w:val="none"/>
          <w:lang w:val="en-US" w:eastAsia="zh-CN"/>
        </w:rPr>
        <w:t>1.</w:t>
      </w:r>
      <w:r>
        <w:rPr>
          <w:rFonts w:hint="eastAsia" w:ascii="仿宋" w:hAnsi="仿宋" w:eastAsia="仿宋" w:cs="仿宋"/>
          <w:bCs/>
          <w:sz w:val="21"/>
          <w:szCs w:val="21"/>
          <w:highlight w:val="none"/>
        </w:rPr>
        <w:t>2）所有材料在原厂生产加工，不允许采用下属、联营、协作、控股厂家产品响应和实际使用；</w:t>
      </w:r>
    </w:p>
    <w:p w14:paraId="53E230E8">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仿宋" w:hAnsi="仿宋" w:eastAsia="仿宋" w:cs="仿宋"/>
          <w:bCs/>
          <w:sz w:val="21"/>
          <w:szCs w:val="21"/>
          <w:highlight w:val="none"/>
        </w:rPr>
      </w:pPr>
      <w:r>
        <w:rPr>
          <w:rFonts w:hint="eastAsia" w:ascii="仿宋" w:hAnsi="仿宋" w:eastAsia="仿宋" w:cs="仿宋"/>
          <w:bCs/>
          <w:sz w:val="21"/>
          <w:szCs w:val="21"/>
          <w:highlight w:val="none"/>
          <w:lang w:val="en-US" w:eastAsia="zh-CN"/>
        </w:rPr>
        <w:t>1.</w:t>
      </w:r>
      <w:r>
        <w:rPr>
          <w:rFonts w:hint="eastAsia" w:ascii="仿宋" w:hAnsi="仿宋" w:eastAsia="仿宋" w:cs="仿宋"/>
          <w:bCs/>
          <w:sz w:val="21"/>
          <w:szCs w:val="21"/>
          <w:highlight w:val="none"/>
        </w:rPr>
        <w:t>3）所有提供的</w:t>
      </w:r>
      <w:r>
        <w:rPr>
          <w:rFonts w:hint="eastAsia" w:ascii="仿宋" w:hAnsi="仿宋" w:eastAsia="仿宋" w:cs="仿宋"/>
          <w:bCs/>
          <w:sz w:val="21"/>
          <w:szCs w:val="21"/>
          <w:highlight w:val="none"/>
          <w:lang w:eastAsia="zh-CN"/>
        </w:rPr>
        <w:t>材料</w:t>
      </w:r>
      <w:r>
        <w:rPr>
          <w:rFonts w:hint="eastAsia" w:ascii="仿宋" w:hAnsi="仿宋" w:eastAsia="仿宋" w:cs="仿宋"/>
          <w:bCs/>
          <w:sz w:val="21"/>
          <w:szCs w:val="21"/>
          <w:highlight w:val="none"/>
        </w:rPr>
        <w:t>为优等品或“A”级品；</w:t>
      </w:r>
    </w:p>
    <w:p w14:paraId="6ACED9A7">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仿宋" w:hAnsi="仿宋" w:eastAsia="仿宋" w:cs="仿宋"/>
          <w:b w:val="0"/>
          <w:bCs w:val="0"/>
          <w:sz w:val="21"/>
          <w:szCs w:val="21"/>
          <w:highlight w:val="none"/>
        </w:rPr>
      </w:pPr>
      <w:r>
        <w:rPr>
          <w:rFonts w:hint="eastAsia" w:ascii="仿宋" w:hAnsi="仿宋" w:eastAsia="仿宋" w:cs="仿宋"/>
          <w:bCs/>
          <w:sz w:val="21"/>
          <w:szCs w:val="21"/>
          <w:highlight w:val="none"/>
          <w:lang w:val="en-US" w:eastAsia="zh-CN"/>
        </w:rPr>
        <w:t>1.</w:t>
      </w:r>
      <w:r>
        <w:rPr>
          <w:rFonts w:hint="eastAsia" w:ascii="仿宋" w:hAnsi="仿宋" w:eastAsia="仿宋" w:cs="仿宋"/>
          <w:bCs/>
          <w:sz w:val="21"/>
          <w:szCs w:val="21"/>
          <w:highlight w:val="none"/>
        </w:rPr>
        <w:t>4）主要</w:t>
      </w:r>
      <w:r>
        <w:rPr>
          <w:rFonts w:hint="eastAsia" w:ascii="仿宋" w:hAnsi="仿宋" w:eastAsia="仿宋" w:cs="仿宋"/>
          <w:bCs/>
          <w:sz w:val="21"/>
          <w:szCs w:val="21"/>
          <w:highlight w:val="none"/>
          <w:lang w:eastAsia="zh-CN"/>
        </w:rPr>
        <w:t>材料</w:t>
      </w:r>
      <w:r>
        <w:rPr>
          <w:rFonts w:hint="eastAsia" w:ascii="仿宋" w:hAnsi="仿宋" w:eastAsia="仿宋" w:cs="仿宋"/>
          <w:bCs/>
          <w:sz w:val="21"/>
          <w:szCs w:val="21"/>
          <w:highlight w:val="none"/>
        </w:rPr>
        <w:t>品牌</w:t>
      </w:r>
    </w:p>
    <w:tbl>
      <w:tblPr>
        <w:tblStyle w:val="3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5111"/>
        <w:gridCol w:w="2600"/>
        <w:gridCol w:w="1088"/>
      </w:tblGrid>
      <w:tr w14:paraId="6F1E3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9" w:type="dxa"/>
            <w:tcBorders>
              <w:top w:val="single" w:color="auto" w:sz="4" w:space="0"/>
              <w:left w:val="single" w:color="auto" w:sz="4" w:space="0"/>
              <w:bottom w:val="single" w:color="auto" w:sz="4" w:space="0"/>
              <w:right w:val="single" w:color="auto" w:sz="4" w:space="0"/>
            </w:tcBorders>
            <w:vAlign w:val="center"/>
          </w:tcPr>
          <w:p w14:paraId="52E9265B">
            <w:pPr>
              <w:ind w:left="0" w:leftChars="0" w:right="0" w:rightChars="0" w:firstLine="0" w:firstLineChars="0"/>
              <w:jc w:val="center"/>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序号</w:t>
            </w:r>
          </w:p>
        </w:tc>
        <w:tc>
          <w:tcPr>
            <w:tcW w:w="5111" w:type="dxa"/>
            <w:tcBorders>
              <w:top w:val="single" w:color="auto" w:sz="4" w:space="0"/>
              <w:left w:val="nil"/>
              <w:bottom w:val="single" w:color="auto" w:sz="4" w:space="0"/>
              <w:right w:val="single" w:color="auto" w:sz="4" w:space="0"/>
            </w:tcBorders>
            <w:vAlign w:val="center"/>
          </w:tcPr>
          <w:p w14:paraId="558E5406">
            <w:pPr>
              <w:ind w:left="0" w:leftChars="0" w:right="0" w:rightChars="0" w:firstLine="0" w:firstLineChars="0"/>
              <w:jc w:val="center"/>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材料名称</w:t>
            </w:r>
          </w:p>
        </w:tc>
        <w:tc>
          <w:tcPr>
            <w:tcW w:w="2600" w:type="dxa"/>
            <w:tcBorders>
              <w:top w:val="single" w:color="auto" w:sz="4" w:space="0"/>
              <w:left w:val="nil"/>
              <w:bottom w:val="single" w:color="auto" w:sz="4" w:space="0"/>
              <w:right w:val="single" w:color="auto" w:sz="4" w:space="0"/>
            </w:tcBorders>
            <w:vAlign w:val="center"/>
          </w:tcPr>
          <w:p w14:paraId="2FE429AC">
            <w:pPr>
              <w:ind w:left="0" w:leftChars="0" w:right="0" w:rightChars="0" w:firstLine="0" w:firstLineChars="0"/>
              <w:jc w:val="center"/>
              <w:rPr>
                <w:rFonts w:hint="default" w:ascii="仿宋" w:hAnsi="仿宋" w:eastAsia="仿宋" w:cs="仿宋"/>
                <w:b/>
                <w:bCs/>
                <w:sz w:val="18"/>
                <w:szCs w:val="18"/>
                <w:highlight w:val="none"/>
                <w:lang w:val="en-US" w:eastAsia="zh-CN"/>
              </w:rPr>
            </w:pPr>
            <w:r>
              <w:rPr>
                <w:rFonts w:hint="eastAsia" w:ascii="仿宋" w:hAnsi="仿宋" w:eastAsia="仿宋" w:cs="仿宋"/>
                <w:b/>
                <w:bCs/>
                <w:sz w:val="18"/>
                <w:szCs w:val="18"/>
                <w:highlight w:val="none"/>
              </w:rPr>
              <w:t>品牌</w:t>
            </w:r>
            <w:r>
              <w:rPr>
                <w:rFonts w:hint="eastAsia" w:ascii="仿宋" w:hAnsi="仿宋" w:eastAsia="仿宋" w:cs="仿宋"/>
                <w:b/>
                <w:bCs/>
                <w:sz w:val="18"/>
                <w:szCs w:val="18"/>
                <w:highlight w:val="none"/>
                <w:lang w:val="en-US" w:eastAsia="zh-CN"/>
              </w:rPr>
              <w:t>参照或相当于</w:t>
            </w:r>
          </w:p>
        </w:tc>
        <w:tc>
          <w:tcPr>
            <w:tcW w:w="1088" w:type="dxa"/>
            <w:tcBorders>
              <w:top w:val="single" w:color="auto" w:sz="4" w:space="0"/>
              <w:left w:val="nil"/>
              <w:bottom w:val="single" w:color="auto" w:sz="4" w:space="0"/>
              <w:right w:val="single" w:color="auto" w:sz="4" w:space="0"/>
            </w:tcBorders>
            <w:vAlign w:val="center"/>
          </w:tcPr>
          <w:p w14:paraId="59AAC024">
            <w:pPr>
              <w:ind w:left="0" w:leftChars="0" w:right="0" w:rightChars="0" w:firstLine="0" w:firstLineChars="0"/>
              <w:jc w:val="center"/>
              <w:rPr>
                <w:rFonts w:hint="eastAsia" w:ascii="仿宋" w:hAnsi="仿宋" w:eastAsia="仿宋" w:cs="仿宋"/>
                <w:b/>
                <w:bCs/>
                <w:sz w:val="18"/>
                <w:szCs w:val="18"/>
                <w:highlight w:val="none"/>
              </w:rPr>
            </w:pPr>
            <w:r>
              <w:rPr>
                <w:rFonts w:hint="eastAsia" w:ascii="仿宋" w:hAnsi="仿宋" w:eastAsia="仿宋" w:cs="仿宋"/>
                <w:b/>
                <w:bCs/>
                <w:sz w:val="18"/>
                <w:szCs w:val="18"/>
                <w:highlight w:val="none"/>
              </w:rPr>
              <w:t>备注</w:t>
            </w:r>
          </w:p>
        </w:tc>
      </w:tr>
      <w:tr w14:paraId="1A4A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9" w:type="dxa"/>
            <w:tcBorders>
              <w:top w:val="single" w:color="auto" w:sz="4" w:space="0"/>
              <w:left w:val="single" w:color="auto" w:sz="4" w:space="0"/>
              <w:bottom w:val="single" w:color="auto" w:sz="4" w:space="0"/>
              <w:right w:val="single" w:color="auto" w:sz="4" w:space="0"/>
            </w:tcBorders>
            <w:vAlign w:val="center"/>
          </w:tcPr>
          <w:p w14:paraId="7ED60028">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w:t>
            </w:r>
          </w:p>
        </w:tc>
        <w:tc>
          <w:tcPr>
            <w:tcW w:w="5111" w:type="dxa"/>
            <w:tcBorders>
              <w:top w:val="single" w:color="auto" w:sz="4" w:space="0"/>
              <w:left w:val="nil"/>
              <w:bottom w:val="single" w:color="auto" w:sz="4" w:space="0"/>
              <w:right w:val="single" w:color="auto" w:sz="4" w:space="0"/>
            </w:tcBorders>
            <w:vAlign w:val="center"/>
          </w:tcPr>
          <w:p w14:paraId="4735EAE2">
            <w:pPr>
              <w:spacing w:line="240" w:lineRule="exact"/>
              <w:jc w:val="left"/>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乳胶漆</w:t>
            </w:r>
          </w:p>
        </w:tc>
        <w:tc>
          <w:tcPr>
            <w:tcW w:w="2600" w:type="dxa"/>
            <w:tcBorders>
              <w:top w:val="single" w:color="auto" w:sz="4" w:space="0"/>
              <w:left w:val="nil"/>
              <w:bottom w:val="single" w:color="auto" w:sz="4" w:space="0"/>
              <w:right w:val="single" w:color="auto" w:sz="4" w:space="0"/>
            </w:tcBorders>
            <w:vAlign w:val="center"/>
          </w:tcPr>
          <w:p w14:paraId="6932B81F">
            <w:pPr>
              <w:spacing w:line="240" w:lineRule="exact"/>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立邦、多乐士、三棵树</w:t>
            </w:r>
          </w:p>
        </w:tc>
        <w:tc>
          <w:tcPr>
            <w:tcW w:w="1088" w:type="dxa"/>
            <w:tcBorders>
              <w:top w:val="single" w:color="auto" w:sz="4" w:space="0"/>
              <w:left w:val="nil"/>
              <w:bottom w:val="single" w:color="auto" w:sz="4" w:space="0"/>
              <w:right w:val="single" w:color="auto" w:sz="4" w:space="0"/>
            </w:tcBorders>
            <w:vAlign w:val="center"/>
          </w:tcPr>
          <w:p w14:paraId="2BB91EFB">
            <w:pPr>
              <w:ind w:left="0" w:leftChars="0" w:right="0" w:rightChars="0" w:firstLine="0" w:firstLineChars="0"/>
              <w:jc w:val="center"/>
              <w:rPr>
                <w:rFonts w:hint="eastAsia" w:ascii="仿宋" w:hAnsi="仿宋" w:eastAsia="仿宋" w:cs="仿宋"/>
                <w:sz w:val="18"/>
                <w:szCs w:val="18"/>
                <w:highlight w:val="none"/>
              </w:rPr>
            </w:pPr>
          </w:p>
        </w:tc>
      </w:tr>
      <w:tr w14:paraId="0E4B3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14:paraId="71C6BFD9">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2</w:t>
            </w:r>
          </w:p>
        </w:tc>
        <w:tc>
          <w:tcPr>
            <w:tcW w:w="5111" w:type="dxa"/>
            <w:tcBorders>
              <w:top w:val="single" w:color="auto" w:sz="4" w:space="0"/>
              <w:left w:val="nil"/>
              <w:bottom w:val="single" w:color="auto" w:sz="4" w:space="0"/>
              <w:right w:val="single" w:color="auto" w:sz="4" w:space="0"/>
            </w:tcBorders>
            <w:shd w:val="clear" w:color="auto" w:fill="auto"/>
            <w:vAlign w:val="center"/>
          </w:tcPr>
          <w:p w14:paraId="3F8016E7">
            <w:pPr>
              <w:spacing w:line="240" w:lineRule="exact"/>
              <w:jc w:val="left"/>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舞台地板（舞台专用）</w:t>
            </w:r>
          </w:p>
        </w:tc>
        <w:tc>
          <w:tcPr>
            <w:tcW w:w="2600" w:type="dxa"/>
            <w:tcBorders>
              <w:top w:val="single" w:color="auto" w:sz="4" w:space="0"/>
              <w:left w:val="nil"/>
              <w:bottom w:val="single" w:color="auto" w:sz="4" w:space="0"/>
              <w:right w:val="single" w:color="auto" w:sz="4" w:space="0"/>
            </w:tcBorders>
            <w:shd w:val="clear" w:color="auto" w:fill="auto"/>
            <w:vAlign w:val="center"/>
          </w:tcPr>
          <w:p w14:paraId="36904EE7">
            <w:pPr>
              <w:spacing w:line="240" w:lineRule="exact"/>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生活家、大自然、兔宝宝</w:t>
            </w:r>
          </w:p>
        </w:tc>
        <w:tc>
          <w:tcPr>
            <w:tcW w:w="1088" w:type="dxa"/>
            <w:tcBorders>
              <w:top w:val="single" w:color="auto" w:sz="4" w:space="0"/>
              <w:left w:val="nil"/>
              <w:bottom w:val="single" w:color="auto" w:sz="4" w:space="0"/>
              <w:right w:val="single" w:color="auto" w:sz="4" w:space="0"/>
            </w:tcBorders>
            <w:vAlign w:val="center"/>
          </w:tcPr>
          <w:p w14:paraId="2BC73887">
            <w:pPr>
              <w:ind w:left="0" w:leftChars="0" w:right="0" w:rightChars="0" w:firstLine="0" w:firstLineChars="0"/>
              <w:jc w:val="center"/>
              <w:rPr>
                <w:rFonts w:hint="eastAsia" w:ascii="仿宋" w:hAnsi="仿宋" w:eastAsia="仿宋" w:cs="仿宋"/>
                <w:sz w:val="18"/>
                <w:szCs w:val="18"/>
                <w:highlight w:val="none"/>
              </w:rPr>
            </w:pPr>
          </w:p>
        </w:tc>
      </w:tr>
      <w:tr w14:paraId="03A74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14:paraId="3CA08E00">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3</w:t>
            </w:r>
          </w:p>
        </w:tc>
        <w:tc>
          <w:tcPr>
            <w:tcW w:w="5111" w:type="dxa"/>
            <w:tcBorders>
              <w:top w:val="single" w:color="auto" w:sz="4" w:space="0"/>
              <w:left w:val="nil"/>
              <w:bottom w:val="single" w:color="auto" w:sz="4" w:space="0"/>
              <w:right w:val="single" w:color="auto" w:sz="4" w:space="0"/>
            </w:tcBorders>
            <w:shd w:val="clear" w:color="auto" w:fill="auto"/>
            <w:vAlign w:val="center"/>
          </w:tcPr>
          <w:p w14:paraId="7828B523">
            <w:pPr>
              <w:tabs>
                <w:tab w:val="left" w:pos="1433"/>
              </w:tabs>
              <w:spacing w:line="240" w:lineRule="exact"/>
              <w:jc w:val="left"/>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新增化妆间空调</w:t>
            </w:r>
          </w:p>
        </w:tc>
        <w:tc>
          <w:tcPr>
            <w:tcW w:w="2600" w:type="dxa"/>
            <w:tcBorders>
              <w:top w:val="single" w:color="auto" w:sz="4" w:space="0"/>
              <w:left w:val="nil"/>
              <w:bottom w:val="single" w:color="auto" w:sz="4" w:space="0"/>
              <w:right w:val="single" w:color="auto" w:sz="4" w:space="0"/>
            </w:tcBorders>
            <w:shd w:val="clear" w:color="auto" w:fill="auto"/>
            <w:vAlign w:val="center"/>
          </w:tcPr>
          <w:p w14:paraId="0FF88284">
            <w:pPr>
              <w:spacing w:line="240" w:lineRule="exact"/>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格力、奥克斯、美的</w:t>
            </w:r>
          </w:p>
        </w:tc>
        <w:tc>
          <w:tcPr>
            <w:tcW w:w="1088" w:type="dxa"/>
            <w:tcBorders>
              <w:top w:val="single" w:color="auto" w:sz="4" w:space="0"/>
              <w:left w:val="nil"/>
              <w:bottom w:val="single" w:color="auto" w:sz="4" w:space="0"/>
              <w:right w:val="single" w:color="auto" w:sz="4" w:space="0"/>
            </w:tcBorders>
            <w:vAlign w:val="center"/>
          </w:tcPr>
          <w:p w14:paraId="29564692">
            <w:pPr>
              <w:ind w:left="0" w:leftChars="0" w:right="0" w:rightChars="0" w:firstLine="0" w:firstLineChars="0"/>
              <w:jc w:val="center"/>
              <w:rPr>
                <w:rFonts w:hint="eastAsia" w:ascii="仿宋" w:hAnsi="仿宋" w:eastAsia="仿宋" w:cs="仿宋"/>
                <w:sz w:val="18"/>
                <w:szCs w:val="18"/>
                <w:highlight w:val="none"/>
                <w:lang w:val="en-US" w:eastAsia="zh-CN"/>
              </w:rPr>
            </w:pPr>
          </w:p>
        </w:tc>
      </w:tr>
      <w:tr w14:paraId="6126A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14:paraId="79924A4C">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4</w:t>
            </w:r>
          </w:p>
        </w:tc>
        <w:tc>
          <w:tcPr>
            <w:tcW w:w="5111" w:type="dxa"/>
            <w:tcBorders>
              <w:top w:val="single" w:color="auto" w:sz="4" w:space="0"/>
              <w:left w:val="nil"/>
              <w:bottom w:val="single" w:color="auto" w:sz="4" w:space="0"/>
              <w:right w:val="single" w:color="auto" w:sz="4" w:space="0"/>
            </w:tcBorders>
            <w:shd w:val="clear" w:color="auto" w:fill="auto"/>
            <w:vAlign w:val="center"/>
          </w:tcPr>
          <w:p w14:paraId="50EA9BCC">
            <w:pPr>
              <w:spacing w:line="240" w:lineRule="exact"/>
              <w:jc w:val="left"/>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剧场甲级防火门（含人工）</w:t>
            </w:r>
          </w:p>
        </w:tc>
        <w:tc>
          <w:tcPr>
            <w:tcW w:w="2600" w:type="dxa"/>
            <w:tcBorders>
              <w:top w:val="single" w:color="auto" w:sz="4" w:space="0"/>
              <w:left w:val="nil"/>
              <w:bottom w:val="single" w:color="auto" w:sz="4" w:space="0"/>
              <w:right w:val="single" w:color="auto" w:sz="4" w:space="0"/>
            </w:tcBorders>
            <w:shd w:val="clear" w:color="auto" w:fill="auto"/>
            <w:vAlign w:val="center"/>
          </w:tcPr>
          <w:p w14:paraId="65A62163">
            <w:pPr>
              <w:spacing w:line="240" w:lineRule="exact"/>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美心、步阳、盼盼</w:t>
            </w:r>
          </w:p>
        </w:tc>
        <w:tc>
          <w:tcPr>
            <w:tcW w:w="1088" w:type="dxa"/>
            <w:tcBorders>
              <w:top w:val="single" w:color="auto" w:sz="4" w:space="0"/>
              <w:left w:val="nil"/>
              <w:bottom w:val="single" w:color="auto" w:sz="4" w:space="0"/>
              <w:right w:val="single" w:color="auto" w:sz="4" w:space="0"/>
            </w:tcBorders>
            <w:vAlign w:val="center"/>
          </w:tcPr>
          <w:p w14:paraId="45153388">
            <w:pPr>
              <w:ind w:left="0" w:leftChars="0" w:right="0" w:rightChars="0" w:firstLine="0" w:firstLineChars="0"/>
              <w:jc w:val="center"/>
              <w:rPr>
                <w:rFonts w:hint="eastAsia" w:ascii="仿宋" w:hAnsi="仿宋" w:eastAsia="仿宋" w:cs="仿宋"/>
                <w:sz w:val="18"/>
                <w:szCs w:val="18"/>
                <w:highlight w:val="none"/>
                <w:lang w:eastAsia="zh-CN"/>
              </w:rPr>
            </w:pPr>
          </w:p>
        </w:tc>
      </w:tr>
      <w:tr w14:paraId="588E3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14:paraId="44DDDC8E">
            <w:pPr>
              <w:jc w:val="center"/>
              <w:rPr>
                <w:rFonts w:hint="default"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5</w:t>
            </w:r>
          </w:p>
        </w:tc>
        <w:tc>
          <w:tcPr>
            <w:tcW w:w="5111" w:type="dxa"/>
            <w:tcBorders>
              <w:top w:val="single" w:color="auto" w:sz="4" w:space="0"/>
              <w:left w:val="nil"/>
              <w:bottom w:val="single" w:color="auto" w:sz="4" w:space="0"/>
              <w:right w:val="single" w:color="auto" w:sz="4" w:space="0"/>
            </w:tcBorders>
            <w:shd w:val="clear" w:color="auto" w:fill="auto"/>
            <w:vAlign w:val="center"/>
          </w:tcPr>
          <w:p w14:paraId="41D6066E">
            <w:pPr>
              <w:spacing w:line="240" w:lineRule="exact"/>
              <w:jc w:val="left"/>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PVC排水管</w:t>
            </w:r>
          </w:p>
        </w:tc>
        <w:tc>
          <w:tcPr>
            <w:tcW w:w="2600" w:type="dxa"/>
            <w:tcBorders>
              <w:top w:val="single" w:color="auto" w:sz="4" w:space="0"/>
              <w:left w:val="nil"/>
              <w:bottom w:val="single" w:color="auto" w:sz="4" w:space="0"/>
              <w:right w:val="single" w:color="auto" w:sz="4" w:space="0"/>
            </w:tcBorders>
            <w:shd w:val="clear" w:color="auto" w:fill="auto"/>
            <w:vAlign w:val="center"/>
          </w:tcPr>
          <w:p w14:paraId="35AA285A">
            <w:pPr>
              <w:spacing w:line="240" w:lineRule="exact"/>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伟星、日丰、联塑</w:t>
            </w:r>
          </w:p>
        </w:tc>
        <w:tc>
          <w:tcPr>
            <w:tcW w:w="1088" w:type="dxa"/>
            <w:tcBorders>
              <w:top w:val="single" w:color="auto" w:sz="4" w:space="0"/>
              <w:left w:val="nil"/>
              <w:bottom w:val="single" w:color="auto" w:sz="4" w:space="0"/>
              <w:right w:val="single" w:color="auto" w:sz="4" w:space="0"/>
            </w:tcBorders>
            <w:vAlign w:val="center"/>
          </w:tcPr>
          <w:p w14:paraId="7E740892">
            <w:pPr>
              <w:ind w:left="0" w:leftChars="0" w:right="0" w:rightChars="0" w:firstLine="0" w:firstLineChars="0"/>
              <w:jc w:val="center"/>
              <w:rPr>
                <w:rFonts w:hint="eastAsia" w:ascii="仿宋" w:hAnsi="仿宋" w:eastAsia="仿宋" w:cs="仿宋"/>
                <w:sz w:val="18"/>
                <w:szCs w:val="18"/>
                <w:highlight w:val="none"/>
                <w:lang w:eastAsia="zh-CN"/>
              </w:rPr>
            </w:pPr>
          </w:p>
        </w:tc>
      </w:tr>
      <w:tr w14:paraId="5649F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14:paraId="32B825BC">
            <w:pPr>
              <w:jc w:val="center"/>
              <w:rPr>
                <w:rFonts w:hint="default"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6</w:t>
            </w:r>
          </w:p>
        </w:tc>
        <w:tc>
          <w:tcPr>
            <w:tcW w:w="5111" w:type="dxa"/>
            <w:tcBorders>
              <w:top w:val="single" w:color="auto" w:sz="4" w:space="0"/>
              <w:left w:val="nil"/>
              <w:bottom w:val="single" w:color="auto" w:sz="4" w:space="0"/>
              <w:right w:val="single" w:color="auto" w:sz="4" w:space="0"/>
            </w:tcBorders>
            <w:shd w:val="clear" w:color="auto" w:fill="auto"/>
            <w:vAlign w:val="center"/>
          </w:tcPr>
          <w:p w14:paraId="555D4DBE">
            <w:pPr>
              <w:spacing w:line="240" w:lineRule="exact"/>
              <w:jc w:val="left"/>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防水涂料</w:t>
            </w:r>
          </w:p>
        </w:tc>
        <w:tc>
          <w:tcPr>
            <w:tcW w:w="2600" w:type="dxa"/>
            <w:tcBorders>
              <w:top w:val="single" w:color="auto" w:sz="4" w:space="0"/>
              <w:left w:val="nil"/>
              <w:bottom w:val="single" w:color="auto" w:sz="4" w:space="0"/>
              <w:right w:val="single" w:color="auto" w:sz="4" w:space="0"/>
            </w:tcBorders>
            <w:shd w:val="clear" w:color="auto" w:fill="auto"/>
            <w:vAlign w:val="center"/>
          </w:tcPr>
          <w:p w14:paraId="47BF0ADD">
            <w:pPr>
              <w:spacing w:line="240" w:lineRule="exact"/>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东方雨虹、德高、科顺</w:t>
            </w:r>
          </w:p>
        </w:tc>
        <w:tc>
          <w:tcPr>
            <w:tcW w:w="1088" w:type="dxa"/>
            <w:tcBorders>
              <w:top w:val="single" w:color="auto" w:sz="4" w:space="0"/>
              <w:left w:val="nil"/>
              <w:bottom w:val="single" w:color="auto" w:sz="4" w:space="0"/>
              <w:right w:val="single" w:color="auto" w:sz="4" w:space="0"/>
            </w:tcBorders>
            <w:vAlign w:val="center"/>
          </w:tcPr>
          <w:p w14:paraId="78A7A05D">
            <w:pPr>
              <w:ind w:left="0" w:leftChars="0" w:right="0" w:rightChars="0" w:firstLine="0" w:firstLineChars="0"/>
              <w:jc w:val="center"/>
              <w:rPr>
                <w:rFonts w:hint="eastAsia" w:ascii="仿宋" w:hAnsi="仿宋" w:eastAsia="仿宋" w:cs="仿宋"/>
                <w:sz w:val="18"/>
                <w:szCs w:val="18"/>
                <w:highlight w:val="none"/>
                <w:lang w:eastAsia="zh-CN"/>
              </w:rPr>
            </w:pPr>
          </w:p>
        </w:tc>
      </w:tr>
      <w:tr w14:paraId="5572B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14:paraId="5400A59D">
            <w:pPr>
              <w:jc w:val="center"/>
              <w:rPr>
                <w:rFonts w:hint="default"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7</w:t>
            </w:r>
          </w:p>
        </w:tc>
        <w:tc>
          <w:tcPr>
            <w:tcW w:w="5111" w:type="dxa"/>
            <w:tcBorders>
              <w:top w:val="single" w:color="auto" w:sz="4" w:space="0"/>
              <w:left w:val="nil"/>
              <w:bottom w:val="single" w:color="auto" w:sz="4" w:space="0"/>
              <w:right w:val="single" w:color="auto" w:sz="4" w:space="0"/>
            </w:tcBorders>
            <w:shd w:val="clear" w:color="auto" w:fill="auto"/>
            <w:vAlign w:val="center"/>
          </w:tcPr>
          <w:p w14:paraId="7658BB95">
            <w:pPr>
              <w:spacing w:line="240" w:lineRule="exact"/>
              <w:jc w:val="left"/>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舞台木结构基层</w:t>
            </w:r>
          </w:p>
        </w:tc>
        <w:tc>
          <w:tcPr>
            <w:tcW w:w="2600" w:type="dxa"/>
            <w:tcBorders>
              <w:top w:val="single" w:color="auto" w:sz="4" w:space="0"/>
              <w:left w:val="nil"/>
              <w:bottom w:val="single" w:color="auto" w:sz="4" w:space="0"/>
              <w:right w:val="single" w:color="auto" w:sz="4" w:space="0"/>
            </w:tcBorders>
            <w:shd w:val="clear" w:color="auto" w:fill="auto"/>
            <w:vAlign w:val="center"/>
          </w:tcPr>
          <w:p w14:paraId="7724D7F8">
            <w:pPr>
              <w:spacing w:line="240" w:lineRule="exact"/>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生活家、大自然、兔宝宝</w:t>
            </w:r>
          </w:p>
        </w:tc>
        <w:tc>
          <w:tcPr>
            <w:tcW w:w="1088" w:type="dxa"/>
            <w:tcBorders>
              <w:top w:val="single" w:color="auto" w:sz="4" w:space="0"/>
              <w:left w:val="nil"/>
              <w:bottom w:val="single" w:color="auto" w:sz="4" w:space="0"/>
              <w:right w:val="single" w:color="auto" w:sz="4" w:space="0"/>
            </w:tcBorders>
            <w:vAlign w:val="center"/>
          </w:tcPr>
          <w:p w14:paraId="776A731A">
            <w:pPr>
              <w:ind w:left="0" w:leftChars="0" w:right="0" w:rightChars="0" w:firstLine="0" w:firstLineChars="0"/>
              <w:jc w:val="center"/>
              <w:rPr>
                <w:rFonts w:hint="eastAsia" w:ascii="仿宋" w:hAnsi="仿宋" w:eastAsia="仿宋" w:cs="仿宋"/>
                <w:sz w:val="18"/>
                <w:szCs w:val="18"/>
                <w:highlight w:val="none"/>
                <w:lang w:eastAsia="zh-CN"/>
              </w:rPr>
            </w:pPr>
          </w:p>
        </w:tc>
      </w:tr>
    </w:tbl>
    <w:p w14:paraId="7B3502A3">
      <w:pPr>
        <w:keepNext w:val="0"/>
        <w:keepLines w:val="0"/>
        <w:pageBreakBefore w:val="0"/>
        <w:widowControl w:val="0"/>
        <w:kinsoku/>
        <w:wordWrap/>
        <w:overflowPunct/>
        <w:topLinePunct w:val="0"/>
        <w:autoSpaceDE/>
        <w:autoSpaceDN/>
        <w:bidi w:val="0"/>
        <w:spacing w:line="288" w:lineRule="auto"/>
        <w:ind w:left="0" w:leftChars="0" w:right="0" w:rightChars="0" w:firstLine="422" w:firstLineChars="200"/>
        <w:textAlignment w:val="auto"/>
        <w:outlineLvl w:val="9"/>
        <w:rPr>
          <w:rFonts w:hint="eastAsia" w:ascii="仿宋" w:hAnsi="仿宋" w:eastAsia="仿宋" w:cs="仿宋"/>
          <w:b/>
          <w:bCs w:val="0"/>
          <w:sz w:val="21"/>
          <w:szCs w:val="21"/>
          <w:highlight w:val="none"/>
          <w:lang w:val="en-US" w:eastAsia="zh-CN"/>
        </w:rPr>
      </w:pPr>
      <w:r>
        <w:rPr>
          <w:rFonts w:hint="eastAsia" w:ascii="仿宋" w:hAnsi="仿宋" w:eastAsia="仿宋" w:cs="仿宋"/>
          <w:b/>
          <w:bCs w:val="0"/>
          <w:sz w:val="21"/>
          <w:szCs w:val="21"/>
          <w:highlight w:val="none"/>
          <w:lang w:val="en-US" w:eastAsia="zh-CN"/>
        </w:rPr>
        <w:t>备注：</w:t>
      </w:r>
    </w:p>
    <w:p w14:paraId="33F62AB9">
      <w:pPr>
        <w:keepNext w:val="0"/>
        <w:keepLines w:val="0"/>
        <w:pageBreakBefore w:val="0"/>
        <w:widowControl w:val="0"/>
        <w:kinsoku/>
        <w:wordWrap/>
        <w:overflowPunct/>
        <w:topLinePunct w:val="0"/>
        <w:autoSpaceDE/>
        <w:autoSpaceDN/>
        <w:bidi w:val="0"/>
        <w:spacing w:line="288" w:lineRule="auto"/>
        <w:ind w:left="0" w:leftChars="0" w:right="0" w:rightChars="0" w:firstLine="422" w:firstLineChars="200"/>
        <w:textAlignment w:val="auto"/>
        <w:outlineLvl w:val="9"/>
        <w:rPr>
          <w:rFonts w:hint="eastAsia" w:ascii="仿宋" w:hAnsi="仿宋" w:eastAsia="仿宋" w:cs="仿宋"/>
          <w:b/>
          <w:bCs w:val="0"/>
          <w:sz w:val="21"/>
          <w:szCs w:val="21"/>
          <w:highlight w:val="none"/>
          <w:lang w:val="en-US" w:eastAsia="zh-CN"/>
        </w:rPr>
      </w:pPr>
      <w:r>
        <w:rPr>
          <w:rFonts w:hint="eastAsia" w:ascii="仿宋" w:hAnsi="仿宋" w:eastAsia="仿宋" w:cs="仿宋"/>
          <w:b/>
          <w:bCs w:val="0"/>
          <w:sz w:val="21"/>
          <w:szCs w:val="21"/>
          <w:highlight w:val="none"/>
          <w:lang w:val="en-US" w:eastAsia="zh-CN"/>
        </w:rPr>
        <w:t>a.响应文件项目实施方案中列明施工材料选用的品牌；</w:t>
      </w:r>
    </w:p>
    <w:p w14:paraId="2A2BC201">
      <w:pPr>
        <w:keepNext w:val="0"/>
        <w:keepLines w:val="0"/>
        <w:pageBreakBefore w:val="0"/>
        <w:widowControl w:val="0"/>
        <w:kinsoku/>
        <w:wordWrap/>
        <w:overflowPunct/>
        <w:topLinePunct w:val="0"/>
        <w:autoSpaceDE/>
        <w:autoSpaceDN/>
        <w:bidi w:val="0"/>
        <w:spacing w:line="288" w:lineRule="auto"/>
        <w:ind w:left="0" w:leftChars="0" w:right="0" w:rightChars="0" w:firstLine="422" w:firstLineChars="200"/>
        <w:textAlignment w:val="auto"/>
        <w:outlineLvl w:val="9"/>
        <w:rPr>
          <w:rFonts w:hint="eastAsia" w:ascii="仿宋" w:hAnsi="仿宋" w:eastAsia="仿宋" w:cs="仿宋"/>
          <w:b/>
          <w:bCs w:val="0"/>
          <w:sz w:val="21"/>
          <w:szCs w:val="21"/>
          <w:highlight w:val="none"/>
          <w:lang w:val="en-US" w:eastAsia="zh-CN"/>
        </w:rPr>
      </w:pPr>
      <w:r>
        <w:rPr>
          <w:rFonts w:hint="eastAsia" w:ascii="仿宋" w:hAnsi="仿宋" w:eastAsia="仿宋" w:cs="仿宋"/>
          <w:b/>
          <w:bCs w:val="0"/>
          <w:sz w:val="21"/>
          <w:szCs w:val="21"/>
          <w:highlight w:val="none"/>
          <w:lang w:val="en-US" w:eastAsia="zh-CN"/>
        </w:rPr>
        <w:t>b.合同期内供应商选用品牌/厂家因停产或不能满足技术要求的，采购人有权要求供应商在推荐品牌（或厂家）中重新选取并供货，价格不作调整；</w:t>
      </w:r>
    </w:p>
    <w:p w14:paraId="6F851F6A">
      <w:pPr>
        <w:keepNext w:val="0"/>
        <w:keepLines w:val="0"/>
        <w:pageBreakBefore w:val="0"/>
        <w:widowControl w:val="0"/>
        <w:kinsoku/>
        <w:wordWrap/>
        <w:overflowPunct/>
        <w:topLinePunct w:val="0"/>
        <w:autoSpaceDE/>
        <w:autoSpaceDN/>
        <w:bidi w:val="0"/>
        <w:spacing w:line="288" w:lineRule="auto"/>
        <w:ind w:firstLine="422" w:firstLineChars="200"/>
        <w:textAlignment w:val="auto"/>
        <w:rPr>
          <w:rFonts w:hint="eastAsia" w:ascii="仿宋" w:hAnsi="仿宋" w:eastAsia="仿宋" w:cs="仿宋"/>
          <w:b/>
          <w:bCs w:val="0"/>
          <w:sz w:val="21"/>
          <w:szCs w:val="21"/>
          <w:highlight w:val="none"/>
          <w:lang w:val="en-US" w:eastAsia="zh-CN"/>
        </w:rPr>
      </w:pPr>
      <w:r>
        <w:rPr>
          <w:rFonts w:hint="eastAsia" w:ascii="仿宋" w:hAnsi="仿宋" w:eastAsia="仿宋" w:cs="仿宋"/>
          <w:b/>
          <w:bCs w:val="0"/>
          <w:sz w:val="21"/>
          <w:szCs w:val="21"/>
          <w:highlight w:val="none"/>
          <w:lang w:val="en-US" w:eastAsia="zh-CN"/>
        </w:rPr>
        <w:t>c.装修所用材料达到燃烧性能等级A级、环保等级E0级；</w:t>
      </w:r>
    </w:p>
    <w:p w14:paraId="7FE1F437">
      <w:pPr>
        <w:keepNext w:val="0"/>
        <w:keepLines w:val="0"/>
        <w:pageBreakBefore w:val="0"/>
        <w:widowControl w:val="0"/>
        <w:kinsoku/>
        <w:wordWrap/>
        <w:overflowPunct/>
        <w:topLinePunct w:val="0"/>
        <w:autoSpaceDE/>
        <w:autoSpaceDN/>
        <w:bidi w:val="0"/>
        <w:spacing w:line="288" w:lineRule="auto"/>
        <w:ind w:firstLine="422" w:firstLineChars="200"/>
        <w:textAlignment w:val="auto"/>
        <w:rPr>
          <w:rFonts w:hint="eastAsia" w:ascii="仿宋" w:hAnsi="仿宋" w:eastAsia="仿宋" w:cs="仿宋"/>
          <w:bCs/>
          <w:sz w:val="21"/>
          <w:szCs w:val="21"/>
          <w:highlight w:val="none"/>
          <w:lang w:val="en-US" w:eastAsia="zh-CN"/>
        </w:rPr>
      </w:pPr>
      <w:r>
        <w:rPr>
          <w:rFonts w:hint="eastAsia" w:ascii="仿宋" w:hAnsi="仿宋" w:eastAsia="仿宋" w:cs="仿宋"/>
          <w:b/>
          <w:bCs w:val="0"/>
          <w:sz w:val="21"/>
          <w:szCs w:val="21"/>
          <w:highlight w:val="none"/>
          <w:lang w:val="en-US" w:eastAsia="zh-CN"/>
        </w:rPr>
        <w:t>d.供应商</w:t>
      </w:r>
      <w:r>
        <w:rPr>
          <w:rFonts w:hint="eastAsia" w:ascii="仿宋" w:hAnsi="仿宋" w:eastAsia="仿宋" w:cs="仿宋"/>
          <w:b/>
          <w:bCs w:val="0"/>
          <w:sz w:val="21"/>
          <w:szCs w:val="21"/>
          <w:highlight w:val="none"/>
        </w:rPr>
        <w:t>应充分自行勘查现场</w:t>
      </w:r>
      <w:r>
        <w:rPr>
          <w:rFonts w:hint="eastAsia" w:ascii="仿宋" w:hAnsi="仿宋" w:eastAsia="仿宋" w:cs="仿宋"/>
          <w:b/>
          <w:bCs w:val="0"/>
          <w:sz w:val="21"/>
          <w:szCs w:val="21"/>
          <w:highlight w:val="none"/>
          <w:lang w:eastAsia="zh-CN"/>
        </w:rPr>
        <w:t>（</w:t>
      </w:r>
      <w:r>
        <w:rPr>
          <w:rFonts w:hint="eastAsia" w:ascii="仿宋" w:hAnsi="仿宋" w:eastAsia="仿宋" w:cs="仿宋"/>
          <w:b/>
          <w:bCs w:val="0"/>
          <w:sz w:val="21"/>
          <w:szCs w:val="21"/>
          <w:highlight w:val="none"/>
        </w:rPr>
        <w:t>采购人不集中组织</w:t>
      </w:r>
      <w:r>
        <w:rPr>
          <w:rFonts w:hint="eastAsia" w:ascii="仿宋" w:hAnsi="仿宋" w:eastAsia="仿宋" w:cs="仿宋"/>
          <w:b/>
          <w:bCs w:val="0"/>
          <w:sz w:val="21"/>
          <w:szCs w:val="21"/>
          <w:highlight w:val="none"/>
          <w:lang w:eastAsia="zh-CN"/>
        </w:rPr>
        <w:t>）</w:t>
      </w:r>
      <w:r>
        <w:rPr>
          <w:rFonts w:hint="eastAsia" w:ascii="仿宋" w:hAnsi="仿宋" w:eastAsia="仿宋" w:cs="仿宋"/>
          <w:b/>
          <w:bCs w:val="0"/>
          <w:sz w:val="21"/>
          <w:szCs w:val="21"/>
          <w:highlight w:val="none"/>
        </w:rPr>
        <w:t>，对现场和周围环境进行踏勘和了解，以获取有关编制</w:t>
      </w:r>
      <w:r>
        <w:rPr>
          <w:rFonts w:hint="eastAsia" w:ascii="仿宋" w:hAnsi="仿宋" w:eastAsia="仿宋" w:cs="仿宋"/>
          <w:b/>
          <w:bCs w:val="0"/>
          <w:sz w:val="21"/>
          <w:szCs w:val="21"/>
          <w:highlight w:val="none"/>
          <w:lang w:val="en-US" w:eastAsia="zh-CN"/>
        </w:rPr>
        <w:t>响应</w:t>
      </w:r>
      <w:r>
        <w:rPr>
          <w:rFonts w:hint="eastAsia" w:ascii="仿宋" w:hAnsi="仿宋" w:eastAsia="仿宋" w:cs="仿宋"/>
          <w:b/>
          <w:bCs w:val="0"/>
          <w:sz w:val="21"/>
          <w:szCs w:val="21"/>
          <w:highlight w:val="none"/>
        </w:rPr>
        <w:t>文件和签署合同所需的各种资料，并充分考虑影响</w:t>
      </w:r>
      <w:r>
        <w:rPr>
          <w:rFonts w:hint="eastAsia" w:ascii="仿宋" w:hAnsi="仿宋" w:eastAsia="仿宋" w:cs="仿宋"/>
          <w:b/>
          <w:bCs w:val="0"/>
          <w:sz w:val="21"/>
          <w:szCs w:val="21"/>
          <w:highlight w:val="none"/>
          <w:lang w:val="en-US" w:eastAsia="zh-CN"/>
        </w:rPr>
        <w:t>响应</w:t>
      </w:r>
      <w:r>
        <w:rPr>
          <w:rFonts w:hint="eastAsia" w:ascii="仿宋" w:hAnsi="仿宋" w:eastAsia="仿宋" w:cs="仿宋"/>
          <w:b/>
          <w:bCs w:val="0"/>
          <w:sz w:val="21"/>
          <w:szCs w:val="21"/>
          <w:highlight w:val="none"/>
        </w:rPr>
        <w:t>报价的因素、预计实施过程中各种不利因素，由此可能发生的费用均由</w:t>
      </w:r>
      <w:r>
        <w:rPr>
          <w:rFonts w:hint="eastAsia" w:ascii="仿宋" w:hAnsi="仿宋" w:eastAsia="仿宋" w:cs="仿宋"/>
          <w:b/>
          <w:bCs w:val="0"/>
          <w:sz w:val="21"/>
          <w:szCs w:val="21"/>
          <w:highlight w:val="none"/>
          <w:lang w:val="en-US" w:eastAsia="zh-CN"/>
        </w:rPr>
        <w:t>供应商</w:t>
      </w:r>
      <w:r>
        <w:rPr>
          <w:rFonts w:hint="eastAsia" w:ascii="仿宋" w:hAnsi="仿宋" w:eastAsia="仿宋" w:cs="仿宋"/>
          <w:b/>
          <w:bCs w:val="0"/>
          <w:sz w:val="21"/>
          <w:szCs w:val="21"/>
          <w:highlight w:val="none"/>
        </w:rPr>
        <w:t>考虑并包含在</w:t>
      </w:r>
      <w:r>
        <w:rPr>
          <w:rFonts w:hint="eastAsia" w:ascii="仿宋" w:hAnsi="仿宋" w:eastAsia="仿宋" w:cs="仿宋"/>
          <w:b/>
          <w:bCs w:val="0"/>
          <w:sz w:val="21"/>
          <w:szCs w:val="21"/>
          <w:highlight w:val="none"/>
          <w:lang w:val="en-US" w:eastAsia="zh-CN"/>
        </w:rPr>
        <w:t>响应</w:t>
      </w:r>
      <w:r>
        <w:rPr>
          <w:rFonts w:hint="eastAsia" w:ascii="仿宋" w:hAnsi="仿宋" w:eastAsia="仿宋" w:cs="仿宋"/>
          <w:b/>
          <w:bCs w:val="0"/>
          <w:sz w:val="21"/>
          <w:szCs w:val="21"/>
          <w:highlight w:val="none"/>
        </w:rPr>
        <w:t>报价中，因现场勘查不充分导致的</w:t>
      </w:r>
      <w:r>
        <w:rPr>
          <w:rFonts w:hint="eastAsia" w:ascii="仿宋" w:hAnsi="仿宋" w:eastAsia="仿宋" w:cs="仿宋"/>
          <w:b/>
          <w:bCs w:val="0"/>
          <w:sz w:val="21"/>
          <w:szCs w:val="21"/>
          <w:highlight w:val="none"/>
          <w:lang w:val="en-US" w:eastAsia="zh-CN"/>
        </w:rPr>
        <w:t>响应</w:t>
      </w:r>
      <w:r>
        <w:rPr>
          <w:rFonts w:hint="eastAsia" w:ascii="仿宋" w:hAnsi="仿宋" w:eastAsia="仿宋" w:cs="仿宋"/>
          <w:b/>
          <w:bCs w:val="0"/>
          <w:sz w:val="21"/>
          <w:szCs w:val="21"/>
          <w:highlight w:val="none"/>
        </w:rPr>
        <w:t>报价缺失由</w:t>
      </w:r>
      <w:r>
        <w:rPr>
          <w:rFonts w:hint="eastAsia" w:ascii="仿宋" w:hAnsi="仿宋" w:eastAsia="仿宋" w:cs="仿宋"/>
          <w:b/>
          <w:bCs w:val="0"/>
          <w:sz w:val="21"/>
          <w:szCs w:val="21"/>
          <w:highlight w:val="none"/>
          <w:lang w:val="en-US" w:eastAsia="zh-CN"/>
        </w:rPr>
        <w:t>供应商</w:t>
      </w:r>
      <w:r>
        <w:rPr>
          <w:rFonts w:hint="eastAsia" w:ascii="仿宋" w:hAnsi="仿宋" w:eastAsia="仿宋" w:cs="仿宋"/>
          <w:b/>
          <w:bCs w:val="0"/>
          <w:sz w:val="21"/>
          <w:szCs w:val="21"/>
          <w:highlight w:val="none"/>
        </w:rPr>
        <w:t>自行承担，</w:t>
      </w:r>
      <w:r>
        <w:rPr>
          <w:rFonts w:hint="eastAsia" w:ascii="仿宋" w:hAnsi="仿宋" w:eastAsia="仿宋" w:cs="仿宋"/>
          <w:b/>
          <w:bCs w:val="0"/>
          <w:sz w:val="21"/>
          <w:szCs w:val="21"/>
          <w:highlight w:val="none"/>
          <w:lang w:val="en-US" w:eastAsia="zh-CN"/>
        </w:rPr>
        <w:t>成交</w:t>
      </w:r>
      <w:r>
        <w:rPr>
          <w:rFonts w:hint="eastAsia" w:ascii="仿宋" w:hAnsi="仿宋" w:eastAsia="仿宋" w:cs="仿宋"/>
          <w:b/>
          <w:bCs w:val="0"/>
          <w:sz w:val="21"/>
          <w:szCs w:val="21"/>
          <w:highlight w:val="none"/>
        </w:rPr>
        <w:t>后</w:t>
      </w:r>
      <w:r>
        <w:rPr>
          <w:rFonts w:hint="eastAsia" w:ascii="仿宋" w:hAnsi="仿宋" w:eastAsia="仿宋" w:cs="仿宋"/>
          <w:b/>
          <w:bCs w:val="0"/>
          <w:sz w:val="21"/>
          <w:szCs w:val="21"/>
          <w:highlight w:val="none"/>
          <w:lang w:val="en-US" w:eastAsia="zh-CN"/>
        </w:rPr>
        <w:t>成交供应商</w:t>
      </w:r>
      <w:r>
        <w:rPr>
          <w:rFonts w:hint="eastAsia" w:ascii="仿宋" w:hAnsi="仿宋" w:eastAsia="仿宋" w:cs="仿宋"/>
          <w:b/>
          <w:bCs w:val="0"/>
          <w:sz w:val="21"/>
          <w:szCs w:val="21"/>
          <w:highlight w:val="none"/>
        </w:rPr>
        <w:t>不得再以不完全了解现场情况等为理由而提出额外付款或延长工期等要求，若有此类要求采购人将不作任何答复与考虑，现场勘查所产生的一切责任、风险、费用和后果由</w:t>
      </w:r>
      <w:r>
        <w:rPr>
          <w:rFonts w:hint="eastAsia" w:ascii="仿宋" w:hAnsi="仿宋" w:eastAsia="仿宋" w:cs="仿宋"/>
          <w:b/>
          <w:bCs w:val="0"/>
          <w:sz w:val="21"/>
          <w:szCs w:val="21"/>
          <w:highlight w:val="none"/>
          <w:lang w:val="en-US" w:eastAsia="zh-CN"/>
        </w:rPr>
        <w:t>供应商</w:t>
      </w:r>
      <w:r>
        <w:rPr>
          <w:rFonts w:hint="eastAsia" w:ascii="仿宋" w:hAnsi="仿宋" w:eastAsia="仿宋" w:cs="仿宋"/>
          <w:b/>
          <w:bCs w:val="0"/>
          <w:sz w:val="21"/>
          <w:szCs w:val="21"/>
          <w:highlight w:val="none"/>
        </w:rPr>
        <w:t>自行承担。</w:t>
      </w:r>
    </w:p>
    <w:p w14:paraId="0B4BCEED">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仿宋" w:hAnsi="仿宋" w:eastAsia="仿宋" w:cs="仿宋"/>
          <w:bCs/>
          <w:sz w:val="21"/>
          <w:szCs w:val="21"/>
          <w:highlight w:val="none"/>
        </w:rPr>
      </w:pPr>
      <w:r>
        <w:rPr>
          <w:rFonts w:hint="eastAsia" w:ascii="仿宋" w:hAnsi="仿宋" w:eastAsia="仿宋" w:cs="仿宋"/>
          <w:bCs/>
          <w:sz w:val="21"/>
          <w:szCs w:val="21"/>
          <w:highlight w:val="none"/>
          <w:lang w:val="en-US" w:eastAsia="zh-CN"/>
        </w:rPr>
        <w:t>1.</w:t>
      </w:r>
      <w:r>
        <w:rPr>
          <w:rFonts w:hint="eastAsia" w:ascii="仿宋" w:hAnsi="仿宋" w:eastAsia="仿宋" w:cs="仿宋"/>
          <w:bCs/>
          <w:sz w:val="21"/>
          <w:szCs w:val="21"/>
          <w:highlight w:val="none"/>
        </w:rPr>
        <w:t>5）所有</w:t>
      </w:r>
      <w:r>
        <w:rPr>
          <w:rFonts w:hint="eastAsia" w:ascii="仿宋" w:hAnsi="仿宋" w:eastAsia="仿宋" w:cs="仿宋"/>
          <w:bCs/>
          <w:sz w:val="21"/>
          <w:szCs w:val="21"/>
          <w:highlight w:val="none"/>
          <w:lang w:eastAsia="zh-CN"/>
        </w:rPr>
        <w:t>材料</w:t>
      </w:r>
      <w:r>
        <w:rPr>
          <w:rFonts w:hint="eastAsia" w:ascii="仿宋" w:hAnsi="仿宋" w:eastAsia="仿宋" w:cs="仿宋"/>
          <w:bCs/>
          <w:sz w:val="21"/>
          <w:szCs w:val="21"/>
          <w:highlight w:val="none"/>
        </w:rPr>
        <w:t>符合设计图纸及采购人要求，由供应商根据磋商文件、工程量清单及施工图的要求进行报价；</w:t>
      </w:r>
    </w:p>
    <w:p w14:paraId="16C3898E">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仿宋" w:hAnsi="仿宋" w:eastAsia="仿宋" w:cs="仿宋"/>
          <w:bCs/>
          <w:sz w:val="21"/>
          <w:szCs w:val="21"/>
          <w:highlight w:val="none"/>
        </w:rPr>
      </w:pPr>
      <w:r>
        <w:rPr>
          <w:rFonts w:hint="eastAsia" w:ascii="仿宋" w:hAnsi="仿宋" w:eastAsia="仿宋" w:cs="仿宋"/>
          <w:bCs/>
          <w:sz w:val="21"/>
          <w:szCs w:val="21"/>
          <w:highlight w:val="none"/>
          <w:lang w:val="en-US" w:eastAsia="zh-CN"/>
        </w:rPr>
        <w:t>1.</w:t>
      </w:r>
      <w:r>
        <w:rPr>
          <w:rFonts w:hint="eastAsia" w:ascii="仿宋" w:hAnsi="仿宋" w:eastAsia="仿宋" w:cs="仿宋"/>
          <w:bCs/>
          <w:sz w:val="21"/>
          <w:szCs w:val="21"/>
          <w:highlight w:val="none"/>
        </w:rPr>
        <w:t>6）欢迎在采购人推荐品牌同档次及以上品牌参与响应，供应商在响应文件中若提供采购人推荐品牌外的</w:t>
      </w:r>
      <w:r>
        <w:rPr>
          <w:rFonts w:hint="eastAsia" w:ascii="仿宋" w:hAnsi="仿宋" w:eastAsia="仿宋" w:cs="仿宋"/>
          <w:bCs/>
          <w:sz w:val="21"/>
          <w:szCs w:val="21"/>
          <w:highlight w:val="none"/>
          <w:lang w:eastAsia="zh-CN"/>
        </w:rPr>
        <w:t>材料</w:t>
      </w:r>
      <w:r>
        <w:rPr>
          <w:rFonts w:hint="eastAsia" w:ascii="仿宋" w:hAnsi="仿宋" w:eastAsia="仿宋" w:cs="仿宋"/>
          <w:bCs/>
          <w:sz w:val="21"/>
          <w:szCs w:val="21"/>
          <w:highlight w:val="none"/>
        </w:rPr>
        <w:t>，同时提供相当于采购人推荐品牌</w:t>
      </w:r>
      <w:r>
        <w:rPr>
          <w:rFonts w:hint="eastAsia" w:ascii="仿宋" w:hAnsi="仿宋" w:eastAsia="仿宋" w:cs="仿宋"/>
          <w:bCs/>
          <w:sz w:val="21"/>
          <w:szCs w:val="21"/>
          <w:highlight w:val="none"/>
          <w:lang w:eastAsia="zh-CN"/>
        </w:rPr>
        <w:t>材料</w:t>
      </w:r>
      <w:r>
        <w:rPr>
          <w:rFonts w:hint="eastAsia" w:ascii="仿宋" w:hAnsi="仿宋" w:eastAsia="仿宋" w:cs="仿宋"/>
          <w:bCs/>
          <w:sz w:val="21"/>
          <w:szCs w:val="21"/>
          <w:highlight w:val="none"/>
        </w:rPr>
        <w:t>的证明材料，磋商小组对其提供的证明材料评审能否满足采购人要求，对未提供相关证明材料或提供的证明材料依据不足时可在评审报告中写明情况并作响应无效处理，供应商在主要材料品牌一览表或主要材料价格表中标明品牌，如未明确，项目实施时采购人有权在此范围内任选一种</w:t>
      </w:r>
      <w:r>
        <w:rPr>
          <w:rFonts w:hint="eastAsia" w:ascii="仿宋" w:hAnsi="仿宋" w:eastAsia="仿宋" w:cs="仿宋"/>
          <w:bCs/>
          <w:sz w:val="21"/>
          <w:szCs w:val="21"/>
          <w:highlight w:val="none"/>
          <w:lang w:val="en-US" w:eastAsia="zh-CN"/>
        </w:rPr>
        <w:t>且</w:t>
      </w:r>
      <w:r>
        <w:rPr>
          <w:rFonts w:hint="eastAsia" w:ascii="仿宋" w:hAnsi="仿宋" w:eastAsia="仿宋" w:cs="仿宋"/>
          <w:bCs/>
          <w:sz w:val="21"/>
          <w:szCs w:val="21"/>
          <w:highlight w:val="none"/>
        </w:rPr>
        <w:t>费用不作任何调整；</w:t>
      </w:r>
    </w:p>
    <w:p w14:paraId="0BEBACBC">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仿宋" w:hAnsi="仿宋" w:eastAsia="仿宋" w:cs="仿宋"/>
          <w:bCs/>
          <w:sz w:val="21"/>
          <w:szCs w:val="21"/>
          <w:highlight w:val="none"/>
          <w:lang w:val="en-US" w:eastAsia="zh-CN"/>
        </w:rPr>
      </w:pPr>
      <w:r>
        <w:rPr>
          <w:rFonts w:hint="eastAsia" w:ascii="仿宋" w:hAnsi="仿宋" w:eastAsia="仿宋" w:cs="仿宋"/>
          <w:bCs/>
          <w:sz w:val="21"/>
          <w:szCs w:val="21"/>
          <w:highlight w:val="none"/>
          <w:lang w:val="en-US" w:eastAsia="zh-CN"/>
        </w:rPr>
        <w:t>1.</w:t>
      </w:r>
      <w:r>
        <w:rPr>
          <w:rFonts w:hint="eastAsia" w:ascii="仿宋" w:hAnsi="仿宋" w:eastAsia="仿宋" w:cs="仿宋"/>
          <w:bCs/>
          <w:sz w:val="21"/>
          <w:szCs w:val="21"/>
          <w:highlight w:val="none"/>
        </w:rPr>
        <w:t>7）供应商响应时需在分部分项报价表中注明选用</w:t>
      </w:r>
      <w:r>
        <w:rPr>
          <w:rFonts w:hint="eastAsia" w:ascii="仿宋" w:hAnsi="仿宋" w:eastAsia="仿宋" w:cs="仿宋"/>
          <w:bCs/>
          <w:sz w:val="21"/>
          <w:szCs w:val="21"/>
          <w:highlight w:val="none"/>
          <w:lang w:eastAsia="zh-CN"/>
        </w:rPr>
        <w:t>材料</w:t>
      </w:r>
      <w:r>
        <w:rPr>
          <w:rFonts w:hint="eastAsia" w:ascii="仿宋" w:hAnsi="仿宋" w:eastAsia="仿宋" w:cs="仿宋"/>
          <w:bCs/>
          <w:sz w:val="21"/>
          <w:szCs w:val="21"/>
          <w:highlight w:val="none"/>
        </w:rPr>
        <w:t>品牌，采购人对</w:t>
      </w:r>
      <w:r>
        <w:rPr>
          <w:rFonts w:hint="eastAsia" w:ascii="仿宋" w:hAnsi="仿宋" w:eastAsia="仿宋" w:cs="仿宋"/>
          <w:bCs/>
          <w:sz w:val="21"/>
          <w:szCs w:val="21"/>
          <w:highlight w:val="none"/>
          <w:lang w:eastAsia="zh-CN"/>
        </w:rPr>
        <w:t>材料</w:t>
      </w:r>
      <w:r>
        <w:rPr>
          <w:rFonts w:hint="eastAsia" w:ascii="仿宋" w:hAnsi="仿宋" w:eastAsia="仿宋" w:cs="仿宋"/>
          <w:bCs/>
          <w:sz w:val="21"/>
          <w:szCs w:val="21"/>
          <w:highlight w:val="none"/>
        </w:rPr>
        <w:t>无推荐品牌要求的，供应商也应在分部分项工程量清单报价表和主要</w:t>
      </w:r>
      <w:r>
        <w:rPr>
          <w:rFonts w:hint="eastAsia" w:ascii="仿宋" w:hAnsi="仿宋" w:eastAsia="仿宋" w:cs="仿宋"/>
          <w:bCs/>
          <w:sz w:val="21"/>
          <w:szCs w:val="21"/>
          <w:highlight w:val="none"/>
          <w:lang w:eastAsia="zh-CN"/>
        </w:rPr>
        <w:t>材料</w:t>
      </w:r>
      <w:r>
        <w:rPr>
          <w:rFonts w:hint="eastAsia" w:ascii="仿宋" w:hAnsi="仿宋" w:eastAsia="仿宋" w:cs="仿宋"/>
          <w:bCs/>
          <w:sz w:val="21"/>
          <w:szCs w:val="21"/>
          <w:highlight w:val="none"/>
        </w:rPr>
        <w:t>价格表中</w:t>
      </w:r>
      <w:r>
        <w:rPr>
          <w:rFonts w:hint="eastAsia" w:ascii="仿宋" w:hAnsi="仿宋" w:eastAsia="仿宋" w:cs="仿宋"/>
          <w:bCs/>
          <w:sz w:val="21"/>
          <w:szCs w:val="21"/>
          <w:highlight w:val="none"/>
          <w:lang w:val="en-US" w:eastAsia="zh-CN"/>
        </w:rPr>
        <w:t>标明</w:t>
      </w:r>
      <w:r>
        <w:rPr>
          <w:rFonts w:hint="eastAsia" w:ascii="仿宋" w:hAnsi="仿宋" w:eastAsia="仿宋" w:cs="仿宋"/>
          <w:bCs/>
          <w:sz w:val="21"/>
          <w:szCs w:val="21"/>
          <w:highlight w:val="none"/>
        </w:rPr>
        <w:t>品牌，如未明确，项目实施时采购人有权根据需求指定任意品牌</w:t>
      </w:r>
      <w:r>
        <w:rPr>
          <w:rFonts w:hint="eastAsia" w:ascii="仿宋" w:hAnsi="仿宋" w:eastAsia="仿宋" w:cs="仿宋"/>
          <w:bCs/>
          <w:sz w:val="21"/>
          <w:szCs w:val="21"/>
          <w:highlight w:val="none"/>
          <w:lang w:val="en-US" w:eastAsia="zh-CN"/>
        </w:rPr>
        <w:t>且</w:t>
      </w:r>
      <w:r>
        <w:rPr>
          <w:rFonts w:hint="eastAsia" w:ascii="仿宋" w:hAnsi="仿宋" w:eastAsia="仿宋" w:cs="仿宋"/>
          <w:bCs/>
          <w:sz w:val="21"/>
          <w:szCs w:val="21"/>
          <w:highlight w:val="none"/>
        </w:rPr>
        <w:t>费用不作任何调整</w:t>
      </w:r>
      <w:r>
        <w:rPr>
          <w:rFonts w:hint="eastAsia" w:ascii="仿宋" w:hAnsi="仿宋" w:eastAsia="仿宋" w:cs="仿宋"/>
          <w:bCs/>
          <w:sz w:val="21"/>
          <w:szCs w:val="21"/>
          <w:highlight w:val="none"/>
          <w:lang w:eastAsia="zh-CN"/>
        </w:rPr>
        <w:t>。</w:t>
      </w:r>
    </w:p>
    <w:p w14:paraId="7DA7F49A">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仿宋" w:hAnsi="仿宋" w:eastAsia="仿宋" w:cs="仿宋"/>
          <w:bCs/>
          <w:sz w:val="21"/>
          <w:szCs w:val="21"/>
          <w:highlight w:val="none"/>
        </w:rPr>
      </w:pPr>
      <w:r>
        <w:rPr>
          <w:rFonts w:hint="eastAsia" w:ascii="仿宋" w:hAnsi="仿宋" w:eastAsia="仿宋" w:cs="仿宋"/>
          <w:bCs/>
          <w:sz w:val="21"/>
          <w:szCs w:val="21"/>
          <w:highlight w:val="none"/>
          <w:lang w:val="en-US" w:eastAsia="zh-CN"/>
        </w:rPr>
        <w:t>2）</w:t>
      </w:r>
      <w:r>
        <w:rPr>
          <w:rFonts w:hint="eastAsia" w:ascii="仿宋" w:hAnsi="仿宋" w:eastAsia="仿宋" w:cs="仿宋"/>
          <w:bCs/>
          <w:sz w:val="21"/>
          <w:szCs w:val="21"/>
          <w:highlight w:val="none"/>
          <w:lang w:eastAsia="zh-CN"/>
        </w:rPr>
        <w:t>材料</w:t>
      </w:r>
      <w:r>
        <w:rPr>
          <w:rFonts w:hint="eastAsia" w:ascii="仿宋" w:hAnsi="仿宋" w:eastAsia="仿宋" w:cs="仿宋"/>
          <w:bCs/>
          <w:sz w:val="21"/>
          <w:szCs w:val="21"/>
          <w:highlight w:val="none"/>
        </w:rPr>
        <w:t>质量</w:t>
      </w:r>
    </w:p>
    <w:p w14:paraId="2B7FFECC">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仿宋" w:hAnsi="仿宋" w:eastAsia="仿宋" w:cs="仿宋"/>
          <w:bCs/>
          <w:sz w:val="21"/>
          <w:szCs w:val="21"/>
          <w:highlight w:val="none"/>
        </w:rPr>
      </w:pPr>
      <w:r>
        <w:rPr>
          <w:rFonts w:hint="eastAsia" w:ascii="仿宋" w:hAnsi="仿宋" w:eastAsia="仿宋" w:cs="仿宋"/>
          <w:bCs/>
          <w:sz w:val="21"/>
          <w:szCs w:val="21"/>
          <w:highlight w:val="none"/>
          <w:lang w:val="en-US" w:eastAsia="zh-CN"/>
        </w:rPr>
        <w:t>2.</w:t>
      </w:r>
      <w:r>
        <w:rPr>
          <w:rFonts w:hint="eastAsia" w:ascii="仿宋" w:hAnsi="仿宋" w:eastAsia="仿宋" w:cs="仿宋"/>
          <w:bCs/>
          <w:sz w:val="21"/>
          <w:szCs w:val="21"/>
          <w:highlight w:val="none"/>
        </w:rPr>
        <w:t>1）保修期内成交供应商对有缺陷的部位无偿地给予修理与更换，并承担一切由此引起的对采购人或第三者的直接损失，除非该缺陷是由于人为破坏或合同规定的不可抗力因素造成的损坏；</w:t>
      </w:r>
    </w:p>
    <w:p w14:paraId="23469EBD">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仿宋" w:hAnsi="仿宋" w:eastAsia="仿宋" w:cs="仿宋"/>
          <w:bCs/>
          <w:sz w:val="21"/>
          <w:szCs w:val="21"/>
          <w:highlight w:val="none"/>
        </w:rPr>
      </w:pPr>
      <w:r>
        <w:rPr>
          <w:rFonts w:hint="eastAsia" w:ascii="仿宋" w:hAnsi="仿宋" w:eastAsia="仿宋" w:cs="仿宋"/>
          <w:bCs/>
          <w:sz w:val="21"/>
          <w:szCs w:val="21"/>
          <w:highlight w:val="none"/>
          <w:lang w:val="en-US" w:eastAsia="zh-CN"/>
        </w:rPr>
        <w:t>2.</w:t>
      </w:r>
      <w:r>
        <w:rPr>
          <w:rFonts w:hint="eastAsia" w:ascii="仿宋" w:hAnsi="仿宋" w:eastAsia="仿宋" w:cs="仿宋"/>
          <w:bCs/>
          <w:sz w:val="21"/>
          <w:szCs w:val="21"/>
          <w:highlight w:val="none"/>
        </w:rPr>
        <w:t>2）成交供应商对所选用的</w:t>
      </w:r>
      <w:r>
        <w:rPr>
          <w:rFonts w:hint="eastAsia" w:ascii="仿宋" w:hAnsi="仿宋" w:eastAsia="仿宋" w:cs="仿宋"/>
          <w:bCs/>
          <w:sz w:val="21"/>
          <w:szCs w:val="21"/>
          <w:highlight w:val="none"/>
          <w:lang w:eastAsia="zh-CN"/>
        </w:rPr>
        <w:t>材料</w:t>
      </w:r>
      <w:r>
        <w:rPr>
          <w:rFonts w:hint="eastAsia" w:ascii="仿宋" w:hAnsi="仿宋" w:eastAsia="仿宋" w:cs="仿宋"/>
          <w:bCs/>
          <w:sz w:val="21"/>
          <w:szCs w:val="21"/>
          <w:highlight w:val="none"/>
        </w:rPr>
        <w:t>的技术满足度和质量负全部责任，其责任不因该品牌是否为采购人推荐减轻或更改，当成交供应商选用的</w:t>
      </w:r>
      <w:r>
        <w:rPr>
          <w:rFonts w:hint="eastAsia" w:ascii="仿宋" w:hAnsi="仿宋" w:eastAsia="仿宋" w:cs="仿宋"/>
          <w:bCs/>
          <w:sz w:val="21"/>
          <w:szCs w:val="21"/>
          <w:highlight w:val="none"/>
          <w:lang w:eastAsia="zh-CN"/>
        </w:rPr>
        <w:t>材料</w:t>
      </w:r>
      <w:r>
        <w:rPr>
          <w:rFonts w:hint="eastAsia" w:ascii="仿宋" w:hAnsi="仿宋" w:eastAsia="仿宋" w:cs="仿宋"/>
          <w:bCs/>
          <w:sz w:val="21"/>
          <w:szCs w:val="21"/>
          <w:highlight w:val="none"/>
        </w:rPr>
        <w:t>质量达不到设计要求和磋商文件要求的技术指标时，采购人保留更换的权利</w:t>
      </w:r>
      <w:r>
        <w:rPr>
          <w:rFonts w:hint="eastAsia" w:ascii="仿宋" w:hAnsi="仿宋" w:eastAsia="仿宋" w:cs="仿宋"/>
          <w:bCs/>
          <w:sz w:val="21"/>
          <w:szCs w:val="21"/>
          <w:highlight w:val="none"/>
          <w:lang w:val="en-US" w:eastAsia="zh-CN"/>
        </w:rPr>
        <w:t>且</w:t>
      </w:r>
      <w:r>
        <w:rPr>
          <w:rFonts w:hint="eastAsia" w:ascii="仿宋" w:hAnsi="仿宋" w:eastAsia="仿宋" w:cs="仿宋"/>
          <w:bCs/>
          <w:sz w:val="21"/>
          <w:szCs w:val="21"/>
          <w:highlight w:val="none"/>
        </w:rPr>
        <w:t>费用不作任何调整；</w:t>
      </w:r>
    </w:p>
    <w:p w14:paraId="6C244329">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仿宋" w:hAnsi="仿宋" w:eastAsia="仿宋" w:cs="仿宋"/>
          <w:bCs/>
          <w:sz w:val="21"/>
          <w:szCs w:val="21"/>
          <w:highlight w:val="none"/>
        </w:rPr>
      </w:pPr>
      <w:r>
        <w:rPr>
          <w:rFonts w:hint="eastAsia" w:ascii="仿宋" w:hAnsi="仿宋" w:eastAsia="仿宋" w:cs="仿宋"/>
          <w:bCs/>
          <w:sz w:val="21"/>
          <w:szCs w:val="21"/>
          <w:highlight w:val="none"/>
          <w:lang w:val="en-US" w:eastAsia="zh-CN"/>
        </w:rPr>
        <w:t>2.</w:t>
      </w:r>
      <w:r>
        <w:rPr>
          <w:rFonts w:hint="eastAsia" w:ascii="仿宋" w:hAnsi="仿宋" w:eastAsia="仿宋" w:cs="仿宋"/>
          <w:bCs/>
          <w:sz w:val="21"/>
          <w:szCs w:val="21"/>
          <w:highlight w:val="none"/>
        </w:rPr>
        <w:t>3）室内装饰用材均需满足相应环保要求。</w:t>
      </w:r>
    </w:p>
    <w:p w14:paraId="4F78C56A">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仿宋" w:hAnsi="仿宋" w:eastAsia="仿宋" w:cs="仿宋"/>
          <w:bCs/>
          <w:sz w:val="21"/>
          <w:szCs w:val="21"/>
          <w:highlight w:val="none"/>
        </w:rPr>
      </w:pPr>
      <w:r>
        <w:rPr>
          <w:rFonts w:hint="eastAsia" w:ascii="仿宋" w:hAnsi="仿宋" w:eastAsia="仿宋" w:cs="仿宋"/>
          <w:bCs/>
          <w:sz w:val="21"/>
          <w:szCs w:val="21"/>
          <w:highlight w:val="none"/>
          <w:lang w:val="en-US" w:eastAsia="zh-CN"/>
        </w:rPr>
        <w:t>3）</w:t>
      </w:r>
      <w:r>
        <w:rPr>
          <w:rFonts w:hint="eastAsia" w:ascii="仿宋" w:hAnsi="仿宋" w:eastAsia="仿宋" w:cs="仿宋"/>
          <w:bCs/>
          <w:sz w:val="21"/>
          <w:szCs w:val="21"/>
          <w:highlight w:val="none"/>
        </w:rPr>
        <w:t>其它</w:t>
      </w:r>
    </w:p>
    <w:p w14:paraId="737A66A0">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仿宋" w:hAnsi="仿宋" w:eastAsia="仿宋" w:cs="仿宋"/>
          <w:bCs/>
          <w:sz w:val="21"/>
          <w:szCs w:val="21"/>
          <w:highlight w:val="none"/>
        </w:rPr>
      </w:pPr>
      <w:r>
        <w:rPr>
          <w:rFonts w:hint="eastAsia" w:ascii="仿宋" w:hAnsi="仿宋" w:eastAsia="仿宋" w:cs="仿宋"/>
          <w:bCs/>
          <w:sz w:val="21"/>
          <w:szCs w:val="21"/>
          <w:highlight w:val="none"/>
        </w:rPr>
        <w:t>▲</w:t>
      </w:r>
      <w:r>
        <w:rPr>
          <w:rFonts w:hint="eastAsia" w:ascii="仿宋" w:hAnsi="仿宋" w:eastAsia="仿宋" w:cs="仿宋"/>
          <w:bCs/>
          <w:sz w:val="21"/>
          <w:szCs w:val="21"/>
          <w:highlight w:val="none"/>
          <w:lang w:val="en-US" w:eastAsia="zh-CN"/>
        </w:rPr>
        <w:t>3</w:t>
      </w:r>
      <w:r>
        <w:rPr>
          <w:rFonts w:hint="eastAsia" w:ascii="仿宋" w:hAnsi="仿宋" w:eastAsia="仿宋" w:cs="仿宋"/>
          <w:bCs/>
          <w:sz w:val="21"/>
          <w:szCs w:val="21"/>
          <w:highlight w:val="none"/>
        </w:rPr>
        <w:t>.1</w:t>
      </w:r>
      <w:r>
        <w:rPr>
          <w:rFonts w:hint="eastAsia" w:ascii="仿宋" w:hAnsi="仿宋" w:eastAsia="仿宋" w:cs="仿宋"/>
          <w:bCs/>
          <w:sz w:val="21"/>
          <w:szCs w:val="21"/>
          <w:highlight w:val="none"/>
          <w:lang w:eastAsia="zh-CN"/>
        </w:rPr>
        <w:t>）</w:t>
      </w:r>
      <w:r>
        <w:rPr>
          <w:rFonts w:hint="eastAsia" w:ascii="仿宋" w:hAnsi="仿宋" w:eastAsia="仿宋" w:cs="仿宋"/>
          <w:bCs/>
          <w:sz w:val="21"/>
          <w:szCs w:val="21"/>
          <w:highlight w:val="none"/>
        </w:rPr>
        <w:t>根据国家住建部、省级造价主管部门对造价从业人员执业管理的相关法律法规及国标计价规范的规定，响应报价的编制遵守以下规定：</w:t>
      </w:r>
    </w:p>
    <w:p w14:paraId="49812E18">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仿宋" w:hAnsi="仿宋" w:eastAsia="仿宋" w:cs="仿宋"/>
          <w:bCs/>
          <w:sz w:val="21"/>
          <w:szCs w:val="21"/>
          <w:highlight w:val="none"/>
        </w:rPr>
      </w:pPr>
      <w:r>
        <w:rPr>
          <w:rFonts w:hint="eastAsia" w:ascii="仿宋" w:hAnsi="仿宋" w:eastAsia="仿宋" w:cs="仿宋"/>
          <w:bCs/>
          <w:sz w:val="21"/>
          <w:szCs w:val="21"/>
          <w:highlight w:val="none"/>
          <w:lang w:val="en-US" w:eastAsia="zh-CN"/>
        </w:rPr>
        <w:t>a.</w:t>
      </w:r>
      <w:r>
        <w:rPr>
          <w:rFonts w:hint="eastAsia" w:ascii="仿宋" w:hAnsi="仿宋" w:eastAsia="仿宋" w:cs="仿宋"/>
          <w:bCs/>
          <w:sz w:val="21"/>
          <w:szCs w:val="21"/>
          <w:highlight w:val="none"/>
        </w:rPr>
        <w:t>响应报价由供应商或受其委托具有相应资质的工程造价咨询人员编制，供应商委托具有相应资质的工程造价咨询人员编制响应报价的，响应文件中附情况说明、委托编制响应报价的咨询合同书及工程造价咨询人员的资质等级证书等；</w:t>
      </w:r>
    </w:p>
    <w:p w14:paraId="78F6B58D">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仿宋" w:hAnsi="仿宋" w:eastAsia="仿宋" w:cs="仿宋"/>
          <w:bCs/>
          <w:sz w:val="21"/>
          <w:szCs w:val="21"/>
          <w:highlight w:val="none"/>
        </w:rPr>
      </w:pPr>
      <w:r>
        <w:rPr>
          <w:rFonts w:hint="eastAsia" w:ascii="仿宋" w:hAnsi="仿宋" w:eastAsia="仿宋" w:cs="仿宋"/>
          <w:bCs/>
          <w:sz w:val="21"/>
          <w:szCs w:val="21"/>
          <w:highlight w:val="none"/>
          <w:lang w:val="en-US" w:eastAsia="zh-CN"/>
        </w:rPr>
        <w:t>b.</w:t>
      </w:r>
      <w:r>
        <w:rPr>
          <w:rFonts w:hint="eastAsia" w:ascii="仿宋" w:hAnsi="仿宋" w:eastAsia="仿宋" w:cs="仿宋"/>
          <w:bCs/>
          <w:sz w:val="21"/>
          <w:szCs w:val="21"/>
          <w:highlight w:val="none"/>
        </w:rPr>
        <w:t>响应报价由供应商编制的，编制人员是在供应商处注册的造价工程师，由其签字并盖执业专用章；</w:t>
      </w:r>
    </w:p>
    <w:p w14:paraId="1C320CFF">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仿宋" w:hAnsi="仿宋" w:eastAsia="仿宋" w:cs="仿宋"/>
          <w:bCs/>
          <w:sz w:val="21"/>
          <w:szCs w:val="21"/>
          <w:highlight w:val="none"/>
        </w:rPr>
      </w:pPr>
      <w:r>
        <w:rPr>
          <w:rFonts w:hint="eastAsia" w:ascii="仿宋" w:hAnsi="仿宋" w:eastAsia="仿宋" w:cs="仿宋"/>
          <w:bCs/>
          <w:sz w:val="21"/>
          <w:szCs w:val="21"/>
          <w:highlight w:val="none"/>
          <w:lang w:val="en-US" w:eastAsia="zh-CN"/>
        </w:rPr>
        <w:t>c.</w:t>
      </w:r>
      <w:r>
        <w:rPr>
          <w:rFonts w:hint="eastAsia" w:ascii="仿宋" w:hAnsi="仿宋" w:eastAsia="仿宋" w:cs="仿宋"/>
          <w:bCs/>
          <w:sz w:val="21"/>
          <w:szCs w:val="21"/>
          <w:highlight w:val="none"/>
        </w:rPr>
        <w:t>响应报价由供应商委托具有相应资质的工程造价咨询人员编制的，编制人员是在编制单位注册的造价工程师，由其签字和盖执业专用章，且由本单位其他注册造价工程师复核，在成果文件相应位置签字并盖执业专用章；</w:t>
      </w:r>
    </w:p>
    <w:p w14:paraId="066E7579">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仿宋" w:hAnsi="仿宋" w:eastAsia="仿宋" w:cs="仿宋"/>
          <w:bCs/>
          <w:sz w:val="21"/>
          <w:szCs w:val="21"/>
          <w:highlight w:val="none"/>
        </w:rPr>
      </w:pPr>
      <w:r>
        <w:rPr>
          <w:rFonts w:hint="eastAsia" w:ascii="仿宋" w:hAnsi="仿宋" w:eastAsia="仿宋" w:cs="仿宋"/>
          <w:bCs/>
          <w:sz w:val="21"/>
          <w:szCs w:val="21"/>
          <w:highlight w:val="none"/>
          <w:lang w:val="en-US" w:eastAsia="zh-CN"/>
        </w:rPr>
        <w:t>d.</w:t>
      </w:r>
      <w:r>
        <w:rPr>
          <w:rFonts w:hint="eastAsia" w:ascii="仿宋" w:hAnsi="仿宋" w:eastAsia="仿宋" w:cs="仿宋"/>
          <w:bCs/>
          <w:sz w:val="21"/>
          <w:szCs w:val="21"/>
          <w:highlight w:val="none"/>
        </w:rPr>
        <w:t>响应报价不得由供应商的造价人员和受委托的咨询公司的造价人员混合编审，报价文件封面盖章的造价工程师只能是同一单位人员，工程造价咨询人员不得同时接受采购人和供应商对同一工程的招标控制价和响应报价的编制。</w:t>
      </w:r>
    </w:p>
    <w:p w14:paraId="1BEB7C8F">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仿宋" w:hAnsi="仿宋" w:eastAsia="仿宋" w:cs="仿宋"/>
          <w:bCs/>
          <w:sz w:val="21"/>
          <w:szCs w:val="21"/>
          <w:highlight w:val="none"/>
        </w:rPr>
      </w:pPr>
      <w:r>
        <w:rPr>
          <w:rFonts w:hint="eastAsia" w:ascii="仿宋" w:hAnsi="仿宋" w:eastAsia="仿宋" w:cs="仿宋"/>
          <w:bCs/>
          <w:sz w:val="21"/>
          <w:szCs w:val="21"/>
          <w:highlight w:val="none"/>
          <w:lang w:val="en-US" w:eastAsia="zh-CN"/>
        </w:rPr>
        <w:t>3</w:t>
      </w:r>
      <w:r>
        <w:rPr>
          <w:rFonts w:hint="eastAsia" w:ascii="仿宋" w:hAnsi="仿宋" w:eastAsia="仿宋" w:cs="仿宋"/>
          <w:bCs/>
          <w:sz w:val="21"/>
          <w:szCs w:val="21"/>
          <w:highlight w:val="none"/>
        </w:rPr>
        <w:t>.2</w:t>
      </w:r>
      <w:r>
        <w:rPr>
          <w:rFonts w:hint="eastAsia" w:ascii="仿宋" w:hAnsi="仿宋" w:eastAsia="仿宋" w:cs="仿宋"/>
          <w:bCs/>
          <w:sz w:val="21"/>
          <w:szCs w:val="21"/>
          <w:highlight w:val="none"/>
          <w:lang w:eastAsia="zh-CN"/>
        </w:rPr>
        <w:t>）</w:t>
      </w:r>
      <w:r>
        <w:rPr>
          <w:rFonts w:hint="eastAsia" w:ascii="仿宋" w:hAnsi="仿宋" w:eastAsia="仿宋" w:cs="仿宋"/>
          <w:bCs/>
          <w:sz w:val="21"/>
          <w:szCs w:val="21"/>
          <w:highlight w:val="none"/>
        </w:rPr>
        <w:t>成交供应商在项目执行过程中严格按照有关操作规程进行操作，做好安全防范工作，防止一切事故的发生，期间出现人身伤亡等事故，一切后果由成交供应商自行承担；</w:t>
      </w:r>
    </w:p>
    <w:p w14:paraId="661917A3">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lang w:val="en-US" w:eastAsia="zh-CN"/>
        </w:rPr>
        <w:t>3</w:t>
      </w:r>
      <w:r>
        <w:rPr>
          <w:rFonts w:hint="eastAsia" w:ascii="仿宋" w:hAnsi="仿宋" w:eastAsia="仿宋" w:cs="仿宋"/>
          <w:b w:val="0"/>
          <w:bCs/>
          <w:sz w:val="21"/>
          <w:szCs w:val="21"/>
          <w:highlight w:val="none"/>
        </w:rPr>
        <w:t>.</w:t>
      </w:r>
      <w:r>
        <w:rPr>
          <w:rFonts w:hint="eastAsia" w:ascii="仿宋" w:hAnsi="仿宋" w:eastAsia="仿宋" w:cs="仿宋"/>
          <w:b w:val="0"/>
          <w:bCs/>
          <w:sz w:val="21"/>
          <w:szCs w:val="21"/>
          <w:highlight w:val="none"/>
          <w:lang w:val="en-US" w:eastAsia="zh-CN"/>
        </w:rPr>
        <w:t>3</w:t>
      </w: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rPr>
        <w:t>施工期间服从采购人管理，确保施工安全，施工</w:t>
      </w:r>
      <w:r>
        <w:rPr>
          <w:rFonts w:hint="eastAsia" w:ascii="仿宋" w:hAnsi="仿宋" w:eastAsia="仿宋" w:cs="仿宋"/>
          <w:b w:val="0"/>
          <w:bCs/>
          <w:sz w:val="21"/>
          <w:szCs w:val="21"/>
          <w:highlight w:val="none"/>
          <w:lang w:val="en-US" w:eastAsia="zh-CN"/>
        </w:rPr>
        <w:t>人员、</w:t>
      </w:r>
      <w:r>
        <w:rPr>
          <w:rFonts w:hint="eastAsia" w:ascii="仿宋" w:hAnsi="仿宋" w:eastAsia="仿宋" w:cs="仿宋"/>
          <w:b w:val="0"/>
          <w:bCs/>
          <w:sz w:val="21"/>
          <w:szCs w:val="21"/>
          <w:highlight w:val="none"/>
        </w:rPr>
        <w:t>车辆进出按</w:t>
      </w:r>
      <w:r>
        <w:rPr>
          <w:rFonts w:hint="eastAsia" w:ascii="仿宋" w:hAnsi="仿宋" w:eastAsia="仿宋" w:cs="仿宋"/>
          <w:b w:val="0"/>
          <w:bCs/>
          <w:sz w:val="21"/>
          <w:szCs w:val="21"/>
          <w:highlight w:val="none"/>
          <w:lang w:val="en-US" w:eastAsia="zh-CN"/>
        </w:rPr>
        <w:t>相关</w:t>
      </w:r>
      <w:r>
        <w:rPr>
          <w:rFonts w:hint="eastAsia" w:ascii="仿宋" w:hAnsi="仿宋" w:eastAsia="仿宋" w:cs="仿宋"/>
          <w:b w:val="0"/>
          <w:bCs/>
          <w:sz w:val="21"/>
          <w:szCs w:val="21"/>
          <w:highlight w:val="none"/>
        </w:rPr>
        <w:t>规定实施；</w:t>
      </w:r>
    </w:p>
    <w:p w14:paraId="7713152C">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lang w:val="en-US" w:eastAsia="zh-CN"/>
        </w:rPr>
        <w:t>3</w:t>
      </w:r>
      <w:r>
        <w:rPr>
          <w:rFonts w:hint="eastAsia" w:ascii="仿宋" w:hAnsi="仿宋" w:eastAsia="仿宋" w:cs="仿宋"/>
          <w:b w:val="0"/>
          <w:bCs/>
          <w:sz w:val="21"/>
          <w:szCs w:val="21"/>
          <w:highlight w:val="none"/>
        </w:rPr>
        <w:t>.</w:t>
      </w:r>
      <w:r>
        <w:rPr>
          <w:rFonts w:hint="eastAsia" w:ascii="仿宋" w:hAnsi="仿宋" w:eastAsia="仿宋" w:cs="仿宋"/>
          <w:b w:val="0"/>
          <w:bCs/>
          <w:sz w:val="21"/>
          <w:szCs w:val="21"/>
          <w:highlight w:val="none"/>
          <w:lang w:val="en-US" w:eastAsia="zh-CN"/>
        </w:rPr>
        <w:t>4</w:t>
      </w: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rPr>
        <w:t>根据《保障农民工工资支付条款》《浙江省民营企业发展促进条例》和《住房和城乡建设部等部门关于加快推进房屋建筑和市政基础设施工程实行工程担保制度的指导意见》的规定，供应商对工资性工程款占合同总价的比例、支付时间、支付方式予以明确，对所承包工程的农民工工资支付负总责；</w:t>
      </w:r>
    </w:p>
    <w:p w14:paraId="2B15A069">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lang w:val="en-US" w:eastAsia="zh-CN"/>
        </w:rPr>
        <w:t>3</w:t>
      </w:r>
      <w:r>
        <w:rPr>
          <w:rFonts w:hint="eastAsia" w:ascii="仿宋" w:hAnsi="仿宋" w:eastAsia="仿宋" w:cs="仿宋"/>
          <w:b w:val="0"/>
          <w:bCs/>
          <w:sz w:val="21"/>
          <w:szCs w:val="21"/>
          <w:highlight w:val="none"/>
        </w:rPr>
        <w:t>.</w:t>
      </w:r>
      <w:r>
        <w:rPr>
          <w:rFonts w:hint="eastAsia" w:ascii="仿宋" w:hAnsi="仿宋" w:eastAsia="仿宋" w:cs="仿宋"/>
          <w:b w:val="0"/>
          <w:bCs/>
          <w:sz w:val="21"/>
          <w:szCs w:val="21"/>
          <w:highlight w:val="none"/>
          <w:lang w:val="en-US" w:eastAsia="zh-CN"/>
        </w:rPr>
        <w:t>5</w:t>
      </w: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rPr>
        <w:t>保护好原有不变动的设施设备；</w:t>
      </w:r>
    </w:p>
    <w:p w14:paraId="617CF289">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lang w:val="en-US" w:eastAsia="zh-CN"/>
        </w:rPr>
        <w:t>3</w:t>
      </w:r>
      <w:r>
        <w:rPr>
          <w:rFonts w:hint="eastAsia" w:ascii="仿宋" w:hAnsi="仿宋" w:eastAsia="仿宋" w:cs="仿宋"/>
          <w:b w:val="0"/>
          <w:bCs/>
          <w:sz w:val="21"/>
          <w:szCs w:val="21"/>
          <w:highlight w:val="none"/>
        </w:rPr>
        <w:t>.</w:t>
      </w:r>
      <w:r>
        <w:rPr>
          <w:rFonts w:hint="eastAsia" w:ascii="仿宋" w:hAnsi="仿宋" w:eastAsia="仿宋" w:cs="仿宋"/>
          <w:b w:val="0"/>
          <w:bCs/>
          <w:sz w:val="21"/>
          <w:szCs w:val="21"/>
          <w:highlight w:val="none"/>
          <w:lang w:val="en-US" w:eastAsia="zh-CN"/>
        </w:rPr>
        <w:t>6</w:t>
      </w: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rPr>
        <w:t>合理安排施工时间及噪音控制</w:t>
      </w: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lang w:val="en-US" w:eastAsia="zh-CN"/>
        </w:rPr>
        <w:t>遵守校区物业关于装修施工的相关规定</w:t>
      </w:r>
      <w:r>
        <w:rPr>
          <w:rFonts w:hint="eastAsia" w:ascii="仿宋" w:hAnsi="仿宋" w:eastAsia="仿宋" w:cs="仿宋"/>
          <w:b w:val="0"/>
          <w:bCs/>
          <w:sz w:val="21"/>
          <w:szCs w:val="21"/>
          <w:highlight w:val="none"/>
        </w:rPr>
        <w:t>；</w:t>
      </w:r>
    </w:p>
    <w:p w14:paraId="2A4E695C">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lang w:val="en-US" w:eastAsia="zh-CN"/>
        </w:rPr>
        <w:t>3</w:t>
      </w:r>
      <w:r>
        <w:rPr>
          <w:rFonts w:hint="eastAsia" w:ascii="仿宋" w:hAnsi="仿宋" w:eastAsia="仿宋" w:cs="仿宋"/>
          <w:b w:val="0"/>
          <w:bCs/>
          <w:sz w:val="21"/>
          <w:szCs w:val="21"/>
          <w:highlight w:val="none"/>
        </w:rPr>
        <w:t>.</w:t>
      </w:r>
      <w:r>
        <w:rPr>
          <w:rFonts w:hint="eastAsia" w:ascii="仿宋" w:hAnsi="仿宋" w:eastAsia="仿宋" w:cs="仿宋"/>
          <w:b w:val="0"/>
          <w:bCs/>
          <w:sz w:val="21"/>
          <w:szCs w:val="21"/>
          <w:highlight w:val="none"/>
          <w:lang w:val="en-US" w:eastAsia="zh-CN"/>
        </w:rPr>
        <w:t>7</w:t>
      </w: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rPr>
        <w:t>严格施工现场管理，如防火、防盗等；</w:t>
      </w:r>
    </w:p>
    <w:p w14:paraId="12F5DF10">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仿宋" w:hAnsi="仿宋" w:eastAsia="仿宋" w:cs="仿宋"/>
          <w:b w:val="0"/>
          <w:bCs/>
          <w:sz w:val="21"/>
          <w:szCs w:val="21"/>
          <w:highlight w:val="none"/>
          <w:lang w:eastAsia="zh-CN"/>
        </w:rPr>
      </w:pPr>
      <w:r>
        <w:rPr>
          <w:rFonts w:hint="eastAsia" w:ascii="仿宋" w:hAnsi="仿宋" w:eastAsia="仿宋" w:cs="仿宋"/>
          <w:b w:val="0"/>
          <w:bCs/>
          <w:sz w:val="21"/>
          <w:szCs w:val="21"/>
          <w:highlight w:val="none"/>
          <w:lang w:val="en-US" w:eastAsia="zh-CN"/>
        </w:rPr>
        <w:t>3</w:t>
      </w:r>
      <w:r>
        <w:rPr>
          <w:rFonts w:hint="eastAsia" w:ascii="仿宋" w:hAnsi="仿宋" w:eastAsia="仿宋" w:cs="仿宋"/>
          <w:b w:val="0"/>
          <w:bCs/>
          <w:sz w:val="21"/>
          <w:szCs w:val="21"/>
          <w:highlight w:val="none"/>
        </w:rPr>
        <w:t>.</w:t>
      </w:r>
      <w:r>
        <w:rPr>
          <w:rFonts w:hint="eastAsia" w:ascii="仿宋" w:hAnsi="仿宋" w:eastAsia="仿宋" w:cs="仿宋"/>
          <w:b w:val="0"/>
          <w:bCs/>
          <w:sz w:val="21"/>
          <w:szCs w:val="21"/>
          <w:highlight w:val="none"/>
          <w:lang w:val="en-US" w:eastAsia="zh-CN"/>
        </w:rPr>
        <w:t>8</w:t>
      </w:r>
      <w:r>
        <w:rPr>
          <w:rFonts w:hint="eastAsia" w:ascii="仿宋" w:hAnsi="仿宋" w:eastAsia="仿宋" w:cs="仿宋"/>
          <w:b w:val="0"/>
          <w:bCs/>
          <w:sz w:val="21"/>
          <w:szCs w:val="21"/>
          <w:highlight w:val="none"/>
          <w:lang w:eastAsia="zh-CN"/>
        </w:rPr>
        <w:t>）竣工后及时供给水、电并在验收前对所有施工区域及部位进行保洁，高标准交付；</w:t>
      </w:r>
    </w:p>
    <w:p w14:paraId="2E696D87">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仿宋" w:hAnsi="仿宋" w:eastAsia="仿宋" w:cs="仿宋"/>
          <w:b w:val="0"/>
          <w:bCs/>
          <w:sz w:val="21"/>
          <w:szCs w:val="21"/>
          <w:highlight w:val="none"/>
          <w:lang w:eastAsia="zh-CN"/>
        </w:rPr>
      </w:pPr>
      <w:r>
        <w:rPr>
          <w:rFonts w:hint="eastAsia" w:ascii="仿宋" w:hAnsi="仿宋" w:eastAsia="仿宋" w:cs="仿宋"/>
          <w:b w:val="0"/>
          <w:bCs/>
          <w:sz w:val="21"/>
          <w:szCs w:val="21"/>
          <w:highlight w:val="none"/>
          <w:lang w:val="en-US" w:eastAsia="zh-CN"/>
        </w:rPr>
        <w:t>3</w:t>
      </w: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lang w:val="en-US" w:eastAsia="zh-CN"/>
        </w:rPr>
        <w:t>9</w:t>
      </w:r>
      <w:r>
        <w:rPr>
          <w:rFonts w:hint="eastAsia" w:ascii="仿宋" w:hAnsi="仿宋" w:eastAsia="仿宋" w:cs="仿宋"/>
          <w:b w:val="0"/>
          <w:bCs/>
          <w:sz w:val="21"/>
          <w:szCs w:val="21"/>
          <w:highlight w:val="none"/>
          <w:lang w:eastAsia="zh-CN"/>
        </w:rPr>
        <w:t>）施工现场做好标准化布置，醒目位置悬挂工程告示牌；施工人员统一着装、统一编号，工作装或马甲上醒目标识单位名称、人员编号；</w:t>
      </w:r>
      <w:r>
        <w:rPr>
          <w:rFonts w:hint="eastAsia" w:ascii="仿宋" w:hAnsi="仿宋" w:eastAsia="仿宋" w:cs="仿宋"/>
          <w:b w:val="0"/>
          <w:bCs/>
          <w:sz w:val="21"/>
          <w:szCs w:val="21"/>
          <w:highlight w:val="none"/>
          <w:lang w:val="en-US" w:eastAsia="zh-CN"/>
        </w:rPr>
        <w:t>施工现场边界设置统一样式的施工安全隔栏、安全警示牌，清洁美观、无破损、整齐划一，醒目位置悬挂工程告示牌注明工程名称、开工日期、竣工日期、建设单位名称、项目负责人联系电话；</w:t>
      </w:r>
    </w:p>
    <w:p w14:paraId="0B437DE1">
      <w:pPr>
        <w:keepNext w:val="0"/>
        <w:keepLines w:val="0"/>
        <w:pageBreakBefore w:val="0"/>
        <w:widowControl w:val="0"/>
        <w:kinsoku/>
        <w:wordWrap/>
        <w:overflowPunct/>
        <w:topLinePunct w:val="0"/>
        <w:autoSpaceDE/>
        <w:autoSpaceDN/>
        <w:bidi w:val="0"/>
        <w:adjustRightInd/>
        <w:snapToGrid/>
        <w:spacing w:line="288" w:lineRule="auto"/>
        <w:ind w:right="0" w:rightChars="0" w:firstLine="420" w:firstLineChars="200"/>
        <w:jc w:val="left"/>
        <w:textAlignment w:val="auto"/>
        <w:outlineLvl w:val="9"/>
        <w:rPr>
          <w:rFonts w:hint="eastAsia" w:ascii="仿宋" w:hAnsi="仿宋" w:eastAsia="仿宋" w:cs="仿宋"/>
          <w:b w:val="0"/>
          <w:bCs/>
          <w:sz w:val="21"/>
          <w:szCs w:val="21"/>
          <w:highlight w:val="none"/>
          <w:lang w:eastAsia="zh-CN"/>
        </w:rPr>
      </w:pPr>
      <w:r>
        <w:rPr>
          <w:rFonts w:hint="eastAsia" w:ascii="仿宋" w:hAnsi="仿宋" w:eastAsia="仿宋" w:cs="仿宋"/>
          <w:b w:val="0"/>
          <w:bCs/>
          <w:sz w:val="21"/>
          <w:szCs w:val="21"/>
          <w:highlight w:val="none"/>
          <w:lang w:val="en-US" w:eastAsia="zh-CN"/>
        </w:rPr>
        <w:t>3</w:t>
      </w:r>
      <w:r>
        <w:rPr>
          <w:rFonts w:hint="eastAsia" w:ascii="仿宋" w:hAnsi="仿宋" w:eastAsia="仿宋" w:cs="仿宋"/>
          <w:b w:val="0"/>
          <w:bCs/>
          <w:sz w:val="21"/>
          <w:szCs w:val="21"/>
          <w:highlight w:val="none"/>
          <w:lang w:eastAsia="zh-CN"/>
        </w:rPr>
        <w:t>.1</w:t>
      </w:r>
      <w:r>
        <w:rPr>
          <w:rFonts w:hint="eastAsia" w:ascii="仿宋" w:hAnsi="仿宋" w:eastAsia="仿宋" w:cs="仿宋"/>
          <w:b w:val="0"/>
          <w:bCs/>
          <w:sz w:val="21"/>
          <w:szCs w:val="21"/>
          <w:highlight w:val="none"/>
          <w:lang w:val="en-US" w:eastAsia="zh-CN"/>
        </w:rPr>
        <w:t>0</w:t>
      </w:r>
      <w:r>
        <w:rPr>
          <w:rFonts w:hint="eastAsia" w:ascii="仿宋" w:hAnsi="仿宋" w:eastAsia="仿宋" w:cs="仿宋"/>
          <w:b w:val="0"/>
          <w:bCs/>
          <w:sz w:val="21"/>
          <w:szCs w:val="21"/>
          <w:highlight w:val="none"/>
          <w:lang w:eastAsia="zh-CN"/>
        </w:rPr>
        <w:t>）施工单位在校内须严格遵守国家相关法律法规，严格遵守有关意识形态、宗教管理教育工作等相关规定；</w:t>
      </w:r>
    </w:p>
    <w:p w14:paraId="3CA7906F">
      <w:pPr>
        <w:keepNext w:val="0"/>
        <w:keepLines w:val="0"/>
        <w:pageBreakBefore w:val="0"/>
        <w:widowControl w:val="0"/>
        <w:kinsoku/>
        <w:wordWrap/>
        <w:overflowPunct/>
        <w:topLinePunct w:val="0"/>
        <w:autoSpaceDE/>
        <w:autoSpaceDN/>
        <w:bidi w:val="0"/>
        <w:adjustRightInd/>
        <w:snapToGrid/>
        <w:spacing w:line="288" w:lineRule="auto"/>
        <w:ind w:right="0" w:rightChars="0" w:firstLine="420" w:firstLineChars="200"/>
        <w:jc w:val="left"/>
        <w:textAlignment w:val="auto"/>
        <w:outlineLvl w:val="9"/>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en-US" w:eastAsia="zh-CN"/>
        </w:rPr>
        <w:t>3.11）供应商应充分考虑材料供应的因素，提前做好各类材料的备货工作，不得以此原因提出工期延误及费用调整；如出现因地质条件变化等因素导致设计变更的情况，经采购人同意，工期可相应顺延；</w:t>
      </w:r>
    </w:p>
    <w:p w14:paraId="77DC5E0D">
      <w:pPr>
        <w:adjustRightInd/>
        <w:snapToGrid/>
        <w:spacing w:line="288" w:lineRule="auto"/>
        <w:ind w:firstLine="420" w:firstLineChars="200"/>
        <w:jc w:val="left"/>
        <w:rPr>
          <w:rFonts w:cs="Times New Roman"/>
          <w:b/>
          <w:bCs/>
          <w:color w:val="auto"/>
          <w:sz w:val="21"/>
          <w:szCs w:val="21"/>
          <w:highlight w:val="none"/>
        </w:rPr>
      </w:pPr>
      <w:r>
        <w:rPr>
          <w:rFonts w:hint="eastAsia" w:ascii="仿宋" w:hAnsi="仿宋" w:eastAsia="仿宋" w:cs="仿宋"/>
          <w:b w:val="0"/>
          <w:bCs/>
          <w:sz w:val="21"/>
          <w:szCs w:val="21"/>
          <w:highlight w:val="none"/>
          <w:lang w:val="en-US" w:eastAsia="zh-CN"/>
        </w:rPr>
        <w:t>3.12）工程移交前成交供应商需编制修缮工程使用说明书，明确装修或改造情况、使用注意事项、主要设施设备品牌、工程质量保修期限及范围等内容；</w:t>
      </w:r>
    </w:p>
    <w:p w14:paraId="6019909F">
      <w:pPr>
        <w:widowControl/>
        <w:adjustRightInd w:val="0"/>
        <w:snapToGrid w:val="0"/>
        <w:spacing w:line="288" w:lineRule="auto"/>
        <w:jc w:val="left"/>
        <w:rPr>
          <w:rFonts w:cs="Times New Roman"/>
          <w:color w:val="auto"/>
          <w:sz w:val="21"/>
          <w:szCs w:val="21"/>
          <w:highlight w:val="none"/>
        </w:rPr>
      </w:pPr>
      <w:r>
        <w:rPr>
          <w:rFonts w:cs="Times New Roman"/>
          <w:color w:val="auto"/>
          <w:sz w:val="21"/>
          <w:szCs w:val="21"/>
          <w:highlight w:val="none"/>
        </w:rPr>
        <w:br w:type="page"/>
      </w:r>
    </w:p>
    <w:p w14:paraId="4FCE162D">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第三章  供应商须知</w:t>
      </w:r>
    </w:p>
    <w:p w14:paraId="3035A433">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供应商须知前附表</w:t>
      </w:r>
    </w:p>
    <w:tbl>
      <w:tblPr>
        <w:tblStyle w:val="3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410"/>
        <w:gridCol w:w="5954"/>
      </w:tblGrid>
      <w:tr w14:paraId="40FE8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4E908EE">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条款号</w:t>
            </w:r>
          </w:p>
        </w:tc>
        <w:tc>
          <w:tcPr>
            <w:tcW w:w="2410" w:type="dxa"/>
            <w:vAlign w:val="center"/>
          </w:tcPr>
          <w:p w14:paraId="4B08421D">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内容</w:t>
            </w:r>
          </w:p>
        </w:tc>
        <w:tc>
          <w:tcPr>
            <w:tcW w:w="5954" w:type="dxa"/>
            <w:vAlign w:val="center"/>
          </w:tcPr>
          <w:p w14:paraId="16DD4075">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说明与要求</w:t>
            </w:r>
          </w:p>
        </w:tc>
      </w:tr>
      <w:tr w14:paraId="4902A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961EF3">
            <w:pPr>
              <w:adjustRightInd w:val="0"/>
              <w:snapToGrid w:val="0"/>
              <w:spacing w:line="288" w:lineRule="auto"/>
              <w:jc w:val="center"/>
              <w:rPr>
                <w:color w:val="auto"/>
                <w:sz w:val="21"/>
                <w:szCs w:val="21"/>
                <w:highlight w:val="none"/>
              </w:rPr>
            </w:pPr>
            <w:r>
              <w:rPr>
                <w:rFonts w:hint="eastAsia"/>
                <w:color w:val="auto"/>
                <w:sz w:val="21"/>
                <w:szCs w:val="21"/>
                <w:highlight w:val="none"/>
              </w:rPr>
              <w:t>（一）</w:t>
            </w:r>
          </w:p>
        </w:tc>
        <w:tc>
          <w:tcPr>
            <w:tcW w:w="2410" w:type="dxa"/>
            <w:vAlign w:val="center"/>
          </w:tcPr>
          <w:p w14:paraId="1A2E0FD2">
            <w:pPr>
              <w:adjustRightInd w:val="0"/>
              <w:snapToGrid w:val="0"/>
              <w:spacing w:line="288" w:lineRule="auto"/>
              <w:jc w:val="center"/>
              <w:rPr>
                <w:color w:val="auto"/>
                <w:sz w:val="21"/>
                <w:szCs w:val="21"/>
                <w:highlight w:val="none"/>
              </w:rPr>
            </w:pPr>
            <w:r>
              <w:rPr>
                <w:rFonts w:hint="eastAsia"/>
                <w:color w:val="auto"/>
                <w:sz w:val="21"/>
                <w:szCs w:val="21"/>
                <w:highlight w:val="none"/>
              </w:rPr>
              <w:t>适用范围</w:t>
            </w:r>
          </w:p>
        </w:tc>
        <w:tc>
          <w:tcPr>
            <w:tcW w:w="5954" w:type="dxa"/>
            <w:vAlign w:val="center"/>
          </w:tcPr>
          <w:p w14:paraId="74219FF6">
            <w:pPr>
              <w:adjustRightInd w:val="0"/>
              <w:snapToGrid w:val="0"/>
              <w:spacing w:line="288" w:lineRule="auto"/>
              <w:rPr>
                <w:color w:val="auto"/>
                <w:sz w:val="21"/>
                <w:szCs w:val="21"/>
                <w:highlight w:val="none"/>
              </w:rPr>
            </w:pPr>
            <w:r>
              <w:rPr>
                <w:rFonts w:hint="eastAsia"/>
                <w:color w:val="auto"/>
                <w:sz w:val="21"/>
                <w:szCs w:val="21"/>
                <w:highlight w:val="none"/>
              </w:rPr>
              <w:t>本磋商文件适用于</w:t>
            </w:r>
            <w:r>
              <w:rPr>
                <w:rFonts w:hint="eastAsia"/>
                <w:color w:val="auto"/>
                <w:sz w:val="21"/>
                <w:szCs w:val="21"/>
                <w:highlight w:val="none"/>
                <w:lang w:eastAsia="zh-CN"/>
              </w:rPr>
              <w:t>浙江省文化馆小剧场楼层防水舞台墙体改造项目</w:t>
            </w:r>
            <w:r>
              <w:rPr>
                <w:rFonts w:hint="eastAsia"/>
                <w:color w:val="auto"/>
                <w:sz w:val="21"/>
                <w:szCs w:val="21"/>
                <w:highlight w:val="none"/>
              </w:rPr>
              <w:t>的磋商、评审、成交、验收、合同履约、付款等（法律、法规另有规定的，从其规定）。</w:t>
            </w:r>
          </w:p>
        </w:tc>
      </w:tr>
      <w:tr w14:paraId="7FC75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4CCC334">
            <w:pPr>
              <w:adjustRightInd w:val="0"/>
              <w:snapToGrid w:val="0"/>
              <w:spacing w:line="288" w:lineRule="auto"/>
              <w:jc w:val="center"/>
              <w:rPr>
                <w:color w:val="auto"/>
                <w:sz w:val="21"/>
                <w:szCs w:val="21"/>
                <w:highlight w:val="none"/>
              </w:rPr>
            </w:pPr>
            <w:r>
              <w:rPr>
                <w:rFonts w:hint="eastAsia"/>
                <w:color w:val="auto"/>
                <w:sz w:val="21"/>
                <w:szCs w:val="21"/>
                <w:highlight w:val="none"/>
              </w:rPr>
              <w:t>（二）</w:t>
            </w:r>
          </w:p>
        </w:tc>
        <w:tc>
          <w:tcPr>
            <w:tcW w:w="2410" w:type="dxa"/>
            <w:vAlign w:val="center"/>
          </w:tcPr>
          <w:p w14:paraId="3E6966D3">
            <w:pPr>
              <w:adjustRightInd w:val="0"/>
              <w:snapToGrid w:val="0"/>
              <w:spacing w:line="288" w:lineRule="auto"/>
              <w:jc w:val="center"/>
              <w:rPr>
                <w:color w:val="auto"/>
                <w:sz w:val="21"/>
                <w:szCs w:val="21"/>
                <w:highlight w:val="none"/>
              </w:rPr>
            </w:pPr>
            <w:r>
              <w:rPr>
                <w:rFonts w:hint="eastAsia"/>
                <w:color w:val="auto"/>
                <w:sz w:val="21"/>
                <w:szCs w:val="21"/>
                <w:highlight w:val="none"/>
              </w:rPr>
              <w:t>采购方式</w:t>
            </w:r>
          </w:p>
        </w:tc>
        <w:tc>
          <w:tcPr>
            <w:tcW w:w="5954" w:type="dxa"/>
            <w:vAlign w:val="center"/>
          </w:tcPr>
          <w:p w14:paraId="6C9A8AAF">
            <w:pPr>
              <w:adjustRightInd w:val="0"/>
              <w:snapToGrid w:val="0"/>
              <w:spacing w:line="288" w:lineRule="auto"/>
              <w:rPr>
                <w:color w:val="auto"/>
                <w:sz w:val="21"/>
                <w:szCs w:val="21"/>
                <w:highlight w:val="none"/>
              </w:rPr>
            </w:pPr>
            <w:r>
              <w:rPr>
                <w:rFonts w:hint="eastAsia"/>
                <w:color w:val="auto"/>
                <w:sz w:val="21"/>
                <w:szCs w:val="21"/>
                <w:highlight w:val="none"/>
              </w:rPr>
              <w:t>本次采购采用竞争性磋商（线上电子交易）方式进行。</w:t>
            </w:r>
          </w:p>
        </w:tc>
      </w:tr>
      <w:tr w14:paraId="1610A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29" w:type="dxa"/>
            <w:vAlign w:val="center"/>
          </w:tcPr>
          <w:p w14:paraId="1DDC55D5">
            <w:pPr>
              <w:adjustRightInd w:val="0"/>
              <w:snapToGrid w:val="0"/>
              <w:spacing w:line="288" w:lineRule="auto"/>
              <w:jc w:val="center"/>
              <w:rPr>
                <w:color w:val="auto"/>
                <w:sz w:val="21"/>
                <w:szCs w:val="21"/>
                <w:highlight w:val="none"/>
              </w:rPr>
            </w:pPr>
            <w:r>
              <w:rPr>
                <w:rFonts w:hint="eastAsia"/>
                <w:color w:val="auto"/>
                <w:sz w:val="21"/>
                <w:szCs w:val="21"/>
                <w:highlight w:val="none"/>
              </w:rPr>
              <w:t>（三）</w:t>
            </w:r>
          </w:p>
        </w:tc>
        <w:tc>
          <w:tcPr>
            <w:tcW w:w="2410" w:type="dxa"/>
            <w:vAlign w:val="center"/>
          </w:tcPr>
          <w:p w14:paraId="28D5973C">
            <w:pPr>
              <w:adjustRightInd w:val="0"/>
              <w:snapToGrid w:val="0"/>
              <w:spacing w:line="288" w:lineRule="auto"/>
              <w:jc w:val="center"/>
              <w:rPr>
                <w:color w:val="auto"/>
                <w:sz w:val="21"/>
                <w:szCs w:val="21"/>
                <w:highlight w:val="none"/>
              </w:rPr>
            </w:pPr>
            <w:r>
              <w:rPr>
                <w:rFonts w:hint="eastAsia"/>
                <w:color w:val="auto"/>
                <w:sz w:val="21"/>
                <w:szCs w:val="21"/>
                <w:highlight w:val="none"/>
              </w:rPr>
              <w:t>建设地点</w:t>
            </w:r>
          </w:p>
        </w:tc>
        <w:tc>
          <w:tcPr>
            <w:tcW w:w="5954" w:type="dxa"/>
            <w:vAlign w:val="center"/>
          </w:tcPr>
          <w:p w14:paraId="25179DE2">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lang w:eastAsia="zh-CN"/>
              </w:rPr>
              <w:t>浙江省文化馆</w:t>
            </w:r>
          </w:p>
        </w:tc>
      </w:tr>
      <w:tr w14:paraId="129FA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8BE9225">
            <w:pPr>
              <w:adjustRightInd w:val="0"/>
              <w:snapToGrid w:val="0"/>
              <w:spacing w:line="288" w:lineRule="auto"/>
              <w:jc w:val="center"/>
              <w:rPr>
                <w:color w:val="auto"/>
                <w:sz w:val="21"/>
                <w:szCs w:val="21"/>
                <w:highlight w:val="none"/>
              </w:rPr>
            </w:pPr>
            <w:r>
              <w:rPr>
                <w:rFonts w:hint="eastAsia"/>
                <w:color w:val="auto"/>
                <w:sz w:val="21"/>
                <w:szCs w:val="21"/>
                <w:highlight w:val="none"/>
              </w:rPr>
              <w:t>（四）</w:t>
            </w:r>
          </w:p>
        </w:tc>
        <w:tc>
          <w:tcPr>
            <w:tcW w:w="2410" w:type="dxa"/>
            <w:vAlign w:val="center"/>
          </w:tcPr>
          <w:p w14:paraId="61F9489E">
            <w:pPr>
              <w:adjustRightInd w:val="0"/>
              <w:snapToGrid w:val="0"/>
              <w:spacing w:line="288" w:lineRule="auto"/>
              <w:jc w:val="center"/>
              <w:rPr>
                <w:color w:val="auto"/>
                <w:sz w:val="21"/>
                <w:szCs w:val="21"/>
                <w:highlight w:val="none"/>
              </w:rPr>
            </w:pPr>
            <w:r>
              <w:rPr>
                <w:rFonts w:hint="eastAsia"/>
                <w:color w:val="auto"/>
                <w:sz w:val="21"/>
                <w:szCs w:val="21"/>
                <w:highlight w:val="none"/>
              </w:rPr>
              <w:t>建设规模</w:t>
            </w:r>
          </w:p>
        </w:tc>
        <w:tc>
          <w:tcPr>
            <w:tcW w:w="5954" w:type="dxa"/>
            <w:vAlign w:val="center"/>
          </w:tcPr>
          <w:p w14:paraId="3363B190">
            <w:pPr>
              <w:adjustRightInd w:val="0"/>
              <w:snapToGrid w:val="0"/>
              <w:spacing w:line="288" w:lineRule="auto"/>
              <w:rPr>
                <w:color w:val="auto"/>
                <w:sz w:val="21"/>
                <w:szCs w:val="21"/>
                <w:highlight w:val="none"/>
              </w:rPr>
            </w:pPr>
            <w:r>
              <w:rPr>
                <w:rFonts w:hint="eastAsia"/>
                <w:color w:val="auto"/>
                <w:sz w:val="21"/>
                <w:szCs w:val="21"/>
                <w:highlight w:val="none"/>
              </w:rPr>
              <w:t>详见竞争性磋商文件、工程量清单、图纸</w:t>
            </w:r>
          </w:p>
        </w:tc>
      </w:tr>
      <w:tr w14:paraId="022E1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29" w:type="dxa"/>
            <w:vAlign w:val="center"/>
          </w:tcPr>
          <w:p w14:paraId="1182FF62">
            <w:pPr>
              <w:adjustRightInd w:val="0"/>
              <w:snapToGrid w:val="0"/>
              <w:spacing w:line="288" w:lineRule="auto"/>
              <w:jc w:val="center"/>
              <w:rPr>
                <w:color w:val="auto"/>
                <w:sz w:val="21"/>
                <w:szCs w:val="21"/>
                <w:highlight w:val="none"/>
              </w:rPr>
            </w:pPr>
            <w:r>
              <w:rPr>
                <w:rFonts w:hint="eastAsia"/>
                <w:color w:val="auto"/>
                <w:sz w:val="21"/>
                <w:szCs w:val="21"/>
                <w:highlight w:val="none"/>
              </w:rPr>
              <w:t>（五）</w:t>
            </w:r>
          </w:p>
        </w:tc>
        <w:tc>
          <w:tcPr>
            <w:tcW w:w="2410" w:type="dxa"/>
            <w:vAlign w:val="center"/>
          </w:tcPr>
          <w:p w14:paraId="698C0613">
            <w:pPr>
              <w:adjustRightInd w:val="0"/>
              <w:snapToGrid w:val="0"/>
              <w:spacing w:line="288" w:lineRule="auto"/>
              <w:jc w:val="center"/>
              <w:rPr>
                <w:color w:val="auto"/>
                <w:sz w:val="21"/>
                <w:szCs w:val="21"/>
                <w:highlight w:val="none"/>
              </w:rPr>
            </w:pPr>
            <w:r>
              <w:rPr>
                <w:rFonts w:hint="eastAsia"/>
                <w:color w:val="auto"/>
                <w:sz w:val="21"/>
                <w:szCs w:val="21"/>
                <w:highlight w:val="none"/>
              </w:rPr>
              <w:t>承包方式</w:t>
            </w:r>
          </w:p>
        </w:tc>
        <w:tc>
          <w:tcPr>
            <w:tcW w:w="5954" w:type="dxa"/>
            <w:vAlign w:val="center"/>
          </w:tcPr>
          <w:p w14:paraId="3BD1FEF0">
            <w:pPr>
              <w:adjustRightInd w:val="0"/>
              <w:snapToGrid w:val="0"/>
              <w:spacing w:line="288" w:lineRule="auto"/>
              <w:rPr>
                <w:color w:val="auto"/>
                <w:sz w:val="21"/>
                <w:szCs w:val="21"/>
                <w:highlight w:val="none"/>
              </w:rPr>
            </w:pPr>
            <w:r>
              <w:rPr>
                <w:bCs/>
                <w:color w:val="auto"/>
                <w:sz w:val="21"/>
                <w:szCs w:val="21"/>
                <w:highlight w:val="none"/>
              </w:rPr>
              <w:t>包工包料、保质量、包工期、包安全文明施工总承包</w:t>
            </w:r>
          </w:p>
        </w:tc>
      </w:tr>
      <w:tr w14:paraId="5B465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D24F9FE">
            <w:pPr>
              <w:adjustRightInd w:val="0"/>
              <w:snapToGrid w:val="0"/>
              <w:spacing w:line="288" w:lineRule="auto"/>
              <w:jc w:val="center"/>
              <w:rPr>
                <w:color w:val="auto"/>
                <w:sz w:val="21"/>
                <w:szCs w:val="21"/>
                <w:highlight w:val="none"/>
              </w:rPr>
            </w:pPr>
            <w:r>
              <w:rPr>
                <w:rFonts w:hint="eastAsia"/>
                <w:color w:val="auto"/>
                <w:sz w:val="21"/>
                <w:szCs w:val="21"/>
                <w:highlight w:val="none"/>
              </w:rPr>
              <w:t>（六）</w:t>
            </w:r>
          </w:p>
        </w:tc>
        <w:tc>
          <w:tcPr>
            <w:tcW w:w="2410" w:type="dxa"/>
            <w:vAlign w:val="center"/>
          </w:tcPr>
          <w:p w14:paraId="4E975107">
            <w:pPr>
              <w:adjustRightInd w:val="0"/>
              <w:snapToGrid w:val="0"/>
              <w:spacing w:line="288" w:lineRule="auto"/>
              <w:jc w:val="center"/>
              <w:rPr>
                <w:color w:val="auto"/>
                <w:sz w:val="21"/>
                <w:szCs w:val="21"/>
                <w:highlight w:val="none"/>
              </w:rPr>
            </w:pPr>
            <w:r>
              <w:rPr>
                <w:rFonts w:hint="eastAsia"/>
                <w:color w:val="auto"/>
                <w:sz w:val="21"/>
                <w:szCs w:val="21"/>
                <w:highlight w:val="none"/>
              </w:rPr>
              <w:t>质量要求</w:t>
            </w:r>
          </w:p>
        </w:tc>
        <w:tc>
          <w:tcPr>
            <w:tcW w:w="5954" w:type="dxa"/>
            <w:vAlign w:val="center"/>
          </w:tcPr>
          <w:p w14:paraId="1E0C5C87">
            <w:pPr>
              <w:adjustRightInd w:val="0"/>
              <w:snapToGrid w:val="0"/>
              <w:spacing w:line="288" w:lineRule="auto"/>
              <w:rPr>
                <w:color w:val="auto"/>
                <w:sz w:val="21"/>
                <w:szCs w:val="21"/>
                <w:highlight w:val="none"/>
              </w:rPr>
            </w:pPr>
            <w:r>
              <w:rPr>
                <w:rFonts w:hint="eastAsia"/>
                <w:color w:val="auto"/>
                <w:sz w:val="21"/>
                <w:szCs w:val="21"/>
                <w:highlight w:val="none"/>
              </w:rPr>
              <w:t>符合（工程施工质量验收规范）合格标准</w:t>
            </w:r>
          </w:p>
        </w:tc>
      </w:tr>
      <w:tr w14:paraId="4B590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4BDD57B">
            <w:pPr>
              <w:adjustRightInd w:val="0"/>
              <w:snapToGrid w:val="0"/>
              <w:spacing w:line="288" w:lineRule="auto"/>
              <w:jc w:val="center"/>
              <w:rPr>
                <w:color w:val="auto"/>
                <w:sz w:val="21"/>
                <w:szCs w:val="21"/>
                <w:highlight w:val="none"/>
              </w:rPr>
            </w:pPr>
            <w:r>
              <w:rPr>
                <w:rFonts w:hint="eastAsia"/>
                <w:color w:val="auto"/>
                <w:sz w:val="21"/>
                <w:szCs w:val="21"/>
                <w:highlight w:val="none"/>
              </w:rPr>
              <w:t>（七）</w:t>
            </w:r>
          </w:p>
        </w:tc>
        <w:tc>
          <w:tcPr>
            <w:tcW w:w="2410" w:type="dxa"/>
            <w:vAlign w:val="center"/>
          </w:tcPr>
          <w:p w14:paraId="71B3A540">
            <w:pPr>
              <w:adjustRightInd w:val="0"/>
              <w:snapToGrid w:val="0"/>
              <w:spacing w:line="288" w:lineRule="auto"/>
              <w:jc w:val="center"/>
              <w:rPr>
                <w:color w:val="auto"/>
                <w:sz w:val="21"/>
                <w:szCs w:val="21"/>
                <w:highlight w:val="none"/>
              </w:rPr>
            </w:pPr>
            <w:r>
              <w:rPr>
                <w:rFonts w:hint="eastAsia"/>
                <w:color w:val="auto"/>
                <w:sz w:val="21"/>
                <w:szCs w:val="21"/>
                <w:highlight w:val="none"/>
              </w:rPr>
              <w:t>招标范围</w:t>
            </w:r>
          </w:p>
        </w:tc>
        <w:tc>
          <w:tcPr>
            <w:tcW w:w="5954" w:type="dxa"/>
            <w:vAlign w:val="center"/>
          </w:tcPr>
          <w:p w14:paraId="13D772BA">
            <w:pPr>
              <w:adjustRightInd w:val="0"/>
              <w:snapToGrid w:val="0"/>
              <w:spacing w:line="288" w:lineRule="auto"/>
              <w:rPr>
                <w:color w:val="auto"/>
                <w:sz w:val="21"/>
                <w:szCs w:val="21"/>
                <w:highlight w:val="none"/>
              </w:rPr>
            </w:pPr>
            <w:r>
              <w:rPr>
                <w:rFonts w:hint="eastAsia"/>
                <w:color w:val="auto"/>
                <w:sz w:val="21"/>
                <w:szCs w:val="21"/>
                <w:highlight w:val="none"/>
              </w:rPr>
              <w:t>详见竞争性磋商文件、工程量清单、图纸</w:t>
            </w:r>
          </w:p>
        </w:tc>
      </w:tr>
      <w:tr w14:paraId="39BB8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0973F88">
            <w:pPr>
              <w:adjustRightInd w:val="0"/>
              <w:snapToGrid w:val="0"/>
              <w:spacing w:line="288" w:lineRule="auto"/>
              <w:jc w:val="center"/>
              <w:rPr>
                <w:color w:val="auto"/>
                <w:sz w:val="21"/>
                <w:szCs w:val="21"/>
                <w:highlight w:val="none"/>
              </w:rPr>
            </w:pPr>
            <w:r>
              <w:rPr>
                <w:rFonts w:hint="eastAsia"/>
                <w:color w:val="auto"/>
                <w:sz w:val="21"/>
                <w:szCs w:val="21"/>
                <w:highlight w:val="none"/>
              </w:rPr>
              <w:t>（八）</w:t>
            </w:r>
          </w:p>
        </w:tc>
        <w:tc>
          <w:tcPr>
            <w:tcW w:w="2410" w:type="dxa"/>
            <w:vAlign w:val="center"/>
          </w:tcPr>
          <w:p w14:paraId="356D14F5">
            <w:pPr>
              <w:adjustRightInd w:val="0"/>
              <w:snapToGrid w:val="0"/>
              <w:spacing w:line="288" w:lineRule="auto"/>
              <w:jc w:val="center"/>
              <w:rPr>
                <w:color w:val="auto"/>
                <w:sz w:val="21"/>
                <w:szCs w:val="21"/>
                <w:highlight w:val="none"/>
              </w:rPr>
            </w:pPr>
            <w:r>
              <w:rPr>
                <w:rFonts w:hint="eastAsia"/>
                <w:color w:val="auto"/>
                <w:sz w:val="21"/>
                <w:szCs w:val="21"/>
                <w:highlight w:val="none"/>
              </w:rPr>
              <w:t>资金来源</w:t>
            </w:r>
          </w:p>
        </w:tc>
        <w:tc>
          <w:tcPr>
            <w:tcW w:w="5954" w:type="dxa"/>
            <w:vAlign w:val="center"/>
          </w:tcPr>
          <w:p w14:paraId="34C9B899">
            <w:pPr>
              <w:adjustRightInd w:val="0"/>
              <w:snapToGrid w:val="0"/>
              <w:spacing w:line="288" w:lineRule="auto"/>
              <w:rPr>
                <w:color w:val="auto"/>
                <w:sz w:val="21"/>
                <w:szCs w:val="21"/>
                <w:highlight w:val="none"/>
              </w:rPr>
            </w:pPr>
            <w:r>
              <w:rPr>
                <w:rFonts w:hint="eastAsia"/>
                <w:color w:val="auto"/>
                <w:sz w:val="21"/>
                <w:szCs w:val="21"/>
                <w:highlight w:val="none"/>
              </w:rPr>
              <w:t>财政资金</w:t>
            </w:r>
          </w:p>
        </w:tc>
      </w:tr>
      <w:tr w14:paraId="58BC1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9E631AF">
            <w:pPr>
              <w:adjustRightInd w:val="0"/>
              <w:snapToGrid w:val="0"/>
              <w:spacing w:line="288" w:lineRule="auto"/>
              <w:jc w:val="center"/>
              <w:rPr>
                <w:color w:val="auto"/>
                <w:sz w:val="21"/>
                <w:szCs w:val="21"/>
                <w:highlight w:val="none"/>
              </w:rPr>
            </w:pPr>
            <w:r>
              <w:rPr>
                <w:rFonts w:hint="eastAsia"/>
                <w:color w:val="auto"/>
                <w:sz w:val="21"/>
                <w:szCs w:val="21"/>
                <w:highlight w:val="none"/>
              </w:rPr>
              <w:t>（九）</w:t>
            </w:r>
          </w:p>
        </w:tc>
        <w:tc>
          <w:tcPr>
            <w:tcW w:w="2410" w:type="dxa"/>
            <w:vAlign w:val="center"/>
          </w:tcPr>
          <w:p w14:paraId="3F0D0760">
            <w:pPr>
              <w:adjustRightInd w:val="0"/>
              <w:snapToGrid w:val="0"/>
              <w:spacing w:line="288" w:lineRule="auto"/>
              <w:jc w:val="center"/>
              <w:rPr>
                <w:color w:val="auto"/>
                <w:sz w:val="21"/>
                <w:szCs w:val="21"/>
                <w:highlight w:val="none"/>
              </w:rPr>
            </w:pPr>
            <w:r>
              <w:rPr>
                <w:rFonts w:hint="eastAsia"/>
                <w:color w:val="auto"/>
                <w:sz w:val="21"/>
                <w:szCs w:val="21"/>
                <w:highlight w:val="none"/>
              </w:rPr>
              <w:t>资格审查方法</w:t>
            </w:r>
          </w:p>
        </w:tc>
        <w:tc>
          <w:tcPr>
            <w:tcW w:w="5954" w:type="dxa"/>
            <w:vAlign w:val="center"/>
          </w:tcPr>
          <w:p w14:paraId="71E0D0ED">
            <w:pPr>
              <w:adjustRightInd w:val="0"/>
              <w:snapToGrid w:val="0"/>
              <w:spacing w:line="288" w:lineRule="auto"/>
              <w:rPr>
                <w:color w:val="auto"/>
                <w:sz w:val="21"/>
                <w:szCs w:val="21"/>
                <w:highlight w:val="none"/>
              </w:rPr>
            </w:pPr>
            <w:r>
              <w:rPr>
                <w:rFonts w:hint="eastAsia"/>
                <w:color w:val="auto"/>
                <w:sz w:val="21"/>
                <w:szCs w:val="21"/>
                <w:highlight w:val="none"/>
              </w:rPr>
              <w:t>采用资格后审</w:t>
            </w:r>
          </w:p>
        </w:tc>
      </w:tr>
      <w:tr w14:paraId="5EEFB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29" w:type="dxa"/>
            <w:vAlign w:val="center"/>
          </w:tcPr>
          <w:p w14:paraId="4321572F">
            <w:pPr>
              <w:adjustRightInd w:val="0"/>
              <w:snapToGrid w:val="0"/>
              <w:spacing w:line="288" w:lineRule="auto"/>
              <w:jc w:val="center"/>
              <w:rPr>
                <w:color w:val="auto"/>
                <w:sz w:val="21"/>
                <w:szCs w:val="21"/>
                <w:highlight w:val="none"/>
              </w:rPr>
            </w:pPr>
            <w:r>
              <w:rPr>
                <w:rFonts w:hint="eastAsia"/>
                <w:color w:val="auto"/>
                <w:sz w:val="21"/>
                <w:szCs w:val="21"/>
                <w:highlight w:val="none"/>
              </w:rPr>
              <w:t>（十）</w:t>
            </w:r>
          </w:p>
        </w:tc>
        <w:tc>
          <w:tcPr>
            <w:tcW w:w="2410" w:type="dxa"/>
            <w:vAlign w:val="center"/>
          </w:tcPr>
          <w:p w14:paraId="711A82FC">
            <w:pPr>
              <w:adjustRightInd w:val="0"/>
              <w:snapToGrid w:val="0"/>
              <w:spacing w:line="288" w:lineRule="auto"/>
              <w:jc w:val="center"/>
              <w:rPr>
                <w:color w:val="auto"/>
                <w:sz w:val="21"/>
                <w:szCs w:val="21"/>
                <w:highlight w:val="none"/>
              </w:rPr>
            </w:pPr>
            <w:r>
              <w:rPr>
                <w:rFonts w:hint="eastAsia"/>
                <w:color w:val="auto"/>
                <w:sz w:val="21"/>
                <w:szCs w:val="21"/>
                <w:highlight w:val="none"/>
              </w:rPr>
              <w:t>工程量清单计价方式</w:t>
            </w:r>
          </w:p>
        </w:tc>
        <w:tc>
          <w:tcPr>
            <w:tcW w:w="5954" w:type="dxa"/>
            <w:vAlign w:val="center"/>
          </w:tcPr>
          <w:p w14:paraId="211FE061">
            <w:pPr>
              <w:adjustRightInd w:val="0"/>
              <w:snapToGrid w:val="0"/>
              <w:spacing w:line="288" w:lineRule="auto"/>
              <w:rPr>
                <w:color w:val="auto"/>
                <w:sz w:val="21"/>
                <w:szCs w:val="21"/>
                <w:highlight w:val="none"/>
              </w:rPr>
            </w:pPr>
            <w:r>
              <w:rPr>
                <w:rFonts w:hint="eastAsia"/>
                <w:color w:val="auto"/>
                <w:sz w:val="21"/>
                <w:szCs w:val="21"/>
                <w:highlight w:val="none"/>
              </w:rPr>
              <w:t>按工程量清单报价</w:t>
            </w:r>
          </w:p>
        </w:tc>
      </w:tr>
      <w:tr w14:paraId="68DD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CBA435B">
            <w:pPr>
              <w:adjustRightInd w:val="0"/>
              <w:snapToGrid w:val="0"/>
              <w:spacing w:line="288" w:lineRule="auto"/>
              <w:jc w:val="center"/>
              <w:rPr>
                <w:color w:val="auto"/>
                <w:sz w:val="21"/>
                <w:szCs w:val="21"/>
                <w:highlight w:val="none"/>
              </w:rPr>
            </w:pPr>
            <w:r>
              <w:rPr>
                <w:rFonts w:hint="eastAsia"/>
                <w:color w:val="auto"/>
                <w:sz w:val="21"/>
                <w:szCs w:val="21"/>
                <w:highlight w:val="none"/>
              </w:rPr>
              <w:t>（十一）</w:t>
            </w:r>
          </w:p>
        </w:tc>
        <w:tc>
          <w:tcPr>
            <w:tcW w:w="2410" w:type="dxa"/>
            <w:vAlign w:val="center"/>
          </w:tcPr>
          <w:p w14:paraId="00B6CAC3">
            <w:pPr>
              <w:pStyle w:val="17"/>
              <w:spacing w:line="288"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投标预备会（答疑会）</w:t>
            </w:r>
          </w:p>
        </w:tc>
        <w:tc>
          <w:tcPr>
            <w:tcW w:w="5954" w:type="dxa"/>
            <w:vAlign w:val="center"/>
          </w:tcPr>
          <w:p w14:paraId="7F8D4000">
            <w:pPr>
              <w:adjustRightInd w:val="0"/>
              <w:snapToGrid w:val="0"/>
              <w:spacing w:line="288" w:lineRule="auto"/>
              <w:rPr>
                <w:color w:val="auto"/>
                <w:sz w:val="21"/>
                <w:szCs w:val="21"/>
                <w:highlight w:val="none"/>
              </w:rPr>
            </w:pPr>
            <w:r>
              <w:rPr>
                <w:rFonts w:hint="eastAsia"/>
                <w:color w:val="auto"/>
                <w:sz w:val="21"/>
                <w:szCs w:val="21"/>
                <w:highlight w:val="none"/>
              </w:rPr>
              <w:t>本项目不进行集中答疑，无投标预备会。</w:t>
            </w:r>
          </w:p>
        </w:tc>
      </w:tr>
      <w:tr w14:paraId="6270D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B7EE1F9">
            <w:pPr>
              <w:adjustRightInd w:val="0"/>
              <w:snapToGrid w:val="0"/>
              <w:spacing w:line="288" w:lineRule="auto"/>
              <w:jc w:val="center"/>
              <w:rPr>
                <w:color w:val="auto"/>
                <w:sz w:val="21"/>
                <w:szCs w:val="21"/>
                <w:highlight w:val="none"/>
              </w:rPr>
            </w:pPr>
            <w:r>
              <w:rPr>
                <w:rFonts w:hint="eastAsia"/>
                <w:color w:val="auto"/>
                <w:sz w:val="21"/>
                <w:szCs w:val="21"/>
                <w:highlight w:val="none"/>
              </w:rPr>
              <w:t>（十二）</w:t>
            </w:r>
          </w:p>
        </w:tc>
        <w:tc>
          <w:tcPr>
            <w:tcW w:w="2410" w:type="dxa"/>
            <w:vAlign w:val="center"/>
          </w:tcPr>
          <w:p w14:paraId="1DAFC069">
            <w:pPr>
              <w:adjustRightInd w:val="0"/>
              <w:snapToGrid w:val="0"/>
              <w:spacing w:line="288" w:lineRule="auto"/>
              <w:jc w:val="center"/>
              <w:rPr>
                <w:color w:val="auto"/>
                <w:sz w:val="21"/>
                <w:szCs w:val="21"/>
                <w:highlight w:val="none"/>
              </w:rPr>
            </w:pPr>
            <w:r>
              <w:rPr>
                <w:rFonts w:hint="eastAsia"/>
                <w:color w:val="auto"/>
                <w:sz w:val="21"/>
                <w:szCs w:val="21"/>
                <w:highlight w:val="none"/>
              </w:rPr>
              <w:t>竞争性磋商委托</w:t>
            </w:r>
          </w:p>
        </w:tc>
        <w:tc>
          <w:tcPr>
            <w:tcW w:w="5954" w:type="dxa"/>
            <w:vAlign w:val="center"/>
          </w:tcPr>
          <w:p w14:paraId="7A754366">
            <w:pPr>
              <w:adjustRightInd w:val="0"/>
              <w:snapToGrid w:val="0"/>
              <w:spacing w:line="288" w:lineRule="auto"/>
              <w:rPr>
                <w:rFonts w:cstheme="minorBidi"/>
                <w:color w:val="auto"/>
                <w:sz w:val="21"/>
                <w:szCs w:val="21"/>
                <w:highlight w:val="none"/>
              </w:rPr>
            </w:pPr>
            <w:r>
              <w:rPr>
                <w:rFonts w:hint="eastAsia" w:cstheme="minorBidi"/>
                <w:color w:val="auto"/>
                <w:sz w:val="21"/>
                <w:szCs w:val="21"/>
                <w:highlight w:val="none"/>
              </w:rPr>
              <w:t>▲1</w:t>
            </w:r>
            <w:r>
              <w:rPr>
                <w:rFonts w:cstheme="minorBidi"/>
                <w:color w:val="auto"/>
                <w:sz w:val="21"/>
                <w:szCs w:val="21"/>
                <w:highlight w:val="none"/>
              </w:rPr>
              <w:t>.供应商代表是法定代表人</w:t>
            </w:r>
            <w:r>
              <w:rPr>
                <w:rFonts w:hint="eastAsia" w:cstheme="minorBidi"/>
                <w:color w:val="auto"/>
                <w:sz w:val="21"/>
                <w:szCs w:val="21"/>
                <w:highlight w:val="none"/>
              </w:rPr>
              <w:t>（单位负责人、自然人本人）的，须提供本人身份证明。</w:t>
            </w:r>
          </w:p>
          <w:p w14:paraId="7FA7964A">
            <w:pPr>
              <w:adjustRightInd w:val="0"/>
              <w:snapToGrid w:val="0"/>
              <w:spacing w:line="288" w:lineRule="auto"/>
              <w:rPr>
                <w:rFonts w:cstheme="minorBidi"/>
                <w:color w:val="auto"/>
                <w:sz w:val="21"/>
                <w:szCs w:val="21"/>
                <w:highlight w:val="none"/>
              </w:rPr>
            </w:pPr>
            <w:r>
              <w:rPr>
                <w:rFonts w:hint="eastAsia" w:cstheme="minorBidi"/>
                <w:color w:val="auto"/>
                <w:sz w:val="21"/>
                <w:szCs w:val="21"/>
                <w:highlight w:val="none"/>
              </w:rPr>
              <w:t>▲</w:t>
            </w:r>
            <w:r>
              <w:rPr>
                <w:rFonts w:cstheme="minorBidi"/>
                <w:color w:val="auto"/>
                <w:sz w:val="21"/>
                <w:szCs w:val="21"/>
                <w:highlight w:val="none"/>
              </w:rPr>
              <w:t>2</w:t>
            </w:r>
            <w:r>
              <w:rPr>
                <w:rFonts w:hint="eastAsia" w:cstheme="minorBidi"/>
                <w:color w:val="auto"/>
                <w:sz w:val="21"/>
                <w:szCs w:val="21"/>
                <w:highlight w:val="none"/>
              </w:rPr>
              <w:t>.</w:t>
            </w:r>
            <w:r>
              <w:rPr>
                <w:rFonts w:cstheme="minorBidi"/>
                <w:color w:val="auto"/>
                <w:sz w:val="21"/>
                <w:szCs w:val="21"/>
                <w:highlight w:val="none"/>
              </w:rPr>
              <w:t>供应商代表不是法定代表人</w:t>
            </w:r>
            <w:r>
              <w:rPr>
                <w:rFonts w:hint="eastAsia" w:cstheme="minorBidi"/>
                <w:color w:val="auto"/>
                <w:sz w:val="21"/>
                <w:szCs w:val="21"/>
                <w:highlight w:val="none"/>
              </w:rPr>
              <w:t>（单位负责人、自然人本人）的</w:t>
            </w:r>
            <w:r>
              <w:rPr>
                <w:rFonts w:cstheme="minorBidi"/>
                <w:color w:val="auto"/>
                <w:sz w:val="21"/>
                <w:szCs w:val="21"/>
                <w:highlight w:val="none"/>
              </w:rPr>
              <w:t>，须提供</w:t>
            </w:r>
            <w:r>
              <w:rPr>
                <w:rFonts w:cstheme="minorBidi"/>
                <w:bCs/>
                <w:color w:val="auto"/>
                <w:sz w:val="21"/>
                <w:szCs w:val="21"/>
                <w:highlight w:val="none"/>
              </w:rPr>
              <w:t>授权</w:t>
            </w:r>
            <w:r>
              <w:rPr>
                <w:rFonts w:hint="eastAsia" w:cstheme="minorBidi"/>
                <w:bCs/>
                <w:color w:val="auto"/>
                <w:sz w:val="21"/>
                <w:szCs w:val="21"/>
                <w:highlight w:val="none"/>
              </w:rPr>
              <w:t>委托</w:t>
            </w:r>
            <w:r>
              <w:rPr>
                <w:rFonts w:cstheme="minorBidi"/>
                <w:bCs/>
                <w:color w:val="auto"/>
                <w:sz w:val="21"/>
                <w:szCs w:val="21"/>
                <w:highlight w:val="none"/>
              </w:rPr>
              <w:t>书</w:t>
            </w:r>
            <w:r>
              <w:rPr>
                <w:rFonts w:hint="eastAsia" w:cstheme="minorBidi"/>
                <w:color w:val="auto"/>
                <w:sz w:val="21"/>
                <w:szCs w:val="21"/>
                <w:highlight w:val="none"/>
              </w:rPr>
              <w:t>（格式详见磋商文件第六章）和授权代表社保缴纳证明（</w:t>
            </w:r>
            <w:r>
              <w:rPr>
                <w:rFonts w:hint="eastAsia" w:cstheme="minorBidi"/>
                <w:color w:val="auto"/>
                <w:sz w:val="21"/>
                <w:szCs w:val="21"/>
                <w:highlight w:val="none"/>
                <w:lang w:eastAsia="zh-CN"/>
              </w:rPr>
              <w:t>2023年1月（含）以后任意一月</w:t>
            </w:r>
            <w:r>
              <w:rPr>
                <w:rFonts w:cstheme="minorBidi"/>
                <w:color w:val="auto"/>
                <w:sz w:val="21"/>
                <w:szCs w:val="21"/>
                <w:highlight w:val="none"/>
              </w:rPr>
              <w:t>）；</w:t>
            </w:r>
          </w:p>
          <w:p w14:paraId="5B3D86FF">
            <w:pPr>
              <w:adjustRightInd w:val="0"/>
              <w:snapToGrid w:val="0"/>
              <w:spacing w:line="288" w:lineRule="auto"/>
              <w:rPr>
                <w:color w:val="auto"/>
                <w:sz w:val="21"/>
                <w:szCs w:val="21"/>
                <w:highlight w:val="none"/>
              </w:rPr>
            </w:pPr>
            <w:r>
              <w:rPr>
                <w:rFonts w:hint="eastAsia" w:cstheme="minorBidi"/>
                <w:color w:val="auto"/>
                <w:sz w:val="21"/>
                <w:szCs w:val="21"/>
                <w:highlight w:val="none"/>
              </w:rPr>
              <w:t>▲</w:t>
            </w:r>
            <w:r>
              <w:rPr>
                <w:rFonts w:cstheme="minorBidi"/>
                <w:color w:val="auto"/>
                <w:sz w:val="21"/>
                <w:szCs w:val="21"/>
                <w:highlight w:val="none"/>
              </w:rPr>
              <w:t>3.</w:t>
            </w:r>
            <w:r>
              <w:rPr>
                <w:rFonts w:hint="eastAsia" w:cstheme="minorBidi"/>
                <w:color w:val="auto"/>
                <w:sz w:val="21"/>
                <w:szCs w:val="21"/>
                <w:highlight w:val="none"/>
              </w:rPr>
              <w:t>供应商委派不在本单位缴纳社保的人员作为授权代表的，应当在响应文件中，说明具体原因、授权代表缴纳社保的单位，并附列该授权代表缴纳社保清单。</w:t>
            </w:r>
          </w:p>
        </w:tc>
      </w:tr>
      <w:tr w14:paraId="73031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F6F593">
            <w:pPr>
              <w:adjustRightInd w:val="0"/>
              <w:snapToGrid w:val="0"/>
              <w:spacing w:line="288" w:lineRule="auto"/>
              <w:jc w:val="center"/>
              <w:rPr>
                <w:color w:val="auto"/>
                <w:sz w:val="21"/>
                <w:szCs w:val="21"/>
                <w:highlight w:val="none"/>
              </w:rPr>
            </w:pPr>
            <w:r>
              <w:rPr>
                <w:rFonts w:hint="eastAsia"/>
                <w:color w:val="auto"/>
                <w:sz w:val="21"/>
                <w:szCs w:val="21"/>
                <w:highlight w:val="none"/>
              </w:rPr>
              <w:t>（十三）</w:t>
            </w:r>
          </w:p>
        </w:tc>
        <w:tc>
          <w:tcPr>
            <w:tcW w:w="2410" w:type="dxa"/>
            <w:vAlign w:val="center"/>
          </w:tcPr>
          <w:p w14:paraId="2637D8CD">
            <w:pPr>
              <w:adjustRightInd w:val="0"/>
              <w:snapToGrid w:val="0"/>
              <w:spacing w:line="288" w:lineRule="auto"/>
              <w:jc w:val="center"/>
              <w:rPr>
                <w:color w:val="auto"/>
                <w:sz w:val="21"/>
                <w:szCs w:val="21"/>
                <w:highlight w:val="none"/>
              </w:rPr>
            </w:pPr>
            <w:r>
              <w:rPr>
                <w:rFonts w:hint="eastAsia"/>
                <w:color w:val="auto"/>
                <w:sz w:val="21"/>
                <w:szCs w:val="21"/>
                <w:highlight w:val="none"/>
              </w:rPr>
              <w:t>磋商费用</w:t>
            </w:r>
          </w:p>
        </w:tc>
        <w:tc>
          <w:tcPr>
            <w:tcW w:w="5954" w:type="dxa"/>
            <w:vAlign w:val="center"/>
          </w:tcPr>
          <w:p w14:paraId="77469448">
            <w:pPr>
              <w:adjustRightInd w:val="0"/>
              <w:snapToGrid w:val="0"/>
              <w:spacing w:line="288" w:lineRule="auto"/>
              <w:rPr>
                <w:rFonts w:hint="eastAsia" w:ascii="宋体" w:hAnsi="宋体" w:eastAsia="宋体" w:cstheme="minorBidi"/>
                <w:color w:val="auto"/>
                <w:sz w:val="21"/>
                <w:szCs w:val="21"/>
                <w:highlight w:val="none"/>
              </w:rPr>
            </w:pPr>
            <w:r>
              <w:rPr>
                <w:rFonts w:hint="eastAsia" w:ascii="宋体" w:hAnsi="宋体" w:eastAsia="宋体" w:cstheme="minorBidi"/>
                <w:color w:val="auto"/>
                <w:sz w:val="21"/>
                <w:szCs w:val="21"/>
                <w:highlight w:val="none"/>
              </w:rPr>
              <w:t>1.不论投标结果如何，投标人均应自行承担所有与投标有关的全部费用；</w:t>
            </w:r>
          </w:p>
          <w:p w14:paraId="569D0511">
            <w:pPr>
              <w:adjustRightInd w:val="0"/>
              <w:snapToGrid w:val="0"/>
              <w:spacing w:line="288" w:lineRule="auto"/>
              <w:rPr>
                <w:rFonts w:hint="eastAsia" w:ascii="宋体" w:hAnsi="宋体" w:eastAsia="宋体" w:cstheme="minorBidi"/>
                <w:color w:val="auto"/>
                <w:sz w:val="21"/>
                <w:szCs w:val="21"/>
                <w:highlight w:val="none"/>
              </w:rPr>
            </w:pPr>
            <w:r>
              <w:rPr>
                <w:rFonts w:hint="eastAsia" w:ascii="宋体" w:hAnsi="宋体" w:eastAsia="宋体" w:cstheme="minorBidi"/>
                <w:color w:val="auto"/>
                <w:sz w:val="21"/>
                <w:szCs w:val="21"/>
                <w:highlight w:val="none"/>
              </w:rPr>
              <w:t>2.中标人在中标通知书发出之日起七个工作日内，向采购代理机构交纳代理服务费；</w:t>
            </w:r>
          </w:p>
          <w:p w14:paraId="42621F98">
            <w:pPr>
              <w:adjustRightInd w:val="0"/>
              <w:snapToGrid w:val="0"/>
              <w:spacing w:line="288" w:lineRule="auto"/>
              <w:rPr>
                <w:rFonts w:hint="eastAsia" w:ascii="宋体" w:hAnsi="宋体" w:eastAsia="宋体" w:cstheme="minorBidi"/>
                <w:color w:val="auto"/>
                <w:sz w:val="21"/>
                <w:szCs w:val="21"/>
                <w:highlight w:val="none"/>
              </w:rPr>
            </w:pPr>
            <w:r>
              <w:rPr>
                <w:rFonts w:hint="eastAsia" w:ascii="宋体" w:hAnsi="宋体" w:eastAsia="宋体" w:cstheme="minorBidi"/>
                <w:color w:val="auto"/>
                <w:sz w:val="21"/>
                <w:szCs w:val="21"/>
                <w:highlight w:val="none"/>
              </w:rPr>
              <w:t>3.采购代理服务费金额：以中标金额为计算基数，按以下标准费率计算值</w:t>
            </w:r>
            <w:r>
              <w:rPr>
                <w:rFonts w:hint="eastAsia" w:ascii="宋体" w:hAnsi="宋体" w:eastAsia="宋体" w:cstheme="minorBidi"/>
                <w:color w:val="auto"/>
                <w:sz w:val="21"/>
                <w:szCs w:val="21"/>
                <w:highlight w:val="none"/>
                <w:lang w:eastAsia="zh-CN"/>
              </w:rPr>
              <w:t>8</w:t>
            </w:r>
            <w:r>
              <w:rPr>
                <w:rFonts w:hint="eastAsia" w:ascii="宋体" w:hAnsi="宋体" w:eastAsia="宋体" w:cstheme="minorBidi"/>
                <w:color w:val="auto"/>
                <w:sz w:val="21"/>
                <w:szCs w:val="21"/>
                <w:highlight w:val="none"/>
              </w:rPr>
              <w:t>0%收取。费率标准如下：</w:t>
            </w:r>
          </w:p>
          <w:tbl>
            <w:tblPr>
              <w:tblStyle w:val="33"/>
              <w:tblW w:w="5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943"/>
            </w:tblGrid>
            <w:tr w14:paraId="76EF3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noWrap w:val="0"/>
                  <w:vAlign w:val="center"/>
                </w:tcPr>
                <w:p w14:paraId="1758A31A">
                  <w:pPr>
                    <w:adjustRightInd w:val="0"/>
                    <w:snapToGrid w:val="0"/>
                    <w:spacing w:line="288" w:lineRule="auto"/>
                    <w:rPr>
                      <w:rFonts w:hint="eastAsia" w:ascii="宋体" w:hAnsi="宋体" w:eastAsia="宋体" w:cstheme="minorBidi"/>
                      <w:color w:val="auto"/>
                      <w:sz w:val="21"/>
                      <w:szCs w:val="21"/>
                      <w:highlight w:val="none"/>
                    </w:rPr>
                  </w:pPr>
                  <w:r>
                    <w:rPr>
                      <w:rFonts w:hint="eastAsia" w:ascii="宋体" w:hAnsi="宋体" w:eastAsia="宋体" w:cstheme="minorBidi"/>
                      <w:color w:val="auto"/>
                      <w:sz w:val="21"/>
                      <w:szCs w:val="21"/>
                      <w:highlight w:val="none"/>
                    </w:rPr>
                    <w:t>金额（万元）</w:t>
                  </w:r>
                </w:p>
              </w:tc>
              <w:tc>
                <w:tcPr>
                  <w:tcW w:w="2943" w:type="dxa"/>
                  <w:noWrap w:val="0"/>
                  <w:vAlign w:val="center"/>
                </w:tcPr>
                <w:p w14:paraId="34B89B87">
                  <w:pPr>
                    <w:adjustRightInd w:val="0"/>
                    <w:snapToGrid w:val="0"/>
                    <w:spacing w:line="288" w:lineRule="auto"/>
                    <w:rPr>
                      <w:rFonts w:hint="eastAsia" w:ascii="宋体" w:hAnsi="宋体" w:eastAsia="宋体" w:cstheme="minorBidi"/>
                      <w:color w:val="auto"/>
                      <w:sz w:val="21"/>
                      <w:szCs w:val="21"/>
                      <w:highlight w:val="none"/>
                    </w:rPr>
                  </w:pPr>
                  <w:r>
                    <w:rPr>
                      <w:rFonts w:hint="eastAsia" w:ascii="宋体" w:hAnsi="宋体" w:eastAsia="宋体" w:cstheme="minorBidi"/>
                      <w:color w:val="auto"/>
                      <w:sz w:val="21"/>
                      <w:szCs w:val="21"/>
                      <w:highlight w:val="none"/>
                    </w:rPr>
                    <w:t>费率</w:t>
                  </w:r>
                </w:p>
              </w:tc>
            </w:tr>
            <w:tr w14:paraId="37B19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noWrap w:val="0"/>
                  <w:vAlign w:val="center"/>
                </w:tcPr>
                <w:p w14:paraId="1C388362">
                  <w:pPr>
                    <w:adjustRightInd w:val="0"/>
                    <w:snapToGrid w:val="0"/>
                    <w:spacing w:line="288" w:lineRule="auto"/>
                    <w:rPr>
                      <w:rFonts w:hint="eastAsia" w:ascii="宋体" w:hAnsi="宋体" w:eastAsia="宋体" w:cstheme="minorBidi"/>
                      <w:color w:val="auto"/>
                      <w:sz w:val="21"/>
                      <w:szCs w:val="21"/>
                      <w:highlight w:val="none"/>
                    </w:rPr>
                  </w:pPr>
                  <w:r>
                    <w:rPr>
                      <w:rFonts w:hint="eastAsia" w:ascii="宋体" w:hAnsi="宋体" w:eastAsia="宋体" w:cstheme="minorBidi"/>
                      <w:color w:val="auto"/>
                      <w:sz w:val="21"/>
                      <w:szCs w:val="21"/>
                      <w:highlight w:val="none"/>
                    </w:rPr>
                    <w:t>100以下部分</w:t>
                  </w:r>
                </w:p>
              </w:tc>
              <w:tc>
                <w:tcPr>
                  <w:tcW w:w="2943" w:type="dxa"/>
                  <w:noWrap w:val="0"/>
                  <w:vAlign w:val="center"/>
                </w:tcPr>
                <w:p w14:paraId="0BB5DB19">
                  <w:pPr>
                    <w:adjustRightInd w:val="0"/>
                    <w:snapToGrid w:val="0"/>
                    <w:spacing w:line="288" w:lineRule="auto"/>
                    <w:rPr>
                      <w:rFonts w:hint="eastAsia" w:ascii="宋体" w:hAnsi="宋体" w:eastAsia="宋体" w:cstheme="minorBidi"/>
                      <w:color w:val="auto"/>
                      <w:sz w:val="21"/>
                      <w:szCs w:val="21"/>
                      <w:highlight w:val="none"/>
                    </w:rPr>
                  </w:pPr>
                  <w:r>
                    <w:rPr>
                      <w:rFonts w:hint="eastAsia" w:ascii="宋体" w:hAnsi="宋体" w:eastAsia="宋体" w:cstheme="minorBidi"/>
                      <w:color w:val="auto"/>
                      <w:sz w:val="21"/>
                      <w:szCs w:val="21"/>
                      <w:highlight w:val="none"/>
                    </w:rPr>
                    <w:t>1.5%</w:t>
                  </w:r>
                </w:p>
              </w:tc>
            </w:tr>
            <w:tr w14:paraId="7BA4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noWrap w:val="0"/>
                  <w:vAlign w:val="center"/>
                </w:tcPr>
                <w:p w14:paraId="5CA5EF91">
                  <w:pPr>
                    <w:adjustRightInd w:val="0"/>
                    <w:snapToGrid w:val="0"/>
                    <w:spacing w:line="288" w:lineRule="auto"/>
                    <w:rPr>
                      <w:rFonts w:hint="eastAsia" w:ascii="宋体" w:hAnsi="宋体" w:eastAsia="宋体" w:cstheme="minorBidi"/>
                      <w:color w:val="auto"/>
                      <w:sz w:val="21"/>
                      <w:szCs w:val="21"/>
                      <w:highlight w:val="none"/>
                    </w:rPr>
                  </w:pPr>
                  <w:r>
                    <w:rPr>
                      <w:rFonts w:hint="eastAsia" w:ascii="宋体" w:hAnsi="宋体" w:eastAsia="宋体" w:cstheme="minorBidi"/>
                      <w:color w:val="auto"/>
                      <w:sz w:val="21"/>
                      <w:szCs w:val="21"/>
                      <w:highlight w:val="none"/>
                    </w:rPr>
                    <w:t>100~500（含）之间部分</w:t>
                  </w:r>
                </w:p>
              </w:tc>
              <w:tc>
                <w:tcPr>
                  <w:tcW w:w="2943" w:type="dxa"/>
                  <w:noWrap w:val="0"/>
                  <w:vAlign w:val="center"/>
                </w:tcPr>
                <w:p w14:paraId="62681DBF">
                  <w:pPr>
                    <w:adjustRightInd w:val="0"/>
                    <w:snapToGrid w:val="0"/>
                    <w:spacing w:line="288" w:lineRule="auto"/>
                    <w:rPr>
                      <w:rFonts w:hint="eastAsia" w:ascii="宋体" w:hAnsi="宋体" w:eastAsia="宋体" w:cstheme="minorBidi"/>
                      <w:color w:val="auto"/>
                      <w:sz w:val="21"/>
                      <w:szCs w:val="21"/>
                      <w:highlight w:val="none"/>
                    </w:rPr>
                  </w:pPr>
                  <w:r>
                    <w:rPr>
                      <w:rFonts w:hint="eastAsia" w:ascii="宋体" w:hAnsi="宋体" w:eastAsia="宋体" w:cstheme="minorBidi"/>
                      <w:color w:val="auto"/>
                      <w:sz w:val="21"/>
                      <w:szCs w:val="21"/>
                      <w:highlight w:val="none"/>
                    </w:rPr>
                    <w:t>0.8%</w:t>
                  </w:r>
                </w:p>
              </w:tc>
            </w:tr>
          </w:tbl>
          <w:p w14:paraId="59CB0F86">
            <w:pPr>
              <w:adjustRightInd w:val="0"/>
              <w:snapToGrid w:val="0"/>
              <w:spacing w:line="288" w:lineRule="auto"/>
              <w:rPr>
                <w:rFonts w:hint="eastAsia" w:ascii="宋体" w:hAnsi="宋体" w:eastAsia="宋体" w:cstheme="minorBidi"/>
                <w:color w:val="auto"/>
                <w:sz w:val="21"/>
                <w:szCs w:val="21"/>
                <w:highlight w:val="none"/>
              </w:rPr>
            </w:pPr>
            <w:r>
              <w:rPr>
                <w:rFonts w:hint="eastAsia" w:ascii="宋体" w:hAnsi="宋体" w:eastAsia="宋体" w:cstheme="minorBidi"/>
                <w:color w:val="auto"/>
                <w:sz w:val="21"/>
                <w:szCs w:val="21"/>
                <w:highlight w:val="none"/>
              </w:rPr>
              <w:t>收费计算示例：（标项中标金额150万元）</w:t>
            </w:r>
          </w:p>
          <w:p w14:paraId="3460F5BB">
            <w:pPr>
              <w:adjustRightInd w:val="0"/>
              <w:snapToGrid w:val="0"/>
              <w:spacing w:line="288" w:lineRule="auto"/>
              <w:rPr>
                <w:rFonts w:hint="eastAsia" w:ascii="宋体" w:hAnsi="宋体" w:eastAsia="宋体" w:cstheme="minorBidi"/>
                <w:color w:val="auto"/>
                <w:sz w:val="21"/>
                <w:szCs w:val="21"/>
                <w:highlight w:val="none"/>
              </w:rPr>
            </w:pPr>
            <w:r>
              <w:rPr>
                <w:rFonts w:hint="eastAsia" w:ascii="宋体" w:hAnsi="宋体" w:eastAsia="宋体" w:cstheme="minorBidi"/>
                <w:color w:val="auto"/>
                <w:sz w:val="21"/>
                <w:szCs w:val="21"/>
                <w:highlight w:val="none"/>
              </w:rPr>
              <w:t>[100*1.5%+（150-100）*0.8%]</w:t>
            </w:r>
            <w:r>
              <w:rPr>
                <w:rFonts w:hint="eastAsia" w:ascii="宋体" w:hAnsi="宋体" w:eastAsia="宋体" w:cstheme="minorBidi"/>
                <w:color w:val="auto"/>
                <w:sz w:val="21"/>
                <w:szCs w:val="21"/>
                <w:highlight w:val="none"/>
                <w:lang w:eastAsia="zh-CN"/>
              </w:rPr>
              <w:t>*80%</w:t>
            </w:r>
            <w:r>
              <w:rPr>
                <w:rFonts w:hint="eastAsia" w:ascii="宋体" w:hAnsi="宋体" w:eastAsia="宋体" w:cstheme="minorBidi"/>
                <w:color w:val="auto"/>
                <w:sz w:val="21"/>
                <w:szCs w:val="21"/>
                <w:highlight w:val="none"/>
              </w:rPr>
              <w:t>。</w:t>
            </w:r>
          </w:p>
          <w:p w14:paraId="1997487F">
            <w:pPr>
              <w:adjustRightInd w:val="0"/>
              <w:snapToGrid w:val="0"/>
              <w:spacing w:line="288" w:lineRule="auto"/>
              <w:rPr>
                <w:rFonts w:hint="eastAsia" w:ascii="宋体" w:hAnsi="宋体" w:eastAsia="宋体" w:cstheme="minorBidi"/>
                <w:color w:val="auto"/>
                <w:sz w:val="21"/>
                <w:szCs w:val="21"/>
                <w:highlight w:val="none"/>
              </w:rPr>
            </w:pPr>
            <w:r>
              <w:rPr>
                <w:rFonts w:hint="eastAsia" w:ascii="宋体" w:hAnsi="宋体" w:eastAsia="宋体" w:cstheme="minorBidi"/>
                <w:color w:val="auto"/>
                <w:sz w:val="21"/>
                <w:szCs w:val="21"/>
                <w:highlight w:val="none"/>
              </w:rPr>
              <w:t>采购代理服务费交纳形式：汇票/支票/电汇</w:t>
            </w:r>
          </w:p>
          <w:p w14:paraId="556A5E7C">
            <w:pPr>
              <w:adjustRightInd w:val="0"/>
              <w:snapToGrid w:val="0"/>
              <w:spacing w:line="288" w:lineRule="auto"/>
              <w:rPr>
                <w:rFonts w:hint="eastAsia" w:ascii="宋体" w:hAnsi="宋体" w:eastAsia="宋体" w:cstheme="minorBidi"/>
                <w:color w:val="auto"/>
                <w:sz w:val="21"/>
                <w:szCs w:val="21"/>
                <w:highlight w:val="none"/>
              </w:rPr>
            </w:pPr>
            <w:r>
              <w:rPr>
                <w:rFonts w:hint="eastAsia" w:ascii="宋体" w:hAnsi="宋体" w:eastAsia="宋体" w:cstheme="minorBidi"/>
                <w:color w:val="auto"/>
                <w:sz w:val="21"/>
                <w:szCs w:val="21"/>
                <w:highlight w:val="none"/>
              </w:rPr>
              <w:t>采购代理服务费由中标人在接到中标通知书时以人民币方式向采购代理机构支付。汇入以下账户：</w:t>
            </w:r>
          </w:p>
          <w:p w14:paraId="5DA46D32">
            <w:pPr>
              <w:adjustRightInd w:val="0"/>
              <w:snapToGrid w:val="0"/>
              <w:spacing w:line="288" w:lineRule="auto"/>
              <w:rPr>
                <w:rFonts w:hint="eastAsia" w:ascii="宋体" w:hAnsi="宋体" w:eastAsia="宋体" w:cstheme="minorBidi"/>
                <w:b/>
                <w:bCs/>
                <w:color w:val="auto"/>
                <w:sz w:val="21"/>
                <w:szCs w:val="21"/>
                <w:highlight w:val="none"/>
              </w:rPr>
            </w:pPr>
            <w:r>
              <w:rPr>
                <w:rFonts w:hint="eastAsia" w:ascii="宋体" w:hAnsi="宋体" w:eastAsia="宋体" w:cstheme="minorBidi"/>
                <w:b/>
                <w:bCs/>
                <w:color w:val="auto"/>
                <w:sz w:val="21"/>
                <w:szCs w:val="21"/>
                <w:highlight w:val="none"/>
              </w:rPr>
              <w:t>户名：建经投资咨询有限公司杭州分公司</w:t>
            </w:r>
          </w:p>
          <w:p w14:paraId="3DC49F9E">
            <w:pPr>
              <w:adjustRightInd w:val="0"/>
              <w:snapToGrid w:val="0"/>
              <w:spacing w:line="288" w:lineRule="auto"/>
              <w:rPr>
                <w:rFonts w:hint="eastAsia" w:ascii="宋体" w:hAnsi="宋体" w:eastAsia="宋体" w:cstheme="minorBidi"/>
                <w:b/>
                <w:bCs/>
                <w:color w:val="auto"/>
                <w:sz w:val="21"/>
                <w:szCs w:val="21"/>
                <w:highlight w:val="none"/>
              </w:rPr>
            </w:pPr>
            <w:r>
              <w:rPr>
                <w:rFonts w:hint="eastAsia" w:ascii="宋体" w:hAnsi="宋体" w:eastAsia="宋体" w:cstheme="minorBidi"/>
                <w:b/>
                <w:bCs/>
                <w:color w:val="auto"/>
                <w:sz w:val="21"/>
                <w:szCs w:val="21"/>
                <w:highlight w:val="none"/>
              </w:rPr>
              <w:t>开户：杭州联合农村商业银行股份有限公司宝善支行</w:t>
            </w:r>
          </w:p>
          <w:p w14:paraId="3838B84C">
            <w:pPr>
              <w:adjustRightInd w:val="0"/>
              <w:snapToGrid w:val="0"/>
              <w:spacing w:line="288" w:lineRule="auto"/>
              <w:rPr>
                <w:color w:val="auto"/>
                <w:sz w:val="21"/>
                <w:szCs w:val="21"/>
                <w:highlight w:val="none"/>
              </w:rPr>
            </w:pPr>
            <w:r>
              <w:rPr>
                <w:rFonts w:hint="eastAsia" w:ascii="宋体" w:hAnsi="宋体" w:eastAsia="宋体" w:cstheme="minorBidi"/>
                <w:b/>
                <w:bCs/>
                <w:color w:val="auto"/>
                <w:sz w:val="21"/>
                <w:szCs w:val="21"/>
                <w:highlight w:val="none"/>
              </w:rPr>
              <w:t>账号：201000061231887</w:t>
            </w:r>
          </w:p>
        </w:tc>
      </w:tr>
      <w:tr w14:paraId="10E7F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9BC3E8A">
            <w:pPr>
              <w:adjustRightInd w:val="0"/>
              <w:snapToGrid w:val="0"/>
              <w:spacing w:line="288" w:lineRule="auto"/>
              <w:jc w:val="center"/>
              <w:rPr>
                <w:color w:val="auto"/>
                <w:sz w:val="21"/>
                <w:szCs w:val="21"/>
                <w:highlight w:val="none"/>
              </w:rPr>
            </w:pPr>
            <w:r>
              <w:rPr>
                <w:color w:val="auto"/>
                <w:sz w:val="21"/>
                <w:szCs w:val="21"/>
                <w:highlight w:val="none"/>
              </w:rPr>
              <w:t>（</w:t>
            </w:r>
            <w:r>
              <w:rPr>
                <w:rFonts w:hint="eastAsia"/>
                <w:color w:val="auto"/>
                <w:sz w:val="21"/>
                <w:szCs w:val="21"/>
                <w:highlight w:val="none"/>
              </w:rPr>
              <w:t>十四</w:t>
            </w:r>
            <w:r>
              <w:rPr>
                <w:color w:val="auto"/>
                <w:sz w:val="21"/>
                <w:szCs w:val="21"/>
                <w:highlight w:val="none"/>
              </w:rPr>
              <w:t>）</w:t>
            </w:r>
          </w:p>
        </w:tc>
        <w:tc>
          <w:tcPr>
            <w:tcW w:w="2410" w:type="dxa"/>
            <w:vAlign w:val="center"/>
          </w:tcPr>
          <w:p w14:paraId="25B82BCC">
            <w:pPr>
              <w:adjustRightInd w:val="0"/>
              <w:snapToGrid w:val="0"/>
              <w:spacing w:line="288" w:lineRule="auto"/>
              <w:jc w:val="center"/>
              <w:rPr>
                <w:color w:val="auto"/>
                <w:sz w:val="21"/>
                <w:szCs w:val="21"/>
                <w:highlight w:val="none"/>
              </w:rPr>
            </w:pPr>
            <w:r>
              <w:rPr>
                <w:rFonts w:hint="eastAsia" w:cs="Times New Roman"/>
                <w:color w:val="auto"/>
                <w:spacing w:val="-6"/>
                <w:sz w:val="21"/>
                <w:szCs w:val="21"/>
                <w:highlight w:val="none"/>
              </w:rPr>
              <w:t>磋商保证金（元）</w:t>
            </w:r>
          </w:p>
        </w:tc>
        <w:tc>
          <w:tcPr>
            <w:tcW w:w="5954" w:type="dxa"/>
            <w:vAlign w:val="center"/>
          </w:tcPr>
          <w:p w14:paraId="2574E7A9">
            <w:pPr>
              <w:adjustRightInd w:val="0"/>
              <w:snapToGrid w:val="0"/>
              <w:spacing w:line="288" w:lineRule="auto"/>
              <w:rPr>
                <w:color w:val="auto"/>
                <w:sz w:val="21"/>
                <w:szCs w:val="21"/>
                <w:highlight w:val="none"/>
              </w:rPr>
            </w:pPr>
            <w:r>
              <w:rPr>
                <w:rFonts w:hint="eastAsia" w:cs="Times New Roman"/>
                <w:color w:val="auto"/>
                <w:spacing w:val="-6"/>
                <w:sz w:val="21"/>
                <w:szCs w:val="21"/>
                <w:highlight w:val="none"/>
              </w:rPr>
              <w:t>无。</w:t>
            </w:r>
          </w:p>
        </w:tc>
      </w:tr>
      <w:tr w14:paraId="6EC6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E8FBA2A">
            <w:pPr>
              <w:adjustRightInd w:val="0"/>
              <w:snapToGrid w:val="0"/>
              <w:spacing w:line="288" w:lineRule="auto"/>
              <w:jc w:val="center"/>
              <w:rPr>
                <w:color w:val="auto"/>
                <w:sz w:val="21"/>
                <w:szCs w:val="21"/>
                <w:highlight w:val="none"/>
              </w:rPr>
            </w:pPr>
            <w:r>
              <w:rPr>
                <w:rFonts w:hint="eastAsia"/>
                <w:color w:val="auto"/>
                <w:sz w:val="21"/>
                <w:szCs w:val="21"/>
                <w:highlight w:val="none"/>
              </w:rPr>
              <w:t>（十五）</w:t>
            </w:r>
          </w:p>
        </w:tc>
        <w:tc>
          <w:tcPr>
            <w:tcW w:w="2410" w:type="dxa"/>
            <w:vAlign w:val="center"/>
          </w:tcPr>
          <w:p w14:paraId="5AE5BAD8">
            <w:pPr>
              <w:adjustRightInd w:val="0"/>
              <w:snapToGrid w:val="0"/>
              <w:spacing w:line="288" w:lineRule="auto"/>
              <w:jc w:val="center"/>
              <w:rPr>
                <w:color w:val="auto"/>
                <w:sz w:val="21"/>
                <w:szCs w:val="21"/>
                <w:highlight w:val="none"/>
              </w:rPr>
            </w:pPr>
            <w:r>
              <w:rPr>
                <w:rFonts w:hint="eastAsia"/>
                <w:color w:val="auto"/>
                <w:sz w:val="21"/>
                <w:szCs w:val="21"/>
                <w:highlight w:val="none"/>
              </w:rPr>
              <w:t>联合体响应</w:t>
            </w:r>
          </w:p>
        </w:tc>
        <w:tc>
          <w:tcPr>
            <w:tcW w:w="5954" w:type="dxa"/>
            <w:vAlign w:val="center"/>
          </w:tcPr>
          <w:p w14:paraId="3A3DC54A">
            <w:pPr>
              <w:adjustRightInd w:val="0"/>
              <w:snapToGrid w:val="0"/>
              <w:spacing w:line="288" w:lineRule="auto"/>
              <w:rPr>
                <w:color w:val="auto"/>
                <w:sz w:val="21"/>
                <w:szCs w:val="21"/>
                <w:highlight w:val="none"/>
              </w:rPr>
            </w:pPr>
            <w:r>
              <w:rPr>
                <w:rFonts w:hint="eastAsia"/>
                <w:color w:val="auto"/>
                <w:sz w:val="21"/>
                <w:szCs w:val="21"/>
                <w:highlight w:val="none"/>
              </w:rPr>
              <w:t>本项目（是）接受联合体响应。</w:t>
            </w:r>
          </w:p>
        </w:tc>
      </w:tr>
      <w:tr w14:paraId="69179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E38013A">
            <w:pPr>
              <w:adjustRightInd w:val="0"/>
              <w:snapToGrid w:val="0"/>
              <w:spacing w:line="288" w:lineRule="auto"/>
              <w:jc w:val="center"/>
              <w:rPr>
                <w:color w:val="auto"/>
                <w:sz w:val="21"/>
                <w:szCs w:val="21"/>
                <w:highlight w:val="none"/>
              </w:rPr>
            </w:pPr>
            <w:r>
              <w:rPr>
                <w:rFonts w:hint="eastAsia"/>
                <w:color w:val="auto"/>
                <w:sz w:val="21"/>
                <w:szCs w:val="21"/>
                <w:highlight w:val="none"/>
              </w:rPr>
              <w:t>（十六）</w:t>
            </w:r>
          </w:p>
        </w:tc>
        <w:tc>
          <w:tcPr>
            <w:tcW w:w="2410" w:type="dxa"/>
            <w:vAlign w:val="center"/>
          </w:tcPr>
          <w:p w14:paraId="5593E9B5">
            <w:pPr>
              <w:adjustRightInd w:val="0"/>
              <w:snapToGrid w:val="0"/>
              <w:spacing w:line="288" w:lineRule="auto"/>
              <w:jc w:val="center"/>
              <w:rPr>
                <w:color w:val="auto"/>
                <w:sz w:val="21"/>
                <w:szCs w:val="21"/>
                <w:highlight w:val="none"/>
              </w:rPr>
            </w:pPr>
            <w:r>
              <w:rPr>
                <w:rFonts w:hint="eastAsia"/>
                <w:color w:val="auto"/>
                <w:sz w:val="21"/>
                <w:szCs w:val="21"/>
                <w:highlight w:val="none"/>
              </w:rPr>
              <w:t>转包与分包</w:t>
            </w:r>
          </w:p>
        </w:tc>
        <w:tc>
          <w:tcPr>
            <w:tcW w:w="5954" w:type="dxa"/>
            <w:vAlign w:val="center"/>
          </w:tcPr>
          <w:p w14:paraId="2679A437">
            <w:pPr>
              <w:adjustRightInd w:val="0"/>
              <w:snapToGrid w:val="0"/>
              <w:spacing w:line="288" w:lineRule="auto"/>
              <w:rPr>
                <w:color w:val="auto"/>
                <w:sz w:val="21"/>
                <w:szCs w:val="21"/>
                <w:highlight w:val="none"/>
              </w:rPr>
            </w:pPr>
            <w:r>
              <w:rPr>
                <w:rFonts w:hint="eastAsia"/>
                <w:color w:val="auto"/>
                <w:sz w:val="21"/>
                <w:szCs w:val="21"/>
                <w:highlight w:val="none"/>
              </w:rPr>
              <w:t>1.本项目不允许转包；</w:t>
            </w:r>
          </w:p>
          <w:p w14:paraId="239D9531">
            <w:pPr>
              <w:adjustRightInd w:val="0"/>
              <w:snapToGrid w:val="0"/>
              <w:spacing w:line="288" w:lineRule="auto"/>
              <w:rPr>
                <w:color w:val="auto"/>
                <w:sz w:val="21"/>
                <w:szCs w:val="21"/>
                <w:highlight w:val="none"/>
              </w:rPr>
            </w:pPr>
            <w:r>
              <w:rPr>
                <w:color w:val="auto"/>
                <w:sz w:val="21"/>
                <w:szCs w:val="21"/>
                <w:highlight w:val="none"/>
              </w:rPr>
              <w:t>2.</w:t>
            </w:r>
            <w:r>
              <w:rPr>
                <w:rFonts w:hint="eastAsia"/>
                <w:color w:val="auto"/>
                <w:sz w:val="21"/>
                <w:szCs w:val="21"/>
                <w:highlight w:val="none"/>
              </w:rPr>
              <w:t>本项目</w:t>
            </w:r>
            <w:r>
              <w:rPr>
                <w:rFonts w:hint="eastAsia"/>
                <w:b/>
                <w:bCs/>
                <w:color w:val="auto"/>
                <w:sz w:val="21"/>
                <w:szCs w:val="21"/>
                <w:highlight w:val="none"/>
                <w:u w:val="single"/>
              </w:rPr>
              <w:t>允许</w:t>
            </w:r>
            <w:r>
              <w:rPr>
                <w:rFonts w:hint="eastAsia"/>
                <w:color w:val="auto"/>
                <w:sz w:val="21"/>
                <w:szCs w:val="21"/>
                <w:highlight w:val="none"/>
              </w:rPr>
              <w:t>分包，</w:t>
            </w:r>
            <w:r>
              <w:rPr>
                <w:color w:val="auto"/>
                <w:sz w:val="21"/>
                <w:szCs w:val="21"/>
                <w:highlight w:val="none"/>
              </w:rPr>
              <w:t>可以分包履行的（非主体、非关键性的工作）具体内容、金额或者比例：</w:t>
            </w:r>
            <w:r>
              <w:rPr>
                <w:rFonts w:hint="eastAsia"/>
                <w:color w:val="auto"/>
                <w:sz w:val="21"/>
                <w:szCs w:val="21"/>
                <w:highlight w:val="none"/>
                <w:u w:val="single"/>
              </w:rPr>
              <w:t xml:space="preserve">  余方外运</w:t>
            </w:r>
            <w:r>
              <w:rPr>
                <w:color w:val="auto"/>
                <w:sz w:val="21"/>
                <w:szCs w:val="21"/>
                <w:highlight w:val="none"/>
                <w:u w:val="single"/>
              </w:rPr>
              <w:t xml:space="preserve">  。</w:t>
            </w:r>
          </w:p>
          <w:p w14:paraId="6F715004">
            <w:pPr>
              <w:adjustRightInd w:val="0"/>
              <w:snapToGrid w:val="0"/>
              <w:spacing w:line="288" w:lineRule="auto"/>
              <w:jc w:val="left"/>
              <w:rPr>
                <w:color w:val="auto"/>
                <w:sz w:val="21"/>
                <w:szCs w:val="21"/>
                <w:highlight w:val="none"/>
              </w:rPr>
            </w:pPr>
            <w:r>
              <w:rPr>
                <w:rFonts w:hint="eastAsia"/>
                <w:color w:val="auto"/>
                <w:sz w:val="21"/>
                <w:szCs w:val="21"/>
                <w:highlight w:val="none"/>
              </w:rPr>
              <w:t>说明：供应商根据磋商文件的规定和采购项目的实际情况，拟在成交后将成交项目的非主体、非关键性工作分包的，应当在响应文件中载明分包承担主体，分包承担主体应当具备相应资质条件且不得再次分包。</w:t>
            </w:r>
          </w:p>
        </w:tc>
      </w:tr>
      <w:tr w14:paraId="5F6F7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88D098A">
            <w:pPr>
              <w:adjustRightInd w:val="0"/>
              <w:snapToGrid w:val="0"/>
              <w:spacing w:line="288" w:lineRule="auto"/>
              <w:jc w:val="center"/>
              <w:rPr>
                <w:color w:val="auto"/>
                <w:sz w:val="21"/>
                <w:szCs w:val="21"/>
                <w:highlight w:val="none"/>
              </w:rPr>
            </w:pPr>
            <w:r>
              <w:rPr>
                <w:rFonts w:hint="eastAsia"/>
                <w:color w:val="auto"/>
                <w:sz w:val="21"/>
                <w:szCs w:val="21"/>
                <w:highlight w:val="none"/>
              </w:rPr>
              <w:t>（十七）</w:t>
            </w:r>
          </w:p>
        </w:tc>
        <w:tc>
          <w:tcPr>
            <w:tcW w:w="2410" w:type="dxa"/>
            <w:vAlign w:val="center"/>
          </w:tcPr>
          <w:p w14:paraId="65B3E193">
            <w:pPr>
              <w:adjustRightInd w:val="0"/>
              <w:snapToGrid w:val="0"/>
              <w:spacing w:line="288" w:lineRule="auto"/>
              <w:jc w:val="center"/>
              <w:rPr>
                <w:color w:val="auto"/>
                <w:sz w:val="21"/>
                <w:szCs w:val="21"/>
                <w:highlight w:val="none"/>
              </w:rPr>
            </w:pPr>
            <w:r>
              <w:rPr>
                <w:rFonts w:hint="eastAsia"/>
                <w:b/>
                <w:bCs/>
                <w:color w:val="auto"/>
                <w:sz w:val="21"/>
                <w:szCs w:val="21"/>
                <w:highlight w:val="none"/>
              </w:rPr>
              <w:t>信用记录</w:t>
            </w:r>
          </w:p>
        </w:tc>
        <w:tc>
          <w:tcPr>
            <w:tcW w:w="5954" w:type="dxa"/>
            <w:vAlign w:val="center"/>
          </w:tcPr>
          <w:p w14:paraId="40E1BA91">
            <w:pPr>
              <w:adjustRightInd w:val="0"/>
              <w:snapToGrid w:val="0"/>
              <w:spacing w:line="288" w:lineRule="auto"/>
              <w:rPr>
                <w:bCs/>
                <w:color w:val="auto"/>
                <w:sz w:val="21"/>
                <w:szCs w:val="21"/>
                <w:highlight w:val="none"/>
              </w:rPr>
            </w:pPr>
            <w:bookmarkStart w:id="33" w:name="_Hlk71808489"/>
            <w:r>
              <w:rPr>
                <w:rFonts w:hint="eastAsia"/>
                <w:bCs/>
                <w:color w:val="auto"/>
                <w:sz w:val="21"/>
                <w:szCs w:val="21"/>
                <w:highlight w:val="none"/>
              </w:rPr>
              <w:t>根据财库[2016]125号《关于在政府采购活动中查询及使用信用记录有关问题的通知》要求，采购代理机构会对供应商信用记录进行查询并甄别。信用</w:t>
            </w:r>
            <w:r>
              <w:rPr>
                <w:rFonts w:hint="eastAsia"/>
                <w:color w:val="auto"/>
                <w:sz w:val="21"/>
                <w:szCs w:val="21"/>
                <w:highlight w:val="none"/>
              </w:rPr>
              <w:t>信息查询的截止时点：响应截止时间；</w:t>
            </w:r>
          </w:p>
          <w:p w14:paraId="2EBF1150">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）查询渠道：“信用中国”（www.creditchina.gov.cn）、“中国政府采购网”（www.ccgp.gov.cn）；</w:t>
            </w:r>
          </w:p>
          <w:p w14:paraId="7307EC39">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）信用信息查询记录和证据留存具体方式：采购代理机构经办人和监督人员将查询网页打印、签名与其他采购文件一并保存；</w:t>
            </w:r>
          </w:p>
          <w:p w14:paraId="11FE2F76">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bCs/>
                <w:color w:val="auto"/>
                <w:sz w:val="21"/>
                <w:szCs w:val="21"/>
                <w:highlight w:val="none"/>
              </w:rPr>
              <w:t>）信用信息的使用规则：供应商被列入失信被执行人、重大税收违法案件当事人名单、政府采购严重违法失信行为记录名单的，拒绝其参与政府采购活动。</w:t>
            </w:r>
            <w:bookmarkEnd w:id="33"/>
          </w:p>
        </w:tc>
      </w:tr>
      <w:tr w14:paraId="307FA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19986C7">
            <w:pPr>
              <w:adjustRightInd w:val="0"/>
              <w:snapToGrid w:val="0"/>
              <w:spacing w:line="288" w:lineRule="auto"/>
              <w:jc w:val="center"/>
              <w:rPr>
                <w:color w:val="auto"/>
                <w:sz w:val="21"/>
                <w:szCs w:val="21"/>
                <w:highlight w:val="none"/>
              </w:rPr>
            </w:pPr>
            <w:r>
              <w:rPr>
                <w:rFonts w:hint="eastAsia"/>
                <w:color w:val="auto"/>
                <w:sz w:val="21"/>
                <w:szCs w:val="21"/>
                <w:highlight w:val="none"/>
              </w:rPr>
              <w:t>（十八）</w:t>
            </w:r>
          </w:p>
        </w:tc>
        <w:tc>
          <w:tcPr>
            <w:tcW w:w="2410" w:type="dxa"/>
            <w:vAlign w:val="center"/>
          </w:tcPr>
          <w:p w14:paraId="09D46A78">
            <w:pPr>
              <w:adjustRightInd w:val="0"/>
              <w:snapToGrid w:val="0"/>
              <w:spacing w:line="288" w:lineRule="auto"/>
              <w:jc w:val="center"/>
              <w:rPr>
                <w:color w:val="auto"/>
                <w:sz w:val="21"/>
                <w:szCs w:val="21"/>
                <w:highlight w:val="none"/>
              </w:rPr>
            </w:pPr>
            <w:r>
              <w:rPr>
                <w:rFonts w:hint="eastAsia"/>
                <w:color w:val="auto"/>
                <w:sz w:val="21"/>
                <w:szCs w:val="21"/>
                <w:highlight w:val="none"/>
              </w:rPr>
              <w:t>资格审查要求的资格证明材料</w:t>
            </w:r>
          </w:p>
        </w:tc>
        <w:tc>
          <w:tcPr>
            <w:tcW w:w="5954" w:type="dxa"/>
            <w:vAlign w:val="center"/>
          </w:tcPr>
          <w:p w14:paraId="35053FD5">
            <w:pPr>
              <w:adjustRightInd w:val="0"/>
              <w:snapToGrid w:val="0"/>
              <w:spacing w:line="288" w:lineRule="auto"/>
              <w:rPr>
                <w:b/>
                <w:bCs/>
                <w:color w:val="auto"/>
                <w:sz w:val="21"/>
                <w:szCs w:val="21"/>
                <w:highlight w:val="none"/>
              </w:rPr>
            </w:pPr>
            <w:r>
              <w:rPr>
                <w:rFonts w:hint="eastAsia"/>
                <w:b/>
                <w:bCs/>
                <w:color w:val="auto"/>
                <w:sz w:val="21"/>
                <w:szCs w:val="21"/>
                <w:highlight w:val="none"/>
              </w:rPr>
              <w:t>资格审查要求的资格证明材料(均需加盖公章)：</w:t>
            </w:r>
          </w:p>
          <w:p w14:paraId="256E97BC">
            <w:pPr>
              <w:adjustRightInd w:val="0"/>
              <w:snapToGrid w:val="0"/>
              <w:spacing w:line="288" w:lineRule="auto"/>
              <w:rPr>
                <w:color w:val="auto"/>
                <w:sz w:val="21"/>
                <w:szCs w:val="21"/>
                <w:highlight w:val="none"/>
              </w:rPr>
            </w:pPr>
            <w:r>
              <w:rPr>
                <w:rFonts w:hint="eastAsia"/>
                <w:color w:val="auto"/>
                <w:sz w:val="21"/>
                <w:szCs w:val="21"/>
                <w:highlight w:val="none"/>
              </w:rPr>
              <w:t>（1）有效的法人或者其他组织的营业执照等证明文件，自然人的身份证明</w:t>
            </w:r>
          </w:p>
          <w:p w14:paraId="1EBFDA78">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w:t>
            </w:r>
            <w:r>
              <w:rPr>
                <w:rFonts w:cs="Times New Roman"/>
                <w:color w:val="auto"/>
                <w:sz w:val="21"/>
                <w:szCs w:val="21"/>
                <w:highlight w:val="none"/>
              </w:rPr>
              <w:t>2）</w:t>
            </w:r>
            <w:r>
              <w:rPr>
                <w:rFonts w:hint="eastAsia" w:cs="Times New Roman"/>
                <w:color w:val="auto"/>
                <w:sz w:val="21"/>
                <w:szCs w:val="21"/>
                <w:highlight w:val="none"/>
              </w:rPr>
              <w:t>符合参加政府采购活动应当具备的一般条件的承诺函</w:t>
            </w:r>
          </w:p>
          <w:p w14:paraId="412CF8E6">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w:t>
            </w:r>
            <w:r>
              <w:rPr>
                <w:rFonts w:cs="Times New Roman"/>
                <w:color w:val="auto"/>
                <w:sz w:val="21"/>
                <w:szCs w:val="21"/>
                <w:highlight w:val="none"/>
              </w:rPr>
              <w:t>3）落实政府采购政策需满足的资格要求：</w:t>
            </w:r>
          </w:p>
          <w:p w14:paraId="75555815">
            <w:pPr>
              <w:adjustRightInd w:val="0"/>
              <w:snapToGrid w:val="0"/>
              <w:spacing w:line="288" w:lineRule="auto"/>
              <w:ind w:left="480" w:leftChars="200"/>
              <w:rPr>
                <w:rFonts w:cs="Times New Roman"/>
                <w:color w:val="auto"/>
                <w:sz w:val="21"/>
                <w:szCs w:val="21"/>
                <w:highlight w:val="none"/>
              </w:rPr>
            </w:pPr>
            <w:r>
              <w:rPr>
                <w:rFonts w:hint="eastAsia" w:cs="Times New Roman"/>
                <w:color w:val="auto"/>
                <w:sz w:val="21"/>
                <w:szCs w:val="21"/>
                <w:highlight w:val="none"/>
              </w:rPr>
              <w:t>中小企业声明函（若属于中小企业）</w:t>
            </w:r>
          </w:p>
          <w:p w14:paraId="6621173C">
            <w:pPr>
              <w:adjustRightInd w:val="0"/>
              <w:snapToGrid w:val="0"/>
              <w:spacing w:line="288" w:lineRule="auto"/>
              <w:ind w:left="480" w:leftChars="200"/>
              <w:rPr>
                <w:rFonts w:cs="Times New Roman"/>
                <w:color w:val="auto"/>
                <w:sz w:val="21"/>
                <w:szCs w:val="21"/>
                <w:highlight w:val="none"/>
              </w:rPr>
            </w:pPr>
            <w:r>
              <w:rPr>
                <w:rFonts w:hint="eastAsia" w:cs="Times New Roman"/>
                <w:color w:val="auto"/>
                <w:sz w:val="21"/>
                <w:szCs w:val="21"/>
                <w:highlight w:val="none"/>
              </w:rPr>
              <w:t>属于监狱企业的证明文件（若属于监狱企业）</w:t>
            </w:r>
          </w:p>
          <w:p w14:paraId="1E855182">
            <w:pPr>
              <w:adjustRightInd w:val="0"/>
              <w:snapToGrid w:val="0"/>
              <w:spacing w:line="288" w:lineRule="auto"/>
              <w:ind w:left="480" w:leftChars="200"/>
              <w:rPr>
                <w:rFonts w:cs="Times New Roman"/>
                <w:color w:val="auto"/>
                <w:sz w:val="21"/>
                <w:szCs w:val="21"/>
                <w:highlight w:val="none"/>
              </w:rPr>
            </w:pPr>
            <w:r>
              <w:rPr>
                <w:rFonts w:hint="eastAsia" w:cs="Times New Roman"/>
                <w:color w:val="auto"/>
                <w:sz w:val="21"/>
                <w:szCs w:val="21"/>
                <w:highlight w:val="none"/>
              </w:rPr>
              <w:t>残疾人福利性单位声明函（若属于残疾人福利性单位）</w:t>
            </w:r>
          </w:p>
          <w:p w14:paraId="7B94B39A">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w:t>
            </w:r>
            <w:r>
              <w:rPr>
                <w:rFonts w:cs="Times New Roman"/>
                <w:color w:val="auto"/>
                <w:sz w:val="21"/>
                <w:szCs w:val="21"/>
                <w:highlight w:val="none"/>
              </w:rPr>
              <w:t>4）</w:t>
            </w:r>
            <w:r>
              <w:rPr>
                <w:rFonts w:hint="eastAsia" w:cs="Times New Roman"/>
                <w:color w:val="auto"/>
                <w:sz w:val="21"/>
                <w:szCs w:val="21"/>
                <w:highlight w:val="none"/>
              </w:rPr>
              <w:t>本项目的特定资格要求</w:t>
            </w:r>
            <w:r>
              <w:rPr>
                <w:rFonts w:cs="Times New Roman"/>
                <w:color w:val="auto"/>
                <w:sz w:val="21"/>
                <w:szCs w:val="21"/>
                <w:highlight w:val="none"/>
              </w:rPr>
              <w:t>证明材料：</w:t>
            </w:r>
          </w:p>
          <w:p w14:paraId="12BB10D0">
            <w:pPr>
              <w:adjustRightInd w:val="0"/>
              <w:snapToGrid w:val="0"/>
              <w:spacing w:line="288" w:lineRule="auto"/>
              <w:ind w:left="480" w:leftChars="200"/>
              <w:rPr>
                <w:rFonts w:cs="Times New Roman"/>
                <w:color w:val="auto"/>
                <w:sz w:val="21"/>
                <w:szCs w:val="21"/>
                <w:highlight w:val="none"/>
              </w:rPr>
            </w:pPr>
            <w:r>
              <w:rPr>
                <w:rFonts w:cs="Times New Roman"/>
                <w:color w:val="auto"/>
                <w:sz w:val="21"/>
                <w:szCs w:val="21"/>
                <w:highlight w:val="none"/>
              </w:rPr>
              <w:t>1）</w:t>
            </w:r>
            <w:r>
              <w:rPr>
                <w:rFonts w:hint="eastAsia" w:cs="Times New Roman"/>
                <w:color w:val="auto"/>
                <w:sz w:val="21"/>
                <w:szCs w:val="21"/>
                <w:highlight w:val="none"/>
              </w:rPr>
              <w:t>具有</w:t>
            </w:r>
            <w:r>
              <w:rPr>
                <w:rFonts w:hint="eastAsia" w:cs="Times New Roman"/>
                <w:color w:val="auto"/>
                <w:sz w:val="21"/>
                <w:szCs w:val="21"/>
                <w:highlight w:val="none"/>
                <w:lang w:eastAsia="zh-CN"/>
              </w:rPr>
              <w:t>建筑装修装饰工程专业承包二级及以上资质</w:t>
            </w:r>
            <w:r>
              <w:rPr>
                <w:rFonts w:hint="eastAsia"/>
                <w:color w:val="auto"/>
                <w:sz w:val="21"/>
                <w:szCs w:val="21"/>
                <w:highlight w:val="none"/>
                <w:lang w:val="en-US" w:eastAsia="zh-CN"/>
              </w:rPr>
              <w:t>或防水防腐保温工程专业承包二级资质</w:t>
            </w:r>
            <w:r>
              <w:rPr>
                <w:rFonts w:cs="Times New Roman"/>
                <w:color w:val="auto"/>
                <w:sz w:val="21"/>
                <w:szCs w:val="21"/>
                <w:highlight w:val="none"/>
              </w:rPr>
              <w:t>；</w:t>
            </w:r>
          </w:p>
          <w:p w14:paraId="3E0F826A">
            <w:pPr>
              <w:adjustRightInd w:val="0"/>
              <w:snapToGrid w:val="0"/>
              <w:spacing w:line="288" w:lineRule="auto"/>
              <w:ind w:left="480" w:leftChars="200"/>
              <w:rPr>
                <w:rFonts w:hint="eastAsia" w:cs="Times New Roman"/>
                <w:color w:val="auto"/>
                <w:sz w:val="21"/>
                <w:szCs w:val="21"/>
                <w:highlight w:val="none"/>
                <w:lang w:eastAsia="zh-CN"/>
              </w:rPr>
            </w:pPr>
            <w:r>
              <w:rPr>
                <w:rFonts w:cs="Times New Roman"/>
                <w:color w:val="auto"/>
                <w:sz w:val="21"/>
                <w:szCs w:val="21"/>
                <w:highlight w:val="none"/>
              </w:rPr>
              <w:t>2）</w:t>
            </w:r>
            <w:r>
              <w:rPr>
                <w:rFonts w:hint="eastAsia" w:cs="Times New Roman"/>
                <w:color w:val="auto"/>
                <w:sz w:val="21"/>
                <w:szCs w:val="21"/>
                <w:highlight w:val="none"/>
                <w:lang w:eastAsia="zh-CN"/>
              </w:rPr>
              <w:t>供应商具有在有效期内的企业安全生产许可证；</w:t>
            </w:r>
          </w:p>
          <w:p w14:paraId="2D80A466">
            <w:pPr>
              <w:adjustRightInd w:val="0"/>
              <w:snapToGrid w:val="0"/>
              <w:spacing w:line="288" w:lineRule="auto"/>
              <w:ind w:left="480" w:leftChars="200"/>
              <w:rPr>
                <w:rFonts w:cs="Times New Roman"/>
                <w:color w:val="auto"/>
                <w:sz w:val="21"/>
                <w:szCs w:val="21"/>
                <w:highlight w:val="none"/>
              </w:rPr>
            </w:pPr>
            <w:r>
              <w:rPr>
                <w:rFonts w:hint="eastAsia" w:cs="Times New Roman"/>
                <w:color w:val="auto"/>
                <w:sz w:val="21"/>
                <w:szCs w:val="21"/>
                <w:highlight w:val="none"/>
                <w:lang w:val="en-US" w:eastAsia="zh-CN"/>
              </w:rPr>
              <w:t>3</w:t>
            </w:r>
            <w:r>
              <w:rPr>
                <w:rFonts w:hint="eastAsia" w:cs="Times New Roman"/>
                <w:color w:val="auto"/>
                <w:sz w:val="21"/>
                <w:szCs w:val="21"/>
                <w:highlight w:val="none"/>
                <w:lang w:eastAsia="zh-CN"/>
              </w:rPr>
              <w:t>）拟派项目负责人具有注册在投标人单位的建筑工程专业二级及以上建造师执业资格，同时具有“三类人员”B类证书。</w:t>
            </w:r>
          </w:p>
          <w:p w14:paraId="3B2FB6AB">
            <w:pPr>
              <w:adjustRightInd w:val="0"/>
              <w:snapToGrid w:val="0"/>
              <w:spacing w:line="288" w:lineRule="auto"/>
              <w:rPr>
                <w:b/>
                <w:bCs/>
                <w:color w:val="auto"/>
                <w:sz w:val="21"/>
                <w:szCs w:val="21"/>
                <w:highlight w:val="none"/>
              </w:rPr>
            </w:pPr>
            <w:r>
              <w:rPr>
                <w:rFonts w:hint="eastAsia" w:cs="Times New Roman"/>
                <w:color w:val="auto"/>
                <w:sz w:val="21"/>
                <w:szCs w:val="21"/>
                <w:highlight w:val="none"/>
              </w:rPr>
              <w:t>（5）联合协议（以联合体形式响应的，提供联合协议，格式详见附件2）</w:t>
            </w:r>
          </w:p>
        </w:tc>
      </w:tr>
      <w:tr w14:paraId="47D0B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B59FA01">
            <w:pPr>
              <w:adjustRightInd w:val="0"/>
              <w:snapToGrid w:val="0"/>
              <w:spacing w:line="288" w:lineRule="auto"/>
              <w:jc w:val="center"/>
              <w:rPr>
                <w:color w:val="auto"/>
                <w:sz w:val="21"/>
                <w:szCs w:val="21"/>
                <w:highlight w:val="none"/>
              </w:rPr>
            </w:pPr>
            <w:r>
              <w:rPr>
                <w:rFonts w:hint="eastAsia"/>
                <w:color w:val="auto"/>
                <w:sz w:val="21"/>
                <w:szCs w:val="21"/>
                <w:highlight w:val="none"/>
              </w:rPr>
              <w:t>（十九）</w:t>
            </w:r>
          </w:p>
        </w:tc>
        <w:tc>
          <w:tcPr>
            <w:tcW w:w="2410" w:type="dxa"/>
            <w:vAlign w:val="center"/>
          </w:tcPr>
          <w:p w14:paraId="35D8C577">
            <w:pPr>
              <w:adjustRightInd w:val="0"/>
              <w:snapToGrid w:val="0"/>
              <w:spacing w:line="288" w:lineRule="auto"/>
              <w:jc w:val="center"/>
              <w:rPr>
                <w:color w:val="auto"/>
                <w:sz w:val="21"/>
                <w:szCs w:val="21"/>
                <w:highlight w:val="none"/>
              </w:rPr>
            </w:pPr>
            <w:r>
              <w:rPr>
                <w:rFonts w:hint="eastAsia"/>
                <w:b/>
                <w:bCs/>
                <w:color w:val="auto"/>
                <w:sz w:val="21"/>
                <w:szCs w:val="21"/>
                <w:highlight w:val="none"/>
              </w:rPr>
              <w:t>响应文件份数</w:t>
            </w:r>
          </w:p>
        </w:tc>
        <w:tc>
          <w:tcPr>
            <w:tcW w:w="5954" w:type="dxa"/>
            <w:vAlign w:val="center"/>
          </w:tcPr>
          <w:p w14:paraId="581C3C8C">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w:t>
            </w:r>
            <w:r>
              <w:rPr>
                <w:rFonts w:hint="eastAsia"/>
                <w:b/>
                <w:bCs/>
                <w:color w:val="auto"/>
                <w:sz w:val="21"/>
                <w:szCs w:val="21"/>
                <w:highlight w:val="none"/>
                <w:lang w:eastAsia="zh-CN"/>
              </w:rPr>
              <w:t>杭州建国北路586号嘉联华铭座6楼603室</w:t>
            </w:r>
            <w:r>
              <w:rPr>
                <w:rFonts w:hint="eastAsia"/>
                <w:b/>
                <w:bCs/>
                <w:color w:val="auto"/>
                <w:sz w:val="21"/>
                <w:szCs w:val="21"/>
                <w:highlight w:val="none"/>
              </w:rPr>
              <w:t>，</w:t>
            </w:r>
            <w:r>
              <w:rPr>
                <w:rFonts w:hint="eastAsia"/>
                <w:b/>
                <w:bCs/>
                <w:color w:val="auto"/>
                <w:sz w:val="21"/>
                <w:szCs w:val="21"/>
                <w:highlight w:val="none"/>
                <w:lang w:eastAsia="zh-CN"/>
              </w:rPr>
              <w:t>建经投资咨询有限公司</w:t>
            </w:r>
            <w:r>
              <w:rPr>
                <w:rFonts w:hint="eastAsia"/>
                <w:b/>
                <w:bCs/>
                <w:color w:val="auto"/>
                <w:sz w:val="21"/>
                <w:szCs w:val="21"/>
                <w:highlight w:val="none"/>
              </w:rPr>
              <w:t>（</w:t>
            </w:r>
            <w:r>
              <w:rPr>
                <w:rFonts w:hint="eastAsia"/>
                <w:b/>
                <w:bCs/>
                <w:color w:val="auto"/>
                <w:sz w:val="21"/>
                <w:szCs w:val="21"/>
                <w:highlight w:val="none"/>
                <w:lang w:eastAsia="zh-CN"/>
              </w:rPr>
              <w:t>陆伟</w:t>
            </w:r>
            <w:r>
              <w:rPr>
                <w:rFonts w:hint="eastAsia"/>
                <w:b/>
                <w:bCs/>
                <w:color w:val="auto"/>
                <w:sz w:val="21"/>
                <w:szCs w:val="21"/>
                <w:highlight w:val="none"/>
              </w:rPr>
              <w:t>）收，电话：</w:t>
            </w:r>
            <w:r>
              <w:rPr>
                <w:rFonts w:hint="eastAsia"/>
                <w:b/>
                <w:bCs/>
                <w:color w:val="auto"/>
                <w:sz w:val="21"/>
                <w:szCs w:val="21"/>
                <w:highlight w:val="none"/>
                <w:lang w:eastAsia="zh-CN"/>
              </w:rPr>
              <w:t>18800200063</w:t>
            </w:r>
            <w:r>
              <w:rPr>
                <w:rFonts w:hint="eastAsia"/>
                <w:b/>
                <w:bCs/>
                <w:color w:val="auto"/>
                <w:sz w:val="21"/>
                <w:szCs w:val="21"/>
                <w:highlight w:val="none"/>
              </w:rPr>
              <w:t>，寄出后将（快递单号、项目名称、公司名称、联系方式等相关信息）发至：</w:t>
            </w:r>
            <w:r>
              <w:rPr>
                <w:rFonts w:hint="eastAsia"/>
                <w:b/>
                <w:bCs/>
                <w:color w:val="auto"/>
                <w:sz w:val="21"/>
                <w:szCs w:val="21"/>
                <w:highlight w:val="none"/>
                <w:lang w:eastAsia="zh-CN"/>
              </w:rPr>
              <w:t>jjtz01@126.com</w:t>
            </w:r>
            <w:r>
              <w:rPr>
                <w:rFonts w:hint="eastAsia"/>
                <w:b/>
                <w:bCs/>
                <w:color w:val="auto"/>
                <w:sz w:val="21"/>
                <w:szCs w:val="21"/>
                <w:highlight w:val="none"/>
              </w:rPr>
              <w:t>，以便查收）。</w:t>
            </w:r>
          </w:p>
          <w:p w14:paraId="4E4BAA4A">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特别说明：双休日和法定节假日不收件，供应商自行承担邮寄风险。</w:t>
            </w:r>
          </w:p>
        </w:tc>
      </w:tr>
      <w:tr w14:paraId="3B9E8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C9BD26C">
            <w:pPr>
              <w:adjustRightInd w:val="0"/>
              <w:snapToGrid w:val="0"/>
              <w:spacing w:line="288" w:lineRule="auto"/>
              <w:jc w:val="center"/>
              <w:rPr>
                <w:color w:val="auto"/>
                <w:sz w:val="21"/>
                <w:szCs w:val="21"/>
                <w:highlight w:val="none"/>
              </w:rPr>
            </w:pPr>
            <w:r>
              <w:rPr>
                <w:rFonts w:hint="eastAsia"/>
                <w:color w:val="auto"/>
                <w:sz w:val="21"/>
                <w:szCs w:val="21"/>
                <w:highlight w:val="none"/>
              </w:rPr>
              <w:t>（二十）</w:t>
            </w:r>
          </w:p>
        </w:tc>
        <w:tc>
          <w:tcPr>
            <w:tcW w:w="2410" w:type="dxa"/>
            <w:vAlign w:val="center"/>
          </w:tcPr>
          <w:p w14:paraId="70E4510C">
            <w:pPr>
              <w:adjustRightInd w:val="0"/>
              <w:snapToGrid w:val="0"/>
              <w:spacing w:line="288" w:lineRule="auto"/>
              <w:jc w:val="center"/>
              <w:rPr>
                <w:color w:val="auto"/>
                <w:sz w:val="21"/>
                <w:szCs w:val="21"/>
                <w:highlight w:val="none"/>
              </w:rPr>
            </w:pPr>
            <w:r>
              <w:rPr>
                <w:rFonts w:hint="eastAsia"/>
                <w:b/>
                <w:bCs/>
                <w:color w:val="auto"/>
                <w:sz w:val="21"/>
                <w:szCs w:val="21"/>
                <w:highlight w:val="none"/>
              </w:rPr>
              <w:t>磋商报价</w:t>
            </w:r>
          </w:p>
        </w:tc>
        <w:tc>
          <w:tcPr>
            <w:tcW w:w="5954" w:type="dxa"/>
            <w:vAlign w:val="center"/>
          </w:tcPr>
          <w:p w14:paraId="02063512">
            <w:pPr>
              <w:adjustRightInd w:val="0"/>
              <w:snapToGrid w:val="0"/>
              <w:spacing w:line="288" w:lineRule="auto"/>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报价应按磋商文件要求的格式编制、填写报价内容（可自行增行），未按磋商文件要求编制、填写的响应文件可能被拒绝；</w:t>
            </w:r>
          </w:p>
          <w:p w14:paraId="432EA2D2">
            <w:pPr>
              <w:adjustRightInd w:val="0"/>
              <w:snapToGrid w:val="0"/>
              <w:spacing w:line="288" w:lineRule="auto"/>
              <w:rPr>
                <w:color w:val="auto"/>
                <w:sz w:val="21"/>
                <w:szCs w:val="21"/>
                <w:highlight w:val="none"/>
              </w:rPr>
            </w:pPr>
            <w:r>
              <w:rPr>
                <w:color w:val="auto"/>
                <w:sz w:val="21"/>
                <w:szCs w:val="21"/>
                <w:highlight w:val="none"/>
              </w:rPr>
              <w:t>2</w:t>
            </w:r>
            <w:r>
              <w:rPr>
                <w:rFonts w:hint="eastAsia"/>
                <w:color w:val="auto"/>
                <w:sz w:val="21"/>
                <w:szCs w:val="21"/>
                <w:highlight w:val="none"/>
              </w:rPr>
              <w:t>.本次磋商采用人民币报价；</w:t>
            </w:r>
          </w:p>
          <w:p w14:paraId="6F291D5E">
            <w:pPr>
              <w:adjustRightInd w:val="0"/>
              <w:snapToGrid w:val="0"/>
              <w:spacing w:line="288" w:lineRule="auto"/>
              <w:rPr>
                <w:color w:val="auto"/>
                <w:sz w:val="21"/>
                <w:szCs w:val="21"/>
                <w:highlight w:val="none"/>
              </w:rPr>
            </w:pPr>
            <w:r>
              <w:rPr>
                <w:color w:val="auto"/>
                <w:sz w:val="21"/>
                <w:szCs w:val="21"/>
                <w:highlight w:val="none"/>
              </w:rPr>
              <w:t>3</w:t>
            </w:r>
            <w:r>
              <w:rPr>
                <w:rFonts w:hint="eastAsia"/>
                <w:color w:val="auto"/>
                <w:sz w:val="21"/>
                <w:szCs w:val="21"/>
                <w:highlight w:val="none"/>
              </w:rPr>
              <w:t>.最后磋商报价是履行合同的最终价格，有关本项目实施所涉及的一切费用均计入报价。</w:t>
            </w:r>
          </w:p>
          <w:p w14:paraId="17589025">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4.采购人将以合同形式有偿取得货物或服务，不接受</w:t>
            </w:r>
            <w:r>
              <w:rPr>
                <w:rFonts w:hint="eastAsia"/>
                <w:color w:val="auto"/>
                <w:sz w:val="21"/>
                <w:szCs w:val="21"/>
                <w:highlight w:val="none"/>
              </w:rPr>
              <w:t>供应商</w:t>
            </w:r>
            <w:r>
              <w:rPr>
                <w:color w:val="auto"/>
                <w:sz w:val="21"/>
                <w:szCs w:val="21"/>
                <w:highlight w:val="none"/>
              </w:rPr>
              <w:t>给予的赠品、回扣或者与采购无关的其他商品、服务，不得出现“0元”“免费赠送”等形式的无偿报价，否则视为</w:t>
            </w:r>
            <w:r>
              <w:rPr>
                <w:rFonts w:hint="eastAsia"/>
                <w:color w:val="auto"/>
                <w:sz w:val="21"/>
                <w:szCs w:val="21"/>
                <w:highlight w:val="none"/>
              </w:rPr>
              <w:t>响应</w:t>
            </w:r>
            <w:r>
              <w:rPr>
                <w:color w:val="auto"/>
                <w:sz w:val="21"/>
                <w:szCs w:val="21"/>
                <w:highlight w:val="none"/>
              </w:rPr>
              <w:t>文件含有采购人不能接受的附加条件的，</w:t>
            </w:r>
            <w:r>
              <w:rPr>
                <w:rFonts w:hint="eastAsia"/>
                <w:color w:val="auto"/>
                <w:sz w:val="21"/>
                <w:szCs w:val="21"/>
                <w:highlight w:val="none"/>
              </w:rPr>
              <w:t>响应</w:t>
            </w:r>
            <w:r>
              <w:rPr>
                <w:color w:val="auto"/>
                <w:sz w:val="21"/>
                <w:szCs w:val="21"/>
                <w:highlight w:val="none"/>
              </w:rPr>
              <w:t>无效。</w:t>
            </w:r>
          </w:p>
        </w:tc>
      </w:tr>
      <w:tr w14:paraId="4F828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C5F24BC">
            <w:pPr>
              <w:adjustRightInd w:val="0"/>
              <w:snapToGrid w:val="0"/>
              <w:spacing w:line="288" w:lineRule="auto"/>
              <w:jc w:val="center"/>
              <w:rPr>
                <w:color w:val="auto"/>
                <w:sz w:val="21"/>
                <w:szCs w:val="21"/>
                <w:highlight w:val="none"/>
              </w:rPr>
            </w:pPr>
            <w:r>
              <w:rPr>
                <w:rFonts w:hint="eastAsia"/>
                <w:color w:val="auto"/>
                <w:sz w:val="21"/>
                <w:szCs w:val="21"/>
                <w:highlight w:val="none"/>
              </w:rPr>
              <w:t>（二十一）</w:t>
            </w:r>
          </w:p>
        </w:tc>
        <w:tc>
          <w:tcPr>
            <w:tcW w:w="2410" w:type="dxa"/>
            <w:vAlign w:val="center"/>
          </w:tcPr>
          <w:p w14:paraId="79110F31">
            <w:pPr>
              <w:adjustRightInd w:val="0"/>
              <w:snapToGrid w:val="0"/>
              <w:spacing w:line="288" w:lineRule="auto"/>
              <w:jc w:val="center"/>
              <w:rPr>
                <w:color w:val="auto"/>
                <w:sz w:val="21"/>
                <w:szCs w:val="21"/>
                <w:highlight w:val="none"/>
              </w:rPr>
            </w:pPr>
            <w:r>
              <w:rPr>
                <w:rFonts w:hint="eastAsia"/>
                <w:b/>
                <w:bCs/>
                <w:color w:val="auto"/>
                <w:sz w:val="21"/>
                <w:szCs w:val="21"/>
                <w:highlight w:val="none"/>
              </w:rPr>
              <w:t>响应有效期</w:t>
            </w:r>
          </w:p>
        </w:tc>
        <w:tc>
          <w:tcPr>
            <w:tcW w:w="5954" w:type="dxa"/>
            <w:vAlign w:val="center"/>
          </w:tcPr>
          <w:p w14:paraId="1E80D545">
            <w:pPr>
              <w:adjustRightInd w:val="0"/>
              <w:snapToGrid w:val="0"/>
              <w:spacing w:line="288" w:lineRule="auto"/>
              <w:rPr>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tc>
      </w:tr>
      <w:tr w14:paraId="2A146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D4158AE">
            <w:pPr>
              <w:adjustRightInd w:val="0"/>
              <w:snapToGrid w:val="0"/>
              <w:spacing w:line="288" w:lineRule="auto"/>
              <w:jc w:val="center"/>
              <w:rPr>
                <w:color w:val="auto"/>
                <w:sz w:val="21"/>
                <w:szCs w:val="21"/>
                <w:highlight w:val="none"/>
              </w:rPr>
            </w:pPr>
            <w:r>
              <w:rPr>
                <w:rFonts w:hint="eastAsia"/>
                <w:color w:val="auto"/>
                <w:sz w:val="21"/>
                <w:szCs w:val="21"/>
                <w:highlight w:val="none"/>
              </w:rPr>
              <w:t>（二十二）</w:t>
            </w:r>
          </w:p>
        </w:tc>
        <w:tc>
          <w:tcPr>
            <w:tcW w:w="2410" w:type="dxa"/>
            <w:vAlign w:val="center"/>
          </w:tcPr>
          <w:p w14:paraId="2EF3E666">
            <w:pPr>
              <w:adjustRightInd w:val="0"/>
              <w:snapToGrid w:val="0"/>
              <w:spacing w:line="288" w:lineRule="auto"/>
              <w:jc w:val="center"/>
              <w:rPr>
                <w:color w:val="auto"/>
                <w:sz w:val="21"/>
                <w:szCs w:val="21"/>
                <w:highlight w:val="none"/>
              </w:rPr>
            </w:pPr>
            <w:r>
              <w:rPr>
                <w:rFonts w:hint="eastAsia"/>
                <w:color w:val="auto"/>
                <w:sz w:val="21"/>
                <w:szCs w:val="21"/>
                <w:highlight w:val="none"/>
              </w:rPr>
              <w:t>评审方法和评审标准</w:t>
            </w:r>
          </w:p>
        </w:tc>
        <w:tc>
          <w:tcPr>
            <w:tcW w:w="5954" w:type="dxa"/>
            <w:vAlign w:val="center"/>
          </w:tcPr>
          <w:p w14:paraId="5DDAB311">
            <w:pPr>
              <w:adjustRightInd w:val="0"/>
              <w:snapToGrid w:val="0"/>
              <w:spacing w:line="288" w:lineRule="auto"/>
              <w:rPr>
                <w:color w:val="auto"/>
                <w:sz w:val="21"/>
                <w:szCs w:val="21"/>
                <w:highlight w:val="none"/>
              </w:rPr>
            </w:pPr>
            <w:r>
              <w:rPr>
                <w:color w:val="auto"/>
                <w:sz w:val="21"/>
                <w:szCs w:val="21"/>
                <w:highlight w:val="none"/>
              </w:rPr>
              <w:t>详见“</w:t>
            </w:r>
            <w:r>
              <w:rPr>
                <w:rFonts w:hint="eastAsia"/>
                <w:color w:val="auto"/>
                <w:sz w:val="21"/>
                <w:szCs w:val="21"/>
                <w:highlight w:val="none"/>
              </w:rPr>
              <w:t>第四章  评审方法和评审标准</w:t>
            </w:r>
            <w:r>
              <w:rPr>
                <w:color w:val="auto"/>
                <w:sz w:val="21"/>
                <w:szCs w:val="21"/>
                <w:highlight w:val="none"/>
              </w:rPr>
              <w:t>”</w:t>
            </w:r>
            <w:r>
              <w:rPr>
                <w:rFonts w:hint="eastAsia"/>
                <w:color w:val="auto"/>
                <w:sz w:val="21"/>
                <w:szCs w:val="21"/>
                <w:highlight w:val="none"/>
              </w:rPr>
              <w:t>。</w:t>
            </w:r>
          </w:p>
        </w:tc>
      </w:tr>
      <w:tr w14:paraId="6EF85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CF78080">
            <w:pPr>
              <w:adjustRightInd w:val="0"/>
              <w:snapToGrid w:val="0"/>
              <w:spacing w:line="288" w:lineRule="auto"/>
              <w:jc w:val="center"/>
              <w:rPr>
                <w:color w:val="auto"/>
                <w:sz w:val="21"/>
                <w:szCs w:val="21"/>
                <w:highlight w:val="none"/>
              </w:rPr>
            </w:pPr>
            <w:r>
              <w:rPr>
                <w:rFonts w:hint="eastAsia"/>
                <w:color w:val="auto"/>
                <w:sz w:val="21"/>
                <w:szCs w:val="21"/>
                <w:highlight w:val="none"/>
              </w:rPr>
              <w:t>（二十三）</w:t>
            </w:r>
          </w:p>
        </w:tc>
        <w:tc>
          <w:tcPr>
            <w:tcW w:w="2410" w:type="dxa"/>
            <w:vAlign w:val="center"/>
          </w:tcPr>
          <w:p w14:paraId="6E09ADF3">
            <w:pPr>
              <w:adjustRightInd w:val="0"/>
              <w:snapToGrid w:val="0"/>
              <w:spacing w:line="288" w:lineRule="auto"/>
              <w:jc w:val="center"/>
              <w:rPr>
                <w:color w:val="auto"/>
                <w:sz w:val="21"/>
                <w:szCs w:val="21"/>
                <w:highlight w:val="none"/>
              </w:rPr>
            </w:pPr>
            <w:r>
              <w:rPr>
                <w:rFonts w:hint="eastAsia"/>
                <w:color w:val="auto"/>
                <w:sz w:val="21"/>
                <w:szCs w:val="21"/>
                <w:highlight w:val="none"/>
              </w:rPr>
              <w:t>评审结果公示</w:t>
            </w:r>
          </w:p>
        </w:tc>
        <w:tc>
          <w:tcPr>
            <w:tcW w:w="5954" w:type="dxa"/>
            <w:vAlign w:val="center"/>
          </w:tcPr>
          <w:p w14:paraId="0463426F">
            <w:pPr>
              <w:adjustRightInd w:val="0"/>
              <w:snapToGrid w:val="0"/>
              <w:spacing w:line="288" w:lineRule="auto"/>
              <w:jc w:val="left"/>
              <w:rPr>
                <w:color w:val="auto"/>
                <w:sz w:val="21"/>
                <w:szCs w:val="21"/>
                <w:highlight w:val="none"/>
              </w:rPr>
            </w:pPr>
            <w:r>
              <w:rPr>
                <w:rFonts w:hint="eastAsia"/>
                <w:color w:val="auto"/>
                <w:sz w:val="21"/>
                <w:szCs w:val="21"/>
                <w:highlight w:val="none"/>
              </w:rPr>
              <w:t>评审结果公示媒体：浙江政府采购网（http://zfcg.czt.zj.gov.cn）。</w:t>
            </w:r>
          </w:p>
        </w:tc>
      </w:tr>
      <w:tr w14:paraId="7C72F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8846CD9">
            <w:pPr>
              <w:adjustRightInd w:val="0"/>
              <w:snapToGrid w:val="0"/>
              <w:spacing w:line="288" w:lineRule="auto"/>
              <w:jc w:val="center"/>
              <w:rPr>
                <w:color w:val="auto"/>
                <w:sz w:val="21"/>
                <w:szCs w:val="21"/>
                <w:highlight w:val="none"/>
              </w:rPr>
            </w:pPr>
            <w:r>
              <w:rPr>
                <w:rFonts w:hint="eastAsia"/>
                <w:color w:val="auto"/>
                <w:sz w:val="21"/>
                <w:szCs w:val="21"/>
                <w:highlight w:val="none"/>
              </w:rPr>
              <w:t>（二十四）</w:t>
            </w:r>
          </w:p>
        </w:tc>
        <w:tc>
          <w:tcPr>
            <w:tcW w:w="2410" w:type="dxa"/>
            <w:vAlign w:val="center"/>
          </w:tcPr>
          <w:p w14:paraId="1B50AC0F">
            <w:pPr>
              <w:adjustRightInd w:val="0"/>
              <w:snapToGrid w:val="0"/>
              <w:spacing w:line="288" w:lineRule="auto"/>
              <w:jc w:val="center"/>
              <w:rPr>
                <w:color w:val="auto"/>
                <w:sz w:val="21"/>
                <w:szCs w:val="21"/>
                <w:highlight w:val="none"/>
              </w:rPr>
            </w:pPr>
            <w:r>
              <w:rPr>
                <w:rFonts w:hint="eastAsia"/>
                <w:color w:val="auto"/>
                <w:sz w:val="21"/>
                <w:szCs w:val="21"/>
                <w:highlight w:val="none"/>
              </w:rPr>
              <w:t>签订合同</w:t>
            </w:r>
          </w:p>
        </w:tc>
        <w:tc>
          <w:tcPr>
            <w:tcW w:w="5954" w:type="dxa"/>
            <w:vAlign w:val="center"/>
          </w:tcPr>
          <w:p w14:paraId="00E56C28">
            <w:pPr>
              <w:adjustRightInd w:val="0"/>
              <w:snapToGrid w:val="0"/>
              <w:spacing w:line="288" w:lineRule="auto"/>
              <w:rPr>
                <w:color w:val="auto"/>
                <w:sz w:val="21"/>
                <w:szCs w:val="21"/>
                <w:highlight w:val="none"/>
              </w:rPr>
            </w:pPr>
            <w:r>
              <w:rPr>
                <w:rFonts w:hint="eastAsia"/>
                <w:color w:val="auto"/>
                <w:sz w:val="21"/>
                <w:szCs w:val="21"/>
                <w:highlight w:val="none"/>
              </w:rPr>
              <w:t>成交通知书发出之日起30日内。</w:t>
            </w:r>
          </w:p>
        </w:tc>
      </w:tr>
    </w:tbl>
    <w:p w14:paraId="60835000">
      <w:pPr>
        <w:rPr>
          <w:b/>
          <w:bCs/>
          <w:color w:val="auto"/>
          <w:sz w:val="21"/>
          <w:szCs w:val="21"/>
          <w:highlight w:val="none"/>
        </w:rPr>
      </w:pPr>
      <w:r>
        <w:rPr>
          <w:rFonts w:hint="eastAsia"/>
          <w:b/>
          <w:bCs/>
          <w:color w:val="auto"/>
          <w:sz w:val="21"/>
          <w:szCs w:val="21"/>
          <w:highlight w:val="none"/>
        </w:rPr>
        <w:br w:type="page"/>
      </w:r>
    </w:p>
    <w:p w14:paraId="28A10244">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一、总则</w:t>
      </w:r>
    </w:p>
    <w:p w14:paraId="43E0C49E">
      <w:pPr>
        <w:adjustRightInd w:val="0"/>
        <w:snapToGrid w:val="0"/>
        <w:spacing w:line="288" w:lineRule="auto"/>
        <w:ind w:firstLine="420" w:firstLineChars="200"/>
        <w:rPr>
          <w:color w:val="auto"/>
          <w:sz w:val="21"/>
          <w:szCs w:val="21"/>
          <w:highlight w:val="none"/>
        </w:rPr>
      </w:pPr>
      <w:bookmarkStart w:id="34" w:name="_Hlk97039780"/>
      <w:r>
        <w:rPr>
          <w:rFonts w:hint="eastAsia"/>
          <w:color w:val="auto"/>
          <w:sz w:val="21"/>
          <w:szCs w:val="21"/>
          <w:highlight w:val="none"/>
        </w:rPr>
        <w:t>供应商应仔细阅读磋商文件的所有内容，按照磋商文件的要求提交响应文件，并对所提供的全部资料的真实性承担法律责任。</w:t>
      </w:r>
    </w:p>
    <w:bookmarkEnd w:id="34"/>
    <w:p w14:paraId="20E3BA0A">
      <w:pPr>
        <w:adjustRightInd w:val="0"/>
        <w:snapToGrid w:val="0"/>
        <w:spacing w:line="288" w:lineRule="auto"/>
        <w:rPr>
          <w:b/>
          <w:bCs/>
          <w:color w:val="auto"/>
          <w:sz w:val="21"/>
          <w:szCs w:val="21"/>
          <w:highlight w:val="none"/>
        </w:rPr>
      </w:pPr>
      <w:r>
        <w:rPr>
          <w:rFonts w:hint="eastAsia"/>
          <w:b/>
          <w:bCs/>
          <w:color w:val="auto"/>
          <w:sz w:val="21"/>
          <w:szCs w:val="21"/>
          <w:highlight w:val="none"/>
        </w:rPr>
        <w:t>（一）适用范围</w:t>
      </w:r>
    </w:p>
    <w:p w14:paraId="5B64E6E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本磋商文件适用于</w:t>
      </w:r>
      <w:r>
        <w:rPr>
          <w:rFonts w:hint="eastAsia"/>
          <w:color w:val="auto"/>
          <w:sz w:val="21"/>
          <w:szCs w:val="21"/>
          <w:highlight w:val="none"/>
          <w:lang w:eastAsia="zh-CN"/>
        </w:rPr>
        <w:t>浙江省文化馆小剧场楼层防水舞台墙体改造项目</w:t>
      </w:r>
      <w:r>
        <w:rPr>
          <w:rFonts w:hint="eastAsia"/>
          <w:color w:val="auto"/>
          <w:sz w:val="21"/>
          <w:szCs w:val="21"/>
          <w:highlight w:val="none"/>
        </w:rPr>
        <w:t>的磋商、评审、成交、验收、合同履约、付款等（法律、法规另有规定的，从其规定）。</w:t>
      </w:r>
    </w:p>
    <w:p w14:paraId="48FAFA84">
      <w:pPr>
        <w:adjustRightInd w:val="0"/>
        <w:snapToGrid w:val="0"/>
        <w:spacing w:line="288" w:lineRule="auto"/>
        <w:rPr>
          <w:b/>
          <w:bCs/>
          <w:color w:val="auto"/>
          <w:sz w:val="21"/>
          <w:szCs w:val="21"/>
          <w:highlight w:val="none"/>
        </w:rPr>
      </w:pPr>
      <w:r>
        <w:rPr>
          <w:rFonts w:hint="eastAsia"/>
          <w:b/>
          <w:bCs/>
          <w:color w:val="auto"/>
          <w:sz w:val="21"/>
          <w:szCs w:val="21"/>
          <w:highlight w:val="none"/>
        </w:rPr>
        <w:t>（二）定义</w:t>
      </w:r>
    </w:p>
    <w:p w14:paraId="5F69888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1.“采购人”系指</w:t>
      </w:r>
      <w:r>
        <w:rPr>
          <w:rFonts w:hint="eastAsia"/>
          <w:color w:val="auto"/>
          <w:sz w:val="21"/>
          <w:szCs w:val="21"/>
          <w:highlight w:val="none"/>
          <w:lang w:eastAsia="zh-CN"/>
        </w:rPr>
        <w:t>浙江省文化馆</w:t>
      </w:r>
      <w:r>
        <w:rPr>
          <w:rFonts w:hint="eastAsia"/>
          <w:color w:val="auto"/>
          <w:sz w:val="21"/>
          <w:szCs w:val="21"/>
          <w:highlight w:val="none"/>
        </w:rPr>
        <w:t>；</w:t>
      </w:r>
    </w:p>
    <w:p w14:paraId="6EA8409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2.“采购代理机构”系指组织本次竞争性磋商的</w:t>
      </w:r>
      <w:r>
        <w:rPr>
          <w:rFonts w:hint="eastAsia"/>
          <w:color w:val="auto"/>
          <w:sz w:val="21"/>
          <w:szCs w:val="21"/>
          <w:highlight w:val="none"/>
          <w:lang w:eastAsia="zh-CN"/>
        </w:rPr>
        <w:t>建经投资咨询有限公司</w:t>
      </w:r>
      <w:r>
        <w:rPr>
          <w:rFonts w:hint="eastAsia"/>
          <w:color w:val="auto"/>
          <w:sz w:val="21"/>
          <w:szCs w:val="21"/>
          <w:highlight w:val="none"/>
        </w:rPr>
        <w:t>；</w:t>
      </w:r>
    </w:p>
    <w:p w14:paraId="47C2E9F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3.“供应商”系指响应磋商、参加竞争的法人、其他组织或者自然人；</w:t>
      </w:r>
    </w:p>
    <w:p w14:paraId="1B96DEE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4.“书面形式”包括合同书、信件和数据电文(包括电报、电传、传真、电子数据交换和电子邮件)等可以有形地表现所载内容的形式；</w:t>
      </w:r>
    </w:p>
    <w:p w14:paraId="05F14D63">
      <w:pPr>
        <w:adjustRightInd w:val="0"/>
        <w:snapToGrid w:val="0"/>
        <w:spacing w:line="288" w:lineRule="auto"/>
        <w:ind w:firstLine="420" w:firstLineChars="200"/>
        <w:rPr>
          <w:color w:val="auto"/>
          <w:sz w:val="21"/>
          <w:szCs w:val="21"/>
          <w:highlight w:val="none"/>
        </w:rPr>
      </w:pPr>
      <w:bookmarkStart w:id="35" w:name="_Hlk97039762"/>
      <w:r>
        <w:rPr>
          <w:rFonts w:hint="eastAsia"/>
          <w:color w:val="auto"/>
          <w:sz w:val="21"/>
          <w:szCs w:val="21"/>
          <w:highlight w:val="none"/>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p>
    <w:p w14:paraId="153274CE">
      <w:pPr>
        <w:adjustRightInd w:val="0"/>
        <w:snapToGrid w:val="0"/>
        <w:spacing w:line="288" w:lineRule="auto"/>
        <w:ind w:firstLine="420" w:firstLineChars="200"/>
        <w:jc w:val="left"/>
        <w:rPr>
          <w:rFonts w:cs="Times New Roman"/>
          <w:color w:val="auto"/>
          <w:sz w:val="21"/>
          <w:szCs w:val="21"/>
          <w:highlight w:val="none"/>
        </w:rPr>
      </w:pPr>
      <w:r>
        <w:rPr>
          <w:rFonts w:cs="Times New Roman"/>
          <w:color w:val="auto"/>
          <w:sz w:val="21"/>
          <w:szCs w:val="21"/>
          <w:highlight w:val="none"/>
        </w:rPr>
        <w:t>“电子签名”系指数据电文中以电子形式所含、所附用于识别签名人身份并表明签名人认可其中内容的数据；</w:t>
      </w:r>
      <w:r>
        <w:rPr>
          <w:rFonts w:hint="eastAsia" w:cs="Times New Roman"/>
          <w:color w:val="auto"/>
          <w:sz w:val="21"/>
          <w:szCs w:val="21"/>
          <w:highlight w:val="none"/>
        </w:rPr>
        <w:t>“公章”系指单位法定名称章。因特殊原因需要使用冠以法定名称的业务专用章的，响应时须提供《业务专用章使用说明函》（附件1）。</w:t>
      </w:r>
    </w:p>
    <w:p w14:paraId="4BB7D242">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磋商文件对响应文件签署、盖章的要求适用于电子签名。</w:t>
      </w:r>
    </w:p>
    <w:bookmarkEnd w:id="35"/>
    <w:p w14:paraId="660A1C7E">
      <w:pPr>
        <w:adjustRightInd w:val="0"/>
        <w:snapToGrid w:val="0"/>
        <w:spacing w:line="288" w:lineRule="auto"/>
        <w:ind w:firstLine="420" w:firstLineChars="200"/>
        <w:rPr>
          <w:color w:val="auto"/>
          <w:sz w:val="21"/>
          <w:szCs w:val="21"/>
          <w:highlight w:val="none"/>
        </w:rPr>
      </w:pPr>
      <w:r>
        <w:rPr>
          <w:color w:val="auto"/>
          <w:sz w:val="21"/>
          <w:szCs w:val="21"/>
          <w:highlight w:val="none"/>
        </w:rPr>
        <w:t>6</w:t>
      </w:r>
      <w:r>
        <w:rPr>
          <w:rFonts w:hint="eastAsia"/>
          <w:color w:val="auto"/>
          <w:sz w:val="21"/>
          <w:szCs w:val="21"/>
          <w:highlight w:val="none"/>
        </w:rPr>
        <w:t>.“▲”系指实质性要求条款，供应商应当做出实质性响应。</w:t>
      </w:r>
    </w:p>
    <w:p w14:paraId="2CF40AE8">
      <w:pPr>
        <w:adjustRightInd w:val="0"/>
        <w:snapToGrid w:val="0"/>
        <w:spacing w:line="288" w:lineRule="auto"/>
        <w:rPr>
          <w:b/>
          <w:bCs/>
          <w:color w:val="auto"/>
          <w:sz w:val="21"/>
          <w:szCs w:val="21"/>
          <w:highlight w:val="none"/>
        </w:rPr>
      </w:pPr>
      <w:r>
        <w:rPr>
          <w:rFonts w:hint="eastAsia"/>
          <w:b/>
          <w:bCs/>
          <w:color w:val="auto"/>
          <w:sz w:val="21"/>
          <w:szCs w:val="21"/>
          <w:highlight w:val="none"/>
        </w:rPr>
        <w:t>（三）采购方式</w:t>
      </w:r>
    </w:p>
    <w:p w14:paraId="295326C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本次采购采用竞争性磋商（线上电子交易）方式进行。</w:t>
      </w:r>
    </w:p>
    <w:p w14:paraId="760422A5">
      <w:pPr>
        <w:adjustRightInd w:val="0"/>
        <w:snapToGrid w:val="0"/>
        <w:spacing w:line="288" w:lineRule="auto"/>
        <w:rPr>
          <w:b/>
          <w:bCs/>
          <w:color w:val="auto"/>
          <w:sz w:val="21"/>
          <w:szCs w:val="21"/>
          <w:highlight w:val="none"/>
        </w:rPr>
      </w:pPr>
      <w:r>
        <w:rPr>
          <w:rFonts w:hint="eastAsia"/>
          <w:b/>
          <w:bCs/>
          <w:color w:val="auto"/>
          <w:sz w:val="21"/>
          <w:szCs w:val="21"/>
          <w:highlight w:val="none"/>
        </w:rPr>
        <w:t>（四）竞争性磋商委托</w:t>
      </w:r>
    </w:p>
    <w:p w14:paraId="17B1F92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1.供应商代表是法定代表人（单位负责人、自然人本人）的，须提供本人身份证明。</w:t>
      </w:r>
    </w:p>
    <w:p w14:paraId="21B0CFB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2.供应商代表不是法定代表人（单位负责人、自然人本人）的，须提供授权委托书（格式详见磋商文件第六章）</w:t>
      </w:r>
      <w:r>
        <w:rPr>
          <w:rFonts w:hint="eastAsia"/>
          <w:color w:val="auto"/>
          <w:sz w:val="21"/>
          <w:szCs w:val="21"/>
          <w:highlight w:val="none"/>
        </w:rPr>
        <w:t>和授权代表社保缴纳证明（</w:t>
      </w:r>
      <w:r>
        <w:rPr>
          <w:rFonts w:hint="eastAsia"/>
          <w:color w:val="auto"/>
          <w:sz w:val="21"/>
          <w:szCs w:val="21"/>
          <w:highlight w:val="none"/>
          <w:lang w:eastAsia="zh-CN"/>
        </w:rPr>
        <w:t>2023年1月（含）以后任意一月</w:t>
      </w:r>
      <w:r>
        <w:rPr>
          <w:color w:val="auto"/>
          <w:sz w:val="21"/>
          <w:szCs w:val="21"/>
          <w:highlight w:val="none"/>
        </w:rPr>
        <w:t>）；</w:t>
      </w:r>
    </w:p>
    <w:p w14:paraId="171EA62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3.供应商委派不在本单位缴纳社保的人员作为授权代表的，应当在响应文件中，说明具体原因、授权代表缴纳社保的单位，并附列该授权代表缴纳社保清单。</w:t>
      </w:r>
    </w:p>
    <w:p w14:paraId="0DD92939">
      <w:pPr>
        <w:adjustRightInd w:val="0"/>
        <w:snapToGrid w:val="0"/>
        <w:spacing w:line="288" w:lineRule="auto"/>
        <w:rPr>
          <w:b/>
          <w:bCs/>
          <w:color w:val="auto"/>
          <w:sz w:val="21"/>
          <w:szCs w:val="21"/>
          <w:highlight w:val="none"/>
        </w:rPr>
      </w:pPr>
      <w:r>
        <w:rPr>
          <w:rFonts w:hint="eastAsia"/>
          <w:b/>
          <w:bCs/>
          <w:color w:val="auto"/>
          <w:sz w:val="21"/>
          <w:szCs w:val="21"/>
          <w:highlight w:val="none"/>
        </w:rPr>
        <w:t>（五）磋商费用</w:t>
      </w:r>
    </w:p>
    <w:p w14:paraId="326EB775">
      <w:pPr>
        <w:adjustRightInd w:val="0"/>
        <w:snapToGrid w:val="0"/>
        <w:spacing w:line="288" w:lineRule="auto"/>
        <w:ind w:firstLine="420" w:firstLineChars="20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1.不论投标结果如何，投标人均应自行承担所有与投标有关的全部费用；</w:t>
      </w:r>
    </w:p>
    <w:p w14:paraId="3F6E0D9A">
      <w:pPr>
        <w:adjustRightInd w:val="0"/>
        <w:snapToGrid w:val="0"/>
        <w:spacing w:line="288" w:lineRule="auto"/>
        <w:ind w:firstLine="420" w:firstLineChars="20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2.中标人在中标通知书发出之日起七个工作日内，向采购代理机构交纳代理服务费；</w:t>
      </w:r>
    </w:p>
    <w:p w14:paraId="024A0BD2">
      <w:pPr>
        <w:adjustRightInd w:val="0"/>
        <w:snapToGrid w:val="0"/>
        <w:spacing w:line="288" w:lineRule="auto"/>
        <w:ind w:firstLine="420" w:firstLineChars="20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3.采购代理服务费金额：以中标金额为计算基数，按以下标准费率计算值</w:t>
      </w:r>
      <w:r>
        <w:rPr>
          <w:rFonts w:hint="eastAsia" w:ascii="宋体" w:hAnsi="宋体" w:eastAsia="宋体" w:cs="宋体"/>
          <w:color w:val="auto"/>
          <w:sz w:val="21"/>
          <w:szCs w:val="21"/>
          <w:highlight w:val="none"/>
          <w:lang w:val="en-US" w:eastAsia="zh-CN"/>
        </w:rPr>
        <w:t>8</w:t>
      </w:r>
      <w:r>
        <w:rPr>
          <w:rFonts w:hint="default" w:ascii="宋体" w:hAnsi="宋体" w:eastAsia="宋体" w:cs="宋体"/>
          <w:color w:val="auto"/>
          <w:sz w:val="21"/>
          <w:szCs w:val="21"/>
          <w:highlight w:val="none"/>
        </w:rPr>
        <w:t>0%收取。费率标准如下：</w:t>
      </w:r>
    </w:p>
    <w:tbl>
      <w:tblPr>
        <w:tblStyle w:val="33"/>
        <w:tblW w:w="5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943"/>
      </w:tblGrid>
      <w:tr w14:paraId="0337F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943" w:type="dxa"/>
            <w:noWrap w:val="0"/>
            <w:vAlign w:val="center"/>
          </w:tcPr>
          <w:p w14:paraId="6356F5C4">
            <w:pPr>
              <w:adjustRightInd w:val="0"/>
              <w:snapToGrid w:val="0"/>
              <w:spacing w:line="288" w:lineRule="auto"/>
              <w:ind w:firstLine="420" w:firstLineChars="20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金额（万元）</w:t>
            </w:r>
          </w:p>
        </w:tc>
        <w:tc>
          <w:tcPr>
            <w:tcW w:w="2943" w:type="dxa"/>
            <w:noWrap w:val="0"/>
            <w:vAlign w:val="center"/>
          </w:tcPr>
          <w:p w14:paraId="026E5952">
            <w:pPr>
              <w:adjustRightInd w:val="0"/>
              <w:snapToGrid w:val="0"/>
              <w:spacing w:line="288" w:lineRule="auto"/>
              <w:ind w:firstLine="420" w:firstLineChars="20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费率</w:t>
            </w:r>
          </w:p>
        </w:tc>
      </w:tr>
      <w:tr w14:paraId="759DA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943" w:type="dxa"/>
            <w:noWrap w:val="0"/>
            <w:vAlign w:val="center"/>
          </w:tcPr>
          <w:p w14:paraId="3451B061">
            <w:pPr>
              <w:adjustRightInd w:val="0"/>
              <w:snapToGrid w:val="0"/>
              <w:spacing w:line="288" w:lineRule="auto"/>
              <w:ind w:firstLine="420" w:firstLineChars="20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100以下部分</w:t>
            </w:r>
          </w:p>
        </w:tc>
        <w:tc>
          <w:tcPr>
            <w:tcW w:w="2943" w:type="dxa"/>
            <w:noWrap w:val="0"/>
            <w:vAlign w:val="center"/>
          </w:tcPr>
          <w:p w14:paraId="2C814DF1">
            <w:pPr>
              <w:adjustRightInd w:val="0"/>
              <w:snapToGrid w:val="0"/>
              <w:spacing w:line="288" w:lineRule="auto"/>
              <w:ind w:firstLine="420" w:firstLineChars="20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1.5%</w:t>
            </w:r>
          </w:p>
        </w:tc>
      </w:tr>
      <w:tr w14:paraId="2CAE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943" w:type="dxa"/>
            <w:noWrap w:val="0"/>
            <w:vAlign w:val="center"/>
          </w:tcPr>
          <w:p w14:paraId="4C1BE62A">
            <w:pPr>
              <w:adjustRightInd w:val="0"/>
              <w:snapToGrid w:val="0"/>
              <w:spacing w:line="288" w:lineRule="auto"/>
              <w:ind w:firstLine="420" w:firstLineChars="20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100~500（含）之间部分</w:t>
            </w:r>
          </w:p>
        </w:tc>
        <w:tc>
          <w:tcPr>
            <w:tcW w:w="2943" w:type="dxa"/>
            <w:noWrap w:val="0"/>
            <w:vAlign w:val="center"/>
          </w:tcPr>
          <w:p w14:paraId="4EA22760">
            <w:pPr>
              <w:adjustRightInd w:val="0"/>
              <w:snapToGrid w:val="0"/>
              <w:spacing w:line="288" w:lineRule="auto"/>
              <w:ind w:firstLine="420" w:firstLineChars="20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0.8%</w:t>
            </w:r>
          </w:p>
        </w:tc>
      </w:tr>
    </w:tbl>
    <w:p w14:paraId="454BE12F">
      <w:pPr>
        <w:adjustRightInd w:val="0"/>
        <w:snapToGrid w:val="0"/>
        <w:spacing w:line="288" w:lineRule="auto"/>
        <w:ind w:firstLine="420" w:firstLineChars="20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收费计算示例：（标项中标金额150万元）</w:t>
      </w:r>
    </w:p>
    <w:p w14:paraId="0D92B7D1">
      <w:pPr>
        <w:adjustRightInd w:val="0"/>
        <w:snapToGrid w:val="0"/>
        <w:spacing w:line="288" w:lineRule="auto"/>
        <w:ind w:firstLine="420" w:firstLineChars="20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[100*1.5%+（150-100）*0.8%]*</w:t>
      </w:r>
      <w:r>
        <w:rPr>
          <w:rFonts w:hint="eastAsia" w:ascii="宋体" w:hAnsi="宋体" w:eastAsia="宋体" w:cs="宋体"/>
          <w:color w:val="auto"/>
          <w:sz w:val="21"/>
          <w:szCs w:val="21"/>
          <w:highlight w:val="none"/>
          <w:lang w:val="en-US" w:eastAsia="zh-CN"/>
        </w:rPr>
        <w:t>8</w:t>
      </w:r>
      <w:r>
        <w:rPr>
          <w:rFonts w:hint="default" w:ascii="宋体" w:hAnsi="宋体" w:eastAsia="宋体" w:cs="宋体"/>
          <w:color w:val="auto"/>
          <w:sz w:val="21"/>
          <w:szCs w:val="21"/>
          <w:highlight w:val="none"/>
        </w:rPr>
        <w:t>0%。</w:t>
      </w:r>
    </w:p>
    <w:p w14:paraId="4BD9FABE">
      <w:pPr>
        <w:adjustRightInd w:val="0"/>
        <w:snapToGrid w:val="0"/>
        <w:spacing w:line="288" w:lineRule="auto"/>
        <w:ind w:firstLine="420" w:firstLineChars="20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采购代理服务费交纳形式：汇票/支票/电汇</w:t>
      </w:r>
    </w:p>
    <w:p w14:paraId="15ECCF32">
      <w:pPr>
        <w:adjustRightInd w:val="0"/>
        <w:snapToGrid w:val="0"/>
        <w:spacing w:line="288" w:lineRule="auto"/>
        <w:ind w:firstLine="420" w:firstLineChars="20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采购代理服务费由中标人在接到中标通知书时以人民币方式向采购代理机构支付。汇入以下账户：</w:t>
      </w:r>
    </w:p>
    <w:p w14:paraId="2A97D59E">
      <w:pPr>
        <w:adjustRightInd w:val="0"/>
        <w:snapToGrid w:val="0"/>
        <w:spacing w:line="288" w:lineRule="auto"/>
        <w:ind w:firstLine="422" w:firstLineChars="200"/>
        <w:rPr>
          <w:rFonts w:hint="default" w:ascii="宋体" w:hAnsi="宋体" w:eastAsia="宋体" w:cs="宋体"/>
          <w:b/>
          <w:bCs/>
          <w:color w:val="auto"/>
          <w:sz w:val="21"/>
          <w:szCs w:val="21"/>
          <w:highlight w:val="none"/>
        </w:rPr>
      </w:pPr>
      <w:r>
        <w:rPr>
          <w:rFonts w:hint="default" w:ascii="宋体" w:hAnsi="宋体" w:eastAsia="宋体" w:cs="宋体"/>
          <w:b/>
          <w:bCs/>
          <w:color w:val="auto"/>
          <w:sz w:val="21"/>
          <w:szCs w:val="21"/>
          <w:highlight w:val="none"/>
        </w:rPr>
        <w:t>户名：建经投资咨询有限公司杭州分公司</w:t>
      </w:r>
    </w:p>
    <w:p w14:paraId="1A53F5FC">
      <w:pPr>
        <w:adjustRightInd w:val="0"/>
        <w:snapToGrid w:val="0"/>
        <w:spacing w:line="288" w:lineRule="auto"/>
        <w:ind w:firstLine="422" w:firstLineChars="200"/>
        <w:rPr>
          <w:rFonts w:hint="default" w:ascii="宋体" w:hAnsi="宋体" w:eastAsia="宋体" w:cs="宋体"/>
          <w:b/>
          <w:bCs/>
          <w:color w:val="auto"/>
          <w:sz w:val="21"/>
          <w:szCs w:val="21"/>
          <w:highlight w:val="none"/>
        </w:rPr>
      </w:pPr>
      <w:r>
        <w:rPr>
          <w:rFonts w:hint="default" w:ascii="宋体" w:hAnsi="宋体" w:eastAsia="宋体" w:cs="宋体"/>
          <w:b/>
          <w:bCs/>
          <w:color w:val="auto"/>
          <w:sz w:val="21"/>
          <w:szCs w:val="21"/>
          <w:highlight w:val="none"/>
        </w:rPr>
        <w:t>开户：杭州联合农村商业银行股份有限公司宝善支行</w:t>
      </w:r>
    </w:p>
    <w:p w14:paraId="72835437">
      <w:pPr>
        <w:adjustRightInd w:val="0"/>
        <w:snapToGrid w:val="0"/>
        <w:spacing w:line="288" w:lineRule="auto"/>
        <w:ind w:firstLine="422" w:firstLineChars="200"/>
        <w:rPr>
          <w:rFonts w:hint="default" w:ascii="宋体" w:hAnsi="宋体" w:eastAsia="宋体" w:cs="宋体"/>
          <w:b w:val="0"/>
          <w:bCs w:val="0"/>
          <w:color w:val="auto"/>
          <w:sz w:val="21"/>
          <w:szCs w:val="21"/>
          <w:highlight w:val="none"/>
        </w:rPr>
      </w:pPr>
      <w:r>
        <w:rPr>
          <w:rFonts w:hint="default" w:ascii="宋体" w:hAnsi="宋体" w:eastAsia="宋体" w:cs="宋体"/>
          <w:b/>
          <w:bCs/>
          <w:color w:val="auto"/>
          <w:sz w:val="21"/>
          <w:szCs w:val="21"/>
          <w:highlight w:val="none"/>
        </w:rPr>
        <w:t>账号：201000061231887</w:t>
      </w:r>
    </w:p>
    <w:p w14:paraId="19C1C50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lang w:val="en-US" w:eastAsia="zh-CN"/>
        </w:rPr>
        <w:t>4</w:t>
      </w:r>
      <w:r>
        <w:rPr>
          <w:rFonts w:hint="eastAsia"/>
          <w:color w:val="auto"/>
          <w:sz w:val="21"/>
          <w:szCs w:val="21"/>
          <w:highlight w:val="none"/>
        </w:rPr>
        <w:t>.磋商保证金（元）：无</w:t>
      </w:r>
    </w:p>
    <w:p w14:paraId="39AF6EE3">
      <w:pPr>
        <w:adjustRightInd w:val="0"/>
        <w:snapToGrid w:val="0"/>
        <w:spacing w:line="288" w:lineRule="auto"/>
        <w:rPr>
          <w:b/>
          <w:bCs/>
          <w:color w:val="auto"/>
          <w:sz w:val="21"/>
          <w:szCs w:val="21"/>
          <w:highlight w:val="none"/>
        </w:rPr>
      </w:pPr>
      <w:r>
        <w:rPr>
          <w:rFonts w:hint="eastAsia"/>
          <w:b/>
          <w:bCs/>
          <w:color w:val="auto"/>
          <w:sz w:val="21"/>
          <w:szCs w:val="21"/>
          <w:highlight w:val="none"/>
        </w:rPr>
        <w:t>（六）联合体响应</w:t>
      </w:r>
    </w:p>
    <w:p w14:paraId="1A3DC4C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本项目（是）接受联合体响应。</w:t>
      </w:r>
    </w:p>
    <w:p w14:paraId="4EB380C7">
      <w:pPr>
        <w:spacing w:line="288" w:lineRule="auto"/>
        <w:ind w:firstLine="420" w:firstLineChars="200"/>
        <w:rPr>
          <w:rFonts w:cs="Times New Roman"/>
          <w:color w:val="auto"/>
          <w:sz w:val="21"/>
          <w:szCs w:val="22"/>
          <w:highlight w:val="none"/>
        </w:rPr>
      </w:pPr>
      <w:bookmarkStart w:id="36" w:name="_Hlk104288918"/>
      <w:r>
        <w:rPr>
          <w:rFonts w:hint="eastAsia" w:cs="Times New Roman"/>
          <w:color w:val="auto"/>
          <w:sz w:val="21"/>
          <w:szCs w:val="22"/>
          <w:highlight w:val="none"/>
        </w:rPr>
        <w:t>两个以上的自然人、法人或者其他组织可以组成一个联合体，以一个供应商的身份共同参加政府采购。</w:t>
      </w:r>
    </w:p>
    <w:p w14:paraId="576034BF">
      <w:pPr>
        <w:adjustRightInd w:val="0"/>
        <w:snapToGrid w:val="0"/>
        <w:spacing w:line="288" w:lineRule="auto"/>
        <w:ind w:firstLine="420" w:firstLineChars="200"/>
        <w:rPr>
          <w:color w:val="auto"/>
          <w:sz w:val="21"/>
          <w:szCs w:val="21"/>
          <w:highlight w:val="none"/>
        </w:rPr>
      </w:pPr>
      <w:r>
        <w:rPr>
          <w:rFonts w:hint="eastAsia" w:cs="Times New Roman"/>
          <w:color w:val="auto"/>
          <w:sz w:val="21"/>
          <w:szCs w:val="22"/>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36"/>
    </w:p>
    <w:p w14:paraId="20D47727">
      <w:pPr>
        <w:adjustRightInd w:val="0"/>
        <w:snapToGrid w:val="0"/>
        <w:spacing w:line="288" w:lineRule="auto"/>
        <w:rPr>
          <w:b/>
          <w:bCs/>
          <w:color w:val="auto"/>
          <w:sz w:val="21"/>
          <w:szCs w:val="21"/>
          <w:highlight w:val="none"/>
        </w:rPr>
      </w:pPr>
      <w:r>
        <w:rPr>
          <w:rFonts w:hint="eastAsia"/>
          <w:b/>
          <w:bCs/>
          <w:color w:val="auto"/>
          <w:sz w:val="21"/>
          <w:szCs w:val="21"/>
          <w:highlight w:val="none"/>
        </w:rPr>
        <w:t>（七）转包与分包</w:t>
      </w:r>
    </w:p>
    <w:p w14:paraId="11EBDF0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1.本项目不允许转包；</w:t>
      </w:r>
    </w:p>
    <w:p w14:paraId="20D6AF96">
      <w:pPr>
        <w:adjustRightInd w:val="0"/>
        <w:snapToGrid w:val="0"/>
        <w:spacing w:line="288" w:lineRule="auto"/>
        <w:ind w:firstLine="420" w:firstLineChars="200"/>
        <w:rPr>
          <w:color w:val="auto"/>
          <w:sz w:val="21"/>
          <w:szCs w:val="21"/>
          <w:highlight w:val="none"/>
          <w:u w:val="single"/>
        </w:rPr>
      </w:pPr>
      <w:r>
        <w:rPr>
          <w:color w:val="auto"/>
          <w:sz w:val="21"/>
          <w:szCs w:val="21"/>
          <w:highlight w:val="none"/>
        </w:rPr>
        <w:t>2.</w:t>
      </w:r>
      <w:r>
        <w:rPr>
          <w:rFonts w:hint="eastAsia"/>
          <w:color w:val="auto"/>
          <w:sz w:val="21"/>
          <w:szCs w:val="21"/>
          <w:highlight w:val="none"/>
        </w:rPr>
        <w:t>本项目</w:t>
      </w:r>
      <w:r>
        <w:rPr>
          <w:rFonts w:hint="eastAsia"/>
          <w:b/>
          <w:bCs/>
          <w:color w:val="auto"/>
          <w:sz w:val="21"/>
          <w:szCs w:val="21"/>
          <w:highlight w:val="none"/>
          <w:u w:val="single"/>
        </w:rPr>
        <w:t>允许</w:t>
      </w:r>
      <w:r>
        <w:rPr>
          <w:rFonts w:hint="eastAsia"/>
          <w:color w:val="auto"/>
          <w:sz w:val="21"/>
          <w:szCs w:val="21"/>
          <w:highlight w:val="none"/>
        </w:rPr>
        <w:t>分包，</w:t>
      </w:r>
      <w:r>
        <w:rPr>
          <w:color w:val="auto"/>
          <w:sz w:val="21"/>
          <w:szCs w:val="21"/>
          <w:highlight w:val="none"/>
        </w:rPr>
        <w:t>可以分包履行的（非主体、非关键性的工作）具体内容、金额或者比例</w:t>
      </w:r>
      <w:r>
        <w:rPr>
          <w:rFonts w:hint="eastAsia"/>
          <w:color w:val="auto"/>
          <w:sz w:val="21"/>
          <w:szCs w:val="21"/>
          <w:highlight w:val="none"/>
        </w:rPr>
        <w:t>：</w:t>
      </w:r>
      <w:r>
        <w:rPr>
          <w:rFonts w:hint="eastAsia"/>
          <w:color w:val="auto"/>
          <w:sz w:val="21"/>
          <w:szCs w:val="21"/>
          <w:highlight w:val="none"/>
          <w:u w:val="single"/>
        </w:rPr>
        <w:t>余方外运</w:t>
      </w:r>
      <w:r>
        <w:rPr>
          <w:color w:val="auto"/>
          <w:sz w:val="21"/>
          <w:szCs w:val="21"/>
          <w:highlight w:val="none"/>
          <w:u w:val="single"/>
        </w:rPr>
        <w:t>。</w:t>
      </w:r>
    </w:p>
    <w:p w14:paraId="671AC3E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说明：供应商根据磋商文件的规定和采购项目的实际情况，拟在成交后将成交项目的非主体、非关键性工作分包的，应当在响应文件中载明分包承担主体，分包承担主体应当具备相应资质条件且不得再次分包。</w:t>
      </w:r>
    </w:p>
    <w:p w14:paraId="08D9D6BA">
      <w:pPr>
        <w:adjustRightInd w:val="0"/>
        <w:snapToGrid w:val="0"/>
        <w:spacing w:line="288" w:lineRule="auto"/>
        <w:rPr>
          <w:b/>
          <w:bCs/>
          <w:color w:val="auto"/>
          <w:sz w:val="21"/>
          <w:szCs w:val="21"/>
          <w:highlight w:val="none"/>
        </w:rPr>
      </w:pPr>
      <w:r>
        <w:rPr>
          <w:rFonts w:hint="eastAsia"/>
          <w:b/>
          <w:bCs/>
          <w:color w:val="auto"/>
          <w:sz w:val="21"/>
          <w:szCs w:val="21"/>
          <w:highlight w:val="none"/>
        </w:rPr>
        <w:t>（八）质疑和投诉</w:t>
      </w:r>
    </w:p>
    <w:p w14:paraId="280F4955">
      <w:pPr>
        <w:adjustRightInd w:val="0"/>
        <w:snapToGrid w:val="0"/>
        <w:spacing w:line="288" w:lineRule="auto"/>
        <w:ind w:firstLine="396" w:firstLineChars="200"/>
        <w:jc w:val="left"/>
        <w:rPr>
          <w:rFonts w:cs="Times New Roman"/>
          <w:color w:val="auto"/>
          <w:spacing w:val="-6"/>
          <w:sz w:val="21"/>
          <w:szCs w:val="21"/>
          <w:highlight w:val="none"/>
        </w:rPr>
      </w:pPr>
      <w:bookmarkStart w:id="37" w:name="_Hlk92273406"/>
      <w:bookmarkStart w:id="38" w:name="_Hlk71884065"/>
      <w:r>
        <w:rPr>
          <w:rFonts w:hint="eastAsia" w:cs="Times New Roman"/>
          <w:color w:val="auto"/>
          <w:spacing w:val="-6"/>
          <w:sz w:val="21"/>
          <w:szCs w:val="21"/>
          <w:highlight w:val="none"/>
        </w:rPr>
        <w:t>1</w:t>
      </w:r>
      <w:r>
        <w:rPr>
          <w:rFonts w:cs="Times New Roman"/>
          <w:color w:val="auto"/>
          <w:spacing w:val="-6"/>
          <w:sz w:val="21"/>
          <w:szCs w:val="21"/>
          <w:highlight w:val="none"/>
        </w:rPr>
        <w:t>.</w:t>
      </w:r>
      <w:r>
        <w:rPr>
          <w:rFonts w:hint="eastAsia" w:cs="Times New Roman"/>
          <w:color w:val="auto"/>
          <w:spacing w:val="-6"/>
          <w:sz w:val="21"/>
          <w:szCs w:val="21"/>
          <w:highlight w:val="none"/>
        </w:rPr>
        <w:t>供应商认为采购文件、采购过程、中标或者成交结果使自己的权益受到损害的，可以在知道或者应知其权益受到损害之日起</w:t>
      </w:r>
      <w:r>
        <w:rPr>
          <w:rFonts w:cs="Times New Roman"/>
          <w:color w:val="auto"/>
          <w:spacing w:val="-6"/>
          <w:sz w:val="21"/>
          <w:szCs w:val="21"/>
          <w:highlight w:val="none"/>
        </w:rPr>
        <w:t>7个工作日内，以书面形式向采购人、采购代理机构提出质疑。</w:t>
      </w:r>
      <w:r>
        <w:rPr>
          <w:rFonts w:hint="eastAsia" w:cs="Times New Roman"/>
          <w:color w:val="auto"/>
          <w:spacing w:val="-6"/>
          <w:sz w:val="21"/>
          <w:szCs w:val="21"/>
          <w:highlight w:val="none"/>
        </w:rPr>
        <w:t>质疑供应商对采购人、采购代理机构的答复不满意，或者采购人、采购代理机构未在规定时间内作出答复的，可以在答复期满后</w:t>
      </w:r>
      <w:r>
        <w:rPr>
          <w:rFonts w:cs="Times New Roman"/>
          <w:color w:val="auto"/>
          <w:spacing w:val="-6"/>
          <w:sz w:val="21"/>
          <w:szCs w:val="21"/>
          <w:highlight w:val="none"/>
        </w:rPr>
        <w:t>15个工作日内向</w:t>
      </w:r>
      <w:r>
        <w:rPr>
          <w:rFonts w:hint="eastAsia" w:cs="Times New Roman"/>
          <w:color w:val="auto"/>
          <w:spacing w:val="-6"/>
          <w:sz w:val="21"/>
          <w:szCs w:val="21"/>
          <w:highlight w:val="none"/>
        </w:rPr>
        <w:t>本级财政部门</w:t>
      </w:r>
      <w:r>
        <w:rPr>
          <w:rFonts w:cs="Times New Roman"/>
          <w:color w:val="auto"/>
          <w:spacing w:val="-6"/>
          <w:sz w:val="21"/>
          <w:szCs w:val="21"/>
          <w:highlight w:val="none"/>
        </w:rPr>
        <w:t>提起投诉。</w:t>
      </w:r>
      <w:bookmarkEnd w:id="37"/>
    </w:p>
    <w:p w14:paraId="6D7CF859">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2.供应商提出质疑应当提交质疑函和必要的证明材料，质疑函范本、投诉书范本请到浙江政府采购网下载专区</w:t>
      </w:r>
      <w:r>
        <w:rPr>
          <w:b/>
          <w:bCs/>
          <w:color w:val="auto"/>
          <w:sz w:val="21"/>
          <w:szCs w:val="21"/>
          <w:highlight w:val="none"/>
        </w:rPr>
        <w:t>下载。</w:t>
      </w:r>
      <w:r>
        <w:rPr>
          <w:rFonts w:hint="eastAsia"/>
          <w:b/>
          <w:bCs/>
          <w:color w:val="auto"/>
          <w:sz w:val="21"/>
          <w:szCs w:val="21"/>
          <w:highlight w:val="none"/>
        </w:rPr>
        <w:t>质疑函应当包括下列内容：</w:t>
      </w:r>
    </w:p>
    <w:p w14:paraId="6E50708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（1）供应商的姓名或者名称、地址、邮编、联系人及联系电话；</w:t>
      </w:r>
    </w:p>
    <w:p w14:paraId="1EFAEC1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（2）质疑项目的名称、编号；</w:t>
      </w:r>
    </w:p>
    <w:p w14:paraId="1B40664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（3）具体、明确的质疑事项和与质疑事项相关的请求；</w:t>
      </w:r>
    </w:p>
    <w:p w14:paraId="10A1956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（4）事实依据；</w:t>
      </w:r>
    </w:p>
    <w:p w14:paraId="21ED6CC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（5）必要的法律依据；</w:t>
      </w:r>
    </w:p>
    <w:p w14:paraId="2C73F34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（6）提出质疑的日期。</w:t>
      </w:r>
    </w:p>
    <w:p w14:paraId="7747C4F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供应商为自然人的，应当由本人签名；供应商为法人或者其他组织的，应当由法定代表人、主要负责人，或者其授权代表签名或者盖章，并加盖公章。</w:t>
      </w:r>
    </w:p>
    <w:p w14:paraId="175C85C9">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3.提出质疑的供应商应当是参与本项目磋商响应活动的供应商。</w:t>
      </w:r>
      <w:r>
        <w:rPr>
          <w:rFonts w:hint="eastAsia"/>
          <w:b/>
          <w:bCs/>
          <w:color w:val="auto"/>
          <w:sz w:val="21"/>
          <w:szCs w:val="21"/>
          <w:highlight w:val="none"/>
        </w:rPr>
        <w:t>供应商在法定质疑期内应一次性提出针对同一采购程序环节的质疑。</w:t>
      </w:r>
    </w:p>
    <w:p w14:paraId="5385374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4.根据《政府采购质疑和投诉办法》第三十七条的规定，投诉人在全国范围12个月内三次以上投诉查无实据的，由财政部门列入不良行为记录名单。</w:t>
      </w:r>
    </w:p>
    <w:p w14:paraId="38A66EA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投诉人有下列行为之一的，属于虚假、恶意投诉，由财政部门列入不良行为记录名单，禁止其1至3年内参加政府采购活动：</w:t>
      </w:r>
    </w:p>
    <w:p w14:paraId="63F061B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（1）捏造事实；</w:t>
      </w:r>
    </w:p>
    <w:p w14:paraId="17E1DA9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（2）提供虚假材料；</w:t>
      </w:r>
    </w:p>
    <w:p w14:paraId="4E8C7BC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（3）以非法手段取得证明材料。证据来源的合法性存在明显疑问，投诉人无法证明其取得方式合法的，视为以非法手段取得证明材料。</w:t>
      </w:r>
    </w:p>
    <w:bookmarkEnd w:id="38"/>
    <w:p w14:paraId="7E7614E0">
      <w:pPr>
        <w:adjustRightInd w:val="0"/>
        <w:snapToGrid w:val="0"/>
        <w:spacing w:line="288" w:lineRule="auto"/>
        <w:rPr>
          <w:b/>
          <w:color w:val="auto"/>
          <w:spacing w:val="-6"/>
          <w:kern w:val="0"/>
          <w:sz w:val="21"/>
          <w:szCs w:val="21"/>
          <w:highlight w:val="none"/>
        </w:rPr>
      </w:pPr>
      <w:bookmarkStart w:id="39" w:name="_Hlk92273111"/>
      <w:r>
        <w:rPr>
          <w:b/>
          <w:color w:val="auto"/>
          <w:spacing w:val="-6"/>
          <w:kern w:val="0"/>
          <w:sz w:val="21"/>
          <w:szCs w:val="21"/>
          <w:highlight w:val="none"/>
        </w:rPr>
        <w:t>（</w:t>
      </w:r>
      <w:r>
        <w:rPr>
          <w:rFonts w:hint="eastAsia"/>
          <w:b/>
          <w:color w:val="auto"/>
          <w:spacing w:val="-6"/>
          <w:kern w:val="0"/>
          <w:sz w:val="21"/>
          <w:szCs w:val="21"/>
          <w:highlight w:val="none"/>
        </w:rPr>
        <w:t>九</w:t>
      </w:r>
      <w:r>
        <w:rPr>
          <w:b/>
          <w:color w:val="auto"/>
          <w:spacing w:val="-6"/>
          <w:kern w:val="0"/>
          <w:sz w:val="21"/>
          <w:szCs w:val="21"/>
          <w:highlight w:val="none"/>
        </w:rPr>
        <w:t>）</w:t>
      </w:r>
      <w:r>
        <w:rPr>
          <w:rFonts w:hint="eastAsia"/>
          <w:b/>
          <w:color w:val="auto"/>
          <w:spacing w:val="-6"/>
          <w:kern w:val="0"/>
          <w:sz w:val="21"/>
          <w:szCs w:val="21"/>
          <w:highlight w:val="none"/>
        </w:rPr>
        <w:t>采购项目需要落实的政府采购政策</w:t>
      </w:r>
    </w:p>
    <w:p w14:paraId="130BD86D">
      <w:pPr>
        <w:adjustRightInd w:val="0"/>
        <w:snapToGrid w:val="0"/>
        <w:spacing w:line="288" w:lineRule="auto"/>
        <w:ind w:firstLine="398" w:firstLineChars="200"/>
        <w:jc w:val="left"/>
        <w:rPr>
          <w:rFonts w:cs="Times New Roman"/>
          <w:color w:val="auto"/>
          <w:spacing w:val="-6"/>
          <w:sz w:val="21"/>
          <w:szCs w:val="21"/>
          <w:highlight w:val="none"/>
        </w:rPr>
      </w:pPr>
      <w:r>
        <w:rPr>
          <w:rFonts w:hint="eastAsia" w:cs="Times New Roman"/>
          <w:b/>
          <w:bCs/>
          <w:color w:val="auto"/>
          <w:spacing w:val="-6"/>
          <w:sz w:val="21"/>
          <w:szCs w:val="21"/>
          <w:highlight w:val="none"/>
        </w:rPr>
        <w:t>1</w:t>
      </w:r>
      <w:r>
        <w:rPr>
          <w:rFonts w:cs="Times New Roman"/>
          <w:b/>
          <w:bCs/>
          <w:color w:val="auto"/>
          <w:spacing w:val="-6"/>
          <w:sz w:val="21"/>
          <w:szCs w:val="21"/>
          <w:highlight w:val="none"/>
        </w:rPr>
        <w:t>.</w:t>
      </w:r>
      <w:r>
        <w:rPr>
          <w:rFonts w:cs="Times New Roman"/>
          <w:color w:val="auto"/>
          <w:spacing w:val="-6"/>
          <w:sz w:val="21"/>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87A9B99">
      <w:pPr>
        <w:adjustRightInd w:val="0"/>
        <w:snapToGrid w:val="0"/>
        <w:spacing w:line="288" w:lineRule="auto"/>
        <w:ind w:firstLine="398" w:firstLineChars="200"/>
        <w:jc w:val="left"/>
        <w:rPr>
          <w:rFonts w:cs="Times New Roman"/>
          <w:b/>
          <w:bCs/>
          <w:color w:val="auto"/>
          <w:spacing w:val="-6"/>
          <w:sz w:val="21"/>
          <w:szCs w:val="21"/>
          <w:highlight w:val="none"/>
        </w:rPr>
      </w:pPr>
      <w:r>
        <w:rPr>
          <w:rFonts w:cs="Times New Roman"/>
          <w:b/>
          <w:bCs/>
          <w:color w:val="auto"/>
          <w:spacing w:val="-6"/>
          <w:sz w:val="21"/>
          <w:szCs w:val="21"/>
          <w:highlight w:val="none"/>
        </w:rPr>
        <w:t>2.支持绿色发展</w:t>
      </w:r>
    </w:p>
    <w:p w14:paraId="22B019CC">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供应商须按磋商文件要求提供相关产品认证证书。</w:t>
      </w:r>
    </w:p>
    <w:p w14:paraId="58DA5916">
      <w:pPr>
        <w:adjustRightInd w:val="0"/>
        <w:snapToGrid w:val="0"/>
        <w:spacing w:line="288" w:lineRule="auto"/>
        <w:ind w:firstLine="396" w:firstLineChars="200"/>
        <w:jc w:val="left"/>
        <w:rPr>
          <w:rFonts w:cs="Times New Roman"/>
          <w:color w:val="auto"/>
          <w:spacing w:val="-6"/>
          <w:sz w:val="21"/>
          <w:szCs w:val="21"/>
          <w:highlight w:val="none"/>
          <w:u w:val="single"/>
        </w:rPr>
      </w:pPr>
      <w:r>
        <w:rPr>
          <w:rFonts w:cs="Times New Roman"/>
          <w:color w:val="auto"/>
          <w:spacing w:val="-6"/>
          <w:sz w:val="21"/>
          <w:szCs w:val="21"/>
          <w:highlight w:val="none"/>
          <w:u w:val="single"/>
        </w:rPr>
        <w:t>▲采购人拟采购的产品属于政府强制采购的节能产品品目清单范围的，供应商未按磋商文件要求提供国家确定的认证机构出具的、有效的节能产品认证证书的，</w:t>
      </w:r>
      <w:r>
        <w:rPr>
          <w:rFonts w:hint="eastAsia" w:cs="Times New Roman"/>
          <w:color w:val="auto"/>
          <w:spacing w:val="-6"/>
          <w:sz w:val="21"/>
          <w:szCs w:val="21"/>
          <w:highlight w:val="none"/>
          <w:u w:val="single"/>
        </w:rPr>
        <w:t>响应</w:t>
      </w:r>
      <w:r>
        <w:rPr>
          <w:rFonts w:cs="Times New Roman"/>
          <w:color w:val="auto"/>
          <w:spacing w:val="-6"/>
          <w:sz w:val="21"/>
          <w:szCs w:val="21"/>
          <w:highlight w:val="none"/>
          <w:u w:val="single"/>
        </w:rPr>
        <w:t>无效。</w:t>
      </w:r>
    </w:p>
    <w:p w14:paraId="4B9880C0">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修缮、装修类项目采购建材的，采购人应将绿色建筑和绿色建材性能、指标等作为实质性条件纳入磋商文件和合同。</w:t>
      </w:r>
    </w:p>
    <w:p w14:paraId="349024D6">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8E1EC7A">
      <w:pPr>
        <w:adjustRightInd w:val="0"/>
        <w:snapToGrid w:val="0"/>
        <w:spacing w:line="288" w:lineRule="auto"/>
        <w:ind w:firstLine="398" w:firstLineChars="200"/>
        <w:jc w:val="left"/>
        <w:rPr>
          <w:rFonts w:cs="Times New Roman"/>
          <w:b/>
          <w:bCs/>
          <w:color w:val="auto"/>
          <w:spacing w:val="-6"/>
          <w:sz w:val="21"/>
          <w:szCs w:val="21"/>
          <w:highlight w:val="none"/>
        </w:rPr>
      </w:pPr>
      <w:r>
        <w:rPr>
          <w:rFonts w:cs="Times New Roman"/>
          <w:b/>
          <w:bCs/>
          <w:color w:val="auto"/>
          <w:spacing w:val="-6"/>
          <w:sz w:val="21"/>
          <w:szCs w:val="21"/>
          <w:highlight w:val="none"/>
        </w:rPr>
        <w:t>3.支持科技创新</w:t>
      </w:r>
      <w:r>
        <w:rPr>
          <w:rFonts w:hint="eastAsia" w:cs="Times New Roman"/>
          <w:b/>
          <w:bCs/>
          <w:color w:val="auto"/>
          <w:spacing w:val="-6"/>
          <w:sz w:val="21"/>
          <w:szCs w:val="21"/>
          <w:highlight w:val="none"/>
        </w:rPr>
        <w:t>（不适用）</w:t>
      </w:r>
    </w:p>
    <w:p w14:paraId="2E39C9C8">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0" w:name="_Hlk106875293"/>
    </w:p>
    <w:bookmarkEnd w:id="40"/>
    <w:p w14:paraId="79FEBFBD">
      <w:pPr>
        <w:adjustRightInd w:val="0"/>
        <w:snapToGrid w:val="0"/>
        <w:spacing w:line="288" w:lineRule="auto"/>
        <w:ind w:firstLine="398" w:firstLineChars="200"/>
        <w:jc w:val="left"/>
        <w:rPr>
          <w:rFonts w:cs="Times New Roman"/>
          <w:b/>
          <w:bCs/>
          <w:color w:val="auto"/>
          <w:spacing w:val="-6"/>
          <w:sz w:val="21"/>
          <w:szCs w:val="21"/>
          <w:highlight w:val="none"/>
        </w:rPr>
      </w:pPr>
      <w:r>
        <w:rPr>
          <w:rFonts w:cs="Times New Roman"/>
          <w:b/>
          <w:bCs/>
          <w:color w:val="auto"/>
          <w:spacing w:val="-6"/>
          <w:sz w:val="21"/>
          <w:szCs w:val="21"/>
          <w:highlight w:val="none"/>
        </w:rPr>
        <w:t>4.支持中小企业发展</w:t>
      </w:r>
    </w:p>
    <w:p w14:paraId="3D0EBDCE">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9946352">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符合中小企业划分标准的个体工商户，在政府采购活动中视同中小企业。</w:t>
      </w:r>
    </w:p>
    <w:p w14:paraId="4CB338AD">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在政府采购活动中，供应商提供的货物、工程或者服务符合下列情形的，享受中小企业扶持政策：</w:t>
      </w:r>
    </w:p>
    <w:p w14:paraId="1292104E">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08883072">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在货物采购项目中，供应商提供的货物既有中小企业制造货物，也有大型企业制造货物的，不享受中小企业扶持政策。</w:t>
      </w:r>
    </w:p>
    <w:p w14:paraId="6BB72A0D">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以联合体形式参加政府采购活动，联合体各方均为中小企业的，联合体视同中小企业。其中，联合体各方均为小微企业的，联合体视同小微企业。</w:t>
      </w:r>
    </w:p>
    <w:p w14:paraId="6CD52E1B">
      <w:pPr>
        <w:adjustRightInd w:val="0"/>
        <w:snapToGrid w:val="0"/>
        <w:spacing w:line="288" w:lineRule="auto"/>
        <w:ind w:firstLine="396" w:firstLineChars="200"/>
        <w:jc w:val="left"/>
        <w:rPr>
          <w:rFonts w:cs="Times New Roman"/>
          <w:color w:val="auto"/>
          <w:spacing w:val="-6"/>
          <w:sz w:val="21"/>
          <w:szCs w:val="21"/>
          <w:highlight w:val="none"/>
          <w:u w:val="single"/>
        </w:rPr>
      </w:pPr>
      <w:r>
        <w:rPr>
          <w:rFonts w:cs="Times New Roman"/>
          <w:color w:val="auto"/>
          <w:spacing w:val="-6"/>
          <w:sz w:val="21"/>
          <w:szCs w:val="21"/>
          <w:highlight w:val="none"/>
          <w:u w:val="single"/>
        </w:rPr>
        <w:t>符合《关于促进残疾人就业政府采购政策的通知》（财库〔2017〕141号）规定的条件并提供《残疾人福利性单位声明函》的残疾人福利性单位视同小型、微型企业；</w:t>
      </w:r>
    </w:p>
    <w:p w14:paraId="4956A58A">
      <w:pPr>
        <w:adjustRightInd w:val="0"/>
        <w:snapToGrid w:val="0"/>
        <w:spacing w:line="288" w:lineRule="auto"/>
        <w:ind w:firstLine="396" w:firstLineChars="200"/>
        <w:jc w:val="left"/>
        <w:rPr>
          <w:rFonts w:cs="Times New Roman"/>
          <w:color w:val="auto"/>
          <w:spacing w:val="-6"/>
          <w:sz w:val="21"/>
          <w:szCs w:val="21"/>
          <w:highlight w:val="none"/>
          <w:u w:val="single"/>
        </w:rPr>
      </w:pPr>
      <w:r>
        <w:rPr>
          <w:rFonts w:cs="Times New Roman"/>
          <w:color w:val="auto"/>
          <w:spacing w:val="-6"/>
          <w:sz w:val="21"/>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1C196FFC">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16E9C9A7">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中小企业享受扶持政策获得政府采购合同的，小微企业不得将合同分包给大中型企业，中型企业不得将合同分包给大型企业。</w:t>
      </w:r>
      <w:bookmarkEnd w:id="39"/>
    </w:p>
    <w:p w14:paraId="21E9BA80">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除财库</w:t>
      </w:r>
      <w:r>
        <w:rPr>
          <w:rFonts w:cs="Times New Roman"/>
          <w:color w:val="auto"/>
          <w:spacing w:val="-6"/>
          <w:sz w:val="21"/>
          <w:szCs w:val="21"/>
          <w:highlight w:val="none"/>
        </w:rPr>
        <w:t>《政府采购促进中小企业发展管理办法》</w:t>
      </w:r>
      <w:r>
        <w:rPr>
          <w:rFonts w:hint="eastAsia" w:cs="Times New Roman"/>
          <w:color w:val="auto"/>
          <w:spacing w:val="-6"/>
          <w:sz w:val="21"/>
          <w:szCs w:val="21"/>
          <w:highlight w:val="none"/>
        </w:rPr>
        <w:t>（财库〔</w:t>
      </w:r>
      <w:r>
        <w:rPr>
          <w:rFonts w:cs="Times New Roman"/>
          <w:color w:val="auto"/>
          <w:spacing w:val="-6"/>
          <w:sz w:val="21"/>
          <w:szCs w:val="21"/>
          <w:highlight w:val="none"/>
        </w:rPr>
        <w:t>2020〕46号</w:t>
      </w:r>
      <w:r>
        <w:rPr>
          <w:rFonts w:hint="eastAsia" w:cs="Times New Roman"/>
          <w:color w:val="auto"/>
          <w:spacing w:val="-6"/>
          <w:sz w:val="21"/>
          <w:szCs w:val="21"/>
          <w:highlight w:val="none"/>
        </w:rPr>
        <w:t>）、</w:t>
      </w:r>
      <w:r>
        <w:rPr>
          <w:rFonts w:cs="Times New Roman"/>
          <w:color w:val="auto"/>
          <w:spacing w:val="-6"/>
          <w:sz w:val="21"/>
          <w:szCs w:val="21"/>
          <w:highlight w:val="none"/>
        </w:rPr>
        <w:t>《关于促进残疾人就业政府采购政策的通知》（财库〔2017〕141号）</w:t>
      </w:r>
      <w:r>
        <w:rPr>
          <w:rFonts w:hint="eastAsia" w:cs="Times New Roman"/>
          <w:color w:val="auto"/>
          <w:spacing w:val="-6"/>
          <w:sz w:val="21"/>
          <w:szCs w:val="21"/>
          <w:highlight w:val="none"/>
        </w:rPr>
        <w:t>、</w:t>
      </w:r>
      <w:r>
        <w:rPr>
          <w:rFonts w:cs="Times New Roman"/>
          <w:color w:val="auto"/>
          <w:spacing w:val="-6"/>
          <w:sz w:val="21"/>
          <w:szCs w:val="21"/>
          <w:highlight w:val="none"/>
        </w:rPr>
        <w:t>《关于政府采购支持监狱企业发展有关问题的通知》（财库[2014]68号）规定企业类型以外的供应商不享受中小企业扶持政策</w:t>
      </w:r>
      <w:r>
        <w:rPr>
          <w:rFonts w:hint="eastAsia" w:cs="Times New Roman"/>
          <w:color w:val="auto"/>
          <w:spacing w:val="-6"/>
          <w:sz w:val="21"/>
          <w:szCs w:val="21"/>
          <w:highlight w:val="none"/>
        </w:rPr>
        <w:t>。</w:t>
      </w:r>
    </w:p>
    <w:p w14:paraId="1EA48822">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29074CB5">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二、磋商文件</w:t>
      </w:r>
    </w:p>
    <w:p w14:paraId="181672C1">
      <w:pPr>
        <w:adjustRightInd w:val="0"/>
        <w:snapToGrid w:val="0"/>
        <w:spacing w:line="288" w:lineRule="auto"/>
        <w:rPr>
          <w:b/>
          <w:bCs/>
          <w:color w:val="auto"/>
          <w:sz w:val="21"/>
          <w:szCs w:val="21"/>
          <w:highlight w:val="none"/>
        </w:rPr>
      </w:pPr>
      <w:r>
        <w:rPr>
          <w:rFonts w:hint="eastAsia"/>
          <w:b/>
          <w:bCs/>
          <w:color w:val="auto"/>
          <w:sz w:val="21"/>
          <w:szCs w:val="21"/>
          <w:highlight w:val="none"/>
        </w:rPr>
        <w:t>（一）磋商文件的构成</w:t>
      </w:r>
    </w:p>
    <w:p w14:paraId="303D160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本磋商文件由以下部分组成：</w:t>
      </w:r>
    </w:p>
    <w:p w14:paraId="3282E20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1.采购邀请</w:t>
      </w:r>
    </w:p>
    <w:p w14:paraId="6227394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2.采购需求</w:t>
      </w:r>
    </w:p>
    <w:p w14:paraId="15CD653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3.供应商须知</w:t>
      </w:r>
    </w:p>
    <w:p w14:paraId="03B08B3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4.评审方法和评审标准</w:t>
      </w:r>
    </w:p>
    <w:p w14:paraId="26DA1C4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5.拟签订的合同文本</w:t>
      </w:r>
    </w:p>
    <w:p w14:paraId="187B41A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6.响应文件格式</w:t>
      </w:r>
    </w:p>
    <w:p w14:paraId="4B91B10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7.本项目磋商文件的澄清、答复、修改、补充的内容</w:t>
      </w:r>
    </w:p>
    <w:p w14:paraId="2F4136D4">
      <w:pPr>
        <w:adjustRightInd w:val="0"/>
        <w:snapToGrid w:val="0"/>
        <w:spacing w:line="288" w:lineRule="auto"/>
        <w:rPr>
          <w:b/>
          <w:bCs/>
          <w:color w:val="auto"/>
          <w:sz w:val="21"/>
          <w:szCs w:val="21"/>
          <w:highlight w:val="none"/>
        </w:rPr>
      </w:pPr>
      <w:r>
        <w:rPr>
          <w:rFonts w:hint="eastAsia"/>
          <w:b/>
          <w:bCs/>
          <w:color w:val="auto"/>
          <w:sz w:val="21"/>
          <w:szCs w:val="21"/>
          <w:highlight w:val="none"/>
        </w:rPr>
        <w:t>（二）供应商的风险</w:t>
      </w:r>
    </w:p>
    <w:p w14:paraId="73E1425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供应商没有按照磋商文件要求提供全部资料，或者供应商没有对磋商文件在各方面作出实质性响应是供应商的风险，并可能导致其响应被拒绝。</w:t>
      </w:r>
    </w:p>
    <w:p w14:paraId="23BA45CB">
      <w:pPr>
        <w:adjustRightInd w:val="0"/>
        <w:snapToGrid w:val="0"/>
        <w:spacing w:line="288" w:lineRule="auto"/>
        <w:rPr>
          <w:b/>
          <w:bCs/>
          <w:color w:val="auto"/>
          <w:sz w:val="21"/>
          <w:szCs w:val="21"/>
          <w:highlight w:val="none"/>
        </w:rPr>
      </w:pPr>
      <w:r>
        <w:rPr>
          <w:rFonts w:hint="eastAsia"/>
          <w:b/>
          <w:bCs/>
          <w:color w:val="auto"/>
          <w:sz w:val="21"/>
          <w:szCs w:val="21"/>
          <w:highlight w:val="none"/>
        </w:rPr>
        <w:t>（三）磋商文件的澄清与修改</w:t>
      </w:r>
    </w:p>
    <w:p w14:paraId="3C1435E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1.提交首次响应文件截止之日前，采购人、采购代理机构可以对已发出的磋商文件进行必要的澄清或者修改，澄清或者修改的内容作为磋商文件的组成部分。</w:t>
      </w:r>
    </w:p>
    <w:p w14:paraId="6E65428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3DB6EE5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14:paraId="2DE1843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14:paraId="3F996C2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4.磋商文件的澄清、答复、修改或补充都应该通过本采购代理机构以法定形式发布，采购人非通过本机构，不得擅自澄清、答复、修改或补充磋商文件。</w:t>
      </w:r>
    </w:p>
    <w:p w14:paraId="7BD6BC8D">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780C69C0">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三、响应文件的编制</w:t>
      </w:r>
    </w:p>
    <w:p w14:paraId="0F41E6C2">
      <w:pPr>
        <w:adjustRightInd w:val="0"/>
        <w:snapToGrid w:val="0"/>
        <w:spacing w:line="288" w:lineRule="auto"/>
        <w:rPr>
          <w:b/>
          <w:bCs/>
          <w:color w:val="auto"/>
          <w:sz w:val="21"/>
          <w:szCs w:val="21"/>
          <w:highlight w:val="none"/>
        </w:rPr>
      </w:pPr>
      <w:r>
        <w:rPr>
          <w:rFonts w:hint="eastAsia"/>
          <w:b/>
          <w:bCs/>
          <w:color w:val="auto"/>
          <w:sz w:val="21"/>
          <w:szCs w:val="21"/>
          <w:highlight w:val="none"/>
        </w:rPr>
        <w:t>（一）响应文件的组成</w:t>
      </w:r>
    </w:p>
    <w:p w14:paraId="6E3E6BA1">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响应文件（电子加密响应文件）由</w:t>
      </w:r>
      <w:r>
        <w:rPr>
          <w:rFonts w:hint="eastAsia" w:cs="Times New Roman"/>
          <w:b/>
          <w:color w:val="auto"/>
          <w:spacing w:val="-6"/>
          <w:sz w:val="21"/>
          <w:szCs w:val="21"/>
          <w:highlight w:val="none"/>
        </w:rPr>
        <w:t>资格文件、报价文件、商务和技术文件三部分</w:t>
      </w:r>
      <w:r>
        <w:rPr>
          <w:rFonts w:hint="eastAsia" w:cs="Times New Roman"/>
          <w:bCs/>
          <w:color w:val="auto"/>
          <w:spacing w:val="-6"/>
          <w:sz w:val="21"/>
          <w:szCs w:val="21"/>
          <w:highlight w:val="none"/>
        </w:rPr>
        <w:t>组成（格式详见磋商文件第六章）。供应商应将响应文件各部分</w:t>
      </w:r>
      <w:r>
        <w:rPr>
          <w:rFonts w:hint="eastAsia" w:cs="Times New Roman"/>
          <w:b/>
          <w:color w:val="auto"/>
          <w:spacing w:val="-6"/>
          <w:sz w:val="21"/>
          <w:szCs w:val="21"/>
          <w:highlight w:val="none"/>
        </w:rPr>
        <w:t>分别上传</w:t>
      </w:r>
      <w:r>
        <w:rPr>
          <w:rFonts w:hint="eastAsia" w:cs="Times New Roman"/>
          <w:bCs/>
          <w:color w:val="auto"/>
          <w:spacing w:val="-6"/>
          <w:sz w:val="21"/>
          <w:szCs w:val="21"/>
          <w:highlight w:val="none"/>
        </w:rPr>
        <w:t>至政府采购云平台指定位置。</w:t>
      </w:r>
    </w:p>
    <w:p w14:paraId="6BB3E071">
      <w:pPr>
        <w:adjustRightInd w:val="0"/>
        <w:snapToGrid w:val="0"/>
        <w:spacing w:line="288" w:lineRule="auto"/>
        <w:ind w:firstLine="396" w:firstLineChars="200"/>
        <w:jc w:val="left"/>
        <w:rPr>
          <w:rFonts w:cs="Times New Roman"/>
          <w:color w:val="auto"/>
          <w:spacing w:val="-6"/>
          <w:sz w:val="21"/>
          <w:szCs w:val="21"/>
          <w:highlight w:val="none"/>
        </w:rPr>
      </w:pPr>
      <w:bookmarkStart w:id="41" w:name="_Hlk97039967"/>
      <w:r>
        <w:rPr>
          <w:rFonts w:hint="eastAsia" w:cs="Times New Roman"/>
          <w:color w:val="auto"/>
          <w:spacing w:val="-6"/>
          <w:sz w:val="21"/>
          <w:szCs w:val="21"/>
          <w:highlight w:val="none"/>
        </w:rPr>
        <w:t>响应文件组成：详见“第六章</w:t>
      </w:r>
      <w:r>
        <w:rPr>
          <w:rFonts w:cs="Times New Roman"/>
          <w:color w:val="auto"/>
          <w:spacing w:val="-6"/>
          <w:sz w:val="21"/>
          <w:szCs w:val="21"/>
          <w:highlight w:val="none"/>
        </w:rPr>
        <w:t xml:space="preserve">  </w:t>
      </w:r>
      <w:r>
        <w:rPr>
          <w:rFonts w:hint="eastAsia" w:cs="Times New Roman"/>
          <w:color w:val="auto"/>
          <w:spacing w:val="-6"/>
          <w:sz w:val="21"/>
          <w:szCs w:val="21"/>
          <w:highlight w:val="none"/>
        </w:rPr>
        <w:t>响应</w:t>
      </w:r>
      <w:r>
        <w:rPr>
          <w:rFonts w:cs="Times New Roman"/>
          <w:color w:val="auto"/>
          <w:spacing w:val="-6"/>
          <w:sz w:val="21"/>
          <w:szCs w:val="21"/>
          <w:highlight w:val="none"/>
        </w:rPr>
        <w:t>文件格式</w:t>
      </w:r>
      <w:r>
        <w:rPr>
          <w:rFonts w:hint="eastAsia" w:cs="Times New Roman"/>
          <w:color w:val="auto"/>
          <w:spacing w:val="-6"/>
          <w:sz w:val="21"/>
          <w:szCs w:val="21"/>
          <w:highlight w:val="none"/>
        </w:rPr>
        <w:t>”目录</w:t>
      </w:r>
    </w:p>
    <w:bookmarkEnd w:id="41"/>
    <w:p w14:paraId="6EB6510D">
      <w:pPr>
        <w:adjustRightInd w:val="0"/>
        <w:snapToGrid w:val="0"/>
        <w:spacing w:line="288" w:lineRule="auto"/>
        <w:rPr>
          <w:b/>
          <w:bCs/>
          <w:color w:val="auto"/>
          <w:sz w:val="21"/>
          <w:szCs w:val="21"/>
          <w:highlight w:val="none"/>
        </w:rPr>
      </w:pPr>
      <w:r>
        <w:rPr>
          <w:rFonts w:hint="eastAsia"/>
          <w:b/>
          <w:bCs/>
          <w:color w:val="auto"/>
          <w:sz w:val="21"/>
          <w:szCs w:val="21"/>
          <w:highlight w:val="none"/>
        </w:rPr>
        <w:t>（二）响应文件的签署和份数</w:t>
      </w:r>
    </w:p>
    <w:p w14:paraId="63503F4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1897913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2.响应文件须由供应商在规定位置加盖公章</w:t>
      </w:r>
      <w:bookmarkStart w:id="42" w:name="_Hlk96329193"/>
      <w:r>
        <w:rPr>
          <w:rFonts w:hint="eastAsia"/>
          <w:color w:val="auto"/>
          <w:sz w:val="21"/>
          <w:szCs w:val="21"/>
          <w:highlight w:val="none"/>
        </w:rPr>
        <w:t>，供应商应写全称。</w:t>
      </w:r>
      <w:bookmarkEnd w:id="42"/>
    </w:p>
    <w:p w14:paraId="09AB5E8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3.响应文件不得涂改，若有修改错漏处，须由供应商加盖公章，或者由供应商代表签名。响应文件因字迹潦草或表达不清所引起的后果由供应商负责。</w:t>
      </w:r>
    </w:p>
    <w:p w14:paraId="0E5514B8">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4.响应文件份数：</w:t>
      </w:r>
    </w:p>
    <w:p w14:paraId="71087D81">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w:t>
      </w:r>
      <w:r>
        <w:rPr>
          <w:rFonts w:hint="eastAsia"/>
          <w:b/>
          <w:bCs/>
          <w:color w:val="auto"/>
          <w:sz w:val="21"/>
          <w:szCs w:val="21"/>
          <w:highlight w:val="none"/>
          <w:lang w:eastAsia="zh-CN"/>
        </w:rPr>
        <w:t>杭州建国北路586号嘉联华铭座6楼603室</w:t>
      </w:r>
      <w:r>
        <w:rPr>
          <w:rFonts w:hint="eastAsia"/>
          <w:b/>
          <w:bCs/>
          <w:color w:val="auto"/>
          <w:sz w:val="21"/>
          <w:szCs w:val="21"/>
          <w:highlight w:val="none"/>
        </w:rPr>
        <w:t>，</w:t>
      </w:r>
      <w:r>
        <w:rPr>
          <w:rFonts w:hint="eastAsia"/>
          <w:b/>
          <w:bCs/>
          <w:color w:val="auto"/>
          <w:sz w:val="21"/>
          <w:szCs w:val="21"/>
          <w:highlight w:val="none"/>
          <w:lang w:eastAsia="zh-CN"/>
        </w:rPr>
        <w:t>建经投资咨询有限公司</w:t>
      </w:r>
      <w:r>
        <w:rPr>
          <w:rFonts w:hint="eastAsia"/>
          <w:b/>
          <w:bCs/>
          <w:color w:val="auto"/>
          <w:sz w:val="21"/>
          <w:szCs w:val="21"/>
          <w:highlight w:val="none"/>
        </w:rPr>
        <w:t>（</w:t>
      </w:r>
      <w:r>
        <w:rPr>
          <w:rFonts w:hint="eastAsia"/>
          <w:b/>
          <w:bCs/>
          <w:color w:val="auto"/>
          <w:sz w:val="21"/>
          <w:szCs w:val="21"/>
          <w:highlight w:val="none"/>
          <w:lang w:eastAsia="zh-CN"/>
        </w:rPr>
        <w:t>陆伟</w:t>
      </w:r>
      <w:r>
        <w:rPr>
          <w:rFonts w:hint="eastAsia"/>
          <w:b/>
          <w:bCs/>
          <w:color w:val="auto"/>
          <w:sz w:val="21"/>
          <w:szCs w:val="21"/>
          <w:highlight w:val="none"/>
        </w:rPr>
        <w:t>）收，电话：</w:t>
      </w:r>
      <w:r>
        <w:rPr>
          <w:rFonts w:hint="eastAsia"/>
          <w:b/>
          <w:bCs/>
          <w:color w:val="auto"/>
          <w:sz w:val="21"/>
          <w:szCs w:val="21"/>
          <w:highlight w:val="none"/>
          <w:lang w:eastAsia="zh-CN"/>
        </w:rPr>
        <w:t>18800200063</w:t>
      </w:r>
      <w:r>
        <w:rPr>
          <w:rFonts w:hint="eastAsia"/>
          <w:b/>
          <w:bCs/>
          <w:color w:val="auto"/>
          <w:sz w:val="21"/>
          <w:szCs w:val="21"/>
          <w:highlight w:val="none"/>
        </w:rPr>
        <w:t>，寄出后将（快递单号、项目名称、公司名称、联系方式等相关信息）发至：</w:t>
      </w:r>
      <w:r>
        <w:rPr>
          <w:rFonts w:hint="eastAsia"/>
          <w:b/>
          <w:bCs/>
          <w:color w:val="auto"/>
          <w:sz w:val="21"/>
          <w:szCs w:val="21"/>
          <w:highlight w:val="none"/>
          <w:lang w:eastAsia="zh-CN"/>
        </w:rPr>
        <w:t>jjtz01@126.com</w:t>
      </w:r>
      <w:r>
        <w:rPr>
          <w:rFonts w:hint="eastAsia"/>
          <w:b/>
          <w:bCs/>
          <w:color w:val="auto"/>
          <w:sz w:val="21"/>
          <w:szCs w:val="21"/>
          <w:highlight w:val="none"/>
        </w:rPr>
        <w:t>，以便查收）。</w:t>
      </w:r>
    </w:p>
    <w:p w14:paraId="6DC3B393">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特别说明：双休日和法定节假日不收件，供应商自行承担邮寄风险。</w:t>
      </w:r>
    </w:p>
    <w:p w14:paraId="07CCF608">
      <w:pPr>
        <w:adjustRightInd w:val="0"/>
        <w:snapToGrid w:val="0"/>
        <w:spacing w:line="288" w:lineRule="auto"/>
        <w:rPr>
          <w:b/>
          <w:bCs/>
          <w:color w:val="auto"/>
          <w:sz w:val="21"/>
          <w:szCs w:val="21"/>
          <w:highlight w:val="none"/>
        </w:rPr>
      </w:pPr>
      <w:r>
        <w:rPr>
          <w:rFonts w:hint="eastAsia"/>
          <w:b/>
          <w:bCs/>
          <w:color w:val="auto"/>
          <w:sz w:val="21"/>
          <w:szCs w:val="21"/>
          <w:highlight w:val="none"/>
        </w:rPr>
        <w:t>（三）响应文件的上传、递交、修改和撤回</w:t>
      </w:r>
    </w:p>
    <w:p w14:paraId="5D074C7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1.响应文件的上传、递交：</w:t>
      </w:r>
    </w:p>
    <w:p w14:paraId="7C0DA74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（1）电子加密响应文件的上传：</w:t>
      </w:r>
    </w:p>
    <w:p w14:paraId="32D8440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▲a.供应商应在响应文件提交截止时间前将电子加密响应文件成功上传至政府采购云平台，否则响应无效；</w:t>
      </w:r>
    </w:p>
    <w:p w14:paraId="2DB5F77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b.电子加密响应文件成功上传后，供应商可自行打印响应文件接收回执。</w:t>
      </w:r>
    </w:p>
    <w:p w14:paraId="38E44C6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（2）备份响应文件的密封包装、递交：</w:t>
      </w:r>
    </w:p>
    <w:p w14:paraId="2954DF8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a.供应商在政府采购云平台完成电子加密响应文件的上传后，可以EMS或顺丰邮寄形式在响应文件提交截止时间前递交以介质（U盘）存储的数据电文形式的备份响应文件；</w:t>
      </w:r>
    </w:p>
    <w:p w14:paraId="380FB6B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b.备份响应文件应当密封包装并在包装上标注响应项目名称、供应商名称并加盖公章（非电子签章），供应商逾期送达或者未密封包装的备份响应文件采购代理机构将予以拒收；</w:t>
      </w:r>
    </w:p>
    <w:p w14:paraId="4DE0D28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▲c.通过政府采购云平台成功上传的电子加密响应文件已按时解密的，备份响应文件自动失效。</w:t>
      </w:r>
    </w:p>
    <w:p w14:paraId="44F8AB21">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▲d.供应商仅递交备份响应文件而未将电子加密响应文件成功上传至政府采购云平台的，响应无效。</w:t>
      </w:r>
    </w:p>
    <w:p w14:paraId="12C9EC0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6770969E">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供应商</w:t>
      </w:r>
      <w:r>
        <w:rPr>
          <w:color w:val="auto"/>
          <w:sz w:val="21"/>
          <w:szCs w:val="21"/>
          <w:highlight w:val="none"/>
        </w:rPr>
        <w:t>因未在线参加开标而导致电子加密</w:t>
      </w:r>
      <w:r>
        <w:rPr>
          <w:rFonts w:hint="eastAsia"/>
          <w:color w:val="auto"/>
          <w:sz w:val="21"/>
          <w:szCs w:val="21"/>
          <w:highlight w:val="none"/>
        </w:rPr>
        <w:t>响应</w:t>
      </w:r>
      <w:r>
        <w:rPr>
          <w:color w:val="auto"/>
          <w:sz w:val="21"/>
          <w:szCs w:val="21"/>
          <w:highlight w:val="none"/>
        </w:rPr>
        <w:t>文件无法按时解密等一切后果由</w:t>
      </w:r>
      <w:r>
        <w:rPr>
          <w:rFonts w:hint="eastAsia"/>
          <w:color w:val="auto"/>
          <w:sz w:val="21"/>
          <w:szCs w:val="21"/>
          <w:highlight w:val="none"/>
        </w:rPr>
        <w:t>供应商</w:t>
      </w:r>
      <w:r>
        <w:rPr>
          <w:color w:val="auto"/>
          <w:sz w:val="21"/>
          <w:szCs w:val="21"/>
          <w:highlight w:val="none"/>
        </w:rPr>
        <w:t>自行承担。</w:t>
      </w:r>
    </w:p>
    <w:p w14:paraId="654F0F93">
      <w:pPr>
        <w:adjustRightInd w:val="0"/>
        <w:snapToGrid w:val="0"/>
        <w:spacing w:line="288" w:lineRule="auto"/>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供应商</w:t>
      </w:r>
      <w:r>
        <w:rPr>
          <w:color w:val="auto"/>
          <w:sz w:val="21"/>
          <w:szCs w:val="21"/>
          <w:highlight w:val="none"/>
        </w:rPr>
        <w:t>应按照</w:t>
      </w:r>
      <w:r>
        <w:rPr>
          <w:rFonts w:hint="eastAsia"/>
          <w:color w:val="auto"/>
          <w:sz w:val="21"/>
          <w:szCs w:val="21"/>
          <w:highlight w:val="none"/>
        </w:rPr>
        <w:t>磋商</w:t>
      </w:r>
      <w:r>
        <w:rPr>
          <w:color w:val="auto"/>
          <w:sz w:val="21"/>
          <w:szCs w:val="21"/>
          <w:highlight w:val="none"/>
        </w:rPr>
        <w:t>文件和政府采购云平台的要求，根据</w:t>
      </w:r>
      <w:r>
        <w:rPr>
          <w:rFonts w:hint="eastAsia"/>
          <w:color w:val="auto"/>
          <w:sz w:val="21"/>
          <w:szCs w:val="21"/>
          <w:highlight w:val="none"/>
        </w:rPr>
        <w:t>响应</w:t>
      </w:r>
      <w:r>
        <w:rPr>
          <w:color w:val="auto"/>
          <w:sz w:val="21"/>
          <w:szCs w:val="21"/>
          <w:highlight w:val="none"/>
        </w:rPr>
        <w:t>文件的组成规定的内容及顺序通过政采云电子交易客户端（政采云响应客户端）编制加密</w:t>
      </w:r>
      <w:r>
        <w:rPr>
          <w:rFonts w:hint="eastAsia"/>
          <w:color w:val="auto"/>
          <w:sz w:val="21"/>
          <w:szCs w:val="21"/>
          <w:highlight w:val="none"/>
        </w:rPr>
        <w:t>响应</w:t>
      </w:r>
      <w:r>
        <w:rPr>
          <w:color w:val="auto"/>
          <w:sz w:val="21"/>
          <w:szCs w:val="21"/>
          <w:highlight w:val="none"/>
        </w:rPr>
        <w:t>文件。</w:t>
      </w:r>
    </w:p>
    <w:p w14:paraId="251574FD">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备注：</w:t>
      </w:r>
    </w:p>
    <w:p w14:paraId="4335C7AE">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供应商可通过浙江省“电子交易/不见面开评标”学习专题提前进行专题学习，熟悉操作，避免影响采购活动（https://edu.zcygov.cn/luban/e-biding）。</w:t>
      </w:r>
    </w:p>
    <w:p w14:paraId="013A39C7">
      <w:pPr>
        <w:adjustRightInd w:val="0"/>
        <w:snapToGrid w:val="0"/>
        <w:spacing w:line="288" w:lineRule="auto"/>
        <w:rPr>
          <w:b/>
          <w:bCs/>
          <w:color w:val="auto"/>
          <w:sz w:val="21"/>
          <w:szCs w:val="21"/>
          <w:highlight w:val="none"/>
        </w:rPr>
      </w:pPr>
      <w:r>
        <w:rPr>
          <w:rFonts w:hint="eastAsia"/>
          <w:b/>
          <w:bCs/>
          <w:color w:val="auto"/>
          <w:sz w:val="21"/>
          <w:szCs w:val="21"/>
          <w:highlight w:val="none"/>
        </w:rPr>
        <w:t>（四）响应文件的语言及计量</w:t>
      </w:r>
    </w:p>
    <w:p w14:paraId="31C7396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42F2AB91">
      <w:pPr>
        <w:adjustRightInd w:val="0"/>
        <w:snapToGrid w:val="0"/>
        <w:spacing w:line="288" w:lineRule="auto"/>
        <w:rPr>
          <w:b/>
          <w:bCs/>
          <w:color w:val="auto"/>
          <w:sz w:val="21"/>
          <w:szCs w:val="21"/>
          <w:highlight w:val="none"/>
        </w:rPr>
      </w:pPr>
      <w:r>
        <w:rPr>
          <w:rFonts w:hint="eastAsia"/>
          <w:b/>
          <w:bCs/>
          <w:color w:val="auto"/>
          <w:sz w:val="21"/>
          <w:szCs w:val="21"/>
          <w:highlight w:val="none"/>
        </w:rPr>
        <w:t>（五）磋商报价</w:t>
      </w:r>
    </w:p>
    <w:p w14:paraId="72ACBC04">
      <w:pPr>
        <w:adjustRightInd w:val="0"/>
        <w:snapToGrid w:val="0"/>
        <w:spacing w:line="288" w:lineRule="auto"/>
        <w:ind w:firstLine="420" w:firstLineChars="200"/>
        <w:rPr>
          <w:color w:val="auto"/>
          <w:sz w:val="21"/>
          <w:szCs w:val="21"/>
          <w:highlight w:val="none"/>
        </w:rPr>
      </w:pPr>
      <w:r>
        <w:rPr>
          <w:color w:val="auto"/>
          <w:sz w:val="21"/>
          <w:szCs w:val="21"/>
          <w:highlight w:val="none"/>
        </w:rPr>
        <w:t>1.报价应按磋商文件要求的格式编制、填写报价内容（可自行增行），未按磋商文件要求编制、填写的响应文件可能被拒绝；</w:t>
      </w:r>
    </w:p>
    <w:p w14:paraId="67B5E1FB">
      <w:pPr>
        <w:adjustRightInd w:val="0"/>
        <w:snapToGrid w:val="0"/>
        <w:spacing w:line="288" w:lineRule="auto"/>
        <w:ind w:firstLine="420" w:firstLineChars="200"/>
        <w:rPr>
          <w:color w:val="auto"/>
          <w:sz w:val="21"/>
          <w:szCs w:val="21"/>
          <w:highlight w:val="none"/>
        </w:rPr>
      </w:pPr>
      <w:r>
        <w:rPr>
          <w:color w:val="auto"/>
          <w:sz w:val="21"/>
          <w:szCs w:val="21"/>
          <w:highlight w:val="none"/>
        </w:rPr>
        <w:t>2.本次磋商采用人民币报价；</w:t>
      </w:r>
    </w:p>
    <w:p w14:paraId="47AB5631">
      <w:pPr>
        <w:adjustRightInd w:val="0"/>
        <w:snapToGrid w:val="0"/>
        <w:spacing w:line="288" w:lineRule="auto"/>
        <w:ind w:firstLine="420" w:firstLineChars="200"/>
        <w:rPr>
          <w:color w:val="auto"/>
          <w:sz w:val="21"/>
          <w:szCs w:val="21"/>
          <w:highlight w:val="none"/>
        </w:rPr>
      </w:pPr>
      <w:r>
        <w:rPr>
          <w:color w:val="auto"/>
          <w:sz w:val="21"/>
          <w:szCs w:val="21"/>
          <w:highlight w:val="none"/>
        </w:rPr>
        <w:t>3.最后磋商报价是履行合同的最终价格，</w:t>
      </w:r>
      <w:r>
        <w:rPr>
          <w:rFonts w:hint="eastAsia"/>
          <w:color w:val="auto"/>
          <w:sz w:val="21"/>
          <w:szCs w:val="21"/>
          <w:highlight w:val="none"/>
        </w:rPr>
        <w:t>有关本项目实施所涉及的一切费用均计入报价</w:t>
      </w:r>
      <w:r>
        <w:rPr>
          <w:color w:val="auto"/>
          <w:sz w:val="21"/>
          <w:szCs w:val="21"/>
          <w:highlight w:val="none"/>
        </w:rPr>
        <w:t>。</w:t>
      </w:r>
    </w:p>
    <w:p w14:paraId="131660E2">
      <w:pPr>
        <w:adjustRightInd w:val="0"/>
        <w:snapToGrid w:val="0"/>
        <w:spacing w:line="288" w:lineRule="auto"/>
        <w:ind w:firstLine="420" w:firstLineChars="200"/>
        <w:jc w:val="left"/>
        <w:rPr>
          <w:rFonts w:cs="Times New Roman"/>
          <w:color w:val="auto"/>
          <w:sz w:val="21"/>
          <w:szCs w:val="21"/>
          <w:highlight w:val="none"/>
        </w:rPr>
      </w:pPr>
      <w:r>
        <w:rPr>
          <w:rFonts w:hint="eastAsia"/>
          <w:color w:val="auto"/>
          <w:sz w:val="21"/>
          <w:szCs w:val="21"/>
          <w:highlight w:val="none"/>
        </w:rPr>
        <w:t>▲</w:t>
      </w:r>
      <w:r>
        <w:rPr>
          <w:color w:val="auto"/>
          <w:sz w:val="21"/>
          <w:szCs w:val="21"/>
          <w:highlight w:val="none"/>
        </w:rPr>
        <w:t>4.采购人将以合同形式有偿取得货物或服务，不接受供应商给予的赠品、回扣或者与采购无关的其他商品、服务，不得出现“0元”“免费赠送”等形式的无偿报价，否则视为响应文件含有采购人不能接受的附加条件的，响应无效。</w:t>
      </w:r>
    </w:p>
    <w:p w14:paraId="5C8F71BA">
      <w:pPr>
        <w:adjustRightInd w:val="0"/>
        <w:snapToGrid w:val="0"/>
        <w:spacing w:line="288" w:lineRule="auto"/>
        <w:rPr>
          <w:b/>
          <w:bCs/>
          <w:color w:val="auto"/>
          <w:sz w:val="21"/>
          <w:szCs w:val="21"/>
          <w:highlight w:val="none"/>
        </w:rPr>
      </w:pPr>
      <w:r>
        <w:rPr>
          <w:rFonts w:hint="eastAsia"/>
          <w:b/>
          <w:bCs/>
          <w:color w:val="auto"/>
          <w:sz w:val="21"/>
          <w:szCs w:val="21"/>
          <w:highlight w:val="none"/>
        </w:rPr>
        <w:t>（六）响应有效期</w:t>
      </w:r>
    </w:p>
    <w:p w14:paraId="060ACC2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p w14:paraId="6747D1DB">
      <w:pPr>
        <w:widowControl/>
        <w:adjustRightInd w:val="0"/>
        <w:snapToGrid w:val="0"/>
        <w:spacing w:line="288" w:lineRule="auto"/>
        <w:jc w:val="left"/>
        <w:rPr>
          <w:b/>
          <w:bCs/>
          <w:color w:val="auto"/>
          <w:sz w:val="21"/>
          <w:szCs w:val="21"/>
          <w:highlight w:val="none"/>
        </w:rPr>
      </w:pPr>
      <w:r>
        <w:rPr>
          <w:b/>
          <w:bCs/>
          <w:color w:val="auto"/>
          <w:sz w:val="21"/>
          <w:szCs w:val="21"/>
          <w:highlight w:val="none"/>
        </w:rPr>
        <w:br w:type="page"/>
      </w:r>
    </w:p>
    <w:p w14:paraId="494AB3E5">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四、响应无效的情形</w:t>
      </w:r>
    </w:p>
    <w:p w14:paraId="51E44343">
      <w:pPr>
        <w:adjustRightInd w:val="0"/>
        <w:snapToGrid w:val="0"/>
        <w:spacing w:line="288" w:lineRule="auto"/>
        <w:ind w:firstLine="420" w:firstLineChars="200"/>
        <w:rPr>
          <w:color w:val="auto"/>
          <w:sz w:val="21"/>
          <w:szCs w:val="21"/>
          <w:highlight w:val="none"/>
        </w:rPr>
      </w:pPr>
      <w:bookmarkStart w:id="43" w:name="_Hlk97039899"/>
      <w:r>
        <w:rPr>
          <w:rFonts w:hint="eastAsia"/>
          <w:color w:val="auto"/>
          <w:sz w:val="21"/>
          <w:szCs w:val="21"/>
          <w:highlight w:val="none"/>
        </w:rPr>
        <w:t>未响应磋商文件“▲”标记条款要求的，响应无效。</w:t>
      </w:r>
    </w:p>
    <w:bookmarkEnd w:id="43"/>
    <w:p w14:paraId="3CF550D5">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1.在资格审查时，如发现下列情形之一的，响应文件将被视为无效：</w:t>
      </w:r>
    </w:p>
    <w:p w14:paraId="2A2AE00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（1）资格证明材料不全的，或者不符合磋商文件要求的；</w:t>
      </w:r>
    </w:p>
    <w:p w14:paraId="49E0846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）供应商不具备磋商文件中规定的资格要求的；</w:t>
      </w:r>
    </w:p>
    <w:p w14:paraId="4543DE19">
      <w:pPr>
        <w:adjustRightInd w:val="0"/>
        <w:snapToGrid w:val="0"/>
        <w:spacing w:line="288" w:lineRule="auto"/>
        <w:ind w:firstLine="420" w:firstLineChars="200"/>
        <w:rPr>
          <w:color w:val="auto"/>
          <w:sz w:val="21"/>
          <w:szCs w:val="21"/>
          <w:highlight w:val="none"/>
        </w:rPr>
      </w:pPr>
      <w:bookmarkStart w:id="44" w:name="_Hlk97039841"/>
      <w:r>
        <w:rPr>
          <w:rFonts w:hint="eastAsia"/>
          <w:color w:val="auto"/>
          <w:sz w:val="21"/>
          <w:szCs w:val="21"/>
          <w:highlight w:val="none"/>
        </w:rPr>
        <w:t>（3）资格文件未按要求签署、盖章的。</w:t>
      </w:r>
    </w:p>
    <w:p w14:paraId="57AC42E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的。</w:t>
      </w:r>
    </w:p>
    <w:bookmarkEnd w:id="44"/>
    <w:p w14:paraId="068F0E8E">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2.在符合性审查、商务和技术评审时，如发现下列情形之一的，响应文件将被视为无效：</w:t>
      </w:r>
    </w:p>
    <w:p w14:paraId="392E1C60">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（1）商务和技术文件未按要求签署、盖章的；</w:t>
      </w:r>
    </w:p>
    <w:p w14:paraId="390370F5">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（2）未提供或未按要求提供响应函、授权委托书、项目经理无在建工程声明函；</w:t>
      </w:r>
    </w:p>
    <w:p w14:paraId="541137ED">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（3）</w:t>
      </w:r>
      <w:r>
        <w:rPr>
          <w:color w:val="auto"/>
          <w:sz w:val="21"/>
          <w:szCs w:val="21"/>
          <w:highlight w:val="none"/>
        </w:rPr>
        <w:t>委托授权代表参加</w:t>
      </w:r>
      <w:r>
        <w:rPr>
          <w:rFonts w:hint="eastAsia"/>
          <w:color w:val="auto"/>
          <w:sz w:val="21"/>
          <w:szCs w:val="21"/>
          <w:highlight w:val="none"/>
        </w:rPr>
        <w:t>采购活动</w:t>
      </w:r>
      <w:r>
        <w:rPr>
          <w:color w:val="auto"/>
          <w:sz w:val="21"/>
          <w:szCs w:val="21"/>
          <w:highlight w:val="none"/>
        </w:rPr>
        <w:t>但未提供符合要求的授权代表社保缴纳证明</w:t>
      </w:r>
      <w:r>
        <w:rPr>
          <w:rFonts w:hint="eastAsia"/>
          <w:color w:val="auto"/>
          <w:sz w:val="21"/>
          <w:szCs w:val="21"/>
          <w:highlight w:val="none"/>
        </w:rPr>
        <w:t>；</w:t>
      </w:r>
    </w:p>
    <w:p w14:paraId="339B5F88">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（4）未提供或未如实提供采购需求偏离表的；</w:t>
      </w:r>
    </w:p>
    <w:p w14:paraId="6AACB57A">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（5）明显不符合磋商文件要求，</w:t>
      </w:r>
      <w:r>
        <w:rPr>
          <w:rFonts w:hint="eastAsia"/>
          <w:color w:val="auto"/>
          <w:spacing w:val="-6"/>
          <w:sz w:val="21"/>
          <w:szCs w:val="21"/>
          <w:highlight w:val="none"/>
        </w:rPr>
        <w:t>视为采购人不能接受的附加条件；</w:t>
      </w:r>
    </w:p>
    <w:p w14:paraId="7EBAF7B0">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6</w:t>
      </w:r>
      <w:r>
        <w:rPr>
          <w:rFonts w:hint="eastAsia"/>
          <w:color w:val="auto"/>
          <w:sz w:val="21"/>
          <w:szCs w:val="21"/>
          <w:highlight w:val="none"/>
        </w:rPr>
        <w:t>）响应技术方案不明确，存在一个或一个以上备选（替代）响应方案的；</w:t>
      </w:r>
    </w:p>
    <w:p w14:paraId="65BD0A21">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7</w:t>
      </w:r>
      <w:r>
        <w:rPr>
          <w:rFonts w:hint="eastAsia"/>
          <w:color w:val="auto"/>
          <w:sz w:val="21"/>
          <w:szCs w:val="21"/>
          <w:highlight w:val="none"/>
        </w:rPr>
        <w:t>）响应文件含有采购人不能接受的附加条件的；</w:t>
      </w:r>
    </w:p>
    <w:p w14:paraId="203A831C">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8</w:t>
      </w:r>
      <w:r>
        <w:rPr>
          <w:rFonts w:hint="eastAsia"/>
          <w:color w:val="auto"/>
          <w:sz w:val="21"/>
          <w:szCs w:val="21"/>
          <w:highlight w:val="none"/>
        </w:rPr>
        <w:t>）法律、法规和磋商文件规定的其他无效情形。</w:t>
      </w:r>
    </w:p>
    <w:p w14:paraId="7FC48AF5">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3.在报价评审时，如发现下列情形之一的，响应文件将被视为无效：（响应报价评审是指对响应方的工程量清单的范围、数量、报价进行全面审核和对比分析。重点列出投标报价相对于法律法规和采购文件的重大偏差和有无严重的不平衡报价，通过质询、判断作出书面评审意见。）</w:t>
      </w:r>
    </w:p>
    <w:p w14:paraId="3213C547">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（1）最后报价超过磋商文件中规定的预算金额或最高限价的；</w:t>
      </w:r>
    </w:p>
    <w:p w14:paraId="3B83FA6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（2）最后报价具有选择性的。</w:t>
      </w:r>
    </w:p>
    <w:p w14:paraId="512A117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color w:val="auto"/>
          <w:sz w:val="21"/>
          <w:szCs w:val="21"/>
          <w:highlight w:val="none"/>
        </w:rPr>
        <w:t>报价文件</w:t>
      </w:r>
      <w:r>
        <w:rPr>
          <w:color w:val="auto"/>
          <w:sz w:val="21"/>
          <w:szCs w:val="21"/>
          <w:highlight w:val="none"/>
        </w:rPr>
        <w:t>没有编制人员签字、盖章的，或盖章无效的，或存在弄虚作假情况的；</w:t>
      </w:r>
    </w:p>
    <w:p w14:paraId="55EBF59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4）改变竞争性磋商文件提供的工程量清单（项目编码、计量单位、工程数量、项目特征描述等）的；</w:t>
      </w:r>
    </w:p>
    <w:p w14:paraId="58397E0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5）</w:t>
      </w:r>
      <w:r>
        <w:rPr>
          <w:rFonts w:hint="eastAsia"/>
          <w:color w:val="auto"/>
          <w:sz w:val="21"/>
          <w:szCs w:val="21"/>
          <w:highlight w:val="none"/>
        </w:rPr>
        <w:t>供应商</w:t>
      </w:r>
      <w:r>
        <w:rPr>
          <w:color w:val="auto"/>
          <w:sz w:val="21"/>
          <w:szCs w:val="21"/>
          <w:highlight w:val="none"/>
        </w:rPr>
        <w:t>拒绝按磋商小组要求提供报价分析说明和证明材料的；</w:t>
      </w:r>
    </w:p>
    <w:p w14:paraId="30A4495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6）工程量清单报价与工、料、机报价及对应的报价分析不相符的，或与本项目的施工组织设计及施工方案明显不匹配的，经磋商小组书面质询，</w:t>
      </w:r>
      <w:r>
        <w:rPr>
          <w:rFonts w:hint="eastAsia"/>
          <w:color w:val="auto"/>
          <w:sz w:val="21"/>
          <w:szCs w:val="21"/>
          <w:highlight w:val="none"/>
        </w:rPr>
        <w:t>供应商</w:t>
      </w:r>
      <w:r>
        <w:rPr>
          <w:color w:val="auto"/>
          <w:sz w:val="21"/>
          <w:szCs w:val="21"/>
          <w:highlight w:val="none"/>
        </w:rPr>
        <w:t>不能说明理由或磋商小组认定其理由不成立的；</w:t>
      </w:r>
    </w:p>
    <w:p w14:paraId="299DE83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7）当磋商小组发现其错误达到或超过原总报价0.5%时,将认定其响应文件质量较差,其错误不予修正,作</w:t>
      </w:r>
      <w:r>
        <w:rPr>
          <w:rFonts w:hint="eastAsia"/>
          <w:color w:val="auto"/>
          <w:sz w:val="21"/>
          <w:szCs w:val="21"/>
          <w:highlight w:val="none"/>
        </w:rPr>
        <w:t>响应文件无效</w:t>
      </w:r>
      <w:r>
        <w:rPr>
          <w:color w:val="auto"/>
          <w:sz w:val="21"/>
          <w:szCs w:val="21"/>
          <w:highlight w:val="none"/>
        </w:rPr>
        <w:t>处理；</w:t>
      </w:r>
    </w:p>
    <w:p w14:paraId="29E36C5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8）供应商根据国家法律法规及自身缴纳规费的实际情况，自主确定其投标费率，但在规费政策平稳过渡期内不得低于标准费率的30%；</w:t>
      </w:r>
    </w:p>
    <w:p w14:paraId="14C0FD7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9）法律、法规、规章及现行招投标管理规定必须</w:t>
      </w:r>
      <w:r>
        <w:rPr>
          <w:rFonts w:hint="eastAsia"/>
          <w:color w:val="auto"/>
          <w:sz w:val="21"/>
          <w:szCs w:val="21"/>
          <w:highlight w:val="none"/>
        </w:rPr>
        <w:t>无效</w:t>
      </w:r>
      <w:r>
        <w:rPr>
          <w:color w:val="auto"/>
          <w:sz w:val="21"/>
          <w:szCs w:val="21"/>
          <w:highlight w:val="none"/>
        </w:rPr>
        <w:t>的。</w:t>
      </w:r>
    </w:p>
    <w:p w14:paraId="4AC84AE5">
      <w:pPr>
        <w:widowControl/>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00EE016C">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4.有下列情形之一的，视为供应商串通，其响应无效：</w:t>
      </w:r>
    </w:p>
    <w:p w14:paraId="45B931A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（1）不同供应商的响应文件由同一单位或者个人编制；</w:t>
      </w:r>
    </w:p>
    <w:p w14:paraId="6CB1931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（2）不同供应商委托同一单位或者个人办理磋商事宜；</w:t>
      </w:r>
    </w:p>
    <w:p w14:paraId="736538C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（3）不同供应商的响应文件载明的项目管理成员或者联系人员为同一人；</w:t>
      </w:r>
    </w:p>
    <w:p w14:paraId="0D40906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（4）不同供应商的响应文件异常一致或者最后报价呈规律性差异；</w:t>
      </w:r>
    </w:p>
    <w:p w14:paraId="00F06C0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（5）不同供应商的响应文件相互混装。</w:t>
      </w:r>
      <w:r>
        <w:rPr>
          <w:rFonts w:hint="eastAsia"/>
          <w:color w:val="auto"/>
          <w:sz w:val="21"/>
          <w:szCs w:val="21"/>
          <w:highlight w:val="none"/>
        </w:rPr>
        <w:br w:type="page"/>
      </w:r>
    </w:p>
    <w:p w14:paraId="226C18C3">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五、响应文件开启</w:t>
      </w:r>
    </w:p>
    <w:p w14:paraId="27FEC5BD">
      <w:pPr>
        <w:autoSpaceDE w:val="0"/>
        <w:autoSpaceDN w:val="0"/>
        <w:adjustRightInd w:val="0"/>
        <w:snapToGrid w:val="0"/>
        <w:spacing w:line="288" w:lineRule="auto"/>
        <w:ind w:firstLine="422" w:firstLineChars="201"/>
        <w:rPr>
          <w:rFonts w:cs="仿宋_GB2312"/>
          <w:color w:val="auto"/>
          <w:kern w:val="0"/>
          <w:sz w:val="21"/>
          <w:szCs w:val="21"/>
          <w:highlight w:val="none"/>
        </w:rPr>
      </w:pPr>
      <w:r>
        <w:rPr>
          <w:rFonts w:cs="仿宋_GB2312"/>
          <w:color w:val="auto"/>
          <w:kern w:val="0"/>
          <w:sz w:val="21"/>
          <w:szCs w:val="21"/>
          <w:highlight w:val="none"/>
        </w:rPr>
        <w:t>采购</w:t>
      </w:r>
      <w:r>
        <w:rPr>
          <w:rFonts w:hint="eastAsia" w:cs="仿宋_GB2312"/>
          <w:color w:val="auto"/>
          <w:kern w:val="0"/>
          <w:sz w:val="21"/>
          <w:szCs w:val="21"/>
          <w:highlight w:val="none"/>
        </w:rPr>
        <w:t>代理</w:t>
      </w:r>
      <w:r>
        <w:rPr>
          <w:rFonts w:cs="仿宋_GB2312"/>
          <w:color w:val="auto"/>
          <w:kern w:val="0"/>
          <w:sz w:val="21"/>
          <w:szCs w:val="21"/>
          <w:highlight w:val="none"/>
        </w:rPr>
        <w:t>机构按照磋商文件规定的时间通过电子交易平台组织开启，所有供应商均应当准时在线参加。供应商不足3家的，不得开启。</w:t>
      </w:r>
    </w:p>
    <w:p w14:paraId="73F49AEB">
      <w:pPr>
        <w:autoSpaceDE w:val="0"/>
        <w:autoSpaceDN w:val="0"/>
        <w:adjustRightInd w:val="0"/>
        <w:snapToGrid w:val="0"/>
        <w:spacing w:line="288" w:lineRule="auto"/>
        <w:ind w:firstLine="422" w:firstLineChars="201"/>
        <w:rPr>
          <w:rFonts w:cs="仿宋_GB2312"/>
          <w:color w:val="auto"/>
          <w:kern w:val="0"/>
          <w:sz w:val="21"/>
          <w:szCs w:val="21"/>
          <w:highlight w:val="none"/>
        </w:rPr>
      </w:pPr>
      <w:r>
        <w:rPr>
          <w:rFonts w:cs="仿宋_GB2312"/>
          <w:color w:val="auto"/>
          <w:kern w:val="0"/>
          <w:sz w:val="21"/>
          <w:szCs w:val="21"/>
          <w:highlight w:val="none"/>
        </w:rPr>
        <w:t>开启时，电子交易平台按开启时间自动提取所有响应文件。</w:t>
      </w:r>
      <w:r>
        <w:rPr>
          <w:rFonts w:hint="eastAsia" w:cs="仿宋_GB2312"/>
          <w:color w:val="auto"/>
          <w:kern w:val="0"/>
          <w:sz w:val="21"/>
          <w:szCs w:val="21"/>
          <w:highlight w:val="none"/>
        </w:rPr>
        <w:t>采购人或代理</w:t>
      </w:r>
      <w:r>
        <w:rPr>
          <w:rFonts w:cs="仿宋_GB2312"/>
          <w:color w:val="auto"/>
          <w:kern w:val="0"/>
          <w:sz w:val="21"/>
          <w:szCs w:val="21"/>
          <w:highlight w:val="none"/>
        </w:rPr>
        <w:t>机构依托电子交易平台发起开始解密指令，供应商按照平台提示和磋商文件的规定在半小时内完成在线解密。</w:t>
      </w:r>
    </w:p>
    <w:p w14:paraId="09E814DC">
      <w:pPr>
        <w:adjustRightInd w:val="0"/>
        <w:snapToGrid w:val="0"/>
        <w:spacing w:line="288" w:lineRule="auto"/>
        <w:ind w:firstLine="422" w:firstLineChars="200"/>
        <w:rPr>
          <w:rFonts w:cs="仿宋_GB2312"/>
          <w:b/>
          <w:color w:val="auto"/>
          <w:sz w:val="21"/>
          <w:szCs w:val="21"/>
          <w:highlight w:val="none"/>
        </w:rPr>
      </w:pPr>
      <w:r>
        <w:rPr>
          <w:rFonts w:hint="eastAsia" w:cs="仿宋_GB2312"/>
          <w:b/>
          <w:color w:val="auto"/>
          <w:sz w:val="21"/>
          <w:szCs w:val="21"/>
          <w:highlight w:val="none"/>
        </w:rPr>
        <w:t>响应文件未按时解密，供应商提供了备份响应文件的，以备份响应文件作为依据，否则视为响应文件撤回。响应文件已按时解密的，备份响应文件自动失效。</w:t>
      </w:r>
    </w:p>
    <w:p w14:paraId="2774F1F2">
      <w:pPr>
        <w:adjustRightInd w:val="0"/>
        <w:snapToGrid w:val="0"/>
        <w:spacing w:line="288" w:lineRule="auto"/>
        <w:ind w:firstLine="398" w:firstLineChars="200"/>
        <w:rPr>
          <w:rFonts w:cs="Times New Roman"/>
          <w:b/>
          <w:bCs/>
          <w:color w:val="auto"/>
          <w:spacing w:val="-6"/>
          <w:sz w:val="21"/>
          <w:szCs w:val="21"/>
          <w:highlight w:val="none"/>
        </w:rPr>
      </w:pPr>
    </w:p>
    <w:p w14:paraId="4C72A954">
      <w:pPr>
        <w:adjustRightInd w:val="0"/>
        <w:snapToGrid w:val="0"/>
        <w:spacing w:line="288" w:lineRule="auto"/>
        <w:ind w:firstLine="398" w:firstLineChars="200"/>
        <w:rPr>
          <w:rFonts w:cs="Times New Roman"/>
          <w:b/>
          <w:bCs/>
          <w:color w:val="auto"/>
          <w:spacing w:val="-6"/>
          <w:sz w:val="21"/>
          <w:szCs w:val="21"/>
          <w:highlight w:val="none"/>
        </w:rPr>
      </w:pPr>
      <w:r>
        <w:rPr>
          <w:rFonts w:hint="eastAsia" w:cs="Times New Roman"/>
          <w:b/>
          <w:bCs/>
          <w:color w:val="auto"/>
          <w:spacing w:val="-6"/>
          <w:sz w:val="21"/>
          <w:szCs w:val="21"/>
          <w:highlight w:val="none"/>
        </w:rPr>
        <w:t>特别说明：如遇政府采购云平台电子化开启或评审程序调整的，按调整后程序执行。</w:t>
      </w:r>
    </w:p>
    <w:p w14:paraId="65D6E23E">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7FB23F7C">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六、评审程序</w:t>
      </w:r>
    </w:p>
    <w:p w14:paraId="743A6584">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7F556153">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磋商文件内容违反国家有关强制性规定的，磋商小组应当停止评审并向采购人或者采购代理机构说明情况。</w:t>
      </w:r>
    </w:p>
    <w:p w14:paraId="0983AE68">
      <w:pPr>
        <w:widowControl/>
        <w:adjustRightInd w:val="0"/>
        <w:snapToGrid w:val="0"/>
        <w:spacing w:line="288" w:lineRule="auto"/>
        <w:ind w:firstLine="424" w:firstLineChars="201"/>
        <w:jc w:val="left"/>
        <w:rPr>
          <w:rFonts w:cs="仿宋_GB2312"/>
          <w:b/>
          <w:color w:val="auto"/>
          <w:sz w:val="21"/>
          <w:szCs w:val="21"/>
          <w:highlight w:val="none"/>
        </w:rPr>
      </w:pPr>
      <w:r>
        <w:rPr>
          <w:rFonts w:hint="eastAsia" w:cs="仿宋_GB2312"/>
          <w:b/>
          <w:color w:val="auto"/>
          <w:sz w:val="21"/>
          <w:szCs w:val="21"/>
          <w:highlight w:val="none"/>
        </w:rPr>
        <w:t>（一）</w:t>
      </w:r>
      <w:r>
        <w:rPr>
          <w:rFonts w:cs="仿宋_GB2312"/>
          <w:b/>
          <w:color w:val="auto"/>
          <w:sz w:val="21"/>
          <w:szCs w:val="21"/>
          <w:highlight w:val="none"/>
        </w:rPr>
        <w:t>资格审查</w:t>
      </w:r>
    </w:p>
    <w:p w14:paraId="1BC68BFF">
      <w:pPr>
        <w:adjustRightInd w:val="0"/>
        <w:snapToGrid w:val="0"/>
        <w:spacing w:line="288" w:lineRule="auto"/>
        <w:ind w:firstLine="422" w:firstLineChars="201"/>
        <w:rPr>
          <w:rFonts w:cs="仿宋_GB2312"/>
          <w:color w:val="auto"/>
          <w:sz w:val="21"/>
          <w:szCs w:val="21"/>
          <w:highlight w:val="none"/>
        </w:rPr>
      </w:pPr>
      <w:r>
        <w:rPr>
          <w:rFonts w:cs="Arial"/>
          <w:color w:val="auto"/>
          <w:kern w:val="0"/>
          <w:sz w:val="21"/>
          <w:szCs w:val="21"/>
          <w:highlight w:val="none"/>
        </w:rPr>
        <w:t>开启后，</w:t>
      </w:r>
      <w:r>
        <w:rPr>
          <w:rFonts w:hint="eastAsia" w:cs="仿宋_GB2312"/>
          <w:color w:val="auto"/>
          <w:sz w:val="21"/>
          <w:szCs w:val="21"/>
          <w:highlight w:val="none"/>
        </w:rPr>
        <w:t>磋商小组依据法律法规和磋商文件的规定，对供应商的资格条件进行审查。</w:t>
      </w:r>
    </w:p>
    <w:p w14:paraId="2AF582AA">
      <w:pPr>
        <w:adjustRightInd w:val="0"/>
        <w:snapToGrid w:val="0"/>
        <w:spacing w:line="288" w:lineRule="auto"/>
        <w:ind w:firstLine="422" w:firstLineChars="201"/>
        <w:rPr>
          <w:rFonts w:cs="仿宋_GB2312"/>
          <w:color w:val="auto"/>
          <w:sz w:val="21"/>
          <w:szCs w:val="21"/>
          <w:highlight w:val="none"/>
        </w:rPr>
      </w:pPr>
      <w:r>
        <w:rPr>
          <w:rFonts w:cs="仿宋_GB2312"/>
          <w:color w:val="auto"/>
          <w:sz w:val="21"/>
          <w:szCs w:val="21"/>
          <w:highlight w:val="none"/>
        </w:rPr>
        <w:t>对未通过资格审查的供应商，</w:t>
      </w:r>
      <w:r>
        <w:rPr>
          <w:rFonts w:hint="eastAsia" w:cs="仿宋_GB2312"/>
          <w:color w:val="auto"/>
          <w:sz w:val="21"/>
          <w:szCs w:val="21"/>
          <w:highlight w:val="none"/>
        </w:rPr>
        <w:t>磋商小组</w:t>
      </w:r>
      <w:r>
        <w:rPr>
          <w:rFonts w:cs="仿宋_GB2312"/>
          <w:color w:val="auto"/>
          <w:sz w:val="21"/>
          <w:szCs w:val="21"/>
          <w:highlight w:val="none"/>
        </w:rPr>
        <w:t>告知其未通过的原因。</w:t>
      </w:r>
    </w:p>
    <w:p w14:paraId="27A2831C">
      <w:pPr>
        <w:adjustRightInd w:val="0"/>
        <w:snapToGrid w:val="0"/>
        <w:spacing w:line="288" w:lineRule="auto"/>
        <w:ind w:firstLine="422" w:firstLineChars="201"/>
        <w:rPr>
          <w:rFonts w:cs="仿宋_GB2312"/>
          <w:color w:val="auto"/>
          <w:sz w:val="21"/>
          <w:szCs w:val="21"/>
          <w:highlight w:val="none"/>
        </w:rPr>
      </w:pPr>
      <w:r>
        <w:rPr>
          <w:rFonts w:cs="仿宋_GB2312"/>
          <w:color w:val="auto"/>
          <w:sz w:val="21"/>
          <w:szCs w:val="21"/>
          <w:highlight w:val="none"/>
        </w:rPr>
        <w:t>通过资格审查的供应商不足3家的，不再</w:t>
      </w:r>
      <w:r>
        <w:rPr>
          <w:rFonts w:hint="eastAsia" w:cs="仿宋_GB2312"/>
          <w:color w:val="auto"/>
          <w:sz w:val="21"/>
          <w:szCs w:val="21"/>
          <w:highlight w:val="none"/>
        </w:rPr>
        <w:t>评审</w:t>
      </w:r>
      <w:r>
        <w:rPr>
          <w:rFonts w:cs="仿宋_GB2312"/>
          <w:color w:val="auto"/>
          <w:sz w:val="21"/>
          <w:szCs w:val="21"/>
          <w:highlight w:val="none"/>
        </w:rPr>
        <w:t>。</w:t>
      </w:r>
    </w:p>
    <w:p w14:paraId="208C8A5D">
      <w:pPr>
        <w:adjustRightInd w:val="0"/>
        <w:snapToGrid w:val="0"/>
        <w:spacing w:line="288" w:lineRule="auto"/>
        <w:ind w:firstLine="424" w:firstLineChars="201"/>
        <w:rPr>
          <w:rFonts w:cs="仿宋_GB2312"/>
          <w:b/>
          <w:color w:val="auto"/>
          <w:sz w:val="21"/>
          <w:szCs w:val="21"/>
          <w:highlight w:val="none"/>
        </w:rPr>
      </w:pPr>
      <w:r>
        <w:rPr>
          <w:rFonts w:hint="eastAsia" w:cs="仿宋_GB2312"/>
          <w:b/>
          <w:color w:val="auto"/>
          <w:sz w:val="21"/>
          <w:szCs w:val="21"/>
          <w:highlight w:val="none"/>
        </w:rPr>
        <w:t>（二）</w:t>
      </w:r>
      <w:r>
        <w:rPr>
          <w:rFonts w:cs="仿宋_GB2312"/>
          <w:b/>
          <w:color w:val="auto"/>
          <w:sz w:val="21"/>
          <w:szCs w:val="21"/>
          <w:highlight w:val="none"/>
        </w:rPr>
        <w:t>信用信息查询</w:t>
      </w:r>
    </w:p>
    <w:p w14:paraId="4AA4C64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根据财库</w:t>
      </w:r>
      <w:r>
        <w:rPr>
          <w:color w:val="auto"/>
          <w:sz w:val="21"/>
          <w:szCs w:val="21"/>
          <w:highlight w:val="none"/>
        </w:rPr>
        <w:t>[2016]125号《关于在政府采购活动中查询及使用信用记录有关问题的通知》要求，采购代理机构会对供应商信用记录进行查询并甄别。信用信息查询的截止时点：响应截止时间；</w:t>
      </w:r>
    </w:p>
    <w:p w14:paraId="2E58AB3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）查询渠道：“信用中国”（www.creditchina.gov.cn）、“中国政府采购网”（www.ccgp.gov.cn）；</w:t>
      </w:r>
    </w:p>
    <w:p w14:paraId="1AACAFF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）信用信息查询记录和证据留存具体方式：采购代理机构经办人和监督人员将查询网页打印、签名与其他采购文件一并保存；</w:t>
      </w:r>
    </w:p>
    <w:p w14:paraId="6DE6D0BF">
      <w:pPr>
        <w:adjustRightInd w:val="0"/>
        <w:snapToGrid w:val="0"/>
        <w:spacing w:line="288" w:lineRule="auto"/>
        <w:ind w:firstLine="422" w:firstLineChars="201"/>
        <w:rPr>
          <w:bCs/>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bCs/>
          <w:color w:val="auto"/>
          <w:sz w:val="21"/>
          <w:szCs w:val="21"/>
          <w:highlight w:val="none"/>
        </w:rPr>
        <w:t>）信用信息的使用规则：供应商被列入失信被执行人、重大税收违法案件当事人名单、政府采购严重违法失信行为记录名单的，拒绝其参与政府采购活动。</w:t>
      </w:r>
    </w:p>
    <w:p w14:paraId="4AE31690">
      <w:pPr>
        <w:adjustRightInd w:val="0"/>
        <w:snapToGrid w:val="0"/>
        <w:spacing w:line="288" w:lineRule="auto"/>
        <w:ind w:firstLine="422" w:firstLineChars="201"/>
        <w:rPr>
          <w:color w:val="auto"/>
          <w:kern w:val="0"/>
          <w:sz w:val="21"/>
          <w:szCs w:val="21"/>
          <w:highlight w:val="none"/>
        </w:rPr>
      </w:pPr>
      <w:r>
        <w:rPr>
          <w:rFonts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color w:val="auto"/>
          <w:sz w:val="21"/>
          <w:szCs w:val="21"/>
          <w:highlight w:val="none"/>
        </w:rPr>
        <w:t>。</w:t>
      </w:r>
    </w:p>
    <w:p w14:paraId="04E570CD">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（三）</w:t>
      </w:r>
      <w:r>
        <w:rPr>
          <w:rFonts w:cs="Arial"/>
          <w:b/>
          <w:color w:val="auto"/>
          <w:kern w:val="0"/>
          <w:sz w:val="21"/>
          <w:szCs w:val="21"/>
          <w:highlight w:val="none"/>
        </w:rPr>
        <w:t>符合性审查</w:t>
      </w:r>
    </w:p>
    <w:p w14:paraId="71251DD2">
      <w:pPr>
        <w:adjustRightInd w:val="0"/>
        <w:snapToGrid w:val="0"/>
        <w:spacing w:line="288" w:lineRule="auto"/>
        <w:ind w:firstLine="424" w:firstLineChars="202"/>
        <w:rPr>
          <w:rFonts w:cs="Arial"/>
          <w:color w:val="auto"/>
          <w:kern w:val="0"/>
          <w:sz w:val="21"/>
          <w:szCs w:val="21"/>
          <w:highlight w:val="none"/>
        </w:rPr>
      </w:pPr>
      <w:r>
        <w:rPr>
          <w:rFonts w:cs="Arial"/>
          <w:color w:val="auto"/>
          <w:kern w:val="0"/>
          <w:sz w:val="21"/>
          <w:szCs w:val="21"/>
          <w:highlight w:val="none"/>
        </w:rPr>
        <w:t>磋商小组对符合资格的</w:t>
      </w:r>
      <w:r>
        <w:rPr>
          <w:rFonts w:hint="eastAsia" w:cs="Arial"/>
          <w:color w:val="auto"/>
          <w:kern w:val="0"/>
          <w:sz w:val="21"/>
          <w:szCs w:val="21"/>
          <w:highlight w:val="none"/>
        </w:rPr>
        <w:t>供应商</w:t>
      </w:r>
      <w:r>
        <w:rPr>
          <w:rFonts w:cs="Arial"/>
          <w:color w:val="auto"/>
          <w:kern w:val="0"/>
          <w:sz w:val="21"/>
          <w:szCs w:val="21"/>
          <w:highlight w:val="none"/>
        </w:rPr>
        <w:t>的</w:t>
      </w:r>
      <w:r>
        <w:rPr>
          <w:rFonts w:hint="eastAsia" w:cs="Arial"/>
          <w:color w:val="auto"/>
          <w:kern w:val="0"/>
          <w:sz w:val="21"/>
          <w:szCs w:val="21"/>
          <w:highlight w:val="none"/>
        </w:rPr>
        <w:t>响应</w:t>
      </w:r>
      <w:r>
        <w:rPr>
          <w:rFonts w:cs="Arial"/>
          <w:color w:val="auto"/>
          <w:kern w:val="0"/>
          <w:sz w:val="21"/>
          <w:szCs w:val="21"/>
          <w:highlight w:val="none"/>
        </w:rPr>
        <w:t>文件进行符合性审查，以确定其是否满足磋商文件的实质性要求。</w:t>
      </w:r>
    </w:p>
    <w:p w14:paraId="37F5E7B8">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（四）磋商</w:t>
      </w:r>
    </w:p>
    <w:p w14:paraId="6FC73D01">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磋商小组所有成员应当集中与单一供应商分别进行磋商，并给予所有参加磋商的供应商平等的磋商机会。</w:t>
      </w:r>
    </w:p>
    <w:p w14:paraId="497C5449">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41BA575A">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对磋商文件作出的实质性变动是磋商文件的有效组成部分，磋商小组</w:t>
      </w:r>
      <w:r>
        <w:rPr>
          <w:rFonts w:hint="eastAsia"/>
          <w:color w:val="auto"/>
          <w:kern w:val="0"/>
          <w:sz w:val="21"/>
          <w:szCs w:val="21"/>
          <w:highlight w:val="none"/>
        </w:rPr>
        <w:t>通过政府采购云平台</w:t>
      </w:r>
      <w:r>
        <w:rPr>
          <w:rFonts w:hint="eastAsia" w:cs="Arial"/>
          <w:color w:val="auto"/>
          <w:kern w:val="0"/>
          <w:sz w:val="21"/>
          <w:szCs w:val="21"/>
          <w:highlight w:val="none"/>
        </w:rPr>
        <w:t>以书面形式同时通知所有参加磋商的供应商。</w:t>
      </w:r>
    </w:p>
    <w:p w14:paraId="24B5E194">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供应商应当按照磋商文件的变动情况和磋商小组的要求</w:t>
      </w:r>
      <w:r>
        <w:rPr>
          <w:rFonts w:hint="eastAsia"/>
          <w:color w:val="auto"/>
          <w:kern w:val="0"/>
          <w:sz w:val="21"/>
          <w:szCs w:val="21"/>
          <w:highlight w:val="none"/>
        </w:rPr>
        <w:t>通过政府采购云平台</w:t>
      </w:r>
      <w:r>
        <w:rPr>
          <w:rFonts w:hint="eastAsia" w:cs="Arial"/>
          <w:color w:val="auto"/>
          <w:kern w:val="0"/>
          <w:sz w:val="21"/>
          <w:szCs w:val="21"/>
          <w:highlight w:val="none"/>
        </w:rPr>
        <w:t>提交磋商记录，并由供应商代表签名或者加盖公章。</w:t>
      </w:r>
    </w:p>
    <w:p w14:paraId="709BA1FC">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供应商的磋商内容无法通过政府采购云平台上传的，可在规定时间内（不少于半小时）通过指定的电子邮箱（</w:t>
      </w:r>
      <w:r>
        <w:rPr>
          <w:rFonts w:hint="eastAsia"/>
          <w:color w:val="auto"/>
          <w:kern w:val="0"/>
          <w:sz w:val="21"/>
          <w:szCs w:val="21"/>
          <w:highlight w:val="none"/>
          <w:lang w:eastAsia="zh-CN"/>
        </w:rPr>
        <w:t>jjtz01@126.com</w:t>
      </w:r>
      <w:r>
        <w:rPr>
          <w:color w:val="auto"/>
          <w:kern w:val="0"/>
          <w:sz w:val="21"/>
          <w:szCs w:val="21"/>
          <w:highlight w:val="none"/>
        </w:rPr>
        <w:t>）提交。</w:t>
      </w:r>
    </w:p>
    <w:p w14:paraId="1DA23BBB">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（五）最后报价</w:t>
      </w:r>
    </w:p>
    <w:p w14:paraId="73DA4015">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w:t>
      </w:r>
      <w:r>
        <w:rPr>
          <w:rFonts w:cs="Arial"/>
          <w:color w:val="auto"/>
          <w:kern w:val="0"/>
          <w:sz w:val="21"/>
          <w:szCs w:val="21"/>
          <w:highlight w:val="none"/>
        </w:rPr>
        <w:t>3家。</w:t>
      </w:r>
    </w:p>
    <w:p w14:paraId="16D96CF4">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磋商文件不能详细列明采购标的的技术、服务要求，需经磋商由供应商提供最终设计方案或解决方案的，磋商结束后，磋商小组应当按照少数服从多数的原则投票推荐</w:t>
      </w:r>
      <w:r>
        <w:rPr>
          <w:rFonts w:cs="Arial"/>
          <w:color w:val="auto"/>
          <w:kern w:val="0"/>
          <w:sz w:val="21"/>
          <w:szCs w:val="21"/>
          <w:highlight w:val="none"/>
        </w:rPr>
        <w:t>3家以上供应商的设计方案或者解决方案，并要求其在规定时间内提交最后报价。</w:t>
      </w:r>
    </w:p>
    <w:p w14:paraId="2E3581EB">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最后报价是供应商响应文件的有效组成部分。符合《政府采购竞争性磋商采购方式管理暂行办法》（财库〔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）第三条第四项情形的，提交最后报价的供应商可以为</w:t>
      </w:r>
      <w:r>
        <w:rPr>
          <w:rFonts w:cs="Arial"/>
          <w:color w:val="auto"/>
          <w:kern w:val="0"/>
          <w:sz w:val="21"/>
          <w:szCs w:val="21"/>
          <w:highlight w:val="none"/>
        </w:rPr>
        <w:t>2家。</w:t>
      </w:r>
    </w:p>
    <w:p w14:paraId="55C5CD77">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（六）综合评分</w:t>
      </w:r>
    </w:p>
    <w:p w14:paraId="206837CF">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经磋商确定最终采购需求和提交最后报价的供应商后，由磋商小组采用</w:t>
      </w:r>
      <w:r>
        <w:rPr>
          <w:rFonts w:hint="eastAsia" w:cs="Arial"/>
          <w:b/>
          <w:bCs/>
          <w:color w:val="auto"/>
          <w:kern w:val="0"/>
          <w:sz w:val="21"/>
          <w:szCs w:val="21"/>
          <w:highlight w:val="none"/>
        </w:rPr>
        <w:t>综合评分法</w:t>
      </w:r>
      <w:r>
        <w:rPr>
          <w:rFonts w:hint="eastAsia" w:cs="Arial"/>
          <w:color w:val="auto"/>
          <w:kern w:val="0"/>
          <w:sz w:val="21"/>
          <w:szCs w:val="21"/>
          <w:highlight w:val="none"/>
        </w:rPr>
        <w:t>对提交最后报价的供应商的响应文件和最后报价进行综合评分。</w:t>
      </w:r>
    </w:p>
    <w:p w14:paraId="5931B10D">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综合评分法，是指响应文件满足磋商文件全部实质性要求且按评审因素的量化指标评审得分最高的供应商为成交候选供应商的评审方法。</w:t>
      </w:r>
    </w:p>
    <w:p w14:paraId="62622A0B">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（七）</w:t>
      </w:r>
      <w:r>
        <w:rPr>
          <w:rFonts w:cs="Arial"/>
          <w:b/>
          <w:color w:val="auto"/>
          <w:kern w:val="0"/>
          <w:sz w:val="21"/>
          <w:szCs w:val="21"/>
          <w:highlight w:val="none"/>
        </w:rPr>
        <w:t>汇总商务技术得分</w:t>
      </w:r>
    </w:p>
    <w:p w14:paraId="6AF3DE88">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磋商小组各成员独立对进入最后报价的供应商的商务和技术文件进行评价，并汇总商务技术得分情况。</w:t>
      </w:r>
    </w:p>
    <w:p w14:paraId="28ACEEE2">
      <w:pPr>
        <w:adjustRightInd w:val="0"/>
        <w:snapToGrid w:val="0"/>
        <w:spacing w:line="288" w:lineRule="auto"/>
        <w:ind w:firstLine="424" w:firstLineChars="202"/>
        <w:rPr>
          <w:rFonts w:cs="Arial"/>
          <w:color w:val="auto"/>
          <w:kern w:val="0"/>
          <w:sz w:val="21"/>
          <w:szCs w:val="21"/>
          <w:highlight w:val="none"/>
        </w:rPr>
      </w:pPr>
      <w:bookmarkStart w:id="45" w:name="_Hlk94088579"/>
      <w:r>
        <w:rPr>
          <w:rFonts w:hint="eastAsia" w:cs="Arial"/>
          <w:color w:val="auto"/>
          <w:kern w:val="0"/>
          <w:sz w:val="21"/>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45"/>
    <w:p w14:paraId="0D552819">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（八）排序与推荐</w:t>
      </w:r>
    </w:p>
    <w:p w14:paraId="16F01250">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磋商小组应当根据综合评分情况，按照评审得分由高到低顺序推荐</w:t>
      </w:r>
      <w:r>
        <w:rPr>
          <w:rFonts w:cs="Arial"/>
          <w:color w:val="auto"/>
          <w:kern w:val="0"/>
          <w:sz w:val="21"/>
          <w:szCs w:val="21"/>
          <w:highlight w:val="none"/>
        </w:rPr>
        <w:t>3名以上成交候选供应商，并编写评审报告。符合</w:t>
      </w:r>
      <w:r>
        <w:rPr>
          <w:rFonts w:hint="eastAsia" w:cs="Arial"/>
          <w:color w:val="auto"/>
          <w:kern w:val="0"/>
          <w:sz w:val="21"/>
          <w:szCs w:val="21"/>
          <w:highlight w:val="none"/>
        </w:rPr>
        <w:t>《政府采购竞争性磋商采购方式管理暂行办法》（财库〔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w:t>
      </w:r>
      <w:r>
        <w:rPr>
          <w:rFonts w:cs="Arial"/>
          <w:color w:val="auto"/>
          <w:kern w:val="0"/>
          <w:sz w:val="21"/>
          <w:szCs w:val="21"/>
          <w:highlight w:val="none"/>
        </w:rPr>
        <w:t>第二十一条第三款情形的，可以推荐2家成交候选供应商。评审得分相同的，按照最后报价由低到高的顺序推荐。评审得分且最后报价相同的，按照技术指标优劣顺序推荐。</w:t>
      </w:r>
    </w:p>
    <w:p w14:paraId="12FB48A1">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（九）</w:t>
      </w:r>
      <w:r>
        <w:rPr>
          <w:rFonts w:cs="Arial"/>
          <w:b/>
          <w:color w:val="auto"/>
          <w:kern w:val="0"/>
          <w:sz w:val="21"/>
          <w:szCs w:val="21"/>
          <w:highlight w:val="none"/>
        </w:rPr>
        <w:t>编写</w:t>
      </w:r>
      <w:r>
        <w:rPr>
          <w:rFonts w:hint="eastAsia" w:cs="Arial"/>
          <w:b/>
          <w:color w:val="auto"/>
          <w:kern w:val="0"/>
          <w:sz w:val="21"/>
          <w:szCs w:val="21"/>
          <w:highlight w:val="none"/>
        </w:rPr>
        <w:t>评审</w:t>
      </w:r>
      <w:r>
        <w:rPr>
          <w:rFonts w:cs="Arial"/>
          <w:b/>
          <w:color w:val="auto"/>
          <w:kern w:val="0"/>
          <w:sz w:val="21"/>
          <w:szCs w:val="21"/>
          <w:highlight w:val="none"/>
        </w:rPr>
        <w:t>报告</w:t>
      </w:r>
    </w:p>
    <w:p w14:paraId="4D1DF97E">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11F928AC">
      <w:pPr>
        <w:adjustRightInd w:val="0"/>
        <w:snapToGrid w:val="0"/>
        <w:spacing w:line="288" w:lineRule="auto"/>
        <w:ind w:firstLine="426" w:firstLineChars="202"/>
        <w:rPr>
          <w:b/>
          <w:bCs/>
          <w:color w:val="auto"/>
          <w:sz w:val="21"/>
          <w:szCs w:val="21"/>
          <w:highlight w:val="none"/>
        </w:rPr>
      </w:pPr>
      <w:r>
        <w:rPr>
          <w:rFonts w:hint="eastAsia" w:cs="Arial"/>
          <w:b/>
          <w:color w:val="auto"/>
          <w:kern w:val="0"/>
          <w:sz w:val="21"/>
          <w:szCs w:val="21"/>
          <w:highlight w:val="none"/>
        </w:rPr>
        <w:t>（十）补充说明</w:t>
      </w:r>
    </w:p>
    <w:p w14:paraId="1E9A166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采用竞争性磋商采购方式采购的政府购买服务项目（含政府和社会资本合作项目），在采购过程中符合要求的供应商（社会资本）只有2家的，竞争性磋商采购活动可以继续进行。</w:t>
      </w:r>
    </w:p>
    <w:p w14:paraId="185AC8BC">
      <w:pPr>
        <w:widowControl/>
        <w:adjustRightInd w:val="0"/>
        <w:snapToGrid w:val="0"/>
        <w:spacing w:line="288" w:lineRule="auto"/>
        <w:jc w:val="left"/>
        <w:rPr>
          <w:rFonts w:cs="Times New Roman"/>
          <w:b/>
          <w:color w:val="auto"/>
          <w:spacing w:val="-6"/>
          <w:sz w:val="21"/>
          <w:szCs w:val="21"/>
          <w:highlight w:val="none"/>
        </w:rPr>
      </w:pPr>
      <w:r>
        <w:rPr>
          <w:rFonts w:cs="Times New Roman"/>
          <w:b/>
          <w:color w:val="auto"/>
          <w:spacing w:val="-6"/>
          <w:sz w:val="21"/>
          <w:szCs w:val="21"/>
          <w:highlight w:val="none"/>
        </w:rPr>
        <w:br w:type="page"/>
      </w:r>
    </w:p>
    <w:p w14:paraId="6DD3A12C">
      <w:pPr>
        <w:adjustRightInd w:val="0"/>
        <w:snapToGrid w:val="0"/>
        <w:spacing w:line="288" w:lineRule="auto"/>
        <w:jc w:val="center"/>
        <w:outlineLvl w:val="1"/>
        <w:rPr>
          <w:rFonts w:cs="Times New Roman"/>
          <w:b/>
          <w:color w:val="auto"/>
          <w:spacing w:val="-6"/>
          <w:sz w:val="21"/>
          <w:szCs w:val="21"/>
          <w:highlight w:val="none"/>
        </w:rPr>
      </w:pPr>
      <w:r>
        <w:rPr>
          <w:rFonts w:hint="eastAsia" w:cs="Times New Roman"/>
          <w:b/>
          <w:color w:val="auto"/>
          <w:spacing w:val="-6"/>
          <w:sz w:val="21"/>
          <w:szCs w:val="21"/>
          <w:highlight w:val="none"/>
        </w:rPr>
        <w:t>七、成交与合同</w:t>
      </w:r>
    </w:p>
    <w:p w14:paraId="6ADAFCC2">
      <w:pPr>
        <w:adjustRightInd w:val="0"/>
        <w:snapToGrid w:val="0"/>
        <w:spacing w:line="288" w:lineRule="auto"/>
        <w:rPr>
          <w:b/>
          <w:bCs/>
          <w:color w:val="auto"/>
          <w:sz w:val="21"/>
          <w:szCs w:val="21"/>
          <w:highlight w:val="none"/>
        </w:rPr>
      </w:pPr>
      <w:r>
        <w:rPr>
          <w:rFonts w:hint="eastAsia"/>
          <w:b/>
          <w:bCs/>
          <w:color w:val="auto"/>
          <w:sz w:val="21"/>
          <w:szCs w:val="21"/>
          <w:highlight w:val="none"/>
        </w:rPr>
        <w:t>（一）成交</w:t>
      </w:r>
    </w:p>
    <w:p w14:paraId="6E1F8E5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BA4A72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2.采购代理机构在成交供应商确定后</w:t>
      </w:r>
      <w:r>
        <w:rPr>
          <w:color w:val="auto"/>
          <w:sz w:val="21"/>
          <w:szCs w:val="21"/>
          <w:highlight w:val="none"/>
        </w:rPr>
        <w:t>2个工作日内公告成交结果，同时向成交供应商发出成交通知书，并将磋商文件随成交结果同时公告。</w:t>
      </w:r>
    </w:p>
    <w:p w14:paraId="06AD4D47">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w:t>
      </w:r>
      <w:r>
        <w:rPr>
          <w:color w:val="auto"/>
          <w:sz w:val="21"/>
          <w:szCs w:val="21"/>
          <w:highlight w:val="none"/>
        </w:rPr>
        <w:t>.</w:t>
      </w:r>
      <w:r>
        <w:rPr>
          <w:rFonts w:hint="eastAsia"/>
          <w:color w:val="auto"/>
          <w:sz w:val="21"/>
          <w:szCs w:val="21"/>
          <w:highlight w:val="none"/>
        </w:rPr>
        <w:t>评审结果公示媒体：浙江政府采购网（http://zfcg.czt.zj.gov.cn）。</w:t>
      </w:r>
    </w:p>
    <w:p w14:paraId="417A428F">
      <w:pPr>
        <w:adjustRightInd w:val="0"/>
        <w:snapToGrid w:val="0"/>
        <w:spacing w:line="288" w:lineRule="auto"/>
        <w:jc w:val="left"/>
        <w:rPr>
          <w:b/>
          <w:bCs/>
          <w:color w:val="auto"/>
          <w:sz w:val="21"/>
          <w:szCs w:val="21"/>
          <w:highlight w:val="none"/>
        </w:rPr>
      </w:pPr>
      <w:r>
        <w:rPr>
          <w:rFonts w:hint="eastAsia"/>
          <w:b/>
          <w:bCs/>
          <w:color w:val="auto"/>
          <w:sz w:val="21"/>
          <w:szCs w:val="21"/>
          <w:highlight w:val="none"/>
        </w:rPr>
        <w:t>（二）合同授予</w:t>
      </w:r>
    </w:p>
    <w:p w14:paraId="0A583069">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7445D20E">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35985FD8">
      <w:pPr>
        <w:adjustRightInd w:val="0"/>
        <w:snapToGrid w:val="0"/>
        <w:spacing w:line="288" w:lineRule="auto"/>
        <w:rPr>
          <w:color w:val="auto"/>
          <w:sz w:val="21"/>
          <w:szCs w:val="21"/>
          <w:highlight w:val="none"/>
        </w:rPr>
      </w:pPr>
    </w:p>
    <w:p w14:paraId="31A1A594">
      <w:pPr>
        <w:adjustRightInd w:val="0"/>
        <w:snapToGrid w:val="0"/>
        <w:spacing w:line="288" w:lineRule="auto"/>
        <w:jc w:val="center"/>
        <w:outlineLvl w:val="1"/>
        <w:rPr>
          <w:rFonts w:cs="Times New Roman"/>
          <w:b/>
          <w:color w:val="auto"/>
          <w:spacing w:val="-6"/>
          <w:sz w:val="21"/>
          <w:szCs w:val="21"/>
          <w:highlight w:val="none"/>
        </w:rPr>
      </w:pPr>
      <w:r>
        <w:rPr>
          <w:rFonts w:hint="eastAsia" w:cs="Times New Roman"/>
          <w:b/>
          <w:color w:val="auto"/>
          <w:spacing w:val="-6"/>
          <w:sz w:val="21"/>
          <w:szCs w:val="21"/>
          <w:highlight w:val="none"/>
        </w:rPr>
        <w:t>八、</w:t>
      </w:r>
      <w:r>
        <w:rPr>
          <w:rFonts w:cs="Times New Roman"/>
          <w:b/>
          <w:color w:val="auto"/>
          <w:spacing w:val="-6"/>
          <w:sz w:val="21"/>
          <w:szCs w:val="21"/>
          <w:highlight w:val="none"/>
        </w:rPr>
        <w:t>验</w:t>
      </w:r>
      <w:r>
        <w:rPr>
          <w:rFonts w:hint="eastAsia" w:cs="Times New Roman"/>
          <w:b/>
          <w:color w:val="auto"/>
          <w:spacing w:val="-6"/>
          <w:sz w:val="21"/>
          <w:szCs w:val="21"/>
          <w:highlight w:val="none"/>
        </w:rPr>
        <w:t xml:space="preserve"> </w:t>
      </w:r>
      <w:r>
        <w:rPr>
          <w:rFonts w:cs="Times New Roman"/>
          <w:b/>
          <w:color w:val="auto"/>
          <w:spacing w:val="-6"/>
          <w:sz w:val="21"/>
          <w:szCs w:val="21"/>
          <w:highlight w:val="none"/>
        </w:rPr>
        <w:t xml:space="preserve"> 收</w:t>
      </w:r>
    </w:p>
    <w:p w14:paraId="2159FCE1">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1446FC9D">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采购人可以邀请参加本项目的其他供应商或者第三方机构参与验收。参与验收的供应商或者第三方机构的意见作为</w:t>
      </w:r>
      <w:r>
        <w:rPr>
          <w:rFonts w:hint="eastAsia" w:cs="Helvetica"/>
          <w:color w:val="auto"/>
          <w:kern w:val="0"/>
          <w:sz w:val="21"/>
          <w:szCs w:val="21"/>
          <w:highlight w:val="none"/>
        </w:rPr>
        <w:t>验收书的参考资料一并存档。</w:t>
      </w:r>
    </w:p>
    <w:p w14:paraId="0255C158">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EE70A30">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07E9646">
      <w:pPr>
        <w:adjustRightInd w:val="0"/>
        <w:snapToGrid w:val="0"/>
        <w:spacing w:line="288" w:lineRule="auto"/>
        <w:rPr>
          <w:color w:val="auto"/>
          <w:sz w:val="21"/>
          <w:szCs w:val="21"/>
          <w:highlight w:val="none"/>
        </w:rPr>
      </w:pPr>
    </w:p>
    <w:p w14:paraId="4357ED2C">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九、可中止电子交易活动的情形</w:t>
      </w:r>
    </w:p>
    <w:p w14:paraId="1F3280A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采购过程中出现以下情形，导致电子交易平台无法正常运行，或者无法保证电子交易的公平、公正和安全时，采购代理机构可中止电子交易活动：</w:t>
      </w:r>
    </w:p>
    <w:p w14:paraId="6F7DA3E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1.电子交易平台发生故障而无法登录访问的；</w:t>
      </w:r>
    </w:p>
    <w:p w14:paraId="4206126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2.电子交易平台应用或数据库出现错误，不能进行正常操作的；</w:t>
      </w:r>
    </w:p>
    <w:p w14:paraId="7DFD2E3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3.电子交易平台发现严重安全漏洞，有潜在泄密危险的；</w:t>
      </w:r>
    </w:p>
    <w:p w14:paraId="74E2FFA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4.病毒发作导致不能进行正常操作的；</w:t>
      </w:r>
    </w:p>
    <w:p w14:paraId="43764CF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5.其他无法保证电子交易的公平、公正和安全的情况。</w:t>
      </w:r>
    </w:p>
    <w:p w14:paraId="2C73422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出现前款规定情形，不影响采购公平、公正性的，采购代理机构可以待上述情形消除后继续组织电子交易活动；影响或可能影响采购公平、公正性的，应当重新采购。</w:t>
      </w:r>
      <w:r>
        <w:rPr>
          <w:rFonts w:hint="eastAsia"/>
          <w:color w:val="auto"/>
          <w:sz w:val="21"/>
          <w:szCs w:val="21"/>
          <w:highlight w:val="none"/>
        </w:rPr>
        <w:br w:type="page"/>
      </w:r>
    </w:p>
    <w:p w14:paraId="5CBC8769">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第四章  评审方法和评审标准</w:t>
      </w:r>
    </w:p>
    <w:p w14:paraId="47A3B36A">
      <w:pPr>
        <w:adjustRightInd w:val="0"/>
        <w:snapToGrid w:val="0"/>
        <w:spacing w:line="288" w:lineRule="auto"/>
        <w:rPr>
          <w:b/>
          <w:bCs/>
          <w:color w:val="auto"/>
          <w:sz w:val="21"/>
          <w:szCs w:val="21"/>
          <w:highlight w:val="none"/>
        </w:rPr>
      </w:pPr>
      <w:r>
        <w:rPr>
          <w:rFonts w:hint="eastAsia"/>
          <w:b/>
          <w:bCs/>
          <w:color w:val="auto"/>
          <w:sz w:val="21"/>
          <w:szCs w:val="21"/>
          <w:highlight w:val="none"/>
        </w:rPr>
        <w:t>一、评审方法</w:t>
      </w:r>
    </w:p>
    <w:p w14:paraId="6E26D56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本次评审采用综合评分法，总分为100分。评分过程中采用四舍五入法，并保留小数2位。</w:t>
      </w:r>
    </w:p>
    <w:p w14:paraId="62D5BFD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供应商评审综合得分=商务分+技术分+价格分</w:t>
      </w:r>
    </w:p>
    <w:p w14:paraId="3D2D527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14:paraId="0EC1F514">
      <w:pPr>
        <w:adjustRightInd w:val="0"/>
        <w:snapToGrid w:val="0"/>
        <w:spacing w:line="288" w:lineRule="auto"/>
        <w:rPr>
          <w:b/>
          <w:bCs/>
          <w:color w:val="auto"/>
          <w:sz w:val="21"/>
          <w:szCs w:val="21"/>
          <w:highlight w:val="none"/>
        </w:rPr>
      </w:pPr>
      <w:r>
        <w:rPr>
          <w:rFonts w:hint="eastAsia"/>
          <w:b/>
          <w:bCs/>
          <w:color w:val="auto"/>
          <w:sz w:val="21"/>
          <w:szCs w:val="21"/>
          <w:highlight w:val="none"/>
        </w:rPr>
        <w:t>二、评审标准</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8"/>
        <w:gridCol w:w="780"/>
        <w:gridCol w:w="7130"/>
      </w:tblGrid>
      <w:tr w14:paraId="390EB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2" w:type="pct"/>
            <w:tcBorders>
              <w:top w:val="single" w:color="auto" w:sz="4" w:space="0"/>
              <w:left w:val="single" w:color="auto" w:sz="4" w:space="0"/>
              <w:bottom w:val="single" w:color="auto" w:sz="4" w:space="0"/>
              <w:right w:val="single" w:color="auto" w:sz="4" w:space="0"/>
            </w:tcBorders>
            <w:vAlign w:val="center"/>
          </w:tcPr>
          <w:p w14:paraId="41E3C32D">
            <w:pPr>
              <w:spacing w:line="288" w:lineRule="auto"/>
              <w:jc w:val="center"/>
              <w:rPr>
                <w:b/>
                <w:bCs/>
                <w:color w:val="auto"/>
                <w:sz w:val="21"/>
                <w:szCs w:val="21"/>
                <w:highlight w:val="none"/>
              </w:rPr>
            </w:pPr>
            <w:r>
              <w:rPr>
                <w:rFonts w:hint="eastAsia"/>
                <w:b/>
                <w:bCs/>
                <w:color w:val="auto"/>
                <w:sz w:val="21"/>
                <w:szCs w:val="21"/>
                <w:highlight w:val="none"/>
              </w:rPr>
              <w:t>评审因素</w:t>
            </w:r>
          </w:p>
        </w:tc>
        <w:tc>
          <w:tcPr>
            <w:tcW w:w="405" w:type="pct"/>
            <w:tcBorders>
              <w:top w:val="single" w:color="auto" w:sz="4" w:space="0"/>
              <w:left w:val="single" w:color="auto" w:sz="4" w:space="0"/>
              <w:bottom w:val="single" w:color="auto" w:sz="4" w:space="0"/>
              <w:right w:val="single" w:color="auto" w:sz="4" w:space="0"/>
            </w:tcBorders>
            <w:vAlign w:val="center"/>
          </w:tcPr>
          <w:p w14:paraId="59C3770E">
            <w:pPr>
              <w:spacing w:line="288" w:lineRule="auto"/>
              <w:jc w:val="center"/>
              <w:rPr>
                <w:b/>
                <w:bCs/>
                <w:color w:val="auto"/>
                <w:sz w:val="21"/>
                <w:szCs w:val="21"/>
                <w:highlight w:val="none"/>
              </w:rPr>
            </w:pPr>
            <w:r>
              <w:rPr>
                <w:rFonts w:hint="eastAsia"/>
                <w:b/>
                <w:bCs/>
                <w:color w:val="auto"/>
                <w:sz w:val="21"/>
                <w:szCs w:val="21"/>
                <w:highlight w:val="none"/>
              </w:rPr>
              <w:t>分值</w:t>
            </w:r>
          </w:p>
        </w:tc>
        <w:tc>
          <w:tcPr>
            <w:tcW w:w="3702" w:type="pct"/>
            <w:tcBorders>
              <w:top w:val="single" w:color="auto" w:sz="4" w:space="0"/>
              <w:left w:val="single" w:color="auto" w:sz="4" w:space="0"/>
              <w:bottom w:val="single" w:color="auto" w:sz="4" w:space="0"/>
              <w:right w:val="single" w:color="auto" w:sz="4" w:space="0"/>
            </w:tcBorders>
            <w:vAlign w:val="center"/>
          </w:tcPr>
          <w:p w14:paraId="3ABB2888">
            <w:pPr>
              <w:spacing w:line="288" w:lineRule="auto"/>
              <w:jc w:val="center"/>
              <w:rPr>
                <w:b/>
                <w:bCs/>
                <w:color w:val="auto"/>
                <w:sz w:val="21"/>
                <w:szCs w:val="21"/>
                <w:highlight w:val="none"/>
              </w:rPr>
            </w:pPr>
            <w:r>
              <w:rPr>
                <w:rFonts w:hint="eastAsia"/>
                <w:b/>
                <w:bCs/>
                <w:color w:val="auto"/>
                <w:sz w:val="21"/>
                <w:szCs w:val="21"/>
                <w:highlight w:val="none"/>
              </w:rPr>
              <w:t>评分细则</w:t>
            </w:r>
          </w:p>
        </w:tc>
      </w:tr>
      <w:tr w14:paraId="4096B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tcBorders>
              <w:top w:val="single" w:color="auto" w:sz="4" w:space="0"/>
              <w:left w:val="single" w:color="auto" w:sz="4" w:space="0"/>
              <w:bottom w:val="single" w:color="auto" w:sz="4" w:space="0"/>
              <w:right w:val="single" w:color="auto" w:sz="4" w:space="0"/>
            </w:tcBorders>
            <w:vAlign w:val="center"/>
          </w:tcPr>
          <w:p w14:paraId="04B8CCD5">
            <w:pPr>
              <w:spacing w:line="288" w:lineRule="auto"/>
              <w:rPr>
                <w:rFonts w:hint="eastAsia" w:eastAsia="宋体"/>
                <w:b/>
                <w:bCs/>
                <w:color w:val="auto"/>
                <w:sz w:val="21"/>
                <w:szCs w:val="21"/>
                <w:highlight w:val="none"/>
                <w:lang w:eastAsia="zh-CN"/>
              </w:rPr>
            </w:pPr>
            <w:r>
              <w:rPr>
                <w:rFonts w:hint="eastAsia"/>
                <w:b/>
                <w:bCs/>
                <w:color w:val="auto"/>
                <w:sz w:val="21"/>
                <w:szCs w:val="21"/>
                <w:highlight w:val="none"/>
              </w:rPr>
              <w:t>价格分</w:t>
            </w:r>
            <w:r>
              <w:rPr>
                <w:rFonts w:hint="eastAsia"/>
                <w:b/>
                <w:bCs/>
                <w:color w:val="auto"/>
                <w:sz w:val="21"/>
                <w:szCs w:val="21"/>
                <w:highlight w:val="none"/>
                <w:lang w:eastAsia="zh-CN"/>
              </w:rPr>
              <w:t>（</w:t>
            </w:r>
            <w:r>
              <w:rPr>
                <w:rFonts w:hint="eastAsia"/>
                <w:b/>
                <w:bCs/>
                <w:color w:val="auto"/>
                <w:sz w:val="21"/>
                <w:szCs w:val="21"/>
                <w:highlight w:val="none"/>
                <w:lang w:val="en-US" w:eastAsia="zh-CN"/>
              </w:rPr>
              <w:t>30分</w:t>
            </w:r>
            <w:r>
              <w:rPr>
                <w:rFonts w:hint="eastAsia"/>
                <w:b/>
                <w:bCs/>
                <w:color w:val="auto"/>
                <w:sz w:val="21"/>
                <w:szCs w:val="21"/>
                <w:highlight w:val="none"/>
                <w:lang w:eastAsia="zh-CN"/>
              </w:rPr>
              <w:t>）</w:t>
            </w:r>
          </w:p>
        </w:tc>
      </w:tr>
      <w:tr w14:paraId="7953D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2" w:type="pct"/>
            <w:tcBorders>
              <w:top w:val="single" w:color="auto" w:sz="4" w:space="0"/>
              <w:left w:val="single" w:color="auto" w:sz="4" w:space="0"/>
              <w:bottom w:val="single" w:color="auto" w:sz="4" w:space="0"/>
              <w:right w:val="single" w:color="auto" w:sz="4" w:space="0"/>
            </w:tcBorders>
            <w:vAlign w:val="center"/>
          </w:tcPr>
          <w:p w14:paraId="7182959E">
            <w:pPr>
              <w:pStyle w:val="14"/>
              <w:spacing w:line="288" w:lineRule="auto"/>
              <w:ind w:firstLine="0"/>
              <w:jc w:val="center"/>
              <w:rPr>
                <w:rFonts w:hAnsi="宋体"/>
                <w:b/>
                <w:bCs/>
                <w:color w:val="auto"/>
                <w:spacing w:val="-6"/>
                <w:sz w:val="21"/>
                <w:szCs w:val="21"/>
                <w:highlight w:val="none"/>
              </w:rPr>
            </w:pPr>
            <w:r>
              <w:rPr>
                <w:rFonts w:hint="eastAsia" w:hAnsi="宋体"/>
                <w:b/>
                <w:bCs/>
                <w:color w:val="auto"/>
                <w:spacing w:val="-6"/>
                <w:sz w:val="21"/>
                <w:szCs w:val="21"/>
                <w:highlight w:val="none"/>
              </w:rPr>
              <w:t>最后磋商报价</w:t>
            </w:r>
          </w:p>
        </w:tc>
        <w:tc>
          <w:tcPr>
            <w:tcW w:w="405" w:type="pct"/>
            <w:tcBorders>
              <w:top w:val="single" w:color="auto" w:sz="4" w:space="0"/>
              <w:left w:val="single" w:color="auto" w:sz="4" w:space="0"/>
              <w:bottom w:val="single" w:color="auto" w:sz="4" w:space="0"/>
              <w:right w:val="single" w:color="auto" w:sz="4" w:space="0"/>
            </w:tcBorders>
            <w:vAlign w:val="center"/>
          </w:tcPr>
          <w:p w14:paraId="39B2B427">
            <w:pPr>
              <w:spacing w:line="288" w:lineRule="auto"/>
              <w:jc w:val="center"/>
              <w:rPr>
                <w:b/>
                <w:bCs/>
                <w:color w:val="auto"/>
                <w:spacing w:val="-6"/>
                <w:sz w:val="21"/>
                <w:szCs w:val="21"/>
                <w:highlight w:val="none"/>
              </w:rPr>
            </w:pPr>
            <w:r>
              <w:rPr>
                <w:rFonts w:hint="eastAsia"/>
                <w:b/>
                <w:bCs/>
                <w:color w:val="auto"/>
                <w:spacing w:val="-6"/>
                <w:sz w:val="21"/>
                <w:szCs w:val="21"/>
                <w:highlight w:val="none"/>
              </w:rPr>
              <w:t>30</w:t>
            </w:r>
          </w:p>
        </w:tc>
        <w:tc>
          <w:tcPr>
            <w:tcW w:w="3702" w:type="pct"/>
            <w:tcBorders>
              <w:top w:val="single" w:color="auto" w:sz="4" w:space="0"/>
              <w:left w:val="single" w:color="auto" w:sz="4" w:space="0"/>
              <w:bottom w:val="single" w:color="auto" w:sz="4" w:space="0"/>
              <w:right w:val="single" w:color="auto" w:sz="4" w:space="0"/>
            </w:tcBorders>
            <w:vAlign w:val="center"/>
          </w:tcPr>
          <w:p w14:paraId="17B6096C">
            <w:pPr>
              <w:pStyle w:val="14"/>
              <w:spacing w:line="288" w:lineRule="auto"/>
              <w:ind w:firstLine="0"/>
              <w:rPr>
                <w:rFonts w:hAnsi="宋体"/>
                <w:color w:val="auto"/>
                <w:spacing w:val="-6"/>
                <w:sz w:val="21"/>
                <w:szCs w:val="21"/>
                <w:highlight w:val="none"/>
              </w:rPr>
            </w:pPr>
            <w:r>
              <w:rPr>
                <w:rFonts w:hint="eastAsia" w:hAnsi="宋体"/>
                <w:color w:val="auto"/>
                <w:spacing w:val="-6"/>
                <w:sz w:val="21"/>
                <w:szCs w:val="21"/>
                <w:highlight w:val="none"/>
              </w:rPr>
              <w:t>价格分统一采用低价优先法计算，即满足磋商文件要求且最后报价最低的供应商的价格为磋商基准价，其价格分为满分。其他供应商的价格分统一按照下列公式计算：</w:t>
            </w:r>
          </w:p>
          <w:p w14:paraId="3D943220">
            <w:pPr>
              <w:pStyle w:val="14"/>
              <w:spacing w:line="288" w:lineRule="auto"/>
              <w:ind w:firstLine="0"/>
              <w:rPr>
                <w:rFonts w:hAnsi="宋体"/>
                <w:color w:val="auto"/>
                <w:spacing w:val="-6"/>
                <w:sz w:val="21"/>
                <w:szCs w:val="21"/>
                <w:highlight w:val="none"/>
              </w:rPr>
            </w:pPr>
            <w:r>
              <w:rPr>
                <w:rFonts w:hint="eastAsia" w:hAnsi="宋体"/>
                <w:color w:val="auto"/>
                <w:spacing w:val="-6"/>
                <w:sz w:val="21"/>
                <w:szCs w:val="21"/>
                <w:highlight w:val="none"/>
              </w:rPr>
              <w:t>磋商报价得分=（磋商基准价/最后磋商报价）×30%×100</w:t>
            </w:r>
          </w:p>
        </w:tc>
      </w:tr>
      <w:tr w14:paraId="5689B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tcBorders>
              <w:top w:val="single" w:color="auto" w:sz="4" w:space="0"/>
              <w:left w:val="single" w:color="auto" w:sz="4" w:space="0"/>
              <w:bottom w:val="single" w:color="auto" w:sz="4" w:space="0"/>
              <w:right w:val="single" w:color="auto" w:sz="4" w:space="0"/>
            </w:tcBorders>
            <w:vAlign w:val="center"/>
          </w:tcPr>
          <w:p w14:paraId="1F7E9794">
            <w:pPr>
              <w:spacing w:line="288" w:lineRule="auto"/>
              <w:rPr>
                <w:rFonts w:hint="eastAsia" w:eastAsia="宋体"/>
                <w:b/>
                <w:bCs/>
                <w:color w:val="auto"/>
                <w:sz w:val="21"/>
                <w:szCs w:val="21"/>
                <w:highlight w:val="none"/>
                <w:lang w:eastAsia="zh-CN"/>
              </w:rPr>
            </w:pPr>
            <w:r>
              <w:rPr>
                <w:rFonts w:hint="eastAsia"/>
                <w:b/>
                <w:bCs/>
                <w:color w:val="auto"/>
                <w:sz w:val="21"/>
                <w:szCs w:val="21"/>
                <w:highlight w:val="none"/>
              </w:rPr>
              <w:t>商务分</w:t>
            </w:r>
            <w:r>
              <w:rPr>
                <w:rFonts w:hint="eastAsia"/>
                <w:b/>
                <w:bCs/>
                <w:color w:val="auto"/>
                <w:sz w:val="21"/>
                <w:szCs w:val="21"/>
                <w:highlight w:val="none"/>
                <w:lang w:eastAsia="zh-CN"/>
              </w:rPr>
              <w:t>（</w:t>
            </w:r>
            <w:r>
              <w:rPr>
                <w:rFonts w:hint="eastAsia"/>
                <w:b/>
                <w:bCs/>
                <w:color w:val="auto"/>
                <w:sz w:val="21"/>
                <w:szCs w:val="21"/>
                <w:highlight w:val="none"/>
                <w:lang w:val="en-US" w:eastAsia="zh-CN"/>
              </w:rPr>
              <w:t>1.5分</w:t>
            </w:r>
            <w:r>
              <w:rPr>
                <w:rFonts w:hint="eastAsia"/>
                <w:b/>
                <w:bCs/>
                <w:color w:val="auto"/>
                <w:sz w:val="21"/>
                <w:szCs w:val="21"/>
                <w:highlight w:val="none"/>
                <w:lang w:eastAsia="zh-CN"/>
              </w:rPr>
              <w:t>）</w:t>
            </w:r>
          </w:p>
        </w:tc>
      </w:tr>
      <w:tr w14:paraId="3600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2" w:type="pct"/>
            <w:vMerge w:val="restart"/>
            <w:tcBorders>
              <w:top w:val="single" w:color="auto" w:sz="4" w:space="0"/>
              <w:left w:val="single" w:color="auto" w:sz="4" w:space="0"/>
              <w:right w:val="single" w:color="auto" w:sz="4" w:space="0"/>
            </w:tcBorders>
            <w:vAlign w:val="center"/>
          </w:tcPr>
          <w:p w14:paraId="7D57E492">
            <w:pPr>
              <w:spacing w:line="288" w:lineRule="auto"/>
              <w:jc w:val="center"/>
              <w:rPr>
                <w:b/>
                <w:bCs/>
                <w:color w:val="auto"/>
                <w:sz w:val="21"/>
                <w:szCs w:val="21"/>
                <w:highlight w:val="none"/>
              </w:rPr>
            </w:pPr>
            <w:r>
              <w:rPr>
                <w:rFonts w:hint="eastAsia"/>
                <w:b/>
                <w:bCs/>
                <w:color w:val="auto"/>
                <w:sz w:val="21"/>
                <w:szCs w:val="21"/>
                <w:highlight w:val="none"/>
              </w:rPr>
              <w:t>业绩</w:t>
            </w:r>
          </w:p>
        </w:tc>
        <w:tc>
          <w:tcPr>
            <w:tcW w:w="405" w:type="pct"/>
            <w:tcBorders>
              <w:top w:val="single" w:color="auto" w:sz="4" w:space="0"/>
              <w:left w:val="single" w:color="auto" w:sz="4" w:space="0"/>
              <w:bottom w:val="single" w:color="auto" w:sz="4" w:space="0"/>
              <w:right w:val="single" w:color="auto" w:sz="4" w:space="0"/>
            </w:tcBorders>
            <w:vAlign w:val="center"/>
          </w:tcPr>
          <w:p w14:paraId="2FE8B47E">
            <w:pPr>
              <w:spacing w:line="288" w:lineRule="auto"/>
              <w:jc w:val="center"/>
              <w:rPr>
                <w:b/>
                <w:bCs/>
                <w:color w:val="auto"/>
                <w:sz w:val="21"/>
                <w:szCs w:val="21"/>
                <w:highlight w:val="none"/>
              </w:rPr>
            </w:pPr>
            <w:r>
              <w:rPr>
                <w:rFonts w:hint="eastAsia"/>
                <w:b/>
                <w:bCs/>
                <w:color w:val="auto"/>
                <w:sz w:val="21"/>
                <w:szCs w:val="21"/>
                <w:highlight w:val="none"/>
              </w:rPr>
              <w:t>1</w:t>
            </w:r>
          </w:p>
        </w:tc>
        <w:tc>
          <w:tcPr>
            <w:tcW w:w="3702" w:type="pct"/>
            <w:tcBorders>
              <w:top w:val="single" w:color="auto" w:sz="4" w:space="0"/>
              <w:left w:val="single" w:color="auto" w:sz="4" w:space="0"/>
              <w:bottom w:val="single" w:color="auto" w:sz="4" w:space="0"/>
              <w:right w:val="single" w:color="auto" w:sz="4" w:space="0"/>
            </w:tcBorders>
            <w:vAlign w:val="center"/>
          </w:tcPr>
          <w:p w14:paraId="0D611E91">
            <w:pPr>
              <w:spacing w:line="288" w:lineRule="auto"/>
              <w:rPr>
                <w:color w:val="auto"/>
                <w:sz w:val="21"/>
                <w:szCs w:val="21"/>
                <w:highlight w:val="none"/>
              </w:rPr>
            </w:pPr>
            <w:r>
              <w:rPr>
                <w:rFonts w:hint="eastAsia"/>
                <w:color w:val="auto"/>
                <w:sz w:val="21"/>
                <w:szCs w:val="21"/>
                <w:highlight w:val="none"/>
              </w:rPr>
              <w:t>【客观分】</w:t>
            </w:r>
          </w:p>
          <w:p w14:paraId="34B9510B">
            <w:pPr>
              <w:spacing w:line="288" w:lineRule="auto"/>
              <w:rPr>
                <w:color w:val="auto"/>
                <w:sz w:val="21"/>
                <w:szCs w:val="21"/>
                <w:highlight w:val="none"/>
              </w:rPr>
            </w:pPr>
            <w:r>
              <w:rPr>
                <w:rFonts w:hint="eastAsia"/>
                <w:color w:val="auto"/>
                <w:sz w:val="21"/>
                <w:szCs w:val="21"/>
                <w:highlight w:val="none"/>
              </w:rPr>
              <w:t>202</w:t>
            </w:r>
            <w:r>
              <w:rPr>
                <w:color w:val="auto"/>
                <w:sz w:val="21"/>
                <w:szCs w:val="21"/>
                <w:highlight w:val="none"/>
              </w:rPr>
              <w:t>1</w:t>
            </w:r>
            <w:r>
              <w:rPr>
                <w:rFonts w:hint="eastAsia"/>
                <w:color w:val="auto"/>
                <w:sz w:val="21"/>
                <w:szCs w:val="21"/>
                <w:highlight w:val="none"/>
              </w:rPr>
              <w:t>年1月1日以来（以合同最终签署时间为准）具有</w:t>
            </w:r>
            <w:r>
              <w:rPr>
                <w:rFonts w:hint="eastAsia"/>
                <w:color w:val="auto"/>
                <w:sz w:val="21"/>
                <w:szCs w:val="21"/>
                <w:highlight w:val="none"/>
                <w:lang w:val="en-US" w:eastAsia="zh-CN"/>
              </w:rPr>
              <w:t>屋面防水</w:t>
            </w:r>
            <w:r>
              <w:rPr>
                <w:rFonts w:hint="eastAsia"/>
                <w:color w:val="auto"/>
                <w:sz w:val="21"/>
                <w:szCs w:val="21"/>
                <w:highlight w:val="none"/>
              </w:rPr>
              <w:t>类似项目业绩的，每提供一个业绩证明材料得</w:t>
            </w:r>
            <w:r>
              <w:rPr>
                <w:rFonts w:hint="eastAsia"/>
                <w:color w:val="auto"/>
                <w:sz w:val="21"/>
                <w:szCs w:val="21"/>
                <w:highlight w:val="none"/>
                <w:lang w:val="en-US" w:eastAsia="zh-CN"/>
              </w:rPr>
              <w:t>0.5</w:t>
            </w:r>
            <w:r>
              <w:rPr>
                <w:rFonts w:hint="eastAsia"/>
                <w:color w:val="auto"/>
                <w:sz w:val="21"/>
                <w:szCs w:val="21"/>
                <w:highlight w:val="none"/>
              </w:rPr>
              <w:t>分，得分不超过1分。</w:t>
            </w:r>
          </w:p>
          <w:p w14:paraId="2AB67DAD">
            <w:pPr>
              <w:spacing w:line="288" w:lineRule="auto"/>
              <w:rPr>
                <w:color w:val="auto"/>
                <w:sz w:val="21"/>
                <w:szCs w:val="21"/>
                <w:highlight w:val="none"/>
              </w:rPr>
            </w:pPr>
            <w:r>
              <w:rPr>
                <w:rFonts w:hint="eastAsia"/>
                <w:color w:val="auto"/>
                <w:sz w:val="21"/>
                <w:szCs w:val="21"/>
                <w:highlight w:val="none"/>
              </w:rPr>
              <w:t>备注：须提供合同扫描件加盖单位公章。未按要求提供不得分。</w:t>
            </w:r>
            <w:r>
              <w:rPr>
                <w:rFonts w:hint="eastAsia"/>
                <w:b/>
                <w:bCs/>
                <w:color w:val="auto"/>
                <w:sz w:val="21"/>
                <w:szCs w:val="21"/>
                <w:highlight w:val="none"/>
              </w:rPr>
              <w:t>供应商业绩和项目负责人业绩不重复计分（供应商提供合同须注明：供应商业绩证明材料或项目负责人业绩证明材料。未注明或无法判断的，按先供应商业绩，后项目负责人业绩计分）。</w:t>
            </w:r>
          </w:p>
        </w:tc>
      </w:tr>
      <w:tr w14:paraId="6A094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2" w:type="pct"/>
            <w:vMerge w:val="continue"/>
            <w:tcBorders>
              <w:left w:val="single" w:color="auto" w:sz="4" w:space="0"/>
              <w:bottom w:val="single" w:color="auto" w:sz="4" w:space="0"/>
              <w:right w:val="single" w:color="auto" w:sz="4" w:space="0"/>
            </w:tcBorders>
            <w:vAlign w:val="center"/>
          </w:tcPr>
          <w:p w14:paraId="655EA167">
            <w:pPr>
              <w:spacing w:line="288" w:lineRule="auto"/>
              <w:jc w:val="center"/>
              <w:rPr>
                <w:rFonts w:hint="eastAsia"/>
                <w:b/>
                <w:bCs/>
                <w:color w:val="auto"/>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081A66F0">
            <w:pPr>
              <w:spacing w:line="288" w:lineRule="auto"/>
              <w:jc w:val="center"/>
              <w:rPr>
                <w:rFonts w:hint="default" w:eastAsia="宋体"/>
                <w:b/>
                <w:bCs/>
                <w:color w:val="auto"/>
                <w:sz w:val="21"/>
                <w:szCs w:val="21"/>
                <w:highlight w:val="none"/>
                <w:lang w:val="en-US" w:eastAsia="zh-CN"/>
              </w:rPr>
            </w:pPr>
            <w:r>
              <w:rPr>
                <w:rFonts w:hint="eastAsia"/>
                <w:b/>
                <w:bCs/>
                <w:color w:val="auto"/>
                <w:sz w:val="21"/>
                <w:szCs w:val="21"/>
                <w:highlight w:val="none"/>
                <w:lang w:val="en-US" w:eastAsia="zh-CN"/>
              </w:rPr>
              <w:t>0.5</w:t>
            </w:r>
          </w:p>
        </w:tc>
        <w:tc>
          <w:tcPr>
            <w:tcW w:w="3702" w:type="pct"/>
            <w:tcBorders>
              <w:top w:val="single" w:color="auto" w:sz="4" w:space="0"/>
              <w:left w:val="single" w:color="auto" w:sz="4" w:space="0"/>
              <w:bottom w:val="single" w:color="auto" w:sz="4" w:space="0"/>
              <w:right w:val="single" w:color="auto" w:sz="4" w:space="0"/>
            </w:tcBorders>
            <w:vAlign w:val="center"/>
          </w:tcPr>
          <w:p w14:paraId="451CB012">
            <w:pPr>
              <w:spacing w:line="288" w:lineRule="auto"/>
              <w:rPr>
                <w:rFonts w:hint="eastAsia"/>
                <w:color w:val="auto"/>
                <w:sz w:val="21"/>
                <w:szCs w:val="21"/>
                <w:highlight w:val="none"/>
              </w:rPr>
            </w:pPr>
            <w:r>
              <w:rPr>
                <w:rFonts w:hint="eastAsia"/>
                <w:color w:val="auto"/>
                <w:sz w:val="21"/>
                <w:szCs w:val="21"/>
                <w:highlight w:val="none"/>
              </w:rPr>
              <w:t>【客观分】</w:t>
            </w:r>
          </w:p>
          <w:p w14:paraId="772C5FFC">
            <w:pPr>
              <w:spacing w:line="288" w:lineRule="auto"/>
              <w:rPr>
                <w:rFonts w:hint="eastAsia"/>
                <w:color w:val="auto"/>
                <w:sz w:val="21"/>
                <w:szCs w:val="21"/>
                <w:highlight w:val="none"/>
              </w:rPr>
            </w:pPr>
            <w:r>
              <w:rPr>
                <w:rFonts w:hint="eastAsia"/>
                <w:color w:val="auto"/>
                <w:sz w:val="21"/>
                <w:szCs w:val="21"/>
                <w:highlight w:val="none"/>
              </w:rPr>
              <w:t>1、拟派项目负责人2021年1月1日以来（时间以合同最终签署时间为准），具有</w:t>
            </w:r>
            <w:r>
              <w:rPr>
                <w:rFonts w:hint="eastAsia"/>
                <w:color w:val="auto"/>
                <w:sz w:val="21"/>
                <w:szCs w:val="21"/>
                <w:highlight w:val="none"/>
                <w:lang w:val="en-US" w:eastAsia="zh-CN"/>
              </w:rPr>
              <w:t>屋面防水类似</w:t>
            </w:r>
            <w:r>
              <w:rPr>
                <w:rFonts w:hint="eastAsia"/>
                <w:color w:val="auto"/>
                <w:sz w:val="21"/>
                <w:szCs w:val="21"/>
                <w:highlight w:val="none"/>
              </w:rPr>
              <w:t>项目业绩的，每提供一个合同得</w:t>
            </w:r>
            <w:r>
              <w:rPr>
                <w:rFonts w:hint="eastAsia"/>
                <w:color w:val="auto"/>
                <w:sz w:val="21"/>
                <w:szCs w:val="21"/>
                <w:highlight w:val="none"/>
                <w:lang w:val="en-US" w:eastAsia="zh-CN"/>
              </w:rPr>
              <w:t>0.25</w:t>
            </w:r>
            <w:r>
              <w:rPr>
                <w:rFonts w:hint="eastAsia"/>
                <w:color w:val="auto"/>
                <w:sz w:val="21"/>
                <w:szCs w:val="21"/>
                <w:highlight w:val="none"/>
              </w:rPr>
              <w:t>分，最高得</w:t>
            </w:r>
            <w:r>
              <w:rPr>
                <w:rFonts w:hint="eastAsia"/>
                <w:color w:val="auto"/>
                <w:sz w:val="21"/>
                <w:szCs w:val="21"/>
                <w:highlight w:val="none"/>
                <w:lang w:val="en-US" w:eastAsia="zh-CN"/>
              </w:rPr>
              <w:t>0.5</w:t>
            </w:r>
            <w:r>
              <w:rPr>
                <w:rFonts w:hint="eastAsia"/>
                <w:color w:val="auto"/>
                <w:sz w:val="21"/>
                <w:szCs w:val="21"/>
                <w:highlight w:val="none"/>
              </w:rPr>
              <w:t>分。</w:t>
            </w:r>
          </w:p>
          <w:p w14:paraId="6B663089">
            <w:pPr>
              <w:spacing w:line="288" w:lineRule="auto"/>
              <w:rPr>
                <w:rFonts w:hint="eastAsia"/>
                <w:color w:val="auto"/>
                <w:sz w:val="21"/>
                <w:szCs w:val="21"/>
                <w:highlight w:val="none"/>
              </w:rPr>
            </w:pPr>
            <w:r>
              <w:rPr>
                <w:rFonts w:hint="eastAsia"/>
                <w:color w:val="auto"/>
                <w:sz w:val="21"/>
                <w:szCs w:val="21"/>
                <w:highlight w:val="none"/>
              </w:rPr>
              <w:t>注：需提供供应商为项目负责人缴纳社保的证明材料（</w:t>
            </w:r>
            <w:r>
              <w:rPr>
                <w:rFonts w:hint="eastAsia"/>
                <w:color w:val="auto"/>
                <w:sz w:val="21"/>
                <w:szCs w:val="21"/>
                <w:highlight w:val="none"/>
                <w:lang w:eastAsia="zh-CN"/>
              </w:rPr>
              <w:t>2023年1月（含）以后任意一月</w:t>
            </w:r>
            <w:r>
              <w:rPr>
                <w:rFonts w:hint="eastAsia"/>
                <w:color w:val="auto"/>
                <w:sz w:val="21"/>
                <w:szCs w:val="21"/>
                <w:highlight w:val="none"/>
              </w:rPr>
              <w:t>社保缴纳证明）、同类项目业绩合同扫描件并加盖供应商公章，如合同中未体现项目负责人的，需提供用户的证明材料，未按要求提供上述相关证明材料的不得分。（供应商提供合同须注明：供应商业绩证明材料或项目负责人业绩证明材料。未注明或无法判断的，按先供应商业绩，后项目负责人业绩计分）。</w:t>
            </w:r>
          </w:p>
        </w:tc>
      </w:tr>
      <w:tr w14:paraId="6930B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tcBorders>
              <w:top w:val="single" w:color="auto" w:sz="4" w:space="0"/>
              <w:left w:val="single" w:color="auto" w:sz="4" w:space="0"/>
              <w:bottom w:val="single" w:color="auto" w:sz="4" w:space="0"/>
              <w:right w:val="single" w:color="auto" w:sz="4" w:space="0"/>
            </w:tcBorders>
            <w:vAlign w:val="center"/>
          </w:tcPr>
          <w:p w14:paraId="60103792">
            <w:pPr>
              <w:spacing w:line="288" w:lineRule="auto"/>
              <w:rPr>
                <w:rFonts w:hint="eastAsia" w:eastAsia="宋体"/>
                <w:b/>
                <w:bCs/>
                <w:color w:val="auto"/>
                <w:sz w:val="21"/>
                <w:szCs w:val="21"/>
                <w:highlight w:val="none"/>
                <w:lang w:eastAsia="zh-CN"/>
              </w:rPr>
            </w:pPr>
            <w:r>
              <w:rPr>
                <w:rFonts w:hint="eastAsia"/>
                <w:b/>
                <w:bCs/>
                <w:color w:val="auto"/>
                <w:sz w:val="21"/>
                <w:szCs w:val="21"/>
                <w:highlight w:val="none"/>
              </w:rPr>
              <w:t>技术分</w:t>
            </w:r>
            <w:r>
              <w:rPr>
                <w:rFonts w:hint="eastAsia"/>
                <w:b/>
                <w:bCs/>
                <w:color w:val="auto"/>
                <w:sz w:val="21"/>
                <w:szCs w:val="21"/>
                <w:highlight w:val="none"/>
                <w:lang w:eastAsia="zh-CN"/>
              </w:rPr>
              <w:t>（</w:t>
            </w:r>
            <w:r>
              <w:rPr>
                <w:rFonts w:hint="eastAsia"/>
                <w:b/>
                <w:bCs/>
                <w:color w:val="auto"/>
                <w:sz w:val="21"/>
                <w:szCs w:val="21"/>
                <w:highlight w:val="none"/>
                <w:lang w:val="en-US" w:eastAsia="zh-CN"/>
              </w:rPr>
              <w:t>68.5分</w:t>
            </w:r>
            <w:r>
              <w:rPr>
                <w:rFonts w:hint="eastAsia"/>
                <w:b/>
                <w:bCs/>
                <w:color w:val="auto"/>
                <w:sz w:val="21"/>
                <w:szCs w:val="21"/>
                <w:highlight w:val="none"/>
                <w:lang w:eastAsia="zh-CN"/>
              </w:rPr>
              <w:t>）</w:t>
            </w:r>
          </w:p>
        </w:tc>
      </w:tr>
      <w:tr w14:paraId="63402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2" w:type="pct"/>
            <w:vMerge w:val="restart"/>
            <w:tcBorders>
              <w:top w:val="single" w:color="auto" w:sz="4" w:space="0"/>
              <w:left w:val="single" w:color="auto" w:sz="4" w:space="0"/>
              <w:bottom w:val="single" w:color="auto" w:sz="4" w:space="0"/>
              <w:right w:val="single" w:color="auto" w:sz="4" w:space="0"/>
            </w:tcBorders>
            <w:vAlign w:val="center"/>
          </w:tcPr>
          <w:p w14:paraId="0D9300D8">
            <w:pPr>
              <w:spacing w:line="288" w:lineRule="auto"/>
              <w:jc w:val="center"/>
              <w:rPr>
                <w:b/>
                <w:bCs/>
                <w:color w:val="auto"/>
                <w:sz w:val="21"/>
                <w:szCs w:val="21"/>
                <w:highlight w:val="none"/>
              </w:rPr>
            </w:pPr>
            <w:r>
              <w:rPr>
                <w:rFonts w:hint="eastAsia"/>
                <w:b/>
                <w:bCs/>
                <w:color w:val="auto"/>
                <w:sz w:val="21"/>
                <w:szCs w:val="21"/>
                <w:highlight w:val="none"/>
              </w:rPr>
              <w:t>技术方案</w:t>
            </w:r>
          </w:p>
        </w:tc>
        <w:tc>
          <w:tcPr>
            <w:tcW w:w="405" w:type="pct"/>
            <w:tcBorders>
              <w:top w:val="single" w:color="auto" w:sz="4" w:space="0"/>
              <w:left w:val="single" w:color="auto" w:sz="4" w:space="0"/>
              <w:bottom w:val="single" w:color="auto" w:sz="4" w:space="0"/>
              <w:right w:val="single" w:color="auto" w:sz="4" w:space="0"/>
            </w:tcBorders>
            <w:vAlign w:val="center"/>
          </w:tcPr>
          <w:p w14:paraId="5B941371">
            <w:pPr>
              <w:spacing w:line="288" w:lineRule="auto"/>
              <w:jc w:val="center"/>
              <w:rPr>
                <w:b/>
                <w:bCs/>
                <w:color w:val="auto"/>
                <w:sz w:val="21"/>
                <w:szCs w:val="21"/>
                <w:highlight w:val="none"/>
              </w:rPr>
            </w:pPr>
            <w:r>
              <w:rPr>
                <w:rFonts w:hint="eastAsia"/>
                <w:b/>
                <w:bCs/>
                <w:color w:val="auto"/>
                <w:sz w:val="21"/>
                <w:szCs w:val="21"/>
                <w:highlight w:val="none"/>
              </w:rPr>
              <w:t>5</w:t>
            </w:r>
          </w:p>
        </w:tc>
        <w:tc>
          <w:tcPr>
            <w:tcW w:w="3702" w:type="pct"/>
            <w:tcBorders>
              <w:top w:val="single" w:color="auto" w:sz="4" w:space="0"/>
              <w:left w:val="single" w:color="auto" w:sz="4" w:space="0"/>
              <w:bottom w:val="single" w:color="auto" w:sz="4" w:space="0"/>
              <w:right w:val="single" w:color="auto" w:sz="4" w:space="0"/>
            </w:tcBorders>
            <w:vAlign w:val="center"/>
          </w:tcPr>
          <w:p w14:paraId="5ABAC000">
            <w:pPr>
              <w:widowControl/>
              <w:spacing w:line="288" w:lineRule="auto"/>
              <w:jc w:val="left"/>
              <w:rPr>
                <w:bCs/>
                <w:color w:val="auto"/>
                <w:sz w:val="21"/>
                <w:szCs w:val="21"/>
                <w:highlight w:val="none"/>
              </w:rPr>
            </w:pPr>
            <w:r>
              <w:rPr>
                <w:rFonts w:hint="eastAsia"/>
                <w:bCs/>
                <w:color w:val="auto"/>
                <w:sz w:val="21"/>
                <w:szCs w:val="21"/>
                <w:highlight w:val="none"/>
              </w:rPr>
              <w:t>【主观分】</w:t>
            </w:r>
          </w:p>
          <w:p w14:paraId="496493B2">
            <w:pPr>
              <w:widowControl/>
              <w:spacing w:line="288" w:lineRule="auto"/>
              <w:jc w:val="left"/>
              <w:rPr>
                <w:bCs/>
                <w:color w:val="auto"/>
                <w:sz w:val="21"/>
                <w:szCs w:val="21"/>
                <w:highlight w:val="none"/>
              </w:rPr>
            </w:pPr>
            <w:r>
              <w:rPr>
                <w:rFonts w:hint="eastAsia"/>
                <w:bCs/>
                <w:color w:val="auto"/>
                <w:sz w:val="21"/>
                <w:szCs w:val="21"/>
                <w:highlight w:val="none"/>
              </w:rPr>
              <w:t>施工总体方案全面、合理、针对性强。</w:t>
            </w:r>
          </w:p>
          <w:p w14:paraId="3282E962">
            <w:pPr>
              <w:spacing w:line="288" w:lineRule="auto"/>
              <w:rPr>
                <w:color w:val="auto"/>
                <w:sz w:val="21"/>
                <w:szCs w:val="21"/>
                <w:highlight w:val="none"/>
              </w:rPr>
            </w:pPr>
            <w:r>
              <w:rPr>
                <w:rFonts w:hint="eastAsia"/>
                <w:bCs/>
                <w:color w:val="auto"/>
                <w:sz w:val="21"/>
                <w:szCs w:val="21"/>
                <w:highlight w:val="none"/>
              </w:rPr>
              <w:t>（评分范围：5,</w:t>
            </w:r>
            <w:r>
              <w:rPr>
                <w:bCs/>
                <w:color w:val="auto"/>
                <w:sz w:val="21"/>
                <w:szCs w:val="21"/>
                <w:highlight w:val="none"/>
              </w:rPr>
              <w:t>4</w:t>
            </w:r>
            <w:r>
              <w:rPr>
                <w:rFonts w:hint="eastAsia"/>
                <w:bCs/>
                <w:color w:val="auto"/>
                <w:sz w:val="21"/>
                <w:szCs w:val="21"/>
                <w:highlight w:val="none"/>
              </w:rPr>
              <w:t>,</w:t>
            </w:r>
            <w:r>
              <w:rPr>
                <w:bCs/>
                <w:color w:val="auto"/>
                <w:sz w:val="21"/>
                <w:szCs w:val="21"/>
                <w:highlight w:val="none"/>
              </w:rPr>
              <w:t>3</w:t>
            </w:r>
            <w:r>
              <w:rPr>
                <w:rFonts w:hint="eastAsia"/>
                <w:bCs/>
                <w:color w:val="auto"/>
                <w:sz w:val="21"/>
                <w:szCs w:val="21"/>
                <w:highlight w:val="none"/>
              </w:rPr>
              <w:t>,</w:t>
            </w:r>
            <w:r>
              <w:rPr>
                <w:bCs/>
                <w:color w:val="auto"/>
                <w:sz w:val="21"/>
                <w:szCs w:val="21"/>
                <w:highlight w:val="none"/>
              </w:rPr>
              <w:t>2</w:t>
            </w:r>
            <w:r>
              <w:rPr>
                <w:rFonts w:hint="eastAsia"/>
                <w:bCs/>
                <w:color w:val="auto"/>
                <w:sz w:val="21"/>
                <w:szCs w:val="21"/>
                <w:highlight w:val="none"/>
              </w:rPr>
              <w:t>,</w:t>
            </w:r>
            <w:r>
              <w:rPr>
                <w:bCs/>
                <w:color w:val="auto"/>
                <w:sz w:val="21"/>
                <w:szCs w:val="21"/>
                <w:highlight w:val="none"/>
              </w:rPr>
              <w:t>1</w:t>
            </w:r>
            <w:r>
              <w:rPr>
                <w:rFonts w:hint="eastAsia"/>
                <w:bCs/>
                <w:color w:val="auto"/>
                <w:sz w:val="21"/>
                <w:szCs w:val="21"/>
                <w:highlight w:val="none"/>
              </w:rPr>
              <w:t>,</w:t>
            </w:r>
            <w:r>
              <w:rPr>
                <w:bCs/>
                <w:color w:val="auto"/>
                <w:sz w:val="21"/>
                <w:szCs w:val="21"/>
                <w:highlight w:val="none"/>
              </w:rPr>
              <w:t>0</w:t>
            </w:r>
            <w:r>
              <w:rPr>
                <w:rFonts w:hint="eastAsia"/>
                <w:bCs/>
                <w:color w:val="auto"/>
                <w:sz w:val="21"/>
                <w:szCs w:val="21"/>
                <w:highlight w:val="none"/>
              </w:rPr>
              <w:t>）</w:t>
            </w:r>
          </w:p>
        </w:tc>
      </w:tr>
      <w:tr w14:paraId="2F1A5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F17842D">
            <w:pPr>
              <w:widowControl/>
              <w:spacing w:line="288" w:lineRule="auto"/>
              <w:jc w:val="left"/>
              <w:rPr>
                <w:b/>
                <w:bCs/>
                <w:color w:val="auto"/>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34366BF8">
            <w:pPr>
              <w:spacing w:line="288" w:lineRule="auto"/>
              <w:jc w:val="center"/>
              <w:rPr>
                <w:b/>
                <w:bCs/>
                <w:color w:val="auto"/>
                <w:sz w:val="21"/>
                <w:szCs w:val="21"/>
                <w:highlight w:val="none"/>
              </w:rPr>
            </w:pPr>
            <w:r>
              <w:rPr>
                <w:rFonts w:hint="eastAsia"/>
                <w:b/>
                <w:bCs/>
                <w:color w:val="auto"/>
                <w:sz w:val="21"/>
                <w:szCs w:val="21"/>
                <w:highlight w:val="none"/>
              </w:rPr>
              <w:t>5</w:t>
            </w:r>
          </w:p>
        </w:tc>
        <w:tc>
          <w:tcPr>
            <w:tcW w:w="3702" w:type="pct"/>
            <w:tcBorders>
              <w:top w:val="single" w:color="auto" w:sz="4" w:space="0"/>
              <w:left w:val="single" w:color="auto" w:sz="4" w:space="0"/>
              <w:bottom w:val="single" w:color="auto" w:sz="4" w:space="0"/>
              <w:right w:val="single" w:color="auto" w:sz="4" w:space="0"/>
            </w:tcBorders>
            <w:vAlign w:val="center"/>
          </w:tcPr>
          <w:p w14:paraId="26D8D6B9">
            <w:pPr>
              <w:widowControl/>
              <w:spacing w:line="288" w:lineRule="auto"/>
              <w:jc w:val="left"/>
              <w:rPr>
                <w:bCs/>
                <w:color w:val="auto"/>
                <w:sz w:val="21"/>
                <w:szCs w:val="21"/>
                <w:highlight w:val="none"/>
              </w:rPr>
            </w:pPr>
            <w:bookmarkStart w:id="46" w:name="OLE_LINK3"/>
            <w:r>
              <w:rPr>
                <w:rFonts w:hint="eastAsia"/>
                <w:bCs/>
                <w:color w:val="auto"/>
                <w:sz w:val="21"/>
                <w:szCs w:val="21"/>
                <w:highlight w:val="none"/>
              </w:rPr>
              <w:t>【主观分】</w:t>
            </w:r>
          </w:p>
          <w:p w14:paraId="67B23193">
            <w:pPr>
              <w:widowControl/>
              <w:spacing w:line="288" w:lineRule="auto"/>
              <w:jc w:val="left"/>
              <w:rPr>
                <w:bCs/>
                <w:color w:val="auto"/>
                <w:sz w:val="21"/>
                <w:szCs w:val="21"/>
                <w:highlight w:val="none"/>
              </w:rPr>
            </w:pPr>
            <w:r>
              <w:rPr>
                <w:rFonts w:hint="eastAsia"/>
                <w:bCs/>
                <w:color w:val="auto"/>
                <w:sz w:val="21"/>
                <w:szCs w:val="21"/>
                <w:highlight w:val="none"/>
              </w:rPr>
              <w:t>关键部位的施工方案全面、合理、针对性强。</w:t>
            </w:r>
          </w:p>
          <w:p w14:paraId="3A24C159">
            <w:pPr>
              <w:spacing w:line="288" w:lineRule="auto"/>
              <w:rPr>
                <w:color w:val="auto"/>
                <w:sz w:val="21"/>
                <w:szCs w:val="21"/>
                <w:highlight w:val="none"/>
              </w:rPr>
            </w:pPr>
            <w:r>
              <w:rPr>
                <w:rFonts w:hint="eastAsia"/>
                <w:bCs/>
                <w:color w:val="auto"/>
                <w:sz w:val="21"/>
                <w:szCs w:val="21"/>
                <w:highlight w:val="none"/>
              </w:rPr>
              <w:t>（评分范围：5,</w:t>
            </w:r>
            <w:r>
              <w:rPr>
                <w:bCs/>
                <w:color w:val="auto"/>
                <w:sz w:val="21"/>
                <w:szCs w:val="21"/>
                <w:highlight w:val="none"/>
              </w:rPr>
              <w:t>4</w:t>
            </w:r>
            <w:r>
              <w:rPr>
                <w:rFonts w:hint="eastAsia"/>
                <w:bCs/>
                <w:color w:val="auto"/>
                <w:sz w:val="21"/>
                <w:szCs w:val="21"/>
                <w:highlight w:val="none"/>
              </w:rPr>
              <w:t>,</w:t>
            </w:r>
            <w:r>
              <w:rPr>
                <w:bCs/>
                <w:color w:val="auto"/>
                <w:sz w:val="21"/>
                <w:szCs w:val="21"/>
                <w:highlight w:val="none"/>
              </w:rPr>
              <w:t>3</w:t>
            </w:r>
            <w:r>
              <w:rPr>
                <w:rFonts w:hint="eastAsia"/>
                <w:bCs/>
                <w:color w:val="auto"/>
                <w:sz w:val="21"/>
                <w:szCs w:val="21"/>
                <w:highlight w:val="none"/>
              </w:rPr>
              <w:t>,</w:t>
            </w:r>
            <w:r>
              <w:rPr>
                <w:bCs/>
                <w:color w:val="auto"/>
                <w:sz w:val="21"/>
                <w:szCs w:val="21"/>
                <w:highlight w:val="none"/>
              </w:rPr>
              <w:t>2</w:t>
            </w:r>
            <w:r>
              <w:rPr>
                <w:rFonts w:hint="eastAsia"/>
                <w:bCs/>
                <w:color w:val="auto"/>
                <w:sz w:val="21"/>
                <w:szCs w:val="21"/>
                <w:highlight w:val="none"/>
              </w:rPr>
              <w:t>,</w:t>
            </w:r>
            <w:r>
              <w:rPr>
                <w:bCs/>
                <w:color w:val="auto"/>
                <w:sz w:val="21"/>
                <w:szCs w:val="21"/>
                <w:highlight w:val="none"/>
              </w:rPr>
              <w:t>1</w:t>
            </w:r>
            <w:r>
              <w:rPr>
                <w:rFonts w:hint="eastAsia"/>
                <w:bCs/>
                <w:color w:val="auto"/>
                <w:sz w:val="21"/>
                <w:szCs w:val="21"/>
                <w:highlight w:val="none"/>
              </w:rPr>
              <w:t>,</w:t>
            </w:r>
            <w:r>
              <w:rPr>
                <w:bCs/>
                <w:color w:val="auto"/>
                <w:sz w:val="21"/>
                <w:szCs w:val="21"/>
                <w:highlight w:val="none"/>
              </w:rPr>
              <w:t>0</w:t>
            </w:r>
            <w:r>
              <w:rPr>
                <w:rFonts w:hint="eastAsia"/>
                <w:bCs/>
                <w:color w:val="auto"/>
                <w:sz w:val="21"/>
                <w:szCs w:val="21"/>
                <w:highlight w:val="none"/>
              </w:rPr>
              <w:t>）</w:t>
            </w:r>
            <w:bookmarkEnd w:id="46"/>
          </w:p>
        </w:tc>
      </w:tr>
      <w:tr w14:paraId="1EE1A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FAA9BAD">
            <w:pPr>
              <w:widowControl/>
              <w:spacing w:line="288" w:lineRule="auto"/>
              <w:jc w:val="left"/>
              <w:rPr>
                <w:b/>
                <w:bCs/>
                <w:color w:val="auto"/>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6F22F684">
            <w:pPr>
              <w:spacing w:line="288" w:lineRule="auto"/>
              <w:jc w:val="center"/>
              <w:rPr>
                <w:b/>
                <w:bCs/>
                <w:color w:val="auto"/>
                <w:sz w:val="21"/>
                <w:szCs w:val="21"/>
                <w:highlight w:val="none"/>
              </w:rPr>
            </w:pPr>
            <w:r>
              <w:rPr>
                <w:rFonts w:hint="eastAsia"/>
                <w:b/>
                <w:bCs/>
                <w:color w:val="auto"/>
                <w:sz w:val="21"/>
                <w:szCs w:val="21"/>
                <w:highlight w:val="none"/>
              </w:rPr>
              <w:t>5</w:t>
            </w:r>
          </w:p>
        </w:tc>
        <w:tc>
          <w:tcPr>
            <w:tcW w:w="3702" w:type="pct"/>
            <w:tcBorders>
              <w:top w:val="single" w:color="auto" w:sz="4" w:space="0"/>
              <w:left w:val="single" w:color="auto" w:sz="4" w:space="0"/>
              <w:bottom w:val="single" w:color="auto" w:sz="4" w:space="0"/>
              <w:right w:val="single" w:color="auto" w:sz="4" w:space="0"/>
            </w:tcBorders>
            <w:vAlign w:val="center"/>
          </w:tcPr>
          <w:p w14:paraId="2B580869">
            <w:pPr>
              <w:widowControl/>
              <w:spacing w:line="288" w:lineRule="auto"/>
              <w:jc w:val="left"/>
              <w:rPr>
                <w:bCs/>
                <w:color w:val="auto"/>
                <w:sz w:val="21"/>
                <w:szCs w:val="21"/>
                <w:highlight w:val="none"/>
              </w:rPr>
            </w:pPr>
            <w:r>
              <w:rPr>
                <w:rFonts w:hint="eastAsia"/>
                <w:bCs/>
                <w:color w:val="auto"/>
                <w:sz w:val="21"/>
                <w:szCs w:val="21"/>
                <w:highlight w:val="none"/>
              </w:rPr>
              <w:t>【主观分】</w:t>
            </w:r>
          </w:p>
          <w:p w14:paraId="6B4771B1">
            <w:pPr>
              <w:widowControl/>
              <w:spacing w:line="288" w:lineRule="auto"/>
              <w:jc w:val="left"/>
              <w:rPr>
                <w:bCs/>
                <w:color w:val="auto"/>
                <w:kern w:val="0"/>
                <w:sz w:val="21"/>
                <w:szCs w:val="21"/>
                <w:highlight w:val="none"/>
              </w:rPr>
            </w:pPr>
            <w:r>
              <w:rPr>
                <w:rFonts w:hint="eastAsia"/>
                <w:bCs/>
                <w:color w:val="auto"/>
                <w:kern w:val="0"/>
                <w:sz w:val="21"/>
                <w:szCs w:val="21"/>
                <w:highlight w:val="none"/>
              </w:rPr>
              <w:t>投入的施工机械设备和检测设备合理、针对性强，施工机具进场计划安排和管理的保证措施全面、能够满足工程质量和进度的要求。</w:t>
            </w:r>
          </w:p>
          <w:p w14:paraId="2EE1936E">
            <w:pPr>
              <w:spacing w:line="288" w:lineRule="auto"/>
              <w:rPr>
                <w:color w:val="auto"/>
                <w:sz w:val="21"/>
                <w:szCs w:val="21"/>
                <w:highlight w:val="none"/>
              </w:rPr>
            </w:pPr>
            <w:r>
              <w:rPr>
                <w:rFonts w:hint="eastAsia"/>
                <w:bCs/>
                <w:color w:val="auto"/>
                <w:sz w:val="21"/>
                <w:szCs w:val="21"/>
                <w:highlight w:val="none"/>
              </w:rPr>
              <w:t>（评分范围：5,</w:t>
            </w:r>
            <w:r>
              <w:rPr>
                <w:bCs/>
                <w:color w:val="auto"/>
                <w:sz w:val="21"/>
                <w:szCs w:val="21"/>
                <w:highlight w:val="none"/>
              </w:rPr>
              <w:t>4</w:t>
            </w:r>
            <w:r>
              <w:rPr>
                <w:rFonts w:hint="eastAsia"/>
                <w:bCs/>
                <w:color w:val="auto"/>
                <w:sz w:val="21"/>
                <w:szCs w:val="21"/>
                <w:highlight w:val="none"/>
              </w:rPr>
              <w:t>,</w:t>
            </w:r>
            <w:r>
              <w:rPr>
                <w:bCs/>
                <w:color w:val="auto"/>
                <w:sz w:val="21"/>
                <w:szCs w:val="21"/>
                <w:highlight w:val="none"/>
              </w:rPr>
              <w:t>3</w:t>
            </w:r>
            <w:r>
              <w:rPr>
                <w:rFonts w:hint="eastAsia"/>
                <w:bCs/>
                <w:color w:val="auto"/>
                <w:sz w:val="21"/>
                <w:szCs w:val="21"/>
                <w:highlight w:val="none"/>
              </w:rPr>
              <w:t>,</w:t>
            </w:r>
            <w:r>
              <w:rPr>
                <w:bCs/>
                <w:color w:val="auto"/>
                <w:sz w:val="21"/>
                <w:szCs w:val="21"/>
                <w:highlight w:val="none"/>
              </w:rPr>
              <w:t>2</w:t>
            </w:r>
            <w:r>
              <w:rPr>
                <w:rFonts w:hint="eastAsia"/>
                <w:bCs/>
                <w:color w:val="auto"/>
                <w:sz w:val="21"/>
                <w:szCs w:val="21"/>
                <w:highlight w:val="none"/>
              </w:rPr>
              <w:t>,</w:t>
            </w:r>
            <w:r>
              <w:rPr>
                <w:bCs/>
                <w:color w:val="auto"/>
                <w:sz w:val="21"/>
                <w:szCs w:val="21"/>
                <w:highlight w:val="none"/>
              </w:rPr>
              <w:t>1</w:t>
            </w:r>
            <w:r>
              <w:rPr>
                <w:rFonts w:hint="eastAsia"/>
                <w:bCs/>
                <w:color w:val="auto"/>
                <w:sz w:val="21"/>
                <w:szCs w:val="21"/>
                <w:highlight w:val="none"/>
              </w:rPr>
              <w:t>,</w:t>
            </w:r>
            <w:r>
              <w:rPr>
                <w:bCs/>
                <w:color w:val="auto"/>
                <w:sz w:val="21"/>
                <w:szCs w:val="21"/>
                <w:highlight w:val="none"/>
              </w:rPr>
              <w:t>0</w:t>
            </w:r>
            <w:r>
              <w:rPr>
                <w:rFonts w:hint="eastAsia"/>
                <w:bCs/>
                <w:color w:val="auto"/>
                <w:sz w:val="21"/>
                <w:szCs w:val="21"/>
                <w:highlight w:val="none"/>
              </w:rPr>
              <w:t>）</w:t>
            </w:r>
          </w:p>
        </w:tc>
      </w:tr>
      <w:tr w14:paraId="6392C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2D5F002">
            <w:pPr>
              <w:widowControl/>
              <w:spacing w:line="288" w:lineRule="auto"/>
              <w:jc w:val="left"/>
              <w:rPr>
                <w:b/>
                <w:bCs/>
                <w:color w:val="auto"/>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746568B2">
            <w:pPr>
              <w:spacing w:line="288" w:lineRule="auto"/>
              <w:jc w:val="center"/>
              <w:rPr>
                <w:b/>
                <w:bCs/>
                <w:color w:val="auto"/>
                <w:sz w:val="21"/>
                <w:szCs w:val="21"/>
                <w:highlight w:val="none"/>
              </w:rPr>
            </w:pPr>
            <w:r>
              <w:rPr>
                <w:rFonts w:hint="eastAsia"/>
                <w:b/>
                <w:bCs/>
                <w:color w:val="auto"/>
                <w:sz w:val="21"/>
                <w:szCs w:val="21"/>
                <w:highlight w:val="none"/>
              </w:rPr>
              <w:t>5</w:t>
            </w:r>
          </w:p>
        </w:tc>
        <w:tc>
          <w:tcPr>
            <w:tcW w:w="3702" w:type="pct"/>
            <w:tcBorders>
              <w:top w:val="single" w:color="auto" w:sz="4" w:space="0"/>
              <w:left w:val="single" w:color="auto" w:sz="4" w:space="0"/>
              <w:bottom w:val="single" w:color="auto" w:sz="4" w:space="0"/>
              <w:right w:val="single" w:color="auto" w:sz="4" w:space="0"/>
            </w:tcBorders>
            <w:vAlign w:val="center"/>
          </w:tcPr>
          <w:p w14:paraId="716E6B0C">
            <w:pPr>
              <w:widowControl/>
              <w:spacing w:line="288" w:lineRule="auto"/>
              <w:jc w:val="left"/>
              <w:rPr>
                <w:bCs/>
                <w:color w:val="auto"/>
                <w:sz w:val="21"/>
                <w:szCs w:val="21"/>
                <w:highlight w:val="none"/>
              </w:rPr>
            </w:pPr>
            <w:r>
              <w:rPr>
                <w:rFonts w:hint="eastAsia"/>
                <w:bCs/>
                <w:color w:val="auto"/>
                <w:sz w:val="21"/>
                <w:szCs w:val="21"/>
                <w:highlight w:val="none"/>
              </w:rPr>
              <w:t>【主观分】</w:t>
            </w:r>
          </w:p>
          <w:p w14:paraId="340DAB43">
            <w:pPr>
              <w:spacing w:line="288" w:lineRule="auto"/>
              <w:ind w:right="-24" w:rightChars="-10"/>
              <w:jc w:val="left"/>
              <w:rPr>
                <w:bCs/>
                <w:color w:val="auto"/>
                <w:sz w:val="21"/>
                <w:szCs w:val="21"/>
                <w:highlight w:val="none"/>
              </w:rPr>
            </w:pPr>
            <w:r>
              <w:rPr>
                <w:rFonts w:hint="eastAsia"/>
                <w:bCs/>
                <w:color w:val="auto"/>
                <w:sz w:val="21"/>
                <w:szCs w:val="21"/>
                <w:highlight w:val="none"/>
              </w:rPr>
              <w:t>各专业工种的配置和劳动力的投入合理，满足施工需求，劳动力安排组织与管理措施切实可行，职责明确。</w:t>
            </w:r>
          </w:p>
          <w:p w14:paraId="0B700595">
            <w:pPr>
              <w:spacing w:line="288" w:lineRule="auto"/>
              <w:rPr>
                <w:color w:val="auto"/>
                <w:sz w:val="21"/>
                <w:szCs w:val="21"/>
                <w:highlight w:val="none"/>
              </w:rPr>
            </w:pPr>
            <w:r>
              <w:rPr>
                <w:rFonts w:hint="eastAsia"/>
                <w:bCs/>
                <w:color w:val="auto"/>
                <w:sz w:val="21"/>
                <w:szCs w:val="21"/>
                <w:highlight w:val="none"/>
              </w:rPr>
              <w:t>（评分范围：5,</w:t>
            </w:r>
            <w:r>
              <w:rPr>
                <w:bCs/>
                <w:color w:val="auto"/>
                <w:sz w:val="21"/>
                <w:szCs w:val="21"/>
                <w:highlight w:val="none"/>
              </w:rPr>
              <w:t>4</w:t>
            </w:r>
            <w:r>
              <w:rPr>
                <w:rFonts w:hint="eastAsia"/>
                <w:bCs/>
                <w:color w:val="auto"/>
                <w:sz w:val="21"/>
                <w:szCs w:val="21"/>
                <w:highlight w:val="none"/>
              </w:rPr>
              <w:t>,</w:t>
            </w:r>
            <w:r>
              <w:rPr>
                <w:bCs/>
                <w:color w:val="auto"/>
                <w:sz w:val="21"/>
                <w:szCs w:val="21"/>
                <w:highlight w:val="none"/>
              </w:rPr>
              <w:t>3</w:t>
            </w:r>
            <w:r>
              <w:rPr>
                <w:rFonts w:hint="eastAsia"/>
                <w:bCs/>
                <w:color w:val="auto"/>
                <w:sz w:val="21"/>
                <w:szCs w:val="21"/>
                <w:highlight w:val="none"/>
              </w:rPr>
              <w:t>,</w:t>
            </w:r>
            <w:r>
              <w:rPr>
                <w:bCs/>
                <w:color w:val="auto"/>
                <w:sz w:val="21"/>
                <w:szCs w:val="21"/>
                <w:highlight w:val="none"/>
              </w:rPr>
              <w:t>2</w:t>
            </w:r>
            <w:r>
              <w:rPr>
                <w:rFonts w:hint="eastAsia"/>
                <w:bCs/>
                <w:color w:val="auto"/>
                <w:sz w:val="21"/>
                <w:szCs w:val="21"/>
                <w:highlight w:val="none"/>
              </w:rPr>
              <w:t>,</w:t>
            </w:r>
            <w:r>
              <w:rPr>
                <w:bCs/>
                <w:color w:val="auto"/>
                <w:sz w:val="21"/>
                <w:szCs w:val="21"/>
                <w:highlight w:val="none"/>
              </w:rPr>
              <w:t>1</w:t>
            </w:r>
            <w:r>
              <w:rPr>
                <w:rFonts w:hint="eastAsia"/>
                <w:bCs/>
                <w:color w:val="auto"/>
                <w:sz w:val="21"/>
                <w:szCs w:val="21"/>
                <w:highlight w:val="none"/>
              </w:rPr>
              <w:t>,</w:t>
            </w:r>
            <w:r>
              <w:rPr>
                <w:bCs/>
                <w:color w:val="auto"/>
                <w:sz w:val="21"/>
                <w:szCs w:val="21"/>
                <w:highlight w:val="none"/>
              </w:rPr>
              <w:t>0</w:t>
            </w:r>
            <w:r>
              <w:rPr>
                <w:rFonts w:hint="eastAsia"/>
                <w:bCs/>
                <w:color w:val="auto"/>
                <w:sz w:val="21"/>
                <w:szCs w:val="21"/>
                <w:highlight w:val="none"/>
              </w:rPr>
              <w:t>）</w:t>
            </w:r>
          </w:p>
        </w:tc>
      </w:tr>
      <w:tr w14:paraId="32113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13F3E7F">
            <w:pPr>
              <w:widowControl/>
              <w:spacing w:line="288" w:lineRule="auto"/>
              <w:jc w:val="left"/>
              <w:rPr>
                <w:b/>
                <w:bCs/>
                <w:color w:val="auto"/>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424D41FD">
            <w:pPr>
              <w:spacing w:line="288" w:lineRule="auto"/>
              <w:jc w:val="center"/>
              <w:rPr>
                <w:b/>
                <w:bCs/>
                <w:color w:val="auto"/>
                <w:sz w:val="21"/>
                <w:szCs w:val="21"/>
                <w:highlight w:val="none"/>
              </w:rPr>
            </w:pPr>
            <w:r>
              <w:rPr>
                <w:rFonts w:hint="eastAsia"/>
                <w:b/>
                <w:bCs/>
                <w:color w:val="auto"/>
                <w:sz w:val="21"/>
                <w:szCs w:val="21"/>
                <w:highlight w:val="none"/>
              </w:rPr>
              <w:t>5</w:t>
            </w:r>
          </w:p>
        </w:tc>
        <w:tc>
          <w:tcPr>
            <w:tcW w:w="3702" w:type="pct"/>
            <w:tcBorders>
              <w:top w:val="single" w:color="auto" w:sz="4" w:space="0"/>
              <w:left w:val="single" w:color="auto" w:sz="4" w:space="0"/>
              <w:bottom w:val="single" w:color="auto" w:sz="4" w:space="0"/>
              <w:right w:val="single" w:color="auto" w:sz="4" w:space="0"/>
            </w:tcBorders>
            <w:vAlign w:val="center"/>
          </w:tcPr>
          <w:p w14:paraId="28E95510">
            <w:pPr>
              <w:widowControl/>
              <w:spacing w:line="288" w:lineRule="auto"/>
              <w:jc w:val="left"/>
              <w:rPr>
                <w:bCs/>
                <w:color w:val="auto"/>
                <w:sz w:val="21"/>
                <w:szCs w:val="21"/>
                <w:highlight w:val="none"/>
              </w:rPr>
            </w:pPr>
            <w:r>
              <w:rPr>
                <w:rFonts w:hint="eastAsia"/>
                <w:bCs/>
                <w:color w:val="auto"/>
                <w:sz w:val="21"/>
                <w:szCs w:val="21"/>
                <w:highlight w:val="none"/>
              </w:rPr>
              <w:t>【主观分】</w:t>
            </w:r>
          </w:p>
          <w:p w14:paraId="1A710B99">
            <w:pPr>
              <w:widowControl/>
              <w:spacing w:line="288" w:lineRule="auto"/>
              <w:jc w:val="left"/>
              <w:rPr>
                <w:bCs/>
                <w:color w:val="auto"/>
                <w:kern w:val="0"/>
                <w:sz w:val="21"/>
                <w:szCs w:val="21"/>
                <w:highlight w:val="none"/>
              </w:rPr>
            </w:pPr>
            <w:r>
              <w:rPr>
                <w:rFonts w:hint="eastAsia"/>
                <w:bCs/>
                <w:color w:val="auto"/>
                <w:kern w:val="0"/>
                <w:sz w:val="21"/>
                <w:szCs w:val="21"/>
                <w:highlight w:val="none"/>
              </w:rPr>
              <w:t>工期</w:t>
            </w:r>
            <w:r>
              <w:rPr>
                <w:rFonts w:hint="eastAsia"/>
                <w:bCs/>
                <w:color w:val="auto"/>
                <w:sz w:val="21"/>
                <w:szCs w:val="21"/>
                <w:highlight w:val="none"/>
              </w:rPr>
              <w:t>承诺有利于采购人及项目的实施，</w:t>
            </w:r>
            <w:r>
              <w:rPr>
                <w:rFonts w:hint="eastAsia"/>
                <w:bCs/>
                <w:color w:val="auto"/>
                <w:kern w:val="0"/>
                <w:sz w:val="21"/>
                <w:szCs w:val="21"/>
                <w:highlight w:val="none"/>
              </w:rPr>
              <w:t>进度计划合理，</w:t>
            </w:r>
            <w:r>
              <w:rPr>
                <w:rFonts w:hint="eastAsia"/>
                <w:bCs/>
                <w:color w:val="auto"/>
                <w:sz w:val="21"/>
                <w:szCs w:val="21"/>
                <w:highlight w:val="none"/>
              </w:rPr>
              <w:t>控制措施</w:t>
            </w:r>
            <w:r>
              <w:rPr>
                <w:rFonts w:hint="eastAsia"/>
                <w:bCs/>
                <w:color w:val="auto"/>
                <w:kern w:val="0"/>
                <w:sz w:val="21"/>
                <w:szCs w:val="21"/>
                <w:highlight w:val="none"/>
              </w:rPr>
              <w:t>切实可行。</w:t>
            </w:r>
          </w:p>
          <w:p w14:paraId="7DD6BCAD">
            <w:pPr>
              <w:spacing w:line="288" w:lineRule="auto"/>
              <w:rPr>
                <w:color w:val="auto"/>
                <w:sz w:val="21"/>
                <w:szCs w:val="21"/>
                <w:highlight w:val="none"/>
              </w:rPr>
            </w:pPr>
            <w:r>
              <w:rPr>
                <w:rFonts w:hint="eastAsia"/>
                <w:bCs/>
                <w:color w:val="auto"/>
                <w:sz w:val="21"/>
                <w:szCs w:val="21"/>
                <w:highlight w:val="none"/>
              </w:rPr>
              <w:t>（评分范围：5,</w:t>
            </w:r>
            <w:r>
              <w:rPr>
                <w:bCs/>
                <w:color w:val="auto"/>
                <w:sz w:val="21"/>
                <w:szCs w:val="21"/>
                <w:highlight w:val="none"/>
              </w:rPr>
              <w:t>4</w:t>
            </w:r>
            <w:r>
              <w:rPr>
                <w:rFonts w:hint="eastAsia"/>
                <w:bCs/>
                <w:color w:val="auto"/>
                <w:sz w:val="21"/>
                <w:szCs w:val="21"/>
                <w:highlight w:val="none"/>
              </w:rPr>
              <w:t>,</w:t>
            </w:r>
            <w:r>
              <w:rPr>
                <w:bCs/>
                <w:color w:val="auto"/>
                <w:sz w:val="21"/>
                <w:szCs w:val="21"/>
                <w:highlight w:val="none"/>
              </w:rPr>
              <w:t>3</w:t>
            </w:r>
            <w:r>
              <w:rPr>
                <w:rFonts w:hint="eastAsia"/>
                <w:bCs/>
                <w:color w:val="auto"/>
                <w:sz w:val="21"/>
                <w:szCs w:val="21"/>
                <w:highlight w:val="none"/>
              </w:rPr>
              <w:t>,</w:t>
            </w:r>
            <w:r>
              <w:rPr>
                <w:bCs/>
                <w:color w:val="auto"/>
                <w:sz w:val="21"/>
                <w:szCs w:val="21"/>
                <w:highlight w:val="none"/>
              </w:rPr>
              <w:t>2</w:t>
            </w:r>
            <w:r>
              <w:rPr>
                <w:rFonts w:hint="eastAsia"/>
                <w:bCs/>
                <w:color w:val="auto"/>
                <w:sz w:val="21"/>
                <w:szCs w:val="21"/>
                <w:highlight w:val="none"/>
              </w:rPr>
              <w:t>,</w:t>
            </w:r>
            <w:r>
              <w:rPr>
                <w:bCs/>
                <w:color w:val="auto"/>
                <w:sz w:val="21"/>
                <w:szCs w:val="21"/>
                <w:highlight w:val="none"/>
              </w:rPr>
              <w:t>1</w:t>
            </w:r>
            <w:r>
              <w:rPr>
                <w:rFonts w:hint="eastAsia"/>
                <w:bCs/>
                <w:color w:val="auto"/>
                <w:sz w:val="21"/>
                <w:szCs w:val="21"/>
                <w:highlight w:val="none"/>
              </w:rPr>
              <w:t>,</w:t>
            </w:r>
            <w:r>
              <w:rPr>
                <w:bCs/>
                <w:color w:val="auto"/>
                <w:sz w:val="21"/>
                <w:szCs w:val="21"/>
                <w:highlight w:val="none"/>
              </w:rPr>
              <w:t>0</w:t>
            </w:r>
            <w:r>
              <w:rPr>
                <w:rFonts w:hint="eastAsia"/>
                <w:bCs/>
                <w:color w:val="auto"/>
                <w:sz w:val="21"/>
                <w:szCs w:val="21"/>
                <w:highlight w:val="none"/>
              </w:rPr>
              <w:t>）</w:t>
            </w:r>
          </w:p>
        </w:tc>
      </w:tr>
      <w:tr w14:paraId="57D3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AC64DE2">
            <w:pPr>
              <w:widowControl/>
              <w:spacing w:line="288" w:lineRule="auto"/>
              <w:jc w:val="left"/>
              <w:rPr>
                <w:b/>
                <w:bCs/>
                <w:color w:val="auto"/>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04A6C15B">
            <w:pPr>
              <w:spacing w:line="288" w:lineRule="auto"/>
              <w:jc w:val="center"/>
              <w:rPr>
                <w:b/>
                <w:bCs/>
                <w:color w:val="auto"/>
                <w:sz w:val="21"/>
                <w:szCs w:val="21"/>
                <w:highlight w:val="none"/>
              </w:rPr>
            </w:pPr>
            <w:r>
              <w:rPr>
                <w:rFonts w:hint="eastAsia"/>
                <w:b/>
                <w:bCs/>
                <w:color w:val="auto"/>
                <w:sz w:val="21"/>
                <w:szCs w:val="21"/>
                <w:highlight w:val="none"/>
              </w:rPr>
              <w:t>5</w:t>
            </w:r>
          </w:p>
        </w:tc>
        <w:tc>
          <w:tcPr>
            <w:tcW w:w="3702" w:type="pct"/>
            <w:tcBorders>
              <w:top w:val="single" w:color="auto" w:sz="4" w:space="0"/>
              <w:left w:val="single" w:color="auto" w:sz="4" w:space="0"/>
              <w:bottom w:val="single" w:color="auto" w:sz="4" w:space="0"/>
              <w:right w:val="single" w:color="auto" w:sz="4" w:space="0"/>
            </w:tcBorders>
            <w:vAlign w:val="center"/>
          </w:tcPr>
          <w:p w14:paraId="0C5462E7">
            <w:pPr>
              <w:widowControl/>
              <w:spacing w:line="288" w:lineRule="auto"/>
              <w:jc w:val="left"/>
              <w:rPr>
                <w:bCs/>
                <w:color w:val="auto"/>
                <w:sz w:val="21"/>
                <w:szCs w:val="21"/>
                <w:highlight w:val="none"/>
              </w:rPr>
            </w:pPr>
            <w:r>
              <w:rPr>
                <w:rFonts w:hint="eastAsia"/>
                <w:bCs/>
                <w:color w:val="auto"/>
                <w:sz w:val="21"/>
                <w:szCs w:val="21"/>
                <w:highlight w:val="none"/>
              </w:rPr>
              <w:t>【主观分】</w:t>
            </w:r>
          </w:p>
          <w:p w14:paraId="1C62FD27">
            <w:pPr>
              <w:widowControl/>
              <w:spacing w:line="288" w:lineRule="auto"/>
              <w:jc w:val="left"/>
              <w:rPr>
                <w:bCs/>
                <w:color w:val="auto"/>
                <w:kern w:val="0"/>
                <w:sz w:val="21"/>
                <w:szCs w:val="21"/>
                <w:highlight w:val="none"/>
              </w:rPr>
            </w:pPr>
            <w:r>
              <w:rPr>
                <w:rFonts w:hint="eastAsia"/>
                <w:bCs/>
                <w:color w:val="auto"/>
                <w:kern w:val="0"/>
                <w:sz w:val="21"/>
                <w:szCs w:val="21"/>
                <w:highlight w:val="none"/>
              </w:rPr>
              <w:t>针对</w:t>
            </w:r>
            <w:r>
              <w:rPr>
                <w:rFonts w:hint="eastAsia"/>
                <w:bCs/>
                <w:color w:val="auto"/>
                <w:kern w:val="0"/>
                <w:sz w:val="21"/>
                <w:szCs w:val="21"/>
                <w:highlight w:val="none"/>
                <w:lang w:val="en-US" w:eastAsia="zh-CN"/>
              </w:rPr>
              <w:t>剧院</w:t>
            </w:r>
            <w:r>
              <w:rPr>
                <w:rFonts w:hint="eastAsia"/>
                <w:bCs/>
                <w:color w:val="auto"/>
                <w:kern w:val="0"/>
                <w:sz w:val="21"/>
                <w:szCs w:val="21"/>
                <w:highlight w:val="none"/>
              </w:rPr>
              <w:t>特殊施工环境需要采取的安全管理、降噪和降低扬尘的施工技术和组织措施合理可行。</w:t>
            </w:r>
          </w:p>
          <w:p w14:paraId="1C9694B7">
            <w:pPr>
              <w:spacing w:line="288" w:lineRule="auto"/>
              <w:rPr>
                <w:color w:val="auto"/>
                <w:sz w:val="21"/>
                <w:szCs w:val="21"/>
                <w:highlight w:val="none"/>
              </w:rPr>
            </w:pPr>
            <w:r>
              <w:rPr>
                <w:rFonts w:hint="eastAsia"/>
                <w:bCs/>
                <w:color w:val="auto"/>
                <w:sz w:val="21"/>
                <w:szCs w:val="21"/>
                <w:highlight w:val="none"/>
              </w:rPr>
              <w:t>（评分范围：5,</w:t>
            </w:r>
            <w:r>
              <w:rPr>
                <w:bCs/>
                <w:color w:val="auto"/>
                <w:sz w:val="21"/>
                <w:szCs w:val="21"/>
                <w:highlight w:val="none"/>
              </w:rPr>
              <w:t>4</w:t>
            </w:r>
            <w:r>
              <w:rPr>
                <w:rFonts w:hint="eastAsia"/>
                <w:bCs/>
                <w:color w:val="auto"/>
                <w:sz w:val="21"/>
                <w:szCs w:val="21"/>
                <w:highlight w:val="none"/>
              </w:rPr>
              <w:t>,</w:t>
            </w:r>
            <w:r>
              <w:rPr>
                <w:bCs/>
                <w:color w:val="auto"/>
                <w:sz w:val="21"/>
                <w:szCs w:val="21"/>
                <w:highlight w:val="none"/>
              </w:rPr>
              <w:t>3</w:t>
            </w:r>
            <w:r>
              <w:rPr>
                <w:rFonts w:hint="eastAsia"/>
                <w:bCs/>
                <w:color w:val="auto"/>
                <w:sz w:val="21"/>
                <w:szCs w:val="21"/>
                <w:highlight w:val="none"/>
              </w:rPr>
              <w:t>,</w:t>
            </w:r>
            <w:r>
              <w:rPr>
                <w:bCs/>
                <w:color w:val="auto"/>
                <w:sz w:val="21"/>
                <w:szCs w:val="21"/>
                <w:highlight w:val="none"/>
              </w:rPr>
              <w:t>2</w:t>
            </w:r>
            <w:r>
              <w:rPr>
                <w:rFonts w:hint="eastAsia"/>
                <w:bCs/>
                <w:color w:val="auto"/>
                <w:sz w:val="21"/>
                <w:szCs w:val="21"/>
                <w:highlight w:val="none"/>
              </w:rPr>
              <w:t>,</w:t>
            </w:r>
            <w:r>
              <w:rPr>
                <w:bCs/>
                <w:color w:val="auto"/>
                <w:sz w:val="21"/>
                <w:szCs w:val="21"/>
                <w:highlight w:val="none"/>
              </w:rPr>
              <w:t>1</w:t>
            </w:r>
            <w:r>
              <w:rPr>
                <w:rFonts w:hint="eastAsia"/>
                <w:bCs/>
                <w:color w:val="auto"/>
                <w:sz w:val="21"/>
                <w:szCs w:val="21"/>
                <w:highlight w:val="none"/>
              </w:rPr>
              <w:t>,</w:t>
            </w:r>
            <w:r>
              <w:rPr>
                <w:bCs/>
                <w:color w:val="auto"/>
                <w:sz w:val="21"/>
                <w:szCs w:val="21"/>
                <w:highlight w:val="none"/>
              </w:rPr>
              <w:t>0</w:t>
            </w:r>
            <w:r>
              <w:rPr>
                <w:rFonts w:hint="eastAsia"/>
                <w:bCs/>
                <w:color w:val="auto"/>
                <w:sz w:val="21"/>
                <w:szCs w:val="21"/>
                <w:highlight w:val="none"/>
              </w:rPr>
              <w:t>）</w:t>
            </w:r>
          </w:p>
        </w:tc>
      </w:tr>
      <w:tr w14:paraId="5E018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9E7FCA0">
            <w:pPr>
              <w:widowControl/>
              <w:spacing w:line="288" w:lineRule="auto"/>
              <w:jc w:val="left"/>
              <w:rPr>
                <w:b/>
                <w:bCs/>
                <w:color w:val="auto"/>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53D3819B">
            <w:pPr>
              <w:spacing w:line="288" w:lineRule="auto"/>
              <w:jc w:val="center"/>
              <w:rPr>
                <w:rFonts w:hint="eastAsia" w:eastAsia="宋体"/>
                <w:b/>
                <w:bCs/>
                <w:color w:val="auto"/>
                <w:sz w:val="21"/>
                <w:szCs w:val="21"/>
                <w:highlight w:val="none"/>
                <w:lang w:eastAsia="zh-CN"/>
              </w:rPr>
            </w:pPr>
            <w:r>
              <w:rPr>
                <w:rFonts w:hint="eastAsia"/>
                <w:b/>
                <w:bCs/>
                <w:color w:val="auto"/>
                <w:sz w:val="21"/>
                <w:szCs w:val="21"/>
                <w:highlight w:val="none"/>
                <w:lang w:val="en-US" w:eastAsia="zh-CN"/>
              </w:rPr>
              <w:t>5</w:t>
            </w:r>
          </w:p>
        </w:tc>
        <w:tc>
          <w:tcPr>
            <w:tcW w:w="3702" w:type="pct"/>
            <w:tcBorders>
              <w:top w:val="single" w:color="auto" w:sz="4" w:space="0"/>
              <w:left w:val="single" w:color="auto" w:sz="4" w:space="0"/>
              <w:bottom w:val="single" w:color="auto" w:sz="4" w:space="0"/>
              <w:right w:val="single" w:color="auto" w:sz="4" w:space="0"/>
            </w:tcBorders>
            <w:vAlign w:val="center"/>
          </w:tcPr>
          <w:p w14:paraId="741FFE55">
            <w:pPr>
              <w:widowControl/>
              <w:spacing w:line="288" w:lineRule="auto"/>
              <w:jc w:val="left"/>
              <w:rPr>
                <w:bCs/>
                <w:color w:val="auto"/>
                <w:sz w:val="21"/>
                <w:szCs w:val="21"/>
                <w:highlight w:val="none"/>
              </w:rPr>
            </w:pPr>
            <w:r>
              <w:rPr>
                <w:rFonts w:hint="eastAsia"/>
                <w:bCs/>
                <w:color w:val="auto"/>
                <w:sz w:val="21"/>
                <w:szCs w:val="21"/>
                <w:highlight w:val="none"/>
              </w:rPr>
              <w:t>【主观分】</w:t>
            </w:r>
          </w:p>
          <w:p w14:paraId="0A6CF9B8">
            <w:pPr>
              <w:widowControl/>
              <w:spacing w:line="288" w:lineRule="auto"/>
              <w:jc w:val="left"/>
              <w:rPr>
                <w:bCs/>
                <w:color w:val="auto"/>
                <w:kern w:val="0"/>
                <w:sz w:val="21"/>
                <w:szCs w:val="21"/>
                <w:highlight w:val="none"/>
              </w:rPr>
            </w:pPr>
            <w:r>
              <w:rPr>
                <w:rFonts w:hint="eastAsia"/>
                <w:bCs/>
                <w:color w:val="auto"/>
                <w:kern w:val="0"/>
                <w:sz w:val="21"/>
                <w:szCs w:val="21"/>
                <w:highlight w:val="none"/>
              </w:rPr>
              <w:t>安全、文明施工的保证措施科学、合理、到位。</w:t>
            </w:r>
          </w:p>
          <w:p w14:paraId="11B4BE9F">
            <w:pPr>
              <w:spacing w:line="288" w:lineRule="auto"/>
              <w:rPr>
                <w:bCs/>
                <w:color w:val="auto"/>
                <w:sz w:val="21"/>
                <w:szCs w:val="21"/>
                <w:highlight w:val="none"/>
              </w:rPr>
            </w:pPr>
            <w:r>
              <w:rPr>
                <w:rFonts w:hint="eastAsia"/>
                <w:bCs/>
                <w:color w:val="auto"/>
                <w:sz w:val="21"/>
                <w:szCs w:val="21"/>
                <w:highlight w:val="none"/>
              </w:rPr>
              <w:t>（评分范围：</w:t>
            </w:r>
            <w:r>
              <w:rPr>
                <w:rFonts w:hint="eastAsia"/>
                <w:bCs/>
                <w:color w:val="auto"/>
                <w:sz w:val="21"/>
                <w:szCs w:val="21"/>
                <w:highlight w:val="none"/>
                <w:lang w:val="en-US" w:eastAsia="zh-CN"/>
              </w:rPr>
              <w:t>5，</w:t>
            </w:r>
            <w:r>
              <w:rPr>
                <w:bCs/>
                <w:color w:val="auto"/>
                <w:sz w:val="21"/>
                <w:szCs w:val="21"/>
                <w:highlight w:val="none"/>
              </w:rPr>
              <w:t>4</w:t>
            </w:r>
            <w:r>
              <w:rPr>
                <w:rFonts w:hint="eastAsia"/>
                <w:bCs/>
                <w:color w:val="auto"/>
                <w:sz w:val="21"/>
                <w:szCs w:val="21"/>
                <w:highlight w:val="none"/>
              </w:rPr>
              <w:t>,</w:t>
            </w:r>
            <w:r>
              <w:rPr>
                <w:bCs/>
                <w:color w:val="auto"/>
                <w:sz w:val="21"/>
                <w:szCs w:val="21"/>
                <w:highlight w:val="none"/>
              </w:rPr>
              <w:t>3</w:t>
            </w:r>
            <w:r>
              <w:rPr>
                <w:rFonts w:hint="eastAsia"/>
                <w:bCs/>
                <w:color w:val="auto"/>
                <w:sz w:val="21"/>
                <w:szCs w:val="21"/>
                <w:highlight w:val="none"/>
              </w:rPr>
              <w:t>,</w:t>
            </w:r>
            <w:r>
              <w:rPr>
                <w:bCs/>
                <w:color w:val="auto"/>
                <w:sz w:val="21"/>
                <w:szCs w:val="21"/>
                <w:highlight w:val="none"/>
              </w:rPr>
              <w:t>2</w:t>
            </w:r>
            <w:r>
              <w:rPr>
                <w:rFonts w:hint="eastAsia"/>
                <w:bCs/>
                <w:color w:val="auto"/>
                <w:sz w:val="21"/>
                <w:szCs w:val="21"/>
                <w:highlight w:val="none"/>
              </w:rPr>
              <w:t>,</w:t>
            </w:r>
            <w:r>
              <w:rPr>
                <w:bCs/>
                <w:color w:val="auto"/>
                <w:sz w:val="21"/>
                <w:szCs w:val="21"/>
                <w:highlight w:val="none"/>
              </w:rPr>
              <w:t>1</w:t>
            </w:r>
            <w:r>
              <w:rPr>
                <w:rFonts w:hint="eastAsia"/>
                <w:bCs/>
                <w:color w:val="auto"/>
                <w:sz w:val="21"/>
                <w:szCs w:val="21"/>
                <w:highlight w:val="none"/>
              </w:rPr>
              <w:t>,</w:t>
            </w:r>
            <w:r>
              <w:rPr>
                <w:bCs/>
                <w:color w:val="auto"/>
                <w:sz w:val="21"/>
                <w:szCs w:val="21"/>
                <w:highlight w:val="none"/>
              </w:rPr>
              <w:t>0</w:t>
            </w:r>
            <w:r>
              <w:rPr>
                <w:rFonts w:hint="eastAsia"/>
                <w:bCs/>
                <w:color w:val="auto"/>
                <w:sz w:val="21"/>
                <w:szCs w:val="21"/>
                <w:highlight w:val="none"/>
              </w:rPr>
              <w:t>）</w:t>
            </w:r>
          </w:p>
        </w:tc>
      </w:tr>
      <w:tr w14:paraId="45439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B4F5D71">
            <w:pPr>
              <w:widowControl/>
              <w:spacing w:line="288" w:lineRule="auto"/>
              <w:jc w:val="left"/>
              <w:rPr>
                <w:b/>
                <w:bCs/>
                <w:color w:val="auto"/>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2EC0BD20">
            <w:pPr>
              <w:spacing w:line="288" w:lineRule="auto"/>
              <w:jc w:val="center"/>
              <w:rPr>
                <w:b/>
                <w:bCs/>
                <w:color w:val="auto"/>
                <w:sz w:val="21"/>
                <w:szCs w:val="21"/>
                <w:highlight w:val="none"/>
              </w:rPr>
            </w:pPr>
            <w:r>
              <w:rPr>
                <w:rFonts w:hint="eastAsia"/>
                <w:b/>
                <w:bCs/>
                <w:color w:val="auto"/>
                <w:sz w:val="21"/>
                <w:szCs w:val="21"/>
                <w:highlight w:val="none"/>
              </w:rPr>
              <w:t>5</w:t>
            </w:r>
          </w:p>
        </w:tc>
        <w:tc>
          <w:tcPr>
            <w:tcW w:w="3702" w:type="pct"/>
            <w:tcBorders>
              <w:top w:val="single" w:color="auto" w:sz="4" w:space="0"/>
              <w:left w:val="single" w:color="auto" w:sz="4" w:space="0"/>
              <w:bottom w:val="single" w:color="auto" w:sz="4" w:space="0"/>
              <w:right w:val="single" w:color="auto" w:sz="4" w:space="0"/>
            </w:tcBorders>
            <w:vAlign w:val="center"/>
          </w:tcPr>
          <w:p w14:paraId="33243EE1">
            <w:pPr>
              <w:widowControl/>
              <w:spacing w:line="288" w:lineRule="auto"/>
              <w:jc w:val="left"/>
              <w:rPr>
                <w:bCs/>
                <w:color w:val="auto"/>
                <w:sz w:val="21"/>
                <w:szCs w:val="21"/>
                <w:highlight w:val="none"/>
              </w:rPr>
            </w:pPr>
            <w:bookmarkStart w:id="47" w:name="OLE_LINK4"/>
            <w:r>
              <w:rPr>
                <w:rFonts w:hint="eastAsia"/>
                <w:bCs/>
                <w:color w:val="auto"/>
                <w:sz w:val="21"/>
                <w:szCs w:val="21"/>
                <w:highlight w:val="none"/>
              </w:rPr>
              <w:t>【主观分】</w:t>
            </w:r>
          </w:p>
          <w:p w14:paraId="108D17CE">
            <w:pPr>
              <w:spacing w:line="288" w:lineRule="auto"/>
              <w:rPr>
                <w:bCs/>
                <w:color w:val="auto"/>
                <w:sz w:val="21"/>
                <w:szCs w:val="21"/>
                <w:highlight w:val="none"/>
              </w:rPr>
            </w:pPr>
            <w:r>
              <w:rPr>
                <w:rFonts w:hint="eastAsia"/>
                <w:bCs/>
                <w:color w:val="auto"/>
                <w:sz w:val="21"/>
                <w:szCs w:val="21"/>
                <w:highlight w:val="none"/>
              </w:rPr>
              <w:t>技术组织措施、现场质量控制和支持方案完善。</w:t>
            </w:r>
          </w:p>
          <w:p w14:paraId="0FD6FA0E">
            <w:pPr>
              <w:spacing w:line="288" w:lineRule="auto"/>
              <w:rPr>
                <w:color w:val="auto"/>
                <w:sz w:val="21"/>
                <w:szCs w:val="21"/>
                <w:highlight w:val="none"/>
              </w:rPr>
            </w:pPr>
            <w:r>
              <w:rPr>
                <w:rFonts w:hint="eastAsia"/>
                <w:bCs/>
                <w:color w:val="auto"/>
                <w:sz w:val="21"/>
                <w:szCs w:val="21"/>
                <w:highlight w:val="none"/>
              </w:rPr>
              <w:t>（评分范围：5,</w:t>
            </w:r>
            <w:r>
              <w:rPr>
                <w:bCs/>
                <w:color w:val="auto"/>
                <w:sz w:val="21"/>
                <w:szCs w:val="21"/>
                <w:highlight w:val="none"/>
              </w:rPr>
              <w:t>4</w:t>
            </w:r>
            <w:r>
              <w:rPr>
                <w:rFonts w:hint="eastAsia"/>
                <w:bCs/>
                <w:color w:val="auto"/>
                <w:sz w:val="21"/>
                <w:szCs w:val="21"/>
                <w:highlight w:val="none"/>
              </w:rPr>
              <w:t>,</w:t>
            </w:r>
            <w:r>
              <w:rPr>
                <w:bCs/>
                <w:color w:val="auto"/>
                <w:sz w:val="21"/>
                <w:szCs w:val="21"/>
                <w:highlight w:val="none"/>
              </w:rPr>
              <w:t>3</w:t>
            </w:r>
            <w:r>
              <w:rPr>
                <w:rFonts w:hint="eastAsia"/>
                <w:bCs/>
                <w:color w:val="auto"/>
                <w:sz w:val="21"/>
                <w:szCs w:val="21"/>
                <w:highlight w:val="none"/>
              </w:rPr>
              <w:t>,</w:t>
            </w:r>
            <w:r>
              <w:rPr>
                <w:bCs/>
                <w:color w:val="auto"/>
                <w:sz w:val="21"/>
                <w:szCs w:val="21"/>
                <w:highlight w:val="none"/>
              </w:rPr>
              <w:t>2</w:t>
            </w:r>
            <w:r>
              <w:rPr>
                <w:rFonts w:hint="eastAsia"/>
                <w:bCs/>
                <w:color w:val="auto"/>
                <w:sz w:val="21"/>
                <w:szCs w:val="21"/>
                <w:highlight w:val="none"/>
              </w:rPr>
              <w:t>,</w:t>
            </w:r>
            <w:r>
              <w:rPr>
                <w:bCs/>
                <w:color w:val="auto"/>
                <w:sz w:val="21"/>
                <w:szCs w:val="21"/>
                <w:highlight w:val="none"/>
              </w:rPr>
              <w:t>1</w:t>
            </w:r>
            <w:r>
              <w:rPr>
                <w:rFonts w:hint="eastAsia"/>
                <w:bCs/>
                <w:color w:val="auto"/>
                <w:sz w:val="21"/>
                <w:szCs w:val="21"/>
                <w:highlight w:val="none"/>
              </w:rPr>
              <w:t>,</w:t>
            </w:r>
            <w:r>
              <w:rPr>
                <w:bCs/>
                <w:color w:val="auto"/>
                <w:sz w:val="21"/>
                <w:szCs w:val="21"/>
                <w:highlight w:val="none"/>
              </w:rPr>
              <w:t>0</w:t>
            </w:r>
            <w:r>
              <w:rPr>
                <w:rFonts w:hint="eastAsia"/>
                <w:bCs/>
                <w:color w:val="auto"/>
                <w:sz w:val="21"/>
                <w:szCs w:val="21"/>
                <w:highlight w:val="none"/>
              </w:rPr>
              <w:t>）</w:t>
            </w:r>
            <w:bookmarkEnd w:id="47"/>
          </w:p>
        </w:tc>
      </w:tr>
      <w:tr w14:paraId="4A362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C3B4219">
            <w:pPr>
              <w:widowControl/>
              <w:spacing w:line="288" w:lineRule="auto"/>
              <w:jc w:val="left"/>
              <w:rPr>
                <w:b/>
                <w:bCs/>
                <w:color w:val="auto"/>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1863A0A3">
            <w:pPr>
              <w:spacing w:line="288" w:lineRule="auto"/>
              <w:jc w:val="center"/>
              <w:rPr>
                <w:b/>
                <w:bCs/>
                <w:color w:val="auto"/>
                <w:sz w:val="21"/>
                <w:szCs w:val="21"/>
                <w:highlight w:val="none"/>
              </w:rPr>
            </w:pPr>
            <w:r>
              <w:rPr>
                <w:rFonts w:hint="eastAsia"/>
                <w:b/>
                <w:bCs/>
                <w:color w:val="auto"/>
                <w:sz w:val="21"/>
                <w:szCs w:val="21"/>
                <w:highlight w:val="none"/>
              </w:rPr>
              <w:t>5</w:t>
            </w:r>
          </w:p>
        </w:tc>
        <w:tc>
          <w:tcPr>
            <w:tcW w:w="3702" w:type="pct"/>
            <w:tcBorders>
              <w:top w:val="single" w:color="auto" w:sz="4" w:space="0"/>
              <w:left w:val="single" w:color="auto" w:sz="4" w:space="0"/>
              <w:bottom w:val="single" w:color="auto" w:sz="4" w:space="0"/>
              <w:right w:val="single" w:color="auto" w:sz="4" w:space="0"/>
            </w:tcBorders>
            <w:vAlign w:val="center"/>
          </w:tcPr>
          <w:p w14:paraId="411641BD">
            <w:pPr>
              <w:widowControl/>
              <w:spacing w:line="288" w:lineRule="auto"/>
              <w:jc w:val="left"/>
              <w:rPr>
                <w:bCs/>
                <w:color w:val="auto"/>
                <w:sz w:val="21"/>
                <w:szCs w:val="21"/>
                <w:highlight w:val="none"/>
              </w:rPr>
            </w:pPr>
            <w:r>
              <w:rPr>
                <w:rFonts w:hint="eastAsia"/>
                <w:bCs/>
                <w:color w:val="auto"/>
                <w:sz w:val="21"/>
                <w:szCs w:val="21"/>
                <w:highlight w:val="none"/>
              </w:rPr>
              <w:t>【主观分】</w:t>
            </w:r>
          </w:p>
          <w:p w14:paraId="0DE4D62A">
            <w:pPr>
              <w:widowControl/>
              <w:spacing w:line="288" w:lineRule="auto"/>
              <w:jc w:val="left"/>
              <w:rPr>
                <w:bCs/>
                <w:color w:val="auto"/>
                <w:kern w:val="0"/>
                <w:sz w:val="21"/>
                <w:szCs w:val="21"/>
                <w:highlight w:val="none"/>
              </w:rPr>
            </w:pPr>
            <w:r>
              <w:rPr>
                <w:rFonts w:hint="eastAsia"/>
                <w:bCs/>
                <w:color w:val="auto"/>
                <w:kern w:val="0"/>
                <w:sz w:val="21"/>
                <w:szCs w:val="21"/>
                <w:highlight w:val="none"/>
              </w:rPr>
              <w:t>材料的选用能完全满足项目的要求，供货计划能完全满足项目的进度要求，质量保证措施合理。</w:t>
            </w:r>
          </w:p>
          <w:p w14:paraId="1EF8CF51">
            <w:pPr>
              <w:spacing w:line="288" w:lineRule="auto"/>
              <w:rPr>
                <w:color w:val="auto"/>
                <w:sz w:val="21"/>
                <w:szCs w:val="21"/>
                <w:highlight w:val="none"/>
              </w:rPr>
            </w:pPr>
            <w:r>
              <w:rPr>
                <w:rFonts w:hint="eastAsia"/>
                <w:bCs/>
                <w:color w:val="auto"/>
                <w:sz w:val="21"/>
                <w:szCs w:val="21"/>
                <w:highlight w:val="none"/>
              </w:rPr>
              <w:t>（评分范围：5,</w:t>
            </w:r>
            <w:r>
              <w:rPr>
                <w:bCs/>
                <w:color w:val="auto"/>
                <w:sz w:val="21"/>
                <w:szCs w:val="21"/>
                <w:highlight w:val="none"/>
              </w:rPr>
              <w:t>4</w:t>
            </w:r>
            <w:r>
              <w:rPr>
                <w:rFonts w:hint="eastAsia"/>
                <w:bCs/>
                <w:color w:val="auto"/>
                <w:sz w:val="21"/>
                <w:szCs w:val="21"/>
                <w:highlight w:val="none"/>
              </w:rPr>
              <w:t>,</w:t>
            </w:r>
            <w:r>
              <w:rPr>
                <w:bCs/>
                <w:color w:val="auto"/>
                <w:sz w:val="21"/>
                <w:szCs w:val="21"/>
                <w:highlight w:val="none"/>
              </w:rPr>
              <w:t>3</w:t>
            </w:r>
            <w:r>
              <w:rPr>
                <w:rFonts w:hint="eastAsia"/>
                <w:bCs/>
                <w:color w:val="auto"/>
                <w:sz w:val="21"/>
                <w:szCs w:val="21"/>
                <w:highlight w:val="none"/>
              </w:rPr>
              <w:t>,</w:t>
            </w:r>
            <w:r>
              <w:rPr>
                <w:bCs/>
                <w:color w:val="auto"/>
                <w:sz w:val="21"/>
                <w:szCs w:val="21"/>
                <w:highlight w:val="none"/>
              </w:rPr>
              <w:t>2</w:t>
            </w:r>
            <w:r>
              <w:rPr>
                <w:rFonts w:hint="eastAsia"/>
                <w:bCs/>
                <w:color w:val="auto"/>
                <w:sz w:val="21"/>
                <w:szCs w:val="21"/>
                <w:highlight w:val="none"/>
              </w:rPr>
              <w:t>,</w:t>
            </w:r>
            <w:r>
              <w:rPr>
                <w:bCs/>
                <w:color w:val="auto"/>
                <w:sz w:val="21"/>
                <w:szCs w:val="21"/>
                <w:highlight w:val="none"/>
              </w:rPr>
              <w:t>1</w:t>
            </w:r>
            <w:r>
              <w:rPr>
                <w:rFonts w:hint="eastAsia"/>
                <w:bCs/>
                <w:color w:val="auto"/>
                <w:sz w:val="21"/>
                <w:szCs w:val="21"/>
                <w:highlight w:val="none"/>
              </w:rPr>
              <w:t>,</w:t>
            </w:r>
            <w:r>
              <w:rPr>
                <w:bCs/>
                <w:color w:val="auto"/>
                <w:sz w:val="21"/>
                <w:szCs w:val="21"/>
                <w:highlight w:val="none"/>
              </w:rPr>
              <w:t>0</w:t>
            </w:r>
            <w:r>
              <w:rPr>
                <w:rFonts w:hint="eastAsia"/>
                <w:bCs/>
                <w:color w:val="auto"/>
                <w:sz w:val="21"/>
                <w:szCs w:val="21"/>
                <w:highlight w:val="none"/>
              </w:rPr>
              <w:t>）</w:t>
            </w:r>
          </w:p>
        </w:tc>
      </w:tr>
      <w:tr w14:paraId="57CAF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AF21D5F">
            <w:pPr>
              <w:widowControl/>
              <w:spacing w:line="288" w:lineRule="auto"/>
              <w:jc w:val="left"/>
              <w:rPr>
                <w:b/>
                <w:bCs/>
                <w:color w:val="auto"/>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555D7D8F">
            <w:pPr>
              <w:spacing w:line="288" w:lineRule="auto"/>
              <w:jc w:val="center"/>
              <w:rPr>
                <w:b/>
                <w:bCs/>
                <w:color w:val="auto"/>
                <w:sz w:val="21"/>
                <w:szCs w:val="21"/>
                <w:highlight w:val="none"/>
              </w:rPr>
            </w:pPr>
            <w:r>
              <w:rPr>
                <w:rFonts w:hint="eastAsia"/>
                <w:b/>
                <w:bCs/>
                <w:color w:val="auto"/>
                <w:sz w:val="21"/>
                <w:szCs w:val="21"/>
                <w:highlight w:val="none"/>
              </w:rPr>
              <w:t>5</w:t>
            </w:r>
          </w:p>
        </w:tc>
        <w:tc>
          <w:tcPr>
            <w:tcW w:w="3702" w:type="pct"/>
            <w:tcBorders>
              <w:top w:val="single" w:color="auto" w:sz="4" w:space="0"/>
              <w:left w:val="single" w:color="auto" w:sz="4" w:space="0"/>
              <w:bottom w:val="single" w:color="auto" w:sz="4" w:space="0"/>
              <w:right w:val="single" w:color="auto" w:sz="4" w:space="0"/>
            </w:tcBorders>
            <w:vAlign w:val="center"/>
          </w:tcPr>
          <w:p w14:paraId="7EA6ABB1">
            <w:pPr>
              <w:widowControl/>
              <w:spacing w:line="288" w:lineRule="auto"/>
              <w:jc w:val="left"/>
              <w:rPr>
                <w:bCs/>
                <w:color w:val="auto"/>
                <w:sz w:val="21"/>
                <w:szCs w:val="21"/>
                <w:highlight w:val="none"/>
              </w:rPr>
            </w:pPr>
            <w:r>
              <w:rPr>
                <w:rFonts w:hint="eastAsia"/>
                <w:bCs/>
                <w:color w:val="auto"/>
                <w:sz w:val="21"/>
                <w:szCs w:val="21"/>
                <w:highlight w:val="none"/>
              </w:rPr>
              <w:t>【主观分】</w:t>
            </w:r>
          </w:p>
          <w:p w14:paraId="5B158FD9">
            <w:pPr>
              <w:widowControl/>
              <w:spacing w:line="288" w:lineRule="auto"/>
              <w:jc w:val="left"/>
              <w:rPr>
                <w:bCs/>
                <w:color w:val="auto"/>
                <w:sz w:val="21"/>
                <w:szCs w:val="21"/>
                <w:highlight w:val="none"/>
              </w:rPr>
            </w:pPr>
            <w:r>
              <w:rPr>
                <w:rFonts w:hint="eastAsia"/>
                <w:bCs/>
                <w:color w:val="auto"/>
                <w:sz w:val="21"/>
                <w:szCs w:val="21"/>
                <w:highlight w:val="none"/>
              </w:rPr>
              <w:t>施工突发情况的应急</w:t>
            </w:r>
            <w:r>
              <w:rPr>
                <w:rFonts w:hint="eastAsia"/>
                <w:bCs/>
                <w:snapToGrid w:val="0"/>
                <w:color w:val="auto"/>
                <w:kern w:val="0"/>
                <w:sz w:val="21"/>
                <w:szCs w:val="21"/>
                <w:highlight w:val="none"/>
              </w:rPr>
              <w:t>预案合理可行，</w:t>
            </w:r>
            <w:r>
              <w:rPr>
                <w:rFonts w:hint="eastAsia"/>
                <w:bCs/>
                <w:color w:val="auto"/>
                <w:kern w:val="0"/>
                <w:sz w:val="21"/>
                <w:szCs w:val="21"/>
                <w:highlight w:val="none"/>
              </w:rPr>
              <w:t>方案完整，考虑全面。</w:t>
            </w:r>
          </w:p>
          <w:p w14:paraId="653C5D0F">
            <w:pPr>
              <w:spacing w:line="288" w:lineRule="auto"/>
              <w:rPr>
                <w:color w:val="auto"/>
                <w:sz w:val="21"/>
                <w:szCs w:val="21"/>
                <w:highlight w:val="none"/>
              </w:rPr>
            </w:pPr>
            <w:r>
              <w:rPr>
                <w:rFonts w:hint="eastAsia"/>
                <w:bCs/>
                <w:color w:val="auto"/>
                <w:sz w:val="21"/>
                <w:szCs w:val="21"/>
                <w:highlight w:val="none"/>
              </w:rPr>
              <w:t>（评分范围：5,</w:t>
            </w:r>
            <w:r>
              <w:rPr>
                <w:bCs/>
                <w:color w:val="auto"/>
                <w:sz w:val="21"/>
                <w:szCs w:val="21"/>
                <w:highlight w:val="none"/>
              </w:rPr>
              <w:t>4</w:t>
            </w:r>
            <w:r>
              <w:rPr>
                <w:rFonts w:hint="eastAsia"/>
                <w:bCs/>
                <w:color w:val="auto"/>
                <w:sz w:val="21"/>
                <w:szCs w:val="21"/>
                <w:highlight w:val="none"/>
              </w:rPr>
              <w:t>,</w:t>
            </w:r>
            <w:r>
              <w:rPr>
                <w:bCs/>
                <w:color w:val="auto"/>
                <w:sz w:val="21"/>
                <w:szCs w:val="21"/>
                <w:highlight w:val="none"/>
              </w:rPr>
              <w:t>3</w:t>
            </w:r>
            <w:r>
              <w:rPr>
                <w:rFonts w:hint="eastAsia"/>
                <w:bCs/>
                <w:color w:val="auto"/>
                <w:sz w:val="21"/>
                <w:szCs w:val="21"/>
                <w:highlight w:val="none"/>
              </w:rPr>
              <w:t>,</w:t>
            </w:r>
            <w:r>
              <w:rPr>
                <w:bCs/>
                <w:color w:val="auto"/>
                <w:sz w:val="21"/>
                <w:szCs w:val="21"/>
                <w:highlight w:val="none"/>
              </w:rPr>
              <w:t>2</w:t>
            </w:r>
            <w:r>
              <w:rPr>
                <w:rFonts w:hint="eastAsia"/>
                <w:bCs/>
                <w:color w:val="auto"/>
                <w:sz w:val="21"/>
                <w:szCs w:val="21"/>
                <w:highlight w:val="none"/>
              </w:rPr>
              <w:t>,</w:t>
            </w:r>
            <w:r>
              <w:rPr>
                <w:bCs/>
                <w:color w:val="auto"/>
                <w:sz w:val="21"/>
                <w:szCs w:val="21"/>
                <w:highlight w:val="none"/>
              </w:rPr>
              <w:t>1</w:t>
            </w:r>
            <w:r>
              <w:rPr>
                <w:rFonts w:hint="eastAsia"/>
                <w:bCs/>
                <w:color w:val="auto"/>
                <w:sz w:val="21"/>
                <w:szCs w:val="21"/>
                <w:highlight w:val="none"/>
              </w:rPr>
              <w:t>,</w:t>
            </w:r>
            <w:r>
              <w:rPr>
                <w:bCs/>
                <w:color w:val="auto"/>
                <w:sz w:val="21"/>
                <w:szCs w:val="21"/>
                <w:highlight w:val="none"/>
              </w:rPr>
              <w:t>0</w:t>
            </w:r>
            <w:r>
              <w:rPr>
                <w:rFonts w:hint="eastAsia"/>
                <w:bCs/>
                <w:color w:val="auto"/>
                <w:sz w:val="21"/>
                <w:szCs w:val="21"/>
                <w:highlight w:val="none"/>
              </w:rPr>
              <w:t>）</w:t>
            </w:r>
          </w:p>
        </w:tc>
      </w:tr>
      <w:tr w14:paraId="3865A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F9F884E">
            <w:pPr>
              <w:widowControl/>
              <w:spacing w:line="288" w:lineRule="auto"/>
              <w:jc w:val="left"/>
              <w:rPr>
                <w:b/>
                <w:bCs/>
                <w:color w:val="auto"/>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463CD2C8">
            <w:pPr>
              <w:spacing w:line="288" w:lineRule="auto"/>
              <w:jc w:val="center"/>
              <w:rPr>
                <w:b/>
                <w:bCs/>
                <w:color w:val="auto"/>
                <w:sz w:val="21"/>
                <w:szCs w:val="21"/>
                <w:highlight w:val="none"/>
              </w:rPr>
            </w:pPr>
            <w:r>
              <w:rPr>
                <w:rFonts w:hint="eastAsia"/>
                <w:b/>
                <w:bCs/>
                <w:color w:val="auto"/>
                <w:sz w:val="21"/>
                <w:szCs w:val="21"/>
                <w:highlight w:val="none"/>
              </w:rPr>
              <w:t>5</w:t>
            </w:r>
          </w:p>
        </w:tc>
        <w:tc>
          <w:tcPr>
            <w:tcW w:w="3702" w:type="pct"/>
            <w:tcBorders>
              <w:top w:val="single" w:color="auto" w:sz="4" w:space="0"/>
              <w:left w:val="single" w:color="auto" w:sz="4" w:space="0"/>
              <w:bottom w:val="single" w:color="auto" w:sz="4" w:space="0"/>
              <w:right w:val="single" w:color="auto" w:sz="4" w:space="0"/>
            </w:tcBorders>
            <w:vAlign w:val="center"/>
          </w:tcPr>
          <w:p w14:paraId="266F1035">
            <w:pPr>
              <w:widowControl/>
              <w:spacing w:line="288" w:lineRule="auto"/>
              <w:jc w:val="left"/>
              <w:rPr>
                <w:bCs/>
                <w:color w:val="auto"/>
                <w:sz w:val="21"/>
                <w:szCs w:val="21"/>
                <w:highlight w:val="none"/>
              </w:rPr>
            </w:pPr>
            <w:r>
              <w:rPr>
                <w:rFonts w:hint="eastAsia"/>
                <w:bCs/>
                <w:color w:val="auto"/>
                <w:sz w:val="21"/>
                <w:szCs w:val="21"/>
                <w:highlight w:val="none"/>
              </w:rPr>
              <w:t>【主观分】</w:t>
            </w:r>
          </w:p>
          <w:p w14:paraId="0DCD9B05">
            <w:pPr>
              <w:widowControl/>
              <w:spacing w:line="288" w:lineRule="auto"/>
              <w:jc w:val="left"/>
              <w:rPr>
                <w:bCs/>
                <w:color w:val="auto"/>
                <w:sz w:val="21"/>
                <w:szCs w:val="21"/>
                <w:highlight w:val="none"/>
              </w:rPr>
            </w:pPr>
            <w:r>
              <w:rPr>
                <w:rFonts w:hint="eastAsia"/>
                <w:bCs/>
                <w:color w:val="auto"/>
                <w:sz w:val="21"/>
                <w:szCs w:val="21"/>
                <w:highlight w:val="none"/>
              </w:rPr>
              <w:t>项目实施过程中针对成品保护和现有环境的各项措施</w:t>
            </w:r>
            <w:r>
              <w:rPr>
                <w:rFonts w:hint="eastAsia"/>
                <w:color w:val="auto"/>
                <w:kern w:val="0"/>
                <w:sz w:val="21"/>
                <w:szCs w:val="21"/>
                <w:highlight w:val="none"/>
              </w:rPr>
              <w:t>完善、合理可行。</w:t>
            </w:r>
          </w:p>
          <w:p w14:paraId="23C0D986">
            <w:pPr>
              <w:widowControl/>
              <w:spacing w:line="288" w:lineRule="auto"/>
              <w:jc w:val="left"/>
              <w:rPr>
                <w:bCs/>
                <w:color w:val="auto"/>
                <w:sz w:val="21"/>
                <w:szCs w:val="21"/>
                <w:highlight w:val="none"/>
              </w:rPr>
            </w:pPr>
            <w:r>
              <w:rPr>
                <w:rFonts w:hint="eastAsia"/>
                <w:bCs/>
                <w:color w:val="auto"/>
                <w:sz w:val="21"/>
                <w:szCs w:val="21"/>
                <w:highlight w:val="none"/>
              </w:rPr>
              <w:t>（评分范围：5,</w:t>
            </w:r>
            <w:r>
              <w:rPr>
                <w:bCs/>
                <w:color w:val="auto"/>
                <w:sz w:val="21"/>
                <w:szCs w:val="21"/>
                <w:highlight w:val="none"/>
              </w:rPr>
              <w:t>4</w:t>
            </w:r>
            <w:r>
              <w:rPr>
                <w:rFonts w:hint="eastAsia"/>
                <w:bCs/>
                <w:color w:val="auto"/>
                <w:sz w:val="21"/>
                <w:szCs w:val="21"/>
                <w:highlight w:val="none"/>
              </w:rPr>
              <w:t>,</w:t>
            </w:r>
            <w:r>
              <w:rPr>
                <w:bCs/>
                <w:color w:val="auto"/>
                <w:sz w:val="21"/>
                <w:szCs w:val="21"/>
                <w:highlight w:val="none"/>
              </w:rPr>
              <w:t>3</w:t>
            </w:r>
            <w:r>
              <w:rPr>
                <w:rFonts w:hint="eastAsia"/>
                <w:bCs/>
                <w:color w:val="auto"/>
                <w:sz w:val="21"/>
                <w:szCs w:val="21"/>
                <w:highlight w:val="none"/>
              </w:rPr>
              <w:t>,</w:t>
            </w:r>
            <w:r>
              <w:rPr>
                <w:bCs/>
                <w:color w:val="auto"/>
                <w:sz w:val="21"/>
                <w:szCs w:val="21"/>
                <w:highlight w:val="none"/>
              </w:rPr>
              <w:t>2</w:t>
            </w:r>
            <w:r>
              <w:rPr>
                <w:rFonts w:hint="eastAsia"/>
                <w:bCs/>
                <w:color w:val="auto"/>
                <w:sz w:val="21"/>
                <w:szCs w:val="21"/>
                <w:highlight w:val="none"/>
              </w:rPr>
              <w:t>,</w:t>
            </w:r>
            <w:r>
              <w:rPr>
                <w:bCs/>
                <w:color w:val="auto"/>
                <w:sz w:val="21"/>
                <w:szCs w:val="21"/>
                <w:highlight w:val="none"/>
              </w:rPr>
              <w:t>1</w:t>
            </w:r>
            <w:r>
              <w:rPr>
                <w:rFonts w:hint="eastAsia"/>
                <w:bCs/>
                <w:color w:val="auto"/>
                <w:sz w:val="21"/>
                <w:szCs w:val="21"/>
                <w:highlight w:val="none"/>
              </w:rPr>
              <w:t>,</w:t>
            </w:r>
            <w:r>
              <w:rPr>
                <w:bCs/>
                <w:color w:val="auto"/>
                <w:sz w:val="21"/>
                <w:szCs w:val="21"/>
                <w:highlight w:val="none"/>
              </w:rPr>
              <w:t>0</w:t>
            </w:r>
            <w:r>
              <w:rPr>
                <w:rFonts w:hint="eastAsia"/>
                <w:bCs/>
                <w:color w:val="auto"/>
                <w:sz w:val="21"/>
                <w:szCs w:val="21"/>
                <w:highlight w:val="none"/>
              </w:rPr>
              <w:t>）</w:t>
            </w:r>
          </w:p>
        </w:tc>
      </w:tr>
      <w:tr w14:paraId="5230A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trPr>
        <w:tc>
          <w:tcPr>
            <w:tcW w:w="892" w:type="pct"/>
            <w:vMerge w:val="restart"/>
            <w:tcBorders>
              <w:top w:val="single" w:color="auto" w:sz="4" w:space="0"/>
              <w:left w:val="single" w:color="auto" w:sz="4" w:space="0"/>
              <w:bottom w:val="single" w:color="auto" w:sz="4" w:space="0"/>
              <w:right w:val="single" w:color="auto" w:sz="4" w:space="0"/>
            </w:tcBorders>
            <w:vAlign w:val="center"/>
          </w:tcPr>
          <w:p w14:paraId="2DD7B2DE">
            <w:pPr>
              <w:spacing w:line="288" w:lineRule="auto"/>
              <w:jc w:val="center"/>
              <w:rPr>
                <w:b/>
                <w:bCs/>
                <w:color w:val="auto"/>
                <w:sz w:val="21"/>
                <w:szCs w:val="21"/>
                <w:highlight w:val="none"/>
              </w:rPr>
            </w:pPr>
            <w:r>
              <w:rPr>
                <w:rFonts w:hint="eastAsia"/>
                <w:b/>
                <w:bCs/>
                <w:color w:val="auto"/>
                <w:sz w:val="21"/>
                <w:szCs w:val="21"/>
                <w:highlight w:val="none"/>
              </w:rPr>
              <w:t>拟派人员</w:t>
            </w:r>
          </w:p>
        </w:tc>
        <w:tc>
          <w:tcPr>
            <w:tcW w:w="405" w:type="pct"/>
            <w:tcBorders>
              <w:top w:val="single" w:color="auto" w:sz="4" w:space="0"/>
              <w:left w:val="single" w:color="auto" w:sz="4" w:space="0"/>
              <w:right w:val="single" w:color="auto" w:sz="4" w:space="0"/>
            </w:tcBorders>
            <w:vAlign w:val="center"/>
          </w:tcPr>
          <w:p w14:paraId="212D951D">
            <w:pPr>
              <w:spacing w:line="288" w:lineRule="auto"/>
              <w:jc w:val="center"/>
              <w:rPr>
                <w:b/>
                <w:bCs/>
                <w:color w:val="auto"/>
                <w:sz w:val="21"/>
                <w:szCs w:val="21"/>
                <w:highlight w:val="none"/>
              </w:rPr>
            </w:pPr>
            <w:r>
              <w:rPr>
                <w:rFonts w:hint="eastAsia"/>
                <w:b/>
                <w:bCs/>
                <w:color w:val="auto"/>
                <w:sz w:val="21"/>
                <w:szCs w:val="21"/>
                <w:highlight w:val="none"/>
              </w:rPr>
              <w:t>1</w:t>
            </w:r>
            <w:r>
              <w:rPr>
                <w:b/>
                <w:bCs/>
                <w:color w:val="auto"/>
                <w:sz w:val="21"/>
                <w:szCs w:val="21"/>
                <w:highlight w:val="none"/>
              </w:rPr>
              <w:t>.5</w:t>
            </w:r>
          </w:p>
        </w:tc>
        <w:tc>
          <w:tcPr>
            <w:tcW w:w="3702" w:type="pct"/>
            <w:tcBorders>
              <w:top w:val="single" w:color="auto" w:sz="4" w:space="0"/>
              <w:left w:val="single" w:color="auto" w:sz="4" w:space="0"/>
              <w:bottom w:val="single" w:color="auto" w:sz="4" w:space="0"/>
              <w:right w:val="single" w:color="auto" w:sz="4" w:space="0"/>
            </w:tcBorders>
            <w:vAlign w:val="center"/>
          </w:tcPr>
          <w:p w14:paraId="70F563A8">
            <w:pPr>
              <w:spacing w:line="288" w:lineRule="auto"/>
              <w:rPr>
                <w:color w:val="auto"/>
                <w:sz w:val="21"/>
                <w:szCs w:val="21"/>
                <w:highlight w:val="none"/>
              </w:rPr>
            </w:pPr>
            <w:r>
              <w:rPr>
                <w:rFonts w:hint="eastAsia"/>
                <w:color w:val="auto"/>
                <w:sz w:val="21"/>
                <w:szCs w:val="21"/>
                <w:highlight w:val="none"/>
              </w:rPr>
              <w:t>【客观分】</w:t>
            </w:r>
          </w:p>
          <w:p w14:paraId="5E8FBCA4">
            <w:pPr>
              <w:snapToGrid w:val="0"/>
              <w:spacing w:line="288" w:lineRule="auto"/>
              <w:jc w:val="left"/>
              <w:rPr>
                <w:bCs/>
                <w:color w:val="auto"/>
                <w:sz w:val="21"/>
                <w:szCs w:val="21"/>
                <w:highlight w:val="none"/>
              </w:rPr>
            </w:pPr>
            <w:r>
              <w:rPr>
                <w:rFonts w:hint="eastAsia"/>
                <w:bCs/>
                <w:color w:val="auto"/>
                <w:sz w:val="21"/>
                <w:szCs w:val="21"/>
                <w:highlight w:val="none"/>
              </w:rPr>
              <w:t>2、技术负责人具有高级职称证书的得1.5分，否则不得分。</w:t>
            </w:r>
          </w:p>
          <w:p w14:paraId="6C587E41">
            <w:pPr>
              <w:spacing w:line="288" w:lineRule="auto"/>
              <w:rPr>
                <w:color w:val="auto"/>
                <w:sz w:val="21"/>
                <w:szCs w:val="21"/>
                <w:highlight w:val="none"/>
              </w:rPr>
            </w:pPr>
            <w:r>
              <w:rPr>
                <w:rFonts w:hint="eastAsia"/>
                <w:b/>
                <w:bCs/>
                <w:color w:val="auto"/>
                <w:sz w:val="21"/>
                <w:szCs w:val="21"/>
                <w:highlight w:val="none"/>
              </w:rPr>
              <w:t>注：需提供供应商为技术负责人缴纳社保的证明材料（</w:t>
            </w:r>
            <w:r>
              <w:rPr>
                <w:rFonts w:hint="eastAsia"/>
                <w:b/>
                <w:bCs/>
                <w:color w:val="auto"/>
                <w:sz w:val="21"/>
                <w:szCs w:val="21"/>
                <w:highlight w:val="none"/>
                <w:lang w:eastAsia="zh-CN"/>
              </w:rPr>
              <w:t>2023年1月（含）以后任意一月</w:t>
            </w:r>
            <w:r>
              <w:rPr>
                <w:rFonts w:hint="eastAsia"/>
                <w:b/>
                <w:bCs/>
                <w:color w:val="auto"/>
                <w:sz w:val="21"/>
                <w:szCs w:val="21"/>
                <w:highlight w:val="none"/>
              </w:rPr>
              <w:t>社保缴纳证明）、提供证书扫描件并加盖供应商公章，未按要求提供不得分。</w:t>
            </w:r>
          </w:p>
        </w:tc>
      </w:tr>
      <w:tr w14:paraId="15A7B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DC80E78">
            <w:pPr>
              <w:widowControl/>
              <w:spacing w:line="288" w:lineRule="auto"/>
              <w:jc w:val="left"/>
              <w:rPr>
                <w:b/>
                <w:bCs/>
                <w:color w:val="auto"/>
                <w:sz w:val="21"/>
                <w:szCs w:val="21"/>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4EDFB88E">
            <w:pPr>
              <w:spacing w:line="288" w:lineRule="auto"/>
              <w:jc w:val="center"/>
              <w:rPr>
                <w:b/>
                <w:bCs/>
                <w:color w:val="auto"/>
                <w:sz w:val="21"/>
                <w:szCs w:val="21"/>
                <w:highlight w:val="none"/>
              </w:rPr>
            </w:pPr>
            <w:r>
              <w:rPr>
                <w:rFonts w:hint="eastAsia"/>
                <w:b/>
                <w:bCs/>
                <w:color w:val="auto"/>
                <w:sz w:val="21"/>
                <w:szCs w:val="21"/>
                <w:highlight w:val="none"/>
              </w:rPr>
              <w:t>5</w:t>
            </w:r>
          </w:p>
        </w:tc>
        <w:tc>
          <w:tcPr>
            <w:tcW w:w="3702" w:type="pct"/>
            <w:tcBorders>
              <w:top w:val="single" w:color="auto" w:sz="4" w:space="0"/>
              <w:left w:val="single" w:color="auto" w:sz="4" w:space="0"/>
              <w:bottom w:val="single" w:color="auto" w:sz="4" w:space="0"/>
              <w:right w:val="single" w:color="auto" w:sz="4" w:space="0"/>
            </w:tcBorders>
            <w:vAlign w:val="center"/>
          </w:tcPr>
          <w:p w14:paraId="77B80ACE">
            <w:pPr>
              <w:spacing w:line="288" w:lineRule="auto"/>
              <w:rPr>
                <w:color w:val="auto"/>
                <w:sz w:val="21"/>
                <w:szCs w:val="21"/>
                <w:highlight w:val="none"/>
              </w:rPr>
            </w:pPr>
            <w:r>
              <w:rPr>
                <w:rFonts w:hint="eastAsia"/>
                <w:color w:val="auto"/>
                <w:sz w:val="21"/>
                <w:szCs w:val="21"/>
                <w:highlight w:val="none"/>
              </w:rPr>
              <w:t>【客观分】</w:t>
            </w:r>
          </w:p>
          <w:p w14:paraId="6A837E43">
            <w:pPr>
              <w:snapToGrid w:val="0"/>
              <w:spacing w:line="288" w:lineRule="auto"/>
              <w:jc w:val="left"/>
              <w:rPr>
                <w:bCs/>
                <w:color w:val="auto"/>
                <w:sz w:val="21"/>
                <w:szCs w:val="21"/>
                <w:highlight w:val="none"/>
              </w:rPr>
            </w:pPr>
            <w:r>
              <w:rPr>
                <w:rFonts w:hint="eastAsia"/>
                <w:bCs/>
                <w:color w:val="auto"/>
                <w:sz w:val="21"/>
                <w:szCs w:val="21"/>
                <w:highlight w:val="none"/>
              </w:rPr>
              <w:t>3、拟派驻现场的项目组专业配置能否满足项目要求，组织机构是否合理，要求配置：施工员，质量员，安全员，材料员，资料员。每有一类得1分，最高得5分</w:t>
            </w:r>
            <w:r>
              <w:rPr>
                <w:rFonts w:hint="eastAsia"/>
                <w:bCs/>
                <w:color w:val="auto"/>
                <w:sz w:val="21"/>
                <w:szCs w:val="21"/>
                <w:highlight w:val="none"/>
                <w:lang w:eastAsia="zh-CN"/>
              </w:rPr>
              <w:t>，</w:t>
            </w:r>
            <w:r>
              <w:rPr>
                <w:rFonts w:hint="eastAsia"/>
                <w:bCs/>
                <w:color w:val="auto"/>
                <w:sz w:val="21"/>
                <w:szCs w:val="21"/>
                <w:highlight w:val="none"/>
                <w:lang w:val="en-US" w:eastAsia="zh-CN"/>
              </w:rPr>
              <w:t>不提供不得分</w:t>
            </w:r>
            <w:r>
              <w:rPr>
                <w:rFonts w:hint="eastAsia"/>
                <w:bCs/>
                <w:color w:val="auto"/>
                <w:sz w:val="21"/>
                <w:szCs w:val="21"/>
                <w:highlight w:val="none"/>
              </w:rPr>
              <w:t>。</w:t>
            </w:r>
          </w:p>
          <w:p w14:paraId="518FD33D">
            <w:pPr>
              <w:snapToGrid w:val="0"/>
              <w:spacing w:line="288" w:lineRule="auto"/>
              <w:jc w:val="left"/>
              <w:rPr>
                <w:bCs/>
                <w:color w:val="auto"/>
                <w:sz w:val="21"/>
                <w:szCs w:val="21"/>
                <w:highlight w:val="none"/>
              </w:rPr>
            </w:pPr>
            <w:r>
              <w:rPr>
                <w:rFonts w:hint="eastAsia"/>
                <w:b/>
                <w:bCs/>
                <w:color w:val="auto"/>
                <w:sz w:val="21"/>
                <w:szCs w:val="21"/>
                <w:highlight w:val="none"/>
              </w:rPr>
              <w:t>注：需提供供应商为上述人员缴纳社保的证明材料（</w:t>
            </w:r>
            <w:r>
              <w:rPr>
                <w:rFonts w:hint="eastAsia"/>
                <w:b/>
                <w:bCs/>
                <w:color w:val="auto"/>
                <w:sz w:val="21"/>
                <w:szCs w:val="21"/>
                <w:highlight w:val="none"/>
                <w:lang w:eastAsia="zh-CN"/>
              </w:rPr>
              <w:t>2023年1月（含）以后任意一月</w:t>
            </w:r>
            <w:r>
              <w:rPr>
                <w:rFonts w:hint="eastAsia"/>
                <w:b/>
                <w:bCs/>
                <w:color w:val="auto"/>
                <w:sz w:val="21"/>
                <w:szCs w:val="21"/>
                <w:highlight w:val="none"/>
              </w:rPr>
              <w:t>社保缴纳证明）、具体人员配置清单及相关证书扫描件，并加盖供应商公章，允许一人多证。</w:t>
            </w:r>
          </w:p>
        </w:tc>
      </w:tr>
      <w:tr w14:paraId="02CB7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2" w:type="pct"/>
            <w:vMerge w:val="restart"/>
            <w:tcBorders>
              <w:top w:val="single" w:color="auto" w:sz="4" w:space="0"/>
              <w:left w:val="single" w:color="auto" w:sz="4" w:space="0"/>
              <w:right w:val="single" w:color="auto" w:sz="4" w:space="0"/>
            </w:tcBorders>
            <w:vAlign w:val="center"/>
          </w:tcPr>
          <w:p w14:paraId="5D51CD13">
            <w:pPr>
              <w:spacing w:line="288" w:lineRule="auto"/>
              <w:jc w:val="center"/>
              <w:rPr>
                <w:b/>
                <w:bCs/>
                <w:color w:val="auto"/>
                <w:sz w:val="21"/>
                <w:szCs w:val="21"/>
                <w:highlight w:val="none"/>
              </w:rPr>
            </w:pPr>
            <w:r>
              <w:rPr>
                <w:rFonts w:hint="eastAsia"/>
                <w:b/>
                <w:bCs/>
                <w:color w:val="auto"/>
                <w:sz w:val="21"/>
                <w:szCs w:val="21"/>
                <w:highlight w:val="none"/>
                <w:lang w:val="en-US" w:eastAsia="zh-CN"/>
              </w:rPr>
              <w:t>售后及</w:t>
            </w:r>
            <w:r>
              <w:rPr>
                <w:rFonts w:hint="eastAsia"/>
                <w:b/>
                <w:bCs/>
                <w:color w:val="auto"/>
                <w:sz w:val="21"/>
                <w:szCs w:val="21"/>
                <w:highlight w:val="none"/>
              </w:rPr>
              <w:t>其它服务承诺</w:t>
            </w:r>
          </w:p>
        </w:tc>
        <w:tc>
          <w:tcPr>
            <w:tcW w:w="405" w:type="pct"/>
            <w:tcBorders>
              <w:top w:val="single" w:color="auto" w:sz="4" w:space="0"/>
              <w:left w:val="single" w:color="auto" w:sz="4" w:space="0"/>
              <w:bottom w:val="single" w:color="auto" w:sz="4" w:space="0"/>
              <w:right w:val="single" w:color="auto" w:sz="4" w:space="0"/>
            </w:tcBorders>
            <w:vAlign w:val="center"/>
          </w:tcPr>
          <w:p w14:paraId="26352D9E">
            <w:pPr>
              <w:spacing w:line="288" w:lineRule="auto"/>
              <w:jc w:val="center"/>
              <w:rPr>
                <w:rFonts w:hint="eastAsia" w:eastAsia="宋体"/>
                <w:b/>
                <w:bCs/>
                <w:color w:val="auto"/>
                <w:sz w:val="21"/>
                <w:szCs w:val="21"/>
                <w:highlight w:val="none"/>
                <w:lang w:eastAsia="zh-CN"/>
              </w:rPr>
            </w:pPr>
            <w:r>
              <w:rPr>
                <w:rFonts w:hint="eastAsia"/>
                <w:b/>
                <w:bCs/>
                <w:color w:val="auto"/>
                <w:sz w:val="21"/>
                <w:szCs w:val="21"/>
                <w:highlight w:val="none"/>
                <w:lang w:val="en-US" w:eastAsia="zh-CN"/>
              </w:rPr>
              <w:t>3</w:t>
            </w:r>
          </w:p>
        </w:tc>
        <w:tc>
          <w:tcPr>
            <w:tcW w:w="3702" w:type="pct"/>
            <w:tcBorders>
              <w:top w:val="single" w:color="auto" w:sz="4" w:space="0"/>
              <w:left w:val="single" w:color="auto" w:sz="4" w:space="0"/>
              <w:bottom w:val="single" w:color="auto" w:sz="4" w:space="0"/>
              <w:right w:val="single" w:color="auto" w:sz="4" w:space="0"/>
            </w:tcBorders>
            <w:vAlign w:val="center"/>
          </w:tcPr>
          <w:p w14:paraId="6123C676">
            <w:pPr>
              <w:widowControl/>
              <w:spacing w:line="288" w:lineRule="auto"/>
              <w:jc w:val="left"/>
              <w:rPr>
                <w:bCs/>
                <w:color w:val="auto"/>
                <w:sz w:val="21"/>
                <w:szCs w:val="21"/>
                <w:highlight w:val="none"/>
              </w:rPr>
            </w:pPr>
            <w:r>
              <w:rPr>
                <w:rFonts w:hint="eastAsia"/>
                <w:bCs/>
                <w:color w:val="auto"/>
                <w:sz w:val="21"/>
                <w:szCs w:val="21"/>
                <w:highlight w:val="none"/>
              </w:rPr>
              <w:t>【主观分】</w:t>
            </w:r>
          </w:p>
          <w:p w14:paraId="34818252">
            <w:pPr>
              <w:widowControl/>
              <w:spacing w:line="288" w:lineRule="auto"/>
              <w:jc w:val="left"/>
              <w:rPr>
                <w:bCs/>
                <w:color w:val="auto"/>
                <w:sz w:val="21"/>
                <w:szCs w:val="21"/>
                <w:highlight w:val="none"/>
              </w:rPr>
            </w:pPr>
            <w:r>
              <w:rPr>
                <w:rFonts w:hint="eastAsia"/>
                <w:bCs/>
                <w:color w:val="auto"/>
                <w:sz w:val="21"/>
                <w:szCs w:val="21"/>
                <w:highlight w:val="none"/>
                <w:lang w:val="en-US" w:eastAsia="zh-CN"/>
              </w:rPr>
              <w:t>工程</w:t>
            </w:r>
            <w:r>
              <w:rPr>
                <w:rFonts w:hint="eastAsia"/>
                <w:bCs/>
                <w:color w:val="auto"/>
                <w:sz w:val="21"/>
                <w:szCs w:val="21"/>
                <w:highlight w:val="none"/>
              </w:rPr>
              <w:t>保修期、维护响应时间</w:t>
            </w:r>
            <w:r>
              <w:rPr>
                <w:rFonts w:hint="eastAsia"/>
                <w:bCs/>
                <w:color w:val="auto"/>
                <w:sz w:val="21"/>
                <w:szCs w:val="21"/>
                <w:highlight w:val="none"/>
                <w:lang w:eastAsia="zh-CN"/>
              </w:rPr>
              <w:t>：</w:t>
            </w:r>
            <w:r>
              <w:rPr>
                <w:rFonts w:hint="eastAsia"/>
                <w:bCs/>
                <w:color w:val="auto"/>
                <w:sz w:val="21"/>
                <w:szCs w:val="21"/>
                <w:highlight w:val="none"/>
              </w:rPr>
              <w:t>针对采购需求及实际特点</w:t>
            </w:r>
            <w:r>
              <w:rPr>
                <w:rFonts w:hint="eastAsia"/>
                <w:bCs/>
                <w:color w:val="auto"/>
                <w:sz w:val="21"/>
                <w:szCs w:val="21"/>
                <w:highlight w:val="none"/>
                <w:lang w:eastAsia="zh-CN"/>
              </w:rPr>
              <w:t>、</w:t>
            </w:r>
            <w:r>
              <w:rPr>
                <w:rFonts w:hint="eastAsia"/>
                <w:bCs/>
                <w:color w:val="auto"/>
                <w:sz w:val="21"/>
                <w:szCs w:val="21"/>
                <w:highlight w:val="none"/>
                <w:lang w:val="en-US" w:eastAsia="zh-CN"/>
              </w:rPr>
              <w:t>及时、有利于</w:t>
            </w:r>
            <w:r>
              <w:rPr>
                <w:rFonts w:hint="eastAsia"/>
                <w:bCs/>
                <w:color w:val="auto"/>
                <w:sz w:val="21"/>
                <w:szCs w:val="21"/>
                <w:highlight w:val="none"/>
              </w:rPr>
              <w:t>采购标的实现及</w:t>
            </w:r>
            <w:r>
              <w:rPr>
                <w:rFonts w:hint="eastAsia"/>
                <w:bCs/>
                <w:color w:val="auto"/>
                <w:sz w:val="21"/>
                <w:szCs w:val="21"/>
                <w:highlight w:val="none"/>
                <w:lang w:val="en-US" w:eastAsia="zh-CN"/>
              </w:rPr>
              <w:t>合同</w:t>
            </w:r>
            <w:r>
              <w:rPr>
                <w:rFonts w:hint="eastAsia"/>
                <w:bCs/>
                <w:color w:val="auto"/>
                <w:sz w:val="21"/>
                <w:szCs w:val="21"/>
                <w:highlight w:val="none"/>
              </w:rPr>
              <w:t>履约。</w:t>
            </w:r>
          </w:p>
          <w:p w14:paraId="67715B61">
            <w:pPr>
              <w:snapToGrid w:val="0"/>
              <w:spacing w:line="288" w:lineRule="auto"/>
              <w:jc w:val="left"/>
              <w:rPr>
                <w:bCs/>
                <w:color w:val="auto"/>
                <w:sz w:val="21"/>
                <w:szCs w:val="21"/>
                <w:highlight w:val="none"/>
              </w:rPr>
            </w:pPr>
            <w:r>
              <w:rPr>
                <w:rFonts w:hint="eastAsia"/>
                <w:bCs/>
                <w:color w:val="auto"/>
                <w:sz w:val="21"/>
                <w:szCs w:val="21"/>
                <w:highlight w:val="none"/>
              </w:rPr>
              <w:t>（评分范围：</w:t>
            </w:r>
            <w:r>
              <w:rPr>
                <w:rFonts w:hint="eastAsia" w:ascii="宋体" w:hAnsi="宋体" w:eastAsia="宋体" w:cs="宋体"/>
                <w:bCs/>
                <w:color w:val="auto"/>
                <w:sz w:val="21"/>
                <w:szCs w:val="21"/>
                <w:highlight w:val="none"/>
                <w:lang w:val="en-US" w:eastAsia="zh-CN"/>
              </w:rPr>
              <w:t>3</w:t>
            </w:r>
            <w:r>
              <w:rPr>
                <w:rFonts w:hint="eastAsia" w:cs="宋体"/>
                <w:bCs/>
                <w:color w:val="auto"/>
                <w:sz w:val="21"/>
                <w:szCs w:val="21"/>
                <w:highlight w:val="none"/>
                <w:lang w:val="en-US" w:eastAsia="zh-CN"/>
              </w:rPr>
              <w:t>，</w:t>
            </w:r>
            <w:r>
              <w:rPr>
                <w:bCs/>
                <w:color w:val="auto"/>
                <w:sz w:val="21"/>
                <w:szCs w:val="21"/>
                <w:highlight w:val="none"/>
              </w:rPr>
              <w:t>2</w:t>
            </w:r>
            <w:r>
              <w:rPr>
                <w:rFonts w:hint="eastAsia"/>
                <w:bCs/>
                <w:color w:val="auto"/>
                <w:sz w:val="21"/>
                <w:szCs w:val="21"/>
                <w:highlight w:val="none"/>
                <w:lang w:eastAsia="zh-CN"/>
              </w:rPr>
              <w:t>，</w:t>
            </w:r>
            <w:r>
              <w:rPr>
                <w:bCs/>
                <w:color w:val="auto"/>
                <w:sz w:val="21"/>
                <w:szCs w:val="21"/>
                <w:highlight w:val="none"/>
              </w:rPr>
              <w:t>1</w:t>
            </w:r>
            <w:r>
              <w:rPr>
                <w:rFonts w:hint="eastAsia"/>
                <w:bCs/>
                <w:color w:val="auto"/>
                <w:sz w:val="21"/>
                <w:szCs w:val="21"/>
                <w:highlight w:val="none"/>
                <w:lang w:eastAsia="zh-CN"/>
              </w:rPr>
              <w:t>，</w:t>
            </w:r>
            <w:r>
              <w:rPr>
                <w:bCs/>
                <w:color w:val="auto"/>
                <w:sz w:val="21"/>
                <w:szCs w:val="21"/>
                <w:highlight w:val="none"/>
              </w:rPr>
              <w:t>0</w:t>
            </w:r>
            <w:r>
              <w:rPr>
                <w:rFonts w:hint="eastAsia"/>
                <w:bCs/>
                <w:color w:val="auto"/>
                <w:sz w:val="21"/>
                <w:szCs w:val="21"/>
                <w:highlight w:val="none"/>
              </w:rPr>
              <w:t>）</w:t>
            </w:r>
          </w:p>
        </w:tc>
      </w:tr>
      <w:tr w14:paraId="02AE6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2" w:type="pct"/>
            <w:vMerge w:val="continue"/>
            <w:tcBorders>
              <w:left w:val="single" w:color="auto" w:sz="4" w:space="0"/>
              <w:bottom w:val="single" w:color="auto" w:sz="4" w:space="0"/>
              <w:right w:val="single" w:color="auto" w:sz="4" w:space="0"/>
            </w:tcBorders>
            <w:vAlign w:val="center"/>
          </w:tcPr>
          <w:p w14:paraId="59114493">
            <w:pPr>
              <w:spacing w:line="288" w:lineRule="auto"/>
              <w:jc w:val="center"/>
              <w:rPr>
                <w:rFonts w:hint="eastAsia"/>
                <w:b/>
                <w:bCs/>
                <w:color w:val="auto"/>
                <w:sz w:val="21"/>
                <w:szCs w:val="21"/>
                <w:highlight w:val="none"/>
                <w:lang w:val="en-US" w:eastAsia="zh-CN"/>
              </w:rPr>
            </w:pPr>
          </w:p>
        </w:tc>
        <w:tc>
          <w:tcPr>
            <w:tcW w:w="405" w:type="pct"/>
            <w:tcBorders>
              <w:top w:val="single" w:color="auto" w:sz="4" w:space="0"/>
              <w:left w:val="single" w:color="auto" w:sz="4" w:space="0"/>
              <w:bottom w:val="single" w:color="auto" w:sz="4" w:space="0"/>
              <w:right w:val="single" w:color="auto" w:sz="4" w:space="0"/>
            </w:tcBorders>
            <w:vAlign w:val="center"/>
          </w:tcPr>
          <w:p w14:paraId="2F3597A1">
            <w:pPr>
              <w:spacing w:line="288" w:lineRule="auto"/>
              <w:jc w:val="center"/>
              <w:rPr>
                <w:rFonts w:hint="default"/>
                <w:b/>
                <w:bCs/>
                <w:color w:val="auto"/>
                <w:sz w:val="21"/>
                <w:szCs w:val="21"/>
                <w:highlight w:val="none"/>
                <w:lang w:val="en-US" w:eastAsia="zh-CN"/>
              </w:rPr>
            </w:pPr>
            <w:r>
              <w:rPr>
                <w:rFonts w:hint="eastAsia"/>
                <w:b/>
                <w:bCs/>
                <w:color w:val="auto"/>
                <w:sz w:val="21"/>
                <w:szCs w:val="21"/>
                <w:highlight w:val="none"/>
                <w:lang w:val="en-US" w:eastAsia="zh-CN"/>
              </w:rPr>
              <w:t>4</w:t>
            </w:r>
          </w:p>
        </w:tc>
        <w:tc>
          <w:tcPr>
            <w:tcW w:w="3702" w:type="pct"/>
            <w:tcBorders>
              <w:top w:val="single" w:color="auto" w:sz="4" w:space="0"/>
              <w:left w:val="single" w:color="auto" w:sz="4" w:space="0"/>
              <w:bottom w:val="single" w:color="auto" w:sz="4" w:space="0"/>
              <w:right w:val="single" w:color="auto" w:sz="4" w:space="0"/>
            </w:tcBorders>
            <w:vAlign w:val="center"/>
          </w:tcPr>
          <w:p w14:paraId="7ED1E4F6">
            <w:pPr>
              <w:snapToGrid w:val="0"/>
              <w:spacing w:line="288" w:lineRule="auto"/>
              <w:jc w:val="left"/>
              <w:rPr>
                <w:rFonts w:hint="eastAsia"/>
                <w:bCs/>
                <w:color w:val="auto"/>
                <w:sz w:val="21"/>
                <w:szCs w:val="21"/>
                <w:highlight w:val="none"/>
              </w:rPr>
            </w:pPr>
            <w:r>
              <w:rPr>
                <w:rFonts w:hint="eastAsia"/>
                <w:bCs/>
                <w:color w:val="auto"/>
                <w:sz w:val="21"/>
                <w:szCs w:val="21"/>
                <w:highlight w:val="none"/>
              </w:rPr>
              <w:t>【主观分】</w:t>
            </w:r>
          </w:p>
          <w:p w14:paraId="46911D04">
            <w:pPr>
              <w:snapToGrid w:val="0"/>
              <w:spacing w:line="288" w:lineRule="auto"/>
              <w:jc w:val="left"/>
              <w:rPr>
                <w:rFonts w:hint="eastAsia"/>
                <w:bCs/>
                <w:color w:val="auto"/>
                <w:sz w:val="21"/>
                <w:szCs w:val="21"/>
                <w:highlight w:val="none"/>
              </w:rPr>
            </w:pPr>
            <w:r>
              <w:rPr>
                <w:rFonts w:hint="eastAsia"/>
                <w:bCs/>
                <w:color w:val="auto"/>
                <w:sz w:val="21"/>
                <w:szCs w:val="21"/>
                <w:highlight w:val="none"/>
                <w:lang w:val="en-US" w:eastAsia="zh-CN"/>
              </w:rPr>
              <w:t>服务方式、特别承诺：全面、针对采购需求及实际特点、有利于采购标的实现及合同履约</w:t>
            </w:r>
            <w:r>
              <w:rPr>
                <w:rFonts w:hint="eastAsia"/>
                <w:bCs/>
                <w:color w:val="auto"/>
                <w:sz w:val="21"/>
                <w:szCs w:val="21"/>
                <w:highlight w:val="none"/>
              </w:rPr>
              <w:t>。</w:t>
            </w:r>
          </w:p>
          <w:p w14:paraId="01BCDEE7">
            <w:pPr>
              <w:snapToGrid w:val="0"/>
              <w:spacing w:line="288" w:lineRule="auto"/>
              <w:jc w:val="left"/>
              <w:rPr>
                <w:rFonts w:hint="eastAsia"/>
                <w:bCs/>
                <w:color w:val="auto"/>
                <w:sz w:val="21"/>
                <w:szCs w:val="21"/>
                <w:highlight w:val="none"/>
              </w:rPr>
            </w:pPr>
            <w:r>
              <w:rPr>
                <w:rFonts w:hint="eastAsia"/>
                <w:bCs/>
                <w:color w:val="auto"/>
                <w:sz w:val="21"/>
                <w:szCs w:val="21"/>
                <w:highlight w:val="none"/>
              </w:rPr>
              <w:t>（评分范围：</w:t>
            </w:r>
            <w:r>
              <w:rPr>
                <w:rFonts w:hint="eastAsia"/>
                <w:bCs/>
                <w:color w:val="auto"/>
                <w:sz w:val="21"/>
                <w:szCs w:val="21"/>
                <w:highlight w:val="none"/>
                <w:lang w:val="en-US" w:eastAsia="zh-CN"/>
              </w:rPr>
              <w:t>4，3，</w:t>
            </w:r>
            <w:r>
              <w:rPr>
                <w:rFonts w:hint="eastAsia"/>
                <w:bCs/>
                <w:color w:val="auto"/>
                <w:sz w:val="21"/>
                <w:szCs w:val="21"/>
                <w:highlight w:val="none"/>
              </w:rPr>
              <w:t>2</w:t>
            </w:r>
            <w:r>
              <w:rPr>
                <w:rFonts w:hint="eastAsia"/>
                <w:bCs/>
                <w:color w:val="auto"/>
                <w:sz w:val="21"/>
                <w:szCs w:val="21"/>
                <w:highlight w:val="none"/>
                <w:lang w:eastAsia="zh-CN"/>
              </w:rPr>
              <w:t>，</w:t>
            </w:r>
            <w:r>
              <w:rPr>
                <w:rFonts w:hint="eastAsia"/>
                <w:bCs/>
                <w:color w:val="auto"/>
                <w:sz w:val="21"/>
                <w:szCs w:val="21"/>
                <w:highlight w:val="none"/>
              </w:rPr>
              <w:t>1</w:t>
            </w:r>
            <w:r>
              <w:rPr>
                <w:rFonts w:hint="eastAsia"/>
                <w:bCs/>
                <w:color w:val="auto"/>
                <w:sz w:val="21"/>
                <w:szCs w:val="21"/>
                <w:highlight w:val="none"/>
                <w:lang w:eastAsia="zh-CN"/>
              </w:rPr>
              <w:t>，</w:t>
            </w:r>
            <w:r>
              <w:rPr>
                <w:rFonts w:hint="eastAsia"/>
                <w:bCs/>
                <w:color w:val="auto"/>
                <w:sz w:val="21"/>
                <w:szCs w:val="21"/>
                <w:highlight w:val="none"/>
              </w:rPr>
              <w:t>0）</w:t>
            </w:r>
          </w:p>
        </w:tc>
      </w:tr>
    </w:tbl>
    <w:p w14:paraId="7D621EBA">
      <w:pPr>
        <w:adjustRightInd w:val="0"/>
        <w:snapToGrid w:val="0"/>
        <w:spacing w:line="288" w:lineRule="auto"/>
        <w:rPr>
          <w:color w:val="auto"/>
          <w:sz w:val="21"/>
          <w:szCs w:val="21"/>
          <w:highlight w:val="none"/>
        </w:rPr>
      </w:pPr>
    </w:p>
    <w:p w14:paraId="414B71AA">
      <w:pPr>
        <w:adjustRightInd w:val="0"/>
        <w:snapToGrid w:val="0"/>
        <w:spacing w:line="288" w:lineRule="auto"/>
        <w:rPr>
          <w:rFonts w:cs="Times New Roman"/>
          <w:b/>
          <w:bCs/>
          <w:color w:val="auto"/>
          <w:spacing w:val="-6"/>
          <w:sz w:val="21"/>
          <w:szCs w:val="21"/>
          <w:highlight w:val="none"/>
        </w:rPr>
      </w:pPr>
      <w:bookmarkStart w:id="48" w:name="_Hlk81817387"/>
      <w:r>
        <w:rPr>
          <w:rFonts w:hint="eastAsia" w:cs="Times New Roman"/>
          <w:b/>
          <w:bCs/>
          <w:color w:val="auto"/>
          <w:spacing w:val="-6"/>
          <w:sz w:val="21"/>
          <w:szCs w:val="21"/>
          <w:highlight w:val="none"/>
        </w:rPr>
        <w:t>说明：本项目专门面向中小企业采购，不再执行价格评审优惠的扶持政策。</w:t>
      </w:r>
    </w:p>
    <w:bookmarkEnd w:id="48"/>
    <w:p w14:paraId="06546014">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6DF68028">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第五章  拟签订的合同文本</w:t>
      </w:r>
    </w:p>
    <w:p w14:paraId="249F74C5">
      <w:pPr>
        <w:spacing w:line="480" w:lineRule="auto"/>
        <w:jc w:val="left"/>
        <w:rPr>
          <w:rFonts w:ascii="仿宋" w:hAnsi="仿宋" w:eastAsia="仿宋" w:cs="仿宋"/>
          <w:color w:val="auto"/>
          <w:spacing w:val="100"/>
          <w:sz w:val="21"/>
          <w:szCs w:val="21"/>
          <w:highlight w:val="none"/>
        </w:rPr>
      </w:pPr>
      <w:r>
        <w:rPr>
          <w:rFonts w:hint="eastAsia" w:ascii="仿宋" w:hAnsi="仿宋" w:eastAsia="仿宋" w:cs="仿宋"/>
          <w:color w:val="auto"/>
          <w:spacing w:val="100"/>
          <w:sz w:val="21"/>
          <w:szCs w:val="21"/>
          <w:highlight w:val="none"/>
        </w:rPr>
        <w:t>（GF-2018-0201）</w:t>
      </w:r>
    </w:p>
    <w:p w14:paraId="144F7552">
      <w:pPr>
        <w:spacing w:line="480" w:lineRule="auto"/>
        <w:jc w:val="center"/>
        <w:rPr>
          <w:color w:val="auto"/>
          <w:spacing w:val="100"/>
          <w:sz w:val="48"/>
          <w:szCs w:val="48"/>
          <w:highlight w:val="none"/>
        </w:rPr>
      </w:pPr>
    </w:p>
    <w:p w14:paraId="475496C4">
      <w:pPr>
        <w:spacing w:line="480" w:lineRule="auto"/>
        <w:jc w:val="center"/>
        <w:rPr>
          <w:color w:val="auto"/>
          <w:spacing w:val="100"/>
          <w:sz w:val="48"/>
          <w:szCs w:val="48"/>
          <w:highlight w:val="none"/>
        </w:rPr>
      </w:pPr>
    </w:p>
    <w:p w14:paraId="1328BE17">
      <w:pPr>
        <w:spacing w:line="480" w:lineRule="auto"/>
        <w:jc w:val="center"/>
        <w:rPr>
          <w:color w:val="auto"/>
          <w:spacing w:val="100"/>
          <w:sz w:val="48"/>
          <w:szCs w:val="48"/>
          <w:highlight w:val="none"/>
        </w:rPr>
      </w:pPr>
    </w:p>
    <w:p w14:paraId="1D112684">
      <w:pPr>
        <w:spacing w:line="480" w:lineRule="auto"/>
        <w:jc w:val="center"/>
        <w:rPr>
          <w:color w:val="auto"/>
          <w:spacing w:val="100"/>
          <w:sz w:val="48"/>
          <w:szCs w:val="48"/>
          <w:highlight w:val="none"/>
        </w:rPr>
      </w:pPr>
    </w:p>
    <w:p w14:paraId="35FF453C">
      <w:pPr>
        <w:spacing w:line="480" w:lineRule="auto"/>
        <w:jc w:val="center"/>
        <w:rPr>
          <w:color w:val="auto"/>
          <w:spacing w:val="100"/>
          <w:sz w:val="48"/>
          <w:szCs w:val="48"/>
          <w:highlight w:val="none"/>
        </w:rPr>
      </w:pPr>
    </w:p>
    <w:p w14:paraId="1D0FD9E1">
      <w:pPr>
        <w:jc w:val="center"/>
        <w:rPr>
          <w:b/>
          <w:bCs/>
          <w:color w:val="auto"/>
          <w:spacing w:val="100"/>
          <w:sz w:val="48"/>
          <w:szCs w:val="48"/>
          <w:highlight w:val="none"/>
        </w:rPr>
      </w:pPr>
      <w:r>
        <w:rPr>
          <w:rFonts w:hint="eastAsia"/>
          <w:b/>
          <w:bCs/>
          <w:color w:val="auto"/>
          <w:spacing w:val="100"/>
          <w:sz w:val="48"/>
          <w:szCs w:val="48"/>
          <w:highlight w:val="none"/>
        </w:rPr>
        <w:t>建设</w:t>
      </w:r>
      <w:r>
        <w:rPr>
          <w:b/>
          <w:bCs/>
          <w:color w:val="auto"/>
          <w:spacing w:val="100"/>
          <w:sz w:val="48"/>
          <w:szCs w:val="48"/>
          <w:highlight w:val="none"/>
        </w:rPr>
        <w:t>工程施工合同</w:t>
      </w:r>
    </w:p>
    <w:p w14:paraId="0426405E">
      <w:pPr>
        <w:rPr>
          <w:color w:val="auto"/>
          <w:szCs w:val="36"/>
          <w:highlight w:val="none"/>
        </w:rPr>
      </w:pPr>
    </w:p>
    <w:p w14:paraId="4A800F65">
      <w:pPr>
        <w:rPr>
          <w:color w:val="auto"/>
          <w:szCs w:val="36"/>
          <w:highlight w:val="none"/>
        </w:rPr>
      </w:pPr>
    </w:p>
    <w:p w14:paraId="2DDB66D7">
      <w:pPr>
        <w:rPr>
          <w:color w:val="auto"/>
          <w:szCs w:val="36"/>
          <w:highlight w:val="none"/>
        </w:rPr>
      </w:pPr>
    </w:p>
    <w:p w14:paraId="55051514">
      <w:pPr>
        <w:rPr>
          <w:color w:val="auto"/>
          <w:szCs w:val="36"/>
          <w:highlight w:val="none"/>
        </w:rPr>
      </w:pPr>
    </w:p>
    <w:p w14:paraId="3F068B57">
      <w:pPr>
        <w:rPr>
          <w:color w:val="auto"/>
          <w:szCs w:val="36"/>
          <w:highlight w:val="none"/>
        </w:rPr>
      </w:pPr>
    </w:p>
    <w:p w14:paraId="791C51BB">
      <w:pPr>
        <w:rPr>
          <w:color w:val="auto"/>
          <w:szCs w:val="36"/>
          <w:highlight w:val="none"/>
        </w:rPr>
      </w:pPr>
    </w:p>
    <w:p w14:paraId="4E787DED">
      <w:pPr>
        <w:rPr>
          <w:color w:val="auto"/>
          <w:szCs w:val="36"/>
          <w:highlight w:val="none"/>
        </w:rPr>
      </w:pPr>
    </w:p>
    <w:p w14:paraId="7F83C4D6">
      <w:pPr>
        <w:rPr>
          <w:color w:val="auto"/>
          <w:szCs w:val="36"/>
          <w:highlight w:val="none"/>
        </w:rPr>
      </w:pPr>
    </w:p>
    <w:p w14:paraId="7D233A7A">
      <w:pPr>
        <w:rPr>
          <w:color w:val="auto"/>
          <w:szCs w:val="36"/>
          <w:highlight w:val="none"/>
        </w:rPr>
      </w:pPr>
    </w:p>
    <w:p w14:paraId="4B875A86">
      <w:pPr>
        <w:spacing w:line="700" w:lineRule="exact"/>
        <w:rPr>
          <w:color w:val="auto"/>
          <w:kern w:val="0"/>
          <w:sz w:val="32"/>
          <w:szCs w:val="32"/>
          <w:highlight w:val="none"/>
        </w:rPr>
      </w:pPr>
      <w:r>
        <w:rPr>
          <w:color w:val="auto"/>
          <w:kern w:val="0"/>
          <w:sz w:val="32"/>
          <w:szCs w:val="32"/>
          <w:highlight w:val="none"/>
        </w:rPr>
        <w:t xml:space="preserve"> </w:t>
      </w:r>
    </w:p>
    <w:p w14:paraId="22A8986E">
      <w:pPr>
        <w:widowControl/>
        <w:ind w:firstLine="2570" w:firstLineChars="800"/>
        <w:jc w:val="left"/>
        <w:rPr>
          <w:b/>
          <w:bCs/>
          <w:color w:val="auto"/>
          <w:sz w:val="32"/>
          <w:szCs w:val="32"/>
          <w:highlight w:val="none"/>
          <w:u w:val="single"/>
        </w:rPr>
      </w:pPr>
    </w:p>
    <w:p w14:paraId="38EC6DF5">
      <w:pPr>
        <w:widowControl/>
        <w:jc w:val="left"/>
        <w:rPr>
          <w:b/>
          <w:bCs/>
          <w:color w:val="auto"/>
          <w:sz w:val="32"/>
          <w:szCs w:val="32"/>
          <w:highlight w:val="none"/>
          <w:u w:val="single"/>
        </w:rPr>
      </w:pPr>
    </w:p>
    <w:p w14:paraId="61431A1B">
      <w:pPr>
        <w:widowControl/>
        <w:ind w:firstLine="2560" w:firstLineChars="800"/>
        <w:jc w:val="left"/>
        <w:rPr>
          <w:color w:val="auto"/>
          <w:sz w:val="32"/>
          <w:szCs w:val="32"/>
          <w:highlight w:val="none"/>
        </w:rPr>
      </w:pPr>
      <w:r>
        <w:rPr>
          <w:rFonts w:hint="eastAsia"/>
          <w:color w:val="auto"/>
          <w:sz w:val="32"/>
          <w:szCs w:val="32"/>
          <w:highlight w:val="none"/>
        </w:rPr>
        <w:t>住 房 城 乡 建 设 部</w:t>
      </w:r>
    </w:p>
    <w:p w14:paraId="664D704C">
      <w:pPr>
        <w:widowControl/>
        <w:ind w:firstLine="2560" w:firstLineChars="800"/>
        <w:jc w:val="left"/>
        <w:rPr>
          <w:color w:val="auto"/>
          <w:sz w:val="32"/>
          <w:szCs w:val="32"/>
          <w:highlight w:val="none"/>
        </w:rPr>
      </w:pPr>
      <w:r>
        <w:rPr>
          <w:rFonts w:hint="eastAsia"/>
          <w:color w:val="auto"/>
          <w:sz w:val="32"/>
          <w:szCs w:val="32"/>
          <w:highlight w:val="none"/>
        </w:rPr>
        <w:t xml:space="preserve">                      制定</w:t>
      </w:r>
    </w:p>
    <w:p w14:paraId="43DA026E">
      <w:pPr>
        <w:widowControl/>
        <w:ind w:firstLine="2560" w:firstLineChars="800"/>
        <w:jc w:val="left"/>
        <w:rPr>
          <w:b/>
          <w:bCs/>
          <w:color w:val="auto"/>
          <w:sz w:val="32"/>
          <w:szCs w:val="32"/>
          <w:highlight w:val="none"/>
          <w:u w:val="single"/>
        </w:rPr>
      </w:pPr>
      <w:r>
        <w:rPr>
          <w:rFonts w:hint="eastAsia"/>
          <w:color w:val="auto"/>
          <w:sz w:val="32"/>
          <w:szCs w:val="32"/>
          <w:highlight w:val="none"/>
        </w:rPr>
        <w:t>国家工商行政管理总局</w:t>
      </w:r>
      <w:r>
        <w:rPr>
          <w:b/>
          <w:bCs/>
          <w:color w:val="auto"/>
          <w:sz w:val="32"/>
          <w:szCs w:val="32"/>
          <w:highlight w:val="none"/>
          <w:u w:val="single"/>
        </w:rPr>
        <w:br w:type="page"/>
      </w:r>
    </w:p>
    <w:p w14:paraId="1D9C023E">
      <w:pPr>
        <w:spacing w:line="288" w:lineRule="auto"/>
        <w:jc w:val="center"/>
        <w:rPr>
          <w:color w:val="auto"/>
          <w:sz w:val="28"/>
          <w:szCs w:val="28"/>
          <w:highlight w:val="none"/>
        </w:rPr>
      </w:pPr>
      <w:r>
        <w:rPr>
          <w:rFonts w:hint="eastAsia"/>
          <w:b/>
          <w:bCs/>
          <w:color w:val="auto"/>
          <w:sz w:val="28"/>
          <w:szCs w:val="28"/>
          <w:highlight w:val="none"/>
        </w:rPr>
        <w:t>第一部分  合同协议书</w:t>
      </w:r>
    </w:p>
    <w:p w14:paraId="050EB48E">
      <w:pPr>
        <w:spacing w:line="288" w:lineRule="auto"/>
        <w:rPr>
          <w:color w:val="auto"/>
          <w:sz w:val="21"/>
          <w:szCs w:val="21"/>
          <w:highlight w:val="none"/>
        </w:rPr>
      </w:pPr>
    </w:p>
    <w:p w14:paraId="20316FA0">
      <w:pPr>
        <w:spacing w:line="288" w:lineRule="auto"/>
        <w:rPr>
          <w:rFonts w:hint="eastAsia" w:eastAsia="宋体"/>
          <w:color w:val="auto"/>
          <w:sz w:val="21"/>
          <w:szCs w:val="21"/>
          <w:highlight w:val="none"/>
          <w:lang w:eastAsia="zh-CN"/>
        </w:rPr>
      </w:pPr>
      <w:r>
        <w:rPr>
          <w:rFonts w:hint="eastAsia"/>
          <w:color w:val="auto"/>
          <w:sz w:val="21"/>
          <w:szCs w:val="21"/>
          <w:highlight w:val="none"/>
        </w:rPr>
        <w:t>发包人（全称）：</w:t>
      </w:r>
      <w:r>
        <w:rPr>
          <w:rFonts w:hint="eastAsia"/>
          <w:color w:val="auto"/>
          <w:sz w:val="21"/>
          <w:szCs w:val="21"/>
          <w:highlight w:val="none"/>
          <w:lang w:eastAsia="zh-CN"/>
        </w:rPr>
        <w:t>浙江省文化馆</w:t>
      </w:r>
    </w:p>
    <w:p w14:paraId="2393FDE8">
      <w:pPr>
        <w:spacing w:line="288" w:lineRule="auto"/>
        <w:rPr>
          <w:color w:val="auto"/>
          <w:sz w:val="21"/>
          <w:szCs w:val="21"/>
          <w:highlight w:val="none"/>
        </w:rPr>
      </w:pPr>
      <w:r>
        <w:rPr>
          <w:rFonts w:hint="eastAsia"/>
          <w:color w:val="auto"/>
          <w:sz w:val="21"/>
          <w:szCs w:val="21"/>
          <w:highlight w:val="none"/>
        </w:rPr>
        <w:t>承包人（全称）：</w:t>
      </w:r>
      <w:r>
        <w:rPr>
          <w:rFonts w:hint="eastAsia"/>
          <w:bCs/>
          <w:color w:val="auto"/>
          <w:sz w:val="21"/>
          <w:szCs w:val="21"/>
          <w:highlight w:val="none"/>
          <w:u w:val="single"/>
        </w:rPr>
        <w:t xml:space="preserve">                    </w:t>
      </w:r>
    </w:p>
    <w:p w14:paraId="7F806A45">
      <w:pPr>
        <w:spacing w:line="288" w:lineRule="auto"/>
        <w:ind w:firstLine="420" w:firstLineChars="200"/>
        <w:rPr>
          <w:color w:val="auto"/>
          <w:sz w:val="21"/>
          <w:szCs w:val="21"/>
          <w:highlight w:val="none"/>
        </w:rPr>
      </w:pPr>
      <w:r>
        <w:rPr>
          <w:rFonts w:hint="eastAsia"/>
          <w:color w:val="auto"/>
          <w:sz w:val="21"/>
          <w:szCs w:val="21"/>
          <w:highlight w:val="none"/>
        </w:rPr>
        <w:t>根据《中华人民共和国民法典》《中华人民共和国建筑法》及有关法律规定，遵循平等、自愿、公平和诚实信用的原则，双方就</w:t>
      </w:r>
      <w:r>
        <w:rPr>
          <w:rFonts w:hint="eastAsia"/>
          <w:color w:val="auto"/>
          <w:sz w:val="21"/>
          <w:szCs w:val="21"/>
          <w:highlight w:val="none"/>
          <w:lang w:eastAsia="zh-CN"/>
        </w:rPr>
        <w:t>浙江省文化馆</w:t>
      </w:r>
      <w:r>
        <w:rPr>
          <w:rFonts w:hint="eastAsia"/>
          <w:color w:val="auto"/>
          <w:sz w:val="21"/>
          <w:szCs w:val="21"/>
          <w:highlight w:val="none"/>
          <w:u w:val="single"/>
          <w:lang w:eastAsia="zh-CN"/>
        </w:rPr>
        <w:t>小剧场楼层防水舞台墙体改造项目</w:t>
      </w:r>
      <w:r>
        <w:rPr>
          <w:rFonts w:hint="eastAsia"/>
          <w:color w:val="auto"/>
          <w:sz w:val="21"/>
          <w:szCs w:val="21"/>
          <w:highlight w:val="none"/>
          <w:u w:val="single"/>
        </w:rPr>
        <w:t xml:space="preserve"> </w:t>
      </w:r>
      <w:r>
        <w:rPr>
          <w:rFonts w:hint="eastAsia"/>
          <w:color w:val="auto"/>
          <w:sz w:val="21"/>
          <w:szCs w:val="21"/>
          <w:highlight w:val="none"/>
        </w:rPr>
        <w:t>施工及有关事项协商一致，共同达成如下协议：</w:t>
      </w:r>
    </w:p>
    <w:p w14:paraId="7C79D3B8">
      <w:pPr>
        <w:spacing w:line="288" w:lineRule="auto"/>
        <w:ind w:firstLine="420" w:firstLineChars="200"/>
        <w:rPr>
          <w:color w:val="auto"/>
          <w:sz w:val="21"/>
          <w:szCs w:val="21"/>
          <w:highlight w:val="none"/>
        </w:rPr>
      </w:pPr>
      <w:r>
        <w:rPr>
          <w:rFonts w:hint="eastAsia"/>
          <w:color w:val="auto"/>
          <w:sz w:val="21"/>
          <w:szCs w:val="21"/>
          <w:highlight w:val="none"/>
        </w:rPr>
        <w:t>一、工程概况</w:t>
      </w:r>
    </w:p>
    <w:p w14:paraId="68BC4762">
      <w:pPr>
        <w:spacing w:line="288" w:lineRule="auto"/>
        <w:ind w:firstLine="420" w:firstLineChars="200"/>
        <w:rPr>
          <w:rFonts w:hint="eastAsia" w:eastAsia="宋体"/>
          <w:color w:val="auto"/>
          <w:sz w:val="21"/>
          <w:szCs w:val="21"/>
          <w:highlight w:val="none"/>
          <w:lang w:eastAsia="zh-CN"/>
        </w:rPr>
      </w:pPr>
      <w:r>
        <w:rPr>
          <w:rFonts w:hint="eastAsia"/>
          <w:color w:val="auto"/>
          <w:sz w:val="21"/>
          <w:szCs w:val="21"/>
          <w:highlight w:val="none"/>
        </w:rPr>
        <w:t>1.工程名称：</w:t>
      </w:r>
      <w:r>
        <w:rPr>
          <w:rFonts w:hint="eastAsia"/>
          <w:color w:val="auto"/>
          <w:sz w:val="21"/>
          <w:szCs w:val="21"/>
          <w:highlight w:val="none"/>
          <w:lang w:eastAsia="zh-CN"/>
        </w:rPr>
        <w:t>小剧场楼层防水舞台墙体改造项目</w:t>
      </w:r>
    </w:p>
    <w:p w14:paraId="1A0B5917">
      <w:pPr>
        <w:spacing w:line="288" w:lineRule="auto"/>
        <w:ind w:firstLine="420" w:firstLineChars="200"/>
        <w:rPr>
          <w:color w:val="auto"/>
          <w:sz w:val="21"/>
          <w:szCs w:val="21"/>
          <w:highlight w:val="none"/>
        </w:rPr>
      </w:pPr>
      <w:r>
        <w:rPr>
          <w:rFonts w:hint="eastAsia"/>
          <w:color w:val="auto"/>
          <w:sz w:val="21"/>
          <w:szCs w:val="21"/>
          <w:highlight w:val="none"/>
        </w:rPr>
        <w:t>2.工程地点：</w:t>
      </w:r>
      <w:r>
        <w:rPr>
          <w:rFonts w:hint="eastAsia"/>
          <w:color w:val="auto"/>
          <w:sz w:val="21"/>
          <w:szCs w:val="21"/>
          <w:highlight w:val="none"/>
          <w:lang w:eastAsia="zh-CN"/>
        </w:rPr>
        <w:t>浙江省文化馆（拱墅区武林路71号）</w:t>
      </w:r>
    </w:p>
    <w:p w14:paraId="40657CB4">
      <w:pPr>
        <w:spacing w:line="288" w:lineRule="auto"/>
        <w:ind w:firstLine="420" w:firstLineChars="200"/>
        <w:rPr>
          <w:color w:val="auto"/>
          <w:sz w:val="21"/>
          <w:szCs w:val="21"/>
          <w:highlight w:val="none"/>
        </w:rPr>
      </w:pPr>
      <w:r>
        <w:rPr>
          <w:rFonts w:hint="eastAsia"/>
          <w:color w:val="auto"/>
          <w:sz w:val="21"/>
          <w:szCs w:val="21"/>
          <w:highlight w:val="none"/>
        </w:rPr>
        <w:t>3.工程立项批准文号：/</w:t>
      </w:r>
    </w:p>
    <w:p w14:paraId="106DEBD2">
      <w:pPr>
        <w:spacing w:line="288" w:lineRule="auto"/>
        <w:ind w:firstLine="420" w:firstLineChars="200"/>
        <w:rPr>
          <w:color w:val="auto"/>
          <w:sz w:val="21"/>
          <w:szCs w:val="21"/>
          <w:highlight w:val="none"/>
        </w:rPr>
      </w:pPr>
      <w:r>
        <w:rPr>
          <w:rFonts w:hint="eastAsia"/>
          <w:color w:val="auto"/>
          <w:sz w:val="21"/>
          <w:szCs w:val="21"/>
          <w:highlight w:val="none"/>
        </w:rPr>
        <w:t>4.资金来源：财政性资金</w:t>
      </w:r>
    </w:p>
    <w:p w14:paraId="63FC9660">
      <w:pPr>
        <w:spacing w:line="288" w:lineRule="auto"/>
        <w:ind w:firstLine="420" w:firstLineChars="200"/>
        <w:rPr>
          <w:color w:val="auto"/>
          <w:sz w:val="21"/>
          <w:szCs w:val="21"/>
          <w:highlight w:val="none"/>
        </w:rPr>
      </w:pPr>
      <w:r>
        <w:rPr>
          <w:rFonts w:hint="eastAsia"/>
          <w:color w:val="auto"/>
          <w:sz w:val="21"/>
          <w:szCs w:val="21"/>
          <w:highlight w:val="none"/>
        </w:rPr>
        <w:t>5.工程内容：</w:t>
      </w:r>
      <w:r>
        <w:rPr>
          <w:rFonts w:hint="eastAsia"/>
          <w:color w:val="auto"/>
          <w:sz w:val="21"/>
          <w:szCs w:val="21"/>
          <w:highlight w:val="none"/>
          <w:u w:val="single"/>
        </w:rPr>
        <w:t xml:space="preserve">                      </w:t>
      </w:r>
    </w:p>
    <w:p w14:paraId="6C21DED4">
      <w:pPr>
        <w:spacing w:line="288" w:lineRule="auto"/>
        <w:ind w:firstLine="420" w:firstLineChars="200"/>
        <w:rPr>
          <w:color w:val="auto"/>
          <w:sz w:val="21"/>
          <w:szCs w:val="21"/>
          <w:highlight w:val="none"/>
        </w:rPr>
      </w:pPr>
      <w:r>
        <w:rPr>
          <w:rFonts w:hint="eastAsia"/>
          <w:color w:val="auto"/>
          <w:sz w:val="21"/>
          <w:szCs w:val="21"/>
          <w:highlight w:val="none"/>
        </w:rPr>
        <w:t>6.工程承包范围：工程量清单、图纸范围内的全部工程内容</w:t>
      </w:r>
    </w:p>
    <w:p w14:paraId="6A6E51D1">
      <w:pPr>
        <w:spacing w:line="288" w:lineRule="auto"/>
        <w:ind w:firstLine="420" w:firstLineChars="200"/>
        <w:rPr>
          <w:color w:val="auto"/>
          <w:sz w:val="21"/>
          <w:szCs w:val="21"/>
          <w:highlight w:val="none"/>
        </w:rPr>
      </w:pPr>
      <w:r>
        <w:rPr>
          <w:rFonts w:hint="eastAsia"/>
          <w:color w:val="auto"/>
          <w:sz w:val="21"/>
          <w:szCs w:val="21"/>
          <w:highlight w:val="none"/>
        </w:rPr>
        <w:t>二、合同工期</w:t>
      </w:r>
    </w:p>
    <w:p w14:paraId="2545A0DC">
      <w:pPr>
        <w:spacing w:line="288" w:lineRule="auto"/>
        <w:ind w:firstLine="420" w:firstLineChars="200"/>
        <w:rPr>
          <w:color w:val="auto"/>
          <w:sz w:val="21"/>
          <w:szCs w:val="21"/>
          <w:highlight w:val="none"/>
        </w:rPr>
      </w:pPr>
      <w:r>
        <w:rPr>
          <w:rFonts w:hint="eastAsia"/>
          <w:color w:val="auto"/>
          <w:sz w:val="21"/>
          <w:szCs w:val="21"/>
          <w:highlight w:val="none"/>
        </w:rPr>
        <w:t>计划开工日期：</w:t>
      </w:r>
      <w:r>
        <w:rPr>
          <w:rFonts w:hint="eastAsia"/>
          <w:color w:val="auto"/>
          <w:sz w:val="21"/>
          <w:szCs w:val="21"/>
          <w:highlight w:val="none"/>
          <w:u w:val="single"/>
        </w:rPr>
        <w:t xml:space="preserve">     </w:t>
      </w:r>
      <w:r>
        <w:rPr>
          <w:rFonts w:hint="eastAsia"/>
          <w:color w:val="auto"/>
          <w:sz w:val="21"/>
          <w:szCs w:val="21"/>
          <w:highlight w:val="none"/>
        </w:rPr>
        <w:t>年</w:t>
      </w:r>
      <w:r>
        <w:rPr>
          <w:rFonts w:hint="eastAsia"/>
          <w:color w:val="auto"/>
          <w:sz w:val="21"/>
          <w:szCs w:val="21"/>
          <w:highlight w:val="none"/>
          <w:u w:val="single"/>
        </w:rPr>
        <w:t xml:space="preserve">   </w:t>
      </w:r>
      <w:r>
        <w:rPr>
          <w:rFonts w:hint="eastAsia"/>
          <w:color w:val="auto"/>
          <w:sz w:val="21"/>
          <w:szCs w:val="21"/>
          <w:highlight w:val="none"/>
        </w:rPr>
        <w:t>月</w:t>
      </w:r>
      <w:r>
        <w:rPr>
          <w:rFonts w:hint="eastAsia"/>
          <w:color w:val="auto"/>
          <w:sz w:val="21"/>
          <w:szCs w:val="21"/>
          <w:highlight w:val="none"/>
          <w:u w:val="single"/>
        </w:rPr>
        <w:t xml:space="preserve">   </w:t>
      </w:r>
      <w:r>
        <w:rPr>
          <w:rFonts w:hint="eastAsia"/>
          <w:color w:val="auto"/>
          <w:sz w:val="21"/>
          <w:szCs w:val="21"/>
          <w:highlight w:val="none"/>
        </w:rPr>
        <w:t>日。</w:t>
      </w:r>
    </w:p>
    <w:p w14:paraId="7B38DAE8">
      <w:pPr>
        <w:spacing w:line="288" w:lineRule="auto"/>
        <w:ind w:firstLine="420" w:firstLineChars="200"/>
        <w:rPr>
          <w:color w:val="auto"/>
          <w:sz w:val="21"/>
          <w:szCs w:val="21"/>
          <w:highlight w:val="none"/>
        </w:rPr>
      </w:pPr>
      <w:r>
        <w:rPr>
          <w:rFonts w:hint="eastAsia"/>
          <w:color w:val="auto"/>
          <w:sz w:val="21"/>
          <w:szCs w:val="21"/>
          <w:highlight w:val="none"/>
        </w:rPr>
        <w:t>计划竣工日期：</w:t>
      </w:r>
      <w:r>
        <w:rPr>
          <w:rFonts w:hint="eastAsia"/>
          <w:color w:val="auto"/>
          <w:sz w:val="21"/>
          <w:szCs w:val="21"/>
          <w:highlight w:val="none"/>
          <w:u w:val="single"/>
        </w:rPr>
        <w:t xml:space="preserve">     </w:t>
      </w:r>
      <w:r>
        <w:rPr>
          <w:rFonts w:hint="eastAsia"/>
          <w:color w:val="auto"/>
          <w:sz w:val="21"/>
          <w:szCs w:val="21"/>
          <w:highlight w:val="none"/>
        </w:rPr>
        <w:t>年</w:t>
      </w:r>
      <w:r>
        <w:rPr>
          <w:rFonts w:hint="eastAsia"/>
          <w:color w:val="auto"/>
          <w:sz w:val="21"/>
          <w:szCs w:val="21"/>
          <w:highlight w:val="none"/>
          <w:u w:val="single"/>
        </w:rPr>
        <w:t xml:space="preserve">   </w:t>
      </w:r>
      <w:r>
        <w:rPr>
          <w:rFonts w:hint="eastAsia"/>
          <w:color w:val="auto"/>
          <w:sz w:val="21"/>
          <w:szCs w:val="21"/>
          <w:highlight w:val="none"/>
        </w:rPr>
        <w:t>月</w:t>
      </w:r>
      <w:r>
        <w:rPr>
          <w:rFonts w:hint="eastAsia"/>
          <w:color w:val="auto"/>
          <w:sz w:val="21"/>
          <w:szCs w:val="21"/>
          <w:highlight w:val="none"/>
          <w:u w:val="single"/>
        </w:rPr>
        <w:t xml:space="preserve">   </w:t>
      </w:r>
      <w:r>
        <w:rPr>
          <w:rFonts w:hint="eastAsia"/>
          <w:color w:val="auto"/>
          <w:sz w:val="21"/>
          <w:szCs w:val="21"/>
          <w:highlight w:val="none"/>
        </w:rPr>
        <w:t>日。</w:t>
      </w:r>
    </w:p>
    <w:p w14:paraId="4F32DEF5">
      <w:pPr>
        <w:spacing w:line="288" w:lineRule="auto"/>
        <w:ind w:firstLine="420" w:firstLineChars="200"/>
        <w:rPr>
          <w:color w:val="auto"/>
          <w:sz w:val="21"/>
          <w:szCs w:val="21"/>
          <w:highlight w:val="none"/>
        </w:rPr>
      </w:pPr>
      <w:r>
        <w:rPr>
          <w:rFonts w:hint="eastAsia"/>
          <w:color w:val="auto"/>
          <w:sz w:val="21"/>
          <w:szCs w:val="21"/>
          <w:highlight w:val="none"/>
        </w:rPr>
        <w:t>工期总日历天数：</w:t>
      </w:r>
      <w:r>
        <w:rPr>
          <w:color w:val="auto"/>
          <w:sz w:val="21"/>
          <w:szCs w:val="21"/>
          <w:highlight w:val="none"/>
        </w:rPr>
        <w:t>45</w:t>
      </w:r>
      <w:r>
        <w:rPr>
          <w:rFonts w:hint="eastAsia"/>
          <w:color w:val="auto"/>
          <w:sz w:val="21"/>
          <w:szCs w:val="21"/>
          <w:highlight w:val="none"/>
        </w:rPr>
        <w:t>日历天。</w:t>
      </w:r>
    </w:p>
    <w:p w14:paraId="6DA02D66">
      <w:pPr>
        <w:spacing w:line="288" w:lineRule="auto"/>
        <w:ind w:firstLine="420" w:firstLineChars="200"/>
        <w:rPr>
          <w:color w:val="auto"/>
          <w:sz w:val="21"/>
          <w:szCs w:val="21"/>
          <w:highlight w:val="none"/>
        </w:rPr>
      </w:pPr>
      <w:r>
        <w:rPr>
          <w:rFonts w:hint="eastAsia"/>
          <w:color w:val="auto"/>
          <w:sz w:val="21"/>
          <w:szCs w:val="21"/>
          <w:highlight w:val="none"/>
        </w:rPr>
        <w:t>上述计划开工和竣工日期为暂定日期，具体开工日期以开竣工报告为准。</w:t>
      </w:r>
    </w:p>
    <w:p w14:paraId="34FA9E70">
      <w:pPr>
        <w:spacing w:line="288" w:lineRule="auto"/>
        <w:ind w:firstLine="420" w:firstLineChars="200"/>
        <w:rPr>
          <w:color w:val="auto"/>
          <w:sz w:val="21"/>
          <w:szCs w:val="21"/>
          <w:highlight w:val="none"/>
        </w:rPr>
      </w:pPr>
      <w:r>
        <w:rPr>
          <w:rFonts w:hint="eastAsia"/>
          <w:color w:val="auto"/>
          <w:sz w:val="21"/>
          <w:szCs w:val="21"/>
          <w:highlight w:val="none"/>
        </w:rPr>
        <w:t>三、质量标准</w:t>
      </w:r>
    </w:p>
    <w:p w14:paraId="0D9CF63F">
      <w:pPr>
        <w:spacing w:line="288" w:lineRule="auto"/>
        <w:ind w:firstLine="420" w:firstLineChars="200"/>
        <w:rPr>
          <w:color w:val="auto"/>
          <w:sz w:val="21"/>
          <w:szCs w:val="21"/>
          <w:highlight w:val="none"/>
        </w:rPr>
      </w:pPr>
      <w:r>
        <w:rPr>
          <w:rFonts w:hint="eastAsia"/>
          <w:color w:val="auto"/>
          <w:sz w:val="21"/>
          <w:szCs w:val="21"/>
          <w:highlight w:val="none"/>
        </w:rPr>
        <w:t>工程质量符合国家施工验收规范合格标准。</w:t>
      </w:r>
    </w:p>
    <w:p w14:paraId="599F9445">
      <w:pPr>
        <w:spacing w:line="288" w:lineRule="auto"/>
        <w:ind w:firstLine="420" w:firstLineChars="200"/>
        <w:rPr>
          <w:color w:val="auto"/>
          <w:sz w:val="21"/>
          <w:szCs w:val="21"/>
          <w:highlight w:val="none"/>
        </w:rPr>
      </w:pPr>
      <w:r>
        <w:rPr>
          <w:rFonts w:hint="eastAsia"/>
          <w:color w:val="auto"/>
          <w:sz w:val="21"/>
          <w:szCs w:val="21"/>
          <w:highlight w:val="none"/>
        </w:rPr>
        <w:t>四、签约合同价与合同价格形式</w:t>
      </w:r>
    </w:p>
    <w:p w14:paraId="5A07FC8C">
      <w:pPr>
        <w:spacing w:line="288" w:lineRule="auto"/>
        <w:ind w:firstLine="420" w:firstLineChars="200"/>
        <w:rPr>
          <w:color w:val="auto"/>
          <w:sz w:val="21"/>
          <w:szCs w:val="21"/>
          <w:highlight w:val="none"/>
        </w:rPr>
      </w:pPr>
      <w:r>
        <w:rPr>
          <w:rFonts w:hint="eastAsia"/>
          <w:color w:val="auto"/>
          <w:sz w:val="21"/>
          <w:szCs w:val="21"/>
          <w:highlight w:val="none"/>
        </w:rPr>
        <w:t>1.签约合同价为：</w:t>
      </w:r>
    </w:p>
    <w:p w14:paraId="7F706CC2">
      <w:pPr>
        <w:spacing w:line="288" w:lineRule="auto"/>
        <w:ind w:firstLine="420" w:firstLineChars="200"/>
        <w:rPr>
          <w:color w:val="auto"/>
          <w:sz w:val="21"/>
          <w:szCs w:val="21"/>
          <w:highlight w:val="none"/>
        </w:rPr>
      </w:pPr>
      <w:r>
        <w:rPr>
          <w:rFonts w:hint="eastAsia"/>
          <w:color w:val="auto"/>
          <w:sz w:val="21"/>
          <w:szCs w:val="21"/>
          <w:highlight w:val="none"/>
        </w:rPr>
        <w:t>人民币（大写）</w:t>
      </w:r>
      <w:r>
        <w:rPr>
          <w:rFonts w:hint="eastAsia"/>
          <w:color w:val="auto"/>
          <w:sz w:val="21"/>
          <w:szCs w:val="21"/>
          <w:highlight w:val="none"/>
          <w:u w:val="single"/>
        </w:rPr>
        <w:t xml:space="preserve">               </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rPr>
        <w:t>元)；</w:t>
      </w:r>
    </w:p>
    <w:p w14:paraId="17094FE1">
      <w:pPr>
        <w:spacing w:line="288" w:lineRule="auto"/>
        <w:ind w:firstLine="420" w:firstLineChars="200"/>
        <w:rPr>
          <w:color w:val="auto"/>
          <w:sz w:val="21"/>
          <w:szCs w:val="21"/>
          <w:highlight w:val="none"/>
        </w:rPr>
      </w:pPr>
      <w:r>
        <w:rPr>
          <w:rFonts w:hint="eastAsia"/>
          <w:color w:val="auto"/>
          <w:sz w:val="21"/>
          <w:szCs w:val="21"/>
          <w:highlight w:val="none"/>
        </w:rPr>
        <w:t>其中：</w:t>
      </w:r>
    </w:p>
    <w:p w14:paraId="5B4A38E3">
      <w:pPr>
        <w:spacing w:line="288" w:lineRule="auto"/>
        <w:ind w:firstLine="420" w:firstLineChars="200"/>
        <w:rPr>
          <w:color w:val="auto"/>
          <w:sz w:val="21"/>
          <w:szCs w:val="21"/>
          <w:highlight w:val="none"/>
        </w:rPr>
      </w:pPr>
      <w:r>
        <w:rPr>
          <w:rFonts w:hint="eastAsia"/>
          <w:color w:val="auto"/>
          <w:sz w:val="21"/>
          <w:szCs w:val="21"/>
          <w:highlight w:val="none"/>
        </w:rPr>
        <w:t>（1）安全文明施工费：</w:t>
      </w:r>
    </w:p>
    <w:p w14:paraId="4975479D">
      <w:pPr>
        <w:spacing w:line="288" w:lineRule="auto"/>
        <w:ind w:firstLine="420" w:firstLineChars="200"/>
        <w:rPr>
          <w:color w:val="auto"/>
          <w:sz w:val="21"/>
          <w:szCs w:val="21"/>
          <w:highlight w:val="none"/>
        </w:rPr>
      </w:pPr>
      <w:r>
        <w:rPr>
          <w:rFonts w:hint="eastAsia"/>
          <w:color w:val="auto"/>
          <w:sz w:val="21"/>
          <w:szCs w:val="21"/>
          <w:highlight w:val="none"/>
        </w:rPr>
        <w:t>人民币（大写）</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w:t>
      </w:r>
      <w:r>
        <w:rPr>
          <w:rFonts w:hint="eastAsia"/>
          <w:color w:val="auto"/>
          <w:sz w:val="21"/>
          <w:szCs w:val="21"/>
          <w:highlight w:val="none"/>
          <w:u w:val="single"/>
        </w:rPr>
        <w:t xml:space="preserve">      (¥      </w:t>
      </w:r>
      <w:r>
        <w:rPr>
          <w:rFonts w:hint="eastAsia"/>
          <w:color w:val="auto"/>
          <w:sz w:val="21"/>
          <w:szCs w:val="21"/>
          <w:highlight w:val="none"/>
          <w:u w:val="single"/>
          <w:lang w:val="en-US" w:eastAsia="zh-CN"/>
        </w:rPr>
        <w:t>/</w:t>
      </w:r>
      <w:r>
        <w:rPr>
          <w:rFonts w:hint="eastAsia"/>
          <w:color w:val="auto"/>
          <w:sz w:val="21"/>
          <w:szCs w:val="21"/>
          <w:highlight w:val="none"/>
          <w:u w:val="single"/>
        </w:rPr>
        <w:t xml:space="preserve">     元)</w:t>
      </w:r>
    </w:p>
    <w:p w14:paraId="33492222">
      <w:pPr>
        <w:spacing w:line="288" w:lineRule="auto"/>
        <w:ind w:firstLine="420" w:firstLineChars="200"/>
        <w:rPr>
          <w:color w:val="auto"/>
          <w:sz w:val="21"/>
          <w:szCs w:val="21"/>
          <w:highlight w:val="none"/>
        </w:rPr>
      </w:pPr>
      <w:r>
        <w:rPr>
          <w:rFonts w:hint="eastAsia"/>
          <w:color w:val="auto"/>
          <w:sz w:val="21"/>
          <w:szCs w:val="21"/>
          <w:highlight w:val="none"/>
        </w:rPr>
        <w:t>（2）材料和工程设备暂估价金额：</w:t>
      </w:r>
    </w:p>
    <w:p w14:paraId="17AF52DD">
      <w:pPr>
        <w:spacing w:line="288" w:lineRule="auto"/>
        <w:ind w:firstLine="420" w:firstLineChars="200"/>
        <w:rPr>
          <w:color w:val="auto"/>
          <w:sz w:val="21"/>
          <w:szCs w:val="21"/>
          <w:highlight w:val="none"/>
        </w:rPr>
      </w:pPr>
      <w:r>
        <w:rPr>
          <w:rFonts w:hint="eastAsia"/>
          <w:color w:val="auto"/>
          <w:sz w:val="21"/>
          <w:szCs w:val="21"/>
          <w:highlight w:val="none"/>
        </w:rPr>
        <w:t>人民币（大写）</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w:t>
      </w:r>
      <w:r>
        <w:rPr>
          <w:rFonts w:hint="eastAsia"/>
          <w:color w:val="auto"/>
          <w:sz w:val="21"/>
          <w:szCs w:val="21"/>
          <w:highlight w:val="none"/>
          <w:u w:val="single"/>
        </w:rPr>
        <w:t xml:space="preserve">      (¥       </w:t>
      </w:r>
      <w:r>
        <w:rPr>
          <w:rFonts w:hint="eastAsia"/>
          <w:color w:val="auto"/>
          <w:sz w:val="21"/>
          <w:szCs w:val="21"/>
          <w:highlight w:val="none"/>
          <w:u w:val="single"/>
          <w:lang w:val="en-US" w:eastAsia="zh-CN"/>
        </w:rPr>
        <w:t>/</w:t>
      </w:r>
      <w:r>
        <w:rPr>
          <w:rFonts w:hint="eastAsia"/>
          <w:color w:val="auto"/>
          <w:sz w:val="21"/>
          <w:szCs w:val="21"/>
          <w:highlight w:val="none"/>
          <w:u w:val="single"/>
        </w:rPr>
        <w:t xml:space="preserve">    元)</w:t>
      </w:r>
    </w:p>
    <w:p w14:paraId="3C0A99F7">
      <w:pPr>
        <w:spacing w:line="288" w:lineRule="auto"/>
        <w:ind w:firstLine="420" w:firstLineChars="200"/>
        <w:rPr>
          <w:color w:val="auto"/>
          <w:sz w:val="21"/>
          <w:szCs w:val="21"/>
          <w:highlight w:val="none"/>
        </w:rPr>
      </w:pPr>
      <w:r>
        <w:rPr>
          <w:rFonts w:hint="eastAsia"/>
          <w:color w:val="auto"/>
          <w:sz w:val="21"/>
          <w:szCs w:val="21"/>
          <w:highlight w:val="none"/>
        </w:rPr>
        <w:t>（3）专业工程暂估价金额：</w:t>
      </w:r>
    </w:p>
    <w:p w14:paraId="7DC15C9D">
      <w:pPr>
        <w:spacing w:line="288" w:lineRule="auto"/>
        <w:ind w:firstLine="420" w:firstLineChars="200"/>
        <w:rPr>
          <w:color w:val="auto"/>
          <w:sz w:val="21"/>
          <w:szCs w:val="21"/>
          <w:highlight w:val="none"/>
        </w:rPr>
      </w:pPr>
      <w:r>
        <w:rPr>
          <w:rFonts w:hint="eastAsia"/>
          <w:color w:val="auto"/>
          <w:sz w:val="21"/>
          <w:szCs w:val="21"/>
          <w:highlight w:val="none"/>
        </w:rPr>
        <w:t>人民币（大写）</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w:t>
      </w:r>
      <w:r>
        <w:rPr>
          <w:rFonts w:hint="eastAsia"/>
          <w:color w:val="auto"/>
          <w:sz w:val="21"/>
          <w:szCs w:val="21"/>
          <w:highlight w:val="none"/>
          <w:u w:val="single"/>
        </w:rPr>
        <w:t xml:space="preserve">      (¥       </w:t>
      </w:r>
      <w:r>
        <w:rPr>
          <w:rFonts w:hint="eastAsia"/>
          <w:color w:val="auto"/>
          <w:sz w:val="21"/>
          <w:szCs w:val="21"/>
          <w:highlight w:val="none"/>
          <w:u w:val="single"/>
          <w:lang w:val="en-US" w:eastAsia="zh-CN"/>
        </w:rPr>
        <w:t>/</w:t>
      </w:r>
      <w:r>
        <w:rPr>
          <w:rFonts w:hint="eastAsia"/>
          <w:color w:val="auto"/>
          <w:sz w:val="21"/>
          <w:szCs w:val="21"/>
          <w:highlight w:val="none"/>
          <w:u w:val="single"/>
        </w:rPr>
        <w:t xml:space="preserve">    元)</w:t>
      </w:r>
    </w:p>
    <w:p w14:paraId="7E0AE29A">
      <w:pPr>
        <w:spacing w:line="288" w:lineRule="auto"/>
        <w:ind w:firstLine="420" w:firstLineChars="200"/>
        <w:rPr>
          <w:color w:val="auto"/>
          <w:sz w:val="21"/>
          <w:szCs w:val="21"/>
          <w:highlight w:val="none"/>
        </w:rPr>
      </w:pPr>
      <w:r>
        <w:rPr>
          <w:rFonts w:hint="eastAsia"/>
          <w:color w:val="auto"/>
          <w:sz w:val="21"/>
          <w:szCs w:val="21"/>
          <w:highlight w:val="none"/>
        </w:rPr>
        <w:t>（4）暂列金额：</w:t>
      </w:r>
    </w:p>
    <w:p w14:paraId="02A4199F">
      <w:pPr>
        <w:spacing w:line="288" w:lineRule="auto"/>
        <w:ind w:firstLine="420" w:firstLineChars="200"/>
        <w:rPr>
          <w:color w:val="auto"/>
          <w:sz w:val="21"/>
          <w:szCs w:val="21"/>
          <w:highlight w:val="none"/>
        </w:rPr>
      </w:pPr>
      <w:r>
        <w:rPr>
          <w:rFonts w:hint="eastAsia"/>
          <w:color w:val="auto"/>
          <w:sz w:val="21"/>
          <w:szCs w:val="21"/>
          <w:highlight w:val="none"/>
        </w:rPr>
        <w:t>人民币（大写）</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w:t>
      </w:r>
      <w:r>
        <w:rPr>
          <w:rFonts w:hint="eastAsia"/>
          <w:color w:val="auto"/>
          <w:sz w:val="21"/>
          <w:szCs w:val="21"/>
          <w:highlight w:val="none"/>
          <w:u w:val="single"/>
        </w:rPr>
        <w:t xml:space="preserve">      (¥      </w:t>
      </w:r>
      <w:r>
        <w:rPr>
          <w:rFonts w:hint="eastAsia"/>
          <w:color w:val="auto"/>
          <w:sz w:val="21"/>
          <w:szCs w:val="21"/>
          <w:highlight w:val="none"/>
          <w:u w:val="single"/>
          <w:lang w:val="en-US" w:eastAsia="zh-CN"/>
        </w:rPr>
        <w:t>/</w:t>
      </w:r>
      <w:r>
        <w:rPr>
          <w:rFonts w:hint="eastAsia"/>
          <w:color w:val="auto"/>
          <w:sz w:val="21"/>
          <w:szCs w:val="21"/>
          <w:highlight w:val="none"/>
          <w:u w:val="single"/>
        </w:rPr>
        <w:t xml:space="preserve">     元)</w:t>
      </w:r>
    </w:p>
    <w:p w14:paraId="6C779CFC">
      <w:pPr>
        <w:spacing w:line="288" w:lineRule="auto"/>
        <w:ind w:firstLine="420" w:firstLineChars="200"/>
        <w:rPr>
          <w:color w:val="auto"/>
          <w:sz w:val="21"/>
          <w:szCs w:val="21"/>
          <w:highlight w:val="none"/>
        </w:rPr>
      </w:pPr>
      <w:r>
        <w:rPr>
          <w:rFonts w:hint="eastAsia"/>
          <w:color w:val="auto"/>
          <w:sz w:val="21"/>
          <w:szCs w:val="21"/>
          <w:highlight w:val="none"/>
        </w:rPr>
        <w:t>2.合同价格形式：</w:t>
      </w:r>
      <w:r>
        <w:rPr>
          <w:rFonts w:hint="eastAsia"/>
          <w:color w:val="auto"/>
          <w:sz w:val="21"/>
          <w:szCs w:val="21"/>
          <w:highlight w:val="none"/>
          <w:u w:val="single"/>
        </w:rPr>
        <w:t>固定单价合同</w:t>
      </w:r>
    </w:p>
    <w:p w14:paraId="43CE608B">
      <w:pPr>
        <w:spacing w:line="288" w:lineRule="auto"/>
        <w:ind w:firstLine="420" w:firstLineChars="200"/>
        <w:rPr>
          <w:color w:val="auto"/>
          <w:sz w:val="21"/>
          <w:szCs w:val="21"/>
          <w:highlight w:val="none"/>
        </w:rPr>
      </w:pPr>
      <w:r>
        <w:rPr>
          <w:rFonts w:hint="eastAsia"/>
          <w:color w:val="auto"/>
          <w:sz w:val="21"/>
          <w:szCs w:val="21"/>
          <w:highlight w:val="none"/>
        </w:rPr>
        <w:t>3.本次竞争性磋商包含两次报价，承包人在仔细研究了本项目施工磋商文件的全部内容，最后报价愿意在初始报价</w:t>
      </w:r>
      <w:r>
        <w:rPr>
          <w:rFonts w:hint="eastAsia"/>
          <w:color w:val="auto"/>
          <w:sz w:val="21"/>
          <w:szCs w:val="21"/>
          <w:highlight w:val="none"/>
          <w:u w:val="single"/>
        </w:rPr>
        <w:t xml:space="preserve">          </w:t>
      </w:r>
      <w:r>
        <w:rPr>
          <w:rFonts w:hint="eastAsia"/>
          <w:color w:val="auto"/>
          <w:sz w:val="21"/>
          <w:szCs w:val="21"/>
          <w:highlight w:val="none"/>
        </w:rPr>
        <w:t>万元基础上优惠至</w:t>
      </w:r>
      <w:r>
        <w:rPr>
          <w:rFonts w:hint="eastAsia"/>
          <w:color w:val="auto"/>
          <w:sz w:val="21"/>
          <w:szCs w:val="21"/>
          <w:highlight w:val="none"/>
          <w:u w:val="single"/>
        </w:rPr>
        <w:t xml:space="preserve">          </w:t>
      </w:r>
      <w:r>
        <w:rPr>
          <w:rFonts w:hint="eastAsia"/>
          <w:color w:val="auto"/>
          <w:sz w:val="21"/>
          <w:szCs w:val="21"/>
          <w:highlight w:val="none"/>
        </w:rPr>
        <w:t>万元，并完全响应磋商文件内容。</w:t>
      </w:r>
    </w:p>
    <w:p w14:paraId="5F5A7BC0">
      <w:pPr>
        <w:spacing w:line="288" w:lineRule="auto"/>
        <w:ind w:firstLine="420" w:firstLineChars="200"/>
        <w:rPr>
          <w:color w:val="auto"/>
          <w:sz w:val="21"/>
          <w:szCs w:val="21"/>
          <w:highlight w:val="none"/>
        </w:rPr>
      </w:pPr>
      <w:r>
        <w:rPr>
          <w:rFonts w:hint="eastAsia"/>
          <w:color w:val="auto"/>
          <w:sz w:val="21"/>
          <w:szCs w:val="21"/>
          <w:highlight w:val="none"/>
        </w:rPr>
        <w:t>项目竣工结算时，最终结算价根据承诺优惠率同比例调整，调整范围包括合同部分及新增联系单部分。</w:t>
      </w:r>
    </w:p>
    <w:p w14:paraId="2D4A6AFD">
      <w:pPr>
        <w:spacing w:line="288" w:lineRule="auto"/>
        <w:ind w:firstLine="420" w:firstLineChars="200"/>
        <w:rPr>
          <w:color w:val="auto"/>
          <w:sz w:val="21"/>
          <w:szCs w:val="21"/>
          <w:highlight w:val="none"/>
        </w:rPr>
      </w:pPr>
      <w:r>
        <w:rPr>
          <w:rFonts w:hint="eastAsia"/>
          <w:color w:val="auto"/>
          <w:sz w:val="21"/>
          <w:szCs w:val="21"/>
          <w:highlight w:val="none"/>
        </w:rPr>
        <w:t>五、项目经理</w:t>
      </w:r>
    </w:p>
    <w:p w14:paraId="1AF73784">
      <w:pPr>
        <w:spacing w:line="288" w:lineRule="auto"/>
        <w:ind w:firstLine="420" w:firstLineChars="200"/>
        <w:rPr>
          <w:color w:val="auto"/>
          <w:sz w:val="21"/>
          <w:szCs w:val="21"/>
          <w:highlight w:val="none"/>
        </w:rPr>
      </w:pPr>
      <w:r>
        <w:rPr>
          <w:rFonts w:hint="eastAsia"/>
          <w:color w:val="auto"/>
          <w:sz w:val="21"/>
          <w:szCs w:val="21"/>
          <w:highlight w:val="none"/>
        </w:rPr>
        <w:t>承包人项目经理：</w:t>
      </w:r>
      <w:r>
        <w:rPr>
          <w:rFonts w:hint="eastAsia"/>
          <w:color w:val="auto"/>
          <w:sz w:val="21"/>
          <w:szCs w:val="21"/>
          <w:highlight w:val="none"/>
          <w:u w:val="single"/>
        </w:rPr>
        <w:t xml:space="preserve">          </w:t>
      </w:r>
      <w:r>
        <w:rPr>
          <w:rFonts w:hint="eastAsia"/>
          <w:color w:val="auto"/>
          <w:sz w:val="21"/>
          <w:szCs w:val="21"/>
          <w:highlight w:val="none"/>
        </w:rPr>
        <w:t>（身份证号码：</w:t>
      </w:r>
      <w:r>
        <w:rPr>
          <w:rFonts w:hint="eastAsia"/>
          <w:color w:val="auto"/>
          <w:sz w:val="21"/>
          <w:szCs w:val="21"/>
          <w:highlight w:val="none"/>
          <w:u w:val="single"/>
        </w:rPr>
        <w:t xml:space="preserve">          </w:t>
      </w:r>
      <w:r>
        <w:rPr>
          <w:rFonts w:hint="eastAsia"/>
          <w:color w:val="auto"/>
          <w:sz w:val="21"/>
          <w:szCs w:val="21"/>
          <w:highlight w:val="none"/>
        </w:rPr>
        <w:t>）</w:t>
      </w:r>
    </w:p>
    <w:p w14:paraId="191980FF">
      <w:pPr>
        <w:spacing w:line="288" w:lineRule="auto"/>
        <w:ind w:firstLine="420" w:firstLineChars="200"/>
        <w:rPr>
          <w:color w:val="auto"/>
          <w:sz w:val="21"/>
          <w:szCs w:val="21"/>
          <w:highlight w:val="none"/>
        </w:rPr>
      </w:pPr>
      <w:r>
        <w:rPr>
          <w:rFonts w:hint="eastAsia"/>
          <w:color w:val="auto"/>
          <w:sz w:val="21"/>
          <w:szCs w:val="21"/>
          <w:highlight w:val="none"/>
        </w:rPr>
        <w:t>六、合同文件构成</w:t>
      </w:r>
    </w:p>
    <w:p w14:paraId="02767967">
      <w:pPr>
        <w:spacing w:line="288" w:lineRule="auto"/>
        <w:ind w:firstLine="420" w:firstLineChars="200"/>
        <w:rPr>
          <w:color w:val="auto"/>
          <w:sz w:val="21"/>
          <w:szCs w:val="21"/>
          <w:highlight w:val="none"/>
        </w:rPr>
      </w:pPr>
      <w:r>
        <w:rPr>
          <w:rFonts w:hint="eastAsia"/>
          <w:color w:val="auto"/>
          <w:sz w:val="21"/>
          <w:szCs w:val="21"/>
          <w:highlight w:val="none"/>
        </w:rPr>
        <w:t>本协议书与下列文件一起构成合同文件：</w:t>
      </w:r>
    </w:p>
    <w:p w14:paraId="161C11D4">
      <w:pPr>
        <w:spacing w:line="288" w:lineRule="auto"/>
        <w:ind w:firstLine="420" w:firstLineChars="200"/>
        <w:rPr>
          <w:color w:val="auto"/>
          <w:sz w:val="21"/>
          <w:szCs w:val="21"/>
          <w:highlight w:val="none"/>
        </w:rPr>
      </w:pPr>
      <w:r>
        <w:rPr>
          <w:rFonts w:hint="eastAsia"/>
          <w:color w:val="auto"/>
          <w:sz w:val="21"/>
          <w:szCs w:val="21"/>
          <w:highlight w:val="none"/>
        </w:rPr>
        <w:t>（1）成交通知书</w:t>
      </w:r>
    </w:p>
    <w:p w14:paraId="4DE4A857">
      <w:pPr>
        <w:spacing w:line="288" w:lineRule="auto"/>
        <w:ind w:firstLine="420" w:firstLineChars="200"/>
        <w:rPr>
          <w:color w:val="auto"/>
          <w:sz w:val="21"/>
          <w:szCs w:val="21"/>
          <w:highlight w:val="none"/>
        </w:rPr>
      </w:pPr>
      <w:r>
        <w:rPr>
          <w:rFonts w:hint="eastAsia"/>
          <w:color w:val="auto"/>
          <w:sz w:val="21"/>
          <w:szCs w:val="21"/>
          <w:highlight w:val="none"/>
        </w:rPr>
        <w:t>（2）磋商文件、答疑、磋商记录及补充文件</w:t>
      </w:r>
    </w:p>
    <w:p w14:paraId="581AF688">
      <w:pPr>
        <w:spacing w:line="288" w:lineRule="auto"/>
        <w:ind w:firstLine="420" w:firstLineChars="200"/>
        <w:rPr>
          <w:color w:val="auto"/>
          <w:sz w:val="21"/>
          <w:szCs w:val="21"/>
          <w:highlight w:val="none"/>
        </w:rPr>
      </w:pPr>
      <w:r>
        <w:rPr>
          <w:rFonts w:hint="eastAsia"/>
          <w:color w:val="auto"/>
          <w:sz w:val="21"/>
          <w:szCs w:val="21"/>
          <w:highlight w:val="none"/>
        </w:rPr>
        <w:t>（3）响应文件及其附件</w:t>
      </w:r>
    </w:p>
    <w:p w14:paraId="1D70B2F3">
      <w:pPr>
        <w:spacing w:line="288" w:lineRule="auto"/>
        <w:ind w:firstLine="420" w:firstLineChars="200"/>
        <w:rPr>
          <w:color w:val="auto"/>
          <w:sz w:val="21"/>
          <w:szCs w:val="21"/>
          <w:highlight w:val="none"/>
        </w:rPr>
      </w:pPr>
      <w:r>
        <w:rPr>
          <w:rFonts w:hint="eastAsia"/>
          <w:color w:val="auto"/>
          <w:sz w:val="21"/>
          <w:szCs w:val="21"/>
          <w:highlight w:val="none"/>
        </w:rPr>
        <w:t>（4）专用合同条款及其附件</w:t>
      </w:r>
    </w:p>
    <w:p w14:paraId="078DCB34">
      <w:pPr>
        <w:spacing w:line="288" w:lineRule="auto"/>
        <w:ind w:firstLine="420" w:firstLineChars="200"/>
        <w:rPr>
          <w:color w:val="auto"/>
          <w:sz w:val="21"/>
          <w:szCs w:val="21"/>
          <w:highlight w:val="none"/>
        </w:rPr>
      </w:pPr>
      <w:r>
        <w:rPr>
          <w:rFonts w:hint="eastAsia"/>
          <w:color w:val="auto"/>
          <w:sz w:val="21"/>
          <w:szCs w:val="21"/>
          <w:highlight w:val="none"/>
        </w:rPr>
        <w:t>（5）通用合同条款</w:t>
      </w:r>
    </w:p>
    <w:p w14:paraId="65B942D6">
      <w:pPr>
        <w:spacing w:line="288" w:lineRule="auto"/>
        <w:ind w:firstLine="420" w:firstLineChars="200"/>
        <w:rPr>
          <w:color w:val="auto"/>
          <w:sz w:val="21"/>
          <w:szCs w:val="21"/>
          <w:highlight w:val="none"/>
        </w:rPr>
      </w:pPr>
      <w:r>
        <w:rPr>
          <w:rFonts w:hint="eastAsia"/>
          <w:color w:val="auto"/>
          <w:sz w:val="21"/>
          <w:szCs w:val="21"/>
          <w:highlight w:val="none"/>
        </w:rPr>
        <w:t>（6）技术标准和要求</w:t>
      </w:r>
    </w:p>
    <w:p w14:paraId="0F45E762">
      <w:pPr>
        <w:spacing w:line="288" w:lineRule="auto"/>
        <w:ind w:firstLine="420" w:firstLineChars="200"/>
        <w:rPr>
          <w:color w:val="auto"/>
          <w:sz w:val="21"/>
          <w:szCs w:val="21"/>
          <w:highlight w:val="none"/>
        </w:rPr>
      </w:pPr>
      <w:r>
        <w:rPr>
          <w:rFonts w:hint="eastAsia"/>
          <w:color w:val="auto"/>
          <w:sz w:val="21"/>
          <w:szCs w:val="21"/>
          <w:highlight w:val="none"/>
        </w:rPr>
        <w:t>（7）图纸（如有）</w:t>
      </w:r>
    </w:p>
    <w:p w14:paraId="07CA53B3">
      <w:pPr>
        <w:spacing w:line="288" w:lineRule="auto"/>
        <w:ind w:firstLine="420" w:firstLineChars="200"/>
        <w:rPr>
          <w:color w:val="auto"/>
          <w:sz w:val="21"/>
          <w:szCs w:val="21"/>
          <w:highlight w:val="none"/>
        </w:rPr>
      </w:pPr>
      <w:r>
        <w:rPr>
          <w:rFonts w:hint="eastAsia"/>
          <w:color w:val="auto"/>
          <w:sz w:val="21"/>
          <w:szCs w:val="21"/>
          <w:highlight w:val="none"/>
        </w:rPr>
        <w:t>（8）已标价工程量清单或预算书</w:t>
      </w:r>
    </w:p>
    <w:p w14:paraId="77F9BD3C">
      <w:pPr>
        <w:spacing w:line="288" w:lineRule="auto"/>
        <w:ind w:firstLine="420" w:firstLineChars="200"/>
        <w:rPr>
          <w:color w:val="auto"/>
          <w:sz w:val="21"/>
          <w:szCs w:val="21"/>
          <w:highlight w:val="none"/>
        </w:rPr>
      </w:pPr>
      <w:r>
        <w:rPr>
          <w:rFonts w:hint="eastAsia"/>
          <w:color w:val="auto"/>
          <w:sz w:val="21"/>
          <w:szCs w:val="21"/>
          <w:highlight w:val="none"/>
        </w:rPr>
        <w:t>（9）其他合同文件</w:t>
      </w:r>
    </w:p>
    <w:p w14:paraId="42DDA460">
      <w:pPr>
        <w:spacing w:line="288" w:lineRule="auto"/>
        <w:ind w:firstLine="420" w:firstLineChars="200"/>
        <w:rPr>
          <w:color w:val="auto"/>
          <w:sz w:val="21"/>
          <w:szCs w:val="21"/>
          <w:highlight w:val="none"/>
        </w:rPr>
      </w:pPr>
      <w:r>
        <w:rPr>
          <w:rFonts w:hint="eastAsia"/>
          <w:color w:val="auto"/>
          <w:sz w:val="21"/>
          <w:szCs w:val="21"/>
          <w:highlight w:val="none"/>
        </w:rPr>
        <w:t>在合同订立及履行过程中形成的与合同有关的文件均构成合同文件组成部分。</w:t>
      </w:r>
    </w:p>
    <w:p w14:paraId="4BF7E133">
      <w:pPr>
        <w:spacing w:line="288" w:lineRule="auto"/>
        <w:ind w:firstLine="420" w:firstLineChars="200"/>
        <w:rPr>
          <w:color w:val="auto"/>
          <w:sz w:val="21"/>
          <w:szCs w:val="21"/>
          <w:highlight w:val="none"/>
        </w:rPr>
      </w:pPr>
      <w:r>
        <w:rPr>
          <w:rFonts w:hint="eastAsia"/>
          <w:color w:val="auto"/>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7F8731B2">
      <w:pPr>
        <w:spacing w:line="288" w:lineRule="auto"/>
        <w:ind w:firstLine="420" w:firstLineChars="200"/>
        <w:rPr>
          <w:color w:val="auto"/>
          <w:sz w:val="21"/>
          <w:szCs w:val="21"/>
          <w:highlight w:val="none"/>
        </w:rPr>
      </w:pPr>
      <w:r>
        <w:rPr>
          <w:rFonts w:hint="eastAsia"/>
          <w:color w:val="auto"/>
          <w:sz w:val="21"/>
          <w:szCs w:val="21"/>
          <w:highlight w:val="none"/>
        </w:rPr>
        <w:t>七、承诺</w:t>
      </w:r>
    </w:p>
    <w:p w14:paraId="008A8782">
      <w:pPr>
        <w:spacing w:line="288" w:lineRule="auto"/>
        <w:ind w:firstLine="420" w:firstLineChars="200"/>
        <w:rPr>
          <w:color w:val="auto"/>
          <w:sz w:val="21"/>
          <w:szCs w:val="21"/>
          <w:highlight w:val="none"/>
        </w:rPr>
      </w:pPr>
      <w:r>
        <w:rPr>
          <w:rFonts w:hint="eastAsia"/>
          <w:color w:val="auto"/>
          <w:sz w:val="21"/>
          <w:szCs w:val="21"/>
          <w:highlight w:val="none"/>
        </w:rPr>
        <w:t>1.发包人承诺按照法律规定履行项目审批手续、筹集工程建设资金并按照合同约定的期限和方式支付合同价款。</w:t>
      </w:r>
    </w:p>
    <w:p w14:paraId="5D7D33DB">
      <w:pPr>
        <w:spacing w:line="288" w:lineRule="auto"/>
        <w:ind w:firstLine="420" w:firstLineChars="200"/>
        <w:rPr>
          <w:color w:val="auto"/>
          <w:sz w:val="21"/>
          <w:szCs w:val="21"/>
          <w:highlight w:val="none"/>
        </w:rPr>
      </w:pPr>
      <w:r>
        <w:rPr>
          <w:rFonts w:hint="eastAsia"/>
          <w:color w:val="auto"/>
          <w:sz w:val="21"/>
          <w:szCs w:val="21"/>
          <w:highlight w:val="none"/>
        </w:rPr>
        <w:t>2.承包人承诺按照法律规定及合同约定组织完成工程施工，确保工程质量和安全，不进行转包及违法分包，并在缺陷责任期及保修期内承担相应的工程维修责任。</w:t>
      </w:r>
    </w:p>
    <w:p w14:paraId="273B4A27">
      <w:pPr>
        <w:spacing w:line="288" w:lineRule="auto"/>
        <w:ind w:firstLine="420" w:firstLineChars="200"/>
        <w:rPr>
          <w:color w:val="auto"/>
          <w:sz w:val="21"/>
          <w:szCs w:val="21"/>
          <w:highlight w:val="none"/>
        </w:rPr>
      </w:pPr>
      <w:r>
        <w:rPr>
          <w:rFonts w:hint="eastAsia"/>
          <w:color w:val="auto"/>
          <w:sz w:val="21"/>
          <w:szCs w:val="21"/>
          <w:highlight w:val="none"/>
        </w:rPr>
        <w:t>3.发包人和承包人通过招投标形式签订合同的，双方理解并承诺不再就同一工程另行签订与合同实质性内容相背离的协议。</w:t>
      </w:r>
    </w:p>
    <w:p w14:paraId="28988732">
      <w:pPr>
        <w:spacing w:line="288" w:lineRule="auto"/>
        <w:ind w:firstLine="420" w:firstLineChars="200"/>
        <w:rPr>
          <w:color w:val="auto"/>
          <w:sz w:val="21"/>
          <w:szCs w:val="21"/>
          <w:highlight w:val="none"/>
        </w:rPr>
      </w:pPr>
      <w:r>
        <w:rPr>
          <w:rFonts w:hint="eastAsia"/>
          <w:color w:val="auto"/>
          <w:sz w:val="21"/>
          <w:szCs w:val="21"/>
          <w:highlight w:val="none"/>
        </w:rPr>
        <w:t>八、词语含义</w:t>
      </w:r>
    </w:p>
    <w:p w14:paraId="7E875882">
      <w:pPr>
        <w:spacing w:line="288" w:lineRule="auto"/>
        <w:ind w:firstLine="420" w:firstLineChars="200"/>
        <w:rPr>
          <w:color w:val="auto"/>
          <w:sz w:val="21"/>
          <w:szCs w:val="21"/>
          <w:highlight w:val="none"/>
        </w:rPr>
      </w:pPr>
      <w:r>
        <w:rPr>
          <w:rFonts w:hint="eastAsia"/>
          <w:color w:val="auto"/>
          <w:sz w:val="21"/>
          <w:szCs w:val="21"/>
          <w:highlight w:val="none"/>
        </w:rPr>
        <w:t>本协议书中词语含义与第二部分通用合同条款中赋予的含义相同。</w:t>
      </w:r>
    </w:p>
    <w:p w14:paraId="295B8124">
      <w:pPr>
        <w:spacing w:line="288" w:lineRule="auto"/>
        <w:ind w:firstLine="420" w:firstLineChars="200"/>
        <w:rPr>
          <w:color w:val="auto"/>
          <w:sz w:val="21"/>
          <w:szCs w:val="21"/>
          <w:highlight w:val="none"/>
        </w:rPr>
      </w:pPr>
      <w:r>
        <w:rPr>
          <w:rFonts w:hint="eastAsia"/>
          <w:color w:val="auto"/>
          <w:sz w:val="21"/>
          <w:szCs w:val="21"/>
          <w:highlight w:val="none"/>
        </w:rPr>
        <w:t>九、签订时间</w:t>
      </w:r>
    </w:p>
    <w:p w14:paraId="36761D1E">
      <w:pPr>
        <w:spacing w:line="288" w:lineRule="auto"/>
        <w:ind w:firstLine="420" w:firstLineChars="200"/>
        <w:rPr>
          <w:color w:val="auto"/>
          <w:sz w:val="21"/>
          <w:szCs w:val="21"/>
          <w:highlight w:val="none"/>
        </w:rPr>
      </w:pPr>
      <w:r>
        <w:rPr>
          <w:rFonts w:hint="eastAsia"/>
          <w:color w:val="auto"/>
          <w:sz w:val="21"/>
          <w:szCs w:val="21"/>
          <w:highlight w:val="none"/>
        </w:rPr>
        <w:t>见签章页。</w:t>
      </w:r>
    </w:p>
    <w:p w14:paraId="6C47D5F9">
      <w:pPr>
        <w:spacing w:line="288" w:lineRule="auto"/>
        <w:ind w:firstLine="420" w:firstLineChars="200"/>
        <w:rPr>
          <w:color w:val="auto"/>
          <w:sz w:val="21"/>
          <w:szCs w:val="21"/>
          <w:highlight w:val="none"/>
        </w:rPr>
      </w:pPr>
      <w:r>
        <w:rPr>
          <w:rFonts w:hint="eastAsia"/>
          <w:color w:val="auto"/>
          <w:sz w:val="21"/>
          <w:szCs w:val="21"/>
          <w:highlight w:val="none"/>
        </w:rPr>
        <w:t>十、签订地点</w:t>
      </w:r>
    </w:p>
    <w:p w14:paraId="1AE895A4">
      <w:pPr>
        <w:spacing w:line="288" w:lineRule="auto"/>
        <w:ind w:firstLine="420" w:firstLineChars="200"/>
        <w:rPr>
          <w:color w:val="auto"/>
          <w:sz w:val="21"/>
          <w:szCs w:val="21"/>
          <w:highlight w:val="none"/>
        </w:rPr>
      </w:pPr>
      <w:r>
        <w:rPr>
          <w:rFonts w:hint="eastAsia"/>
          <w:color w:val="auto"/>
          <w:sz w:val="21"/>
          <w:szCs w:val="21"/>
          <w:highlight w:val="none"/>
        </w:rPr>
        <w:t>本合同在浙江杭州签订。</w:t>
      </w:r>
    </w:p>
    <w:p w14:paraId="67C16282">
      <w:pPr>
        <w:spacing w:line="288" w:lineRule="auto"/>
        <w:ind w:firstLine="420" w:firstLineChars="200"/>
        <w:rPr>
          <w:color w:val="auto"/>
          <w:sz w:val="21"/>
          <w:szCs w:val="21"/>
          <w:highlight w:val="none"/>
        </w:rPr>
      </w:pPr>
      <w:r>
        <w:rPr>
          <w:rFonts w:hint="eastAsia"/>
          <w:color w:val="auto"/>
          <w:sz w:val="21"/>
          <w:szCs w:val="21"/>
          <w:highlight w:val="none"/>
        </w:rPr>
        <w:t>十一、补充协议</w:t>
      </w:r>
    </w:p>
    <w:p w14:paraId="00ECFC55">
      <w:pPr>
        <w:spacing w:line="288" w:lineRule="auto"/>
        <w:ind w:firstLine="420" w:firstLineChars="200"/>
        <w:rPr>
          <w:color w:val="auto"/>
          <w:sz w:val="21"/>
          <w:szCs w:val="21"/>
          <w:highlight w:val="none"/>
        </w:rPr>
      </w:pPr>
      <w:r>
        <w:rPr>
          <w:rFonts w:hint="eastAsia"/>
          <w:color w:val="auto"/>
          <w:sz w:val="21"/>
          <w:szCs w:val="21"/>
          <w:highlight w:val="none"/>
        </w:rPr>
        <w:t>合同未尽事宜，合同当事人另行签订补充协议，补充协议是合同的组成部分。</w:t>
      </w:r>
    </w:p>
    <w:p w14:paraId="1E98F9F6">
      <w:pPr>
        <w:spacing w:line="288" w:lineRule="auto"/>
        <w:ind w:firstLine="420" w:firstLineChars="200"/>
        <w:rPr>
          <w:color w:val="auto"/>
          <w:sz w:val="21"/>
          <w:szCs w:val="21"/>
          <w:highlight w:val="none"/>
        </w:rPr>
      </w:pPr>
      <w:r>
        <w:rPr>
          <w:rFonts w:hint="eastAsia"/>
          <w:color w:val="auto"/>
          <w:sz w:val="21"/>
          <w:szCs w:val="21"/>
          <w:highlight w:val="none"/>
        </w:rPr>
        <w:t>十二、合同生效</w:t>
      </w:r>
    </w:p>
    <w:p w14:paraId="6DBA04DE">
      <w:pPr>
        <w:spacing w:line="288" w:lineRule="auto"/>
        <w:ind w:firstLine="420" w:firstLineChars="200"/>
        <w:rPr>
          <w:color w:val="auto"/>
          <w:sz w:val="21"/>
          <w:szCs w:val="21"/>
          <w:highlight w:val="none"/>
        </w:rPr>
      </w:pPr>
      <w:r>
        <w:rPr>
          <w:rFonts w:hint="eastAsia"/>
          <w:color w:val="auto"/>
          <w:sz w:val="21"/>
          <w:szCs w:val="21"/>
          <w:highlight w:val="none"/>
        </w:rPr>
        <w:t>本合同自发包人、承包人、鉴证方签字盖章之日起生效。</w:t>
      </w:r>
    </w:p>
    <w:p w14:paraId="1459AE54">
      <w:pPr>
        <w:spacing w:line="288" w:lineRule="auto"/>
        <w:ind w:firstLine="420" w:firstLineChars="200"/>
        <w:rPr>
          <w:color w:val="auto"/>
          <w:sz w:val="21"/>
          <w:szCs w:val="21"/>
          <w:highlight w:val="none"/>
        </w:rPr>
      </w:pPr>
      <w:r>
        <w:rPr>
          <w:rFonts w:hint="eastAsia"/>
          <w:color w:val="auto"/>
          <w:sz w:val="21"/>
          <w:szCs w:val="21"/>
          <w:highlight w:val="none"/>
        </w:rPr>
        <w:t>十三、合同份数</w:t>
      </w:r>
    </w:p>
    <w:p w14:paraId="4F817726">
      <w:pPr>
        <w:spacing w:line="288" w:lineRule="auto"/>
        <w:ind w:firstLine="420" w:firstLineChars="200"/>
        <w:rPr>
          <w:color w:val="auto"/>
          <w:sz w:val="21"/>
          <w:szCs w:val="21"/>
          <w:highlight w:val="none"/>
        </w:rPr>
      </w:pPr>
      <w:r>
        <w:rPr>
          <w:rFonts w:hint="eastAsia"/>
          <w:color w:val="auto"/>
          <w:sz w:val="21"/>
          <w:szCs w:val="21"/>
          <w:highlight w:val="none"/>
        </w:rPr>
        <w:t>本合同壹式柒份，发包人执肆份，承包人执贰份，鉴证方执壹份。</w:t>
      </w:r>
    </w:p>
    <w:p w14:paraId="34C4D435">
      <w:pPr>
        <w:spacing w:line="288" w:lineRule="auto"/>
        <w:rPr>
          <w:color w:val="auto"/>
          <w:sz w:val="21"/>
          <w:szCs w:val="21"/>
          <w:highlight w:val="none"/>
        </w:rPr>
      </w:pPr>
    </w:p>
    <w:p w14:paraId="7E0DC234">
      <w:pPr>
        <w:spacing w:line="288" w:lineRule="auto"/>
        <w:ind w:firstLine="420" w:firstLineChars="200"/>
        <w:rPr>
          <w:color w:val="auto"/>
          <w:sz w:val="21"/>
          <w:szCs w:val="21"/>
          <w:highlight w:val="none"/>
        </w:rPr>
      </w:pPr>
      <w:r>
        <w:rPr>
          <w:rFonts w:hint="eastAsia"/>
          <w:color w:val="auto"/>
          <w:sz w:val="21"/>
          <w:szCs w:val="21"/>
          <w:highlight w:val="none"/>
        </w:rPr>
        <w:t>发包人：(公章)                        承包人：(公章)</w:t>
      </w:r>
    </w:p>
    <w:p w14:paraId="70E033A2">
      <w:pPr>
        <w:spacing w:line="288" w:lineRule="auto"/>
        <w:ind w:firstLine="420" w:firstLineChars="200"/>
        <w:rPr>
          <w:color w:val="auto"/>
          <w:sz w:val="21"/>
          <w:szCs w:val="21"/>
          <w:highlight w:val="none"/>
        </w:rPr>
      </w:pPr>
    </w:p>
    <w:p w14:paraId="6429B9AC">
      <w:pPr>
        <w:spacing w:line="288" w:lineRule="auto"/>
        <w:ind w:firstLine="420" w:firstLineChars="200"/>
        <w:rPr>
          <w:color w:val="auto"/>
          <w:sz w:val="21"/>
          <w:szCs w:val="21"/>
          <w:highlight w:val="none"/>
        </w:rPr>
      </w:pPr>
      <w:r>
        <w:rPr>
          <w:rFonts w:hint="eastAsia"/>
          <w:color w:val="auto"/>
          <w:sz w:val="21"/>
          <w:szCs w:val="21"/>
          <w:highlight w:val="none"/>
        </w:rPr>
        <w:t>法定代表人或其委托代理人：            法定代表人或其委托代理人：</w:t>
      </w:r>
    </w:p>
    <w:p w14:paraId="2FC4E403">
      <w:pPr>
        <w:spacing w:line="288" w:lineRule="auto"/>
        <w:ind w:firstLine="420" w:firstLineChars="200"/>
        <w:rPr>
          <w:color w:val="auto"/>
          <w:sz w:val="21"/>
          <w:szCs w:val="21"/>
          <w:highlight w:val="none"/>
        </w:rPr>
      </w:pPr>
      <w:r>
        <w:rPr>
          <w:rFonts w:hint="eastAsia"/>
          <w:color w:val="auto"/>
          <w:sz w:val="21"/>
          <w:szCs w:val="21"/>
          <w:highlight w:val="none"/>
        </w:rPr>
        <w:t>（</w:t>
      </w:r>
      <w:r>
        <w:rPr>
          <w:color w:val="auto"/>
          <w:kern w:val="0"/>
          <w:sz w:val="21"/>
          <w:szCs w:val="21"/>
          <w:highlight w:val="none"/>
        </w:rPr>
        <w:t>签字或盖章</w:t>
      </w:r>
      <w:r>
        <w:rPr>
          <w:rFonts w:hint="eastAsia"/>
          <w:color w:val="auto"/>
          <w:sz w:val="21"/>
          <w:szCs w:val="21"/>
          <w:highlight w:val="none"/>
        </w:rPr>
        <w:t>）                       （</w:t>
      </w:r>
      <w:r>
        <w:rPr>
          <w:color w:val="auto"/>
          <w:kern w:val="0"/>
          <w:sz w:val="21"/>
          <w:szCs w:val="21"/>
          <w:highlight w:val="none"/>
        </w:rPr>
        <w:t>签字或盖章</w:t>
      </w:r>
      <w:r>
        <w:rPr>
          <w:rFonts w:hint="eastAsia"/>
          <w:color w:val="auto"/>
          <w:sz w:val="21"/>
          <w:szCs w:val="21"/>
          <w:highlight w:val="none"/>
        </w:rPr>
        <w:t>）</w:t>
      </w:r>
    </w:p>
    <w:p w14:paraId="2F6C097A">
      <w:pPr>
        <w:spacing w:line="288" w:lineRule="auto"/>
        <w:ind w:firstLine="420" w:firstLineChars="200"/>
        <w:rPr>
          <w:color w:val="auto"/>
          <w:sz w:val="21"/>
          <w:szCs w:val="21"/>
          <w:highlight w:val="none"/>
        </w:rPr>
      </w:pPr>
      <w:r>
        <w:rPr>
          <w:rFonts w:hint="eastAsia"/>
          <w:color w:val="auto"/>
          <w:sz w:val="21"/>
          <w:szCs w:val="21"/>
          <w:highlight w:val="none"/>
        </w:rPr>
        <w:t>地址：                                地址：</w:t>
      </w:r>
    </w:p>
    <w:p w14:paraId="5EB4649C">
      <w:pPr>
        <w:spacing w:line="288" w:lineRule="auto"/>
        <w:ind w:firstLine="420" w:firstLineChars="200"/>
        <w:rPr>
          <w:color w:val="auto"/>
          <w:sz w:val="21"/>
          <w:szCs w:val="21"/>
          <w:highlight w:val="none"/>
        </w:rPr>
      </w:pPr>
      <w:r>
        <w:rPr>
          <w:rFonts w:hint="eastAsia"/>
          <w:color w:val="auto"/>
          <w:sz w:val="21"/>
          <w:szCs w:val="21"/>
          <w:highlight w:val="none"/>
        </w:rPr>
        <w:t>邮政编码：                            邮政编码：</w:t>
      </w:r>
    </w:p>
    <w:p w14:paraId="4984A5F7">
      <w:pPr>
        <w:spacing w:line="288" w:lineRule="auto"/>
        <w:ind w:firstLine="420" w:firstLineChars="200"/>
        <w:rPr>
          <w:color w:val="auto"/>
          <w:sz w:val="21"/>
          <w:szCs w:val="21"/>
          <w:highlight w:val="none"/>
        </w:rPr>
      </w:pPr>
      <w:r>
        <w:rPr>
          <w:rFonts w:hint="eastAsia"/>
          <w:color w:val="auto"/>
          <w:sz w:val="21"/>
          <w:szCs w:val="21"/>
          <w:highlight w:val="none"/>
        </w:rPr>
        <w:t>法定代表人：                          法定代表人：</w:t>
      </w:r>
    </w:p>
    <w:p w14:paraId="00DFC0C9">
      <w:pPr>
        <w:spacing w:line="288" w:lineRule="auto"/>
        <w:ind w:firstLine="420" w:firstLineChars="200"/>
        <w:rPr>
          <w:color w:val="auto"/>
          <w:sz w:val="21"/>
          <w:szCs w:val="21"/>
          <w:highlight w:val="none"/>
        </w:rPr>
      </w:pPr>
      <w:r>
        <w:rPr>
          <w:rFonts w:hint="eastAsia"/>
          <w:color w:val="auto"/>
          <w:sz w:val="21"/>
          <w:szCs w:val="21"/>
          <w:highlight w:val="none"/>
        </w:rPr>
        <w:t>委托代理人：                          委托代理人：</w:t>
      </w:r>
    </w:p>
    <w:p w14:paraId="22F3A082">
      <w:pPr>
        <w:spacing w:line="288" w:lineRule="auto"/>
        <w:ind w:firstLine="420" w:firstLineChars="200"/>
        <w:rPr>
          <w:color w:val="auto"/>
          <w:sz w:val="21"/>
          <w:szCs w:val="21"/>
          <w:highlight w:val="none"/>
        </w:rPr>
      </w:pPr>
      <w:r>
        <w:rPr>
          <w:rFonts w:hint="eastAsia"/>
          <w:color w:val="auto"/>
          <w:sz w:val="21"/>
          <w:szCs w:val="21"/>
          <w:highlight w:val="none"/>
        </w:rPr>
        <w:t>开户银行：                            开户银行：</w:t>
      </w:r>
    </w:p>
    <w:p w14:paraId="77616B9F">
      <w:pPr>
        <w:spacing w:line="288" w:lineRule="auto"/>
        <w:ind w:firstLine="420" w:firstLineChars="200"/>
        <w:rPr>
          <w:color w:val="auto"/>
          <w:sz w:val="21"/>
          <w:szCs w:val="21"/>
          <w:highlight w:val="none"/>
        </w:rPr>
      </w:pPr>
      <w:r>
        <w:rPr>
          <w:rFonts w:hint="eastAsia"/>
          <w:color w:val="auto"/>
          <w:sz w:val="21"/>
          <w:szCs w:val="21"/>
          <w:highlight w:val="none"/>
        </w:rPr>
        <w:t>账号：                                账号：</w:t>
      </w:r>
    </w:p>
    <w:p w14:paraId="6F6ABAA4">
      <w:pPr>
        <w:spacing w:line="440" w:lineRule="exact"/>
        <w:rPr>
          <w:color w:val="auto"/>
          <w:szCs w:val="21"/>
          <w:highlight w:val="none"/>
        </w:rPr>
      </w:pPr>
    </w:p>
    <w:p w14:paraId="6C87222E">
      <w:pPr>
        <w:widowControl/>
        <w:spacing w:line="288" w:lineRule="auto"/>
        <w:ind w:left="480" w:leftChars="200"/>
        <w:rPr>
          <w:color w:val="auto"/>
          <w:kern w:val="0"/>
          <w:sz w:val="21"/>
          <w:szCs w:val="21"/>
          <w:highlight w:val="none"/>
        </w:rPr>
      </w:pPr>
      <w:r>
        <w:rPr>
          <w:color w:val="auto"/>
          <w:kern w:val="0"/>
          <w:sz w:val="21"/>
          <w:szCs w:val="21"/>
          <w:highlight w:val="none"/>
        </w:rPr>
        <w:t xml:space="preserve">鉴证方： </w:t>
      </w:r>
    </w:p>
    <w:p w14:paraId="1737419D">
      <w:pPr>
        <w:widowControl/>
        <w:spacing w:line="288" w:lineRule="auto"/>
        <w:ind w:left="480" w:leftChars="200"/>
        <w:rPr>
          <w:color w:val="auto"/>
          <w:kern w:val="0"/>
          <w:sz w:val="21"/>
          <w:szCs w:val="21"/>
          <w:highlight w:val="none"/>
        </w:rPr>
      </w:pPr>
      <w:r>
        <w:rPr>
          <w:color w:val="auto"/>
          <w:kern w:val="0"/>
          <w:sz w:val="21"/>
          <w:szCs w:val="21"/>
          <w:highlight w:val="none"/>
        </w:rPr>
        <w:t>法定代表人或授权委托人（签字或盖章）</w:t>
      </w:r>
    </w:p>
    <w:p w14:paraId="3DDCE419">
      <w:pPr>
        <w:widowControl/>
        <w:spacing w:line="288" w:lineRule="auto"/>
        <w:ind w:left="480" w:leftChars="200"/>
        <w:rPr>
          <w:color w:val="auto"/>
          <w:kern w:val="0"/>
          <w:sz w:val="21"/>
          <w:szCs w:val="21"/>
          <w:highlight w:val="none"/>
        </w:rPr>
      </w:pPr>
      <w:r>
        <w:rPr>
          <w:color w:val="auto"/>
          <w:kern w:val="0"/>
          <w:sz w:val="21"/>
          <w:szCs w:val="21"/>
          <w:highlight w:val="none"/>
        </w:rPr>
        <w:t xml:space="preserve">开户银行： </w:t>
      </w:r>
    </w:p>
    <w:p w14:paraId="5E277889">
      <w:pPr>
        <w:widowControl/>
        <w:spacing w:line="288" w:lineRule="auto"/>
        <w:ind w:left="480" w:leftChars="200"/>
        <w:rPr>
          <w:color w:val="auto"/>
          <w:kern w:val="0"/>
          <w:sz w:val="21"/>
          <w:szCs w:val="21"/>
          <w:highlight w:val="none"/>
        </w:rPr>
      </w:pPr>
      <w:r>
        <w:rPr>
          <w:color w:val="auto"/>
          <w:kern w:val="0"/>
          <w:sz w:val="21"/>
          <w:szCs w:val="21"/>
          <w:highlight w:val="none"/>
        </w:rPr>
        <w:t xml:space="preserve">账号： </w:t>
      </w:r>
    </w:p>
    <w:p w14:paraId="2B47F75D">
      <w:pPr>
        <w:widowControl/>
        <w:spacing w:line="288" w:lineRule="auto"/>
        <w:ind w:left="480" w:leftChars="200"/>
        <w:rPr>
          <w:color w:val="auto"/>
          <w:kern w:val="0"/>
          <w:sz w:val="21"/>
          <w:szCs w:val="21"/>
          <w:highlight w:val="none"/>
        </w:rPr>
      </w:pPr>
      <w:r>
        <w:rPr>
          <w:color w:val="auto"/>
          <w:kern w:val="0"/>
          <w:sz w:val="21"/>
          <w:szCs w:val="21"/>
          <w:highlight w:val="none"/>
        </w:rPr>
        <w:t>地址：</w:t>
      </w:r>
    </w:p>
    <w:p w14:paraId="02E96B3A">
      <w:pPr>
        <w:pStyle w:val="104"/>
        <w:spacing w:line="360" w:lineRule="auto"/>
        <w:jc w:val="right"/>
        <w:rPr>
          <w:rFonts w:ascii="宋体" w:hAnsi="宋体" w:cs="宋体"/>
          <w:b/>
          <w:bCs/>
          <w:color w:val="auto"/>
          <w:szCs w:val="21"/>
          <w:highlight w:val="none"/>
        </w:rPr>
      </w:pPr>
      <w:r>
        <w:rPr>
          <w:b/>
          <w:bCs/>
          <w:color w:val="auto"/>
          <w:kern w:val="0"/>
          <w:szCs w:val="21"/>
          <w:highlight w:val="none"/>
        </w:rPr>
        <w:t>签订日期：      年    月    日</w:t>
      </w:r>
      <w:r>
        <w:rPr>
          <w:b/>
          <w:color w:val="auto"/>
          <w:sz w:val="30"/>
          <w:szCs w:val="30"/>
          <w:highlight w:val="none"/>
        </w:rPr>
        <w:br w:type="page"/>
      </w:r>
    </w:p>
    <w:p w14:paraId="4FC34BA3">
      <w:pPr>
        <w:pStyle w:val="28"/>
        <w:spacing w:line="440" w:lineRule="exact"/>
        <w:jc w:val="center"/>
        <w:rPr>
          <w:b/>
          <w:bCs/>
          <w:color w:val="auto"/>
          <w:sz w:val="32"/>
          <w:szCs w:val="32"/>
          <w:highlight w:val="none"/>
        </w:rPr>
      </w:pPr>
      <w:r>
        <w:rPr>
          <w:rFonts w:hint="eastAsia"/>
          <w:b/>
          <w:snapToGrid w:val="0"/>
          <w:color w:val="auto"/>
          <w:sz w:val="28"/>
          <w:szCs w:val="28"/>
          <w:highlight w:val="none"/>
        </w:rPr>
        <w:t>第二部分  通用条款</w:t>
      </w:r>
    </w:p>
    <w:p w14:paraId="12399592">
      <w:pPr>
        <w:pStyle w:val="28"/>
        <w:spacing w:line="440" w:lineRule="exact"/>
        <w:ind w:firstLine="420" w:firstLineChars="200"/>
        <w:rPr>
          <w:color w:val="auto"/>
          <w:sz w:val="21"/>
          <w:szCs w:val="21"/>
          <w:highlight w:val="none"/>
        </w:rPr>
      </w:pPr>
      <w:r>
        <w:rPr>
          <w:rFonts w:hint="eastAsia"/>
          <w:color w:val="auto"/>
          <w:sz w:val="21"/>
          <w:szCs w:val="21"/>
          <w:highlight w:val="none"/>
        </w:rPr>
        <w:t>详见《建设工程施工合同（示范文本）》（GF-2017-0201）第二部分 通用合同条款。</w:t>
      </w:r>
    </w:p>
    <w:p w14:paraId="462BB4FE">
      <w:pPr>
        <w:pStyle w:val="28"/>
        <w:spacing w:line="440" w:lineRule="exact"/>
        <w:jc w:val="center"/>
        <w:rPr>
          <w:b/>
          <w:snapToGrid w:val="0"/>
          <w:color w:val="auto"/>
          <w:sz w:val="28"/>
          <w:szCs w:val="28"/>
          <w:highlight w:val="none"/>
        </w:rPr>
      </w:pPr>
      <w:r>
        <w:rPr>
          <w:rFonts w:hint="eastAsia"/>
          <w:b/>
          <w:snapToGrid w:val="0"/>
          <w:color w:val="auto"/>
          <w:sz w:val="28"/>
          <w:szCs w:val="28"/>
          <w:highlight w:val="none"/>
        </w:rPr>
        <w:t>第三部分  专用条款</w:t>
      </w:r>
    </w:p>
    <w:p w14:paraId="15CB3B88">
      <w:pPr>
        <w:pStyle w:val="127"/>
        <w:adjustRightInd w:val="0"/>
        <w:snapToGrid w:val="0"/>
        <w:spacing w:before="0" w:after="0" w:line="360" w:lineRule="exact"/>
        <w:ind w:firstLine="42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1. 一般约定</w:t>
      </w:r>
    </w:p>
    <w:p w14:paraId="30B7A048">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1.1 词语定义</w:t>
      </w:r>
    </w:p>
    <w:p w14:paraId="0F8CB5C3">
      <w:pPr>
        <w:pStyle w:val="104"/>
        <w:adjustRightInd w:val="0"/>
        <w:snapToGrid w:val="0"/>
        <w:spacing w:line="3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1.1.1合同</w:t>
      </w:r>
    </w:p>
    <w:p w14:paraId="2425B7E2">
      <w:pPr>
        <w:pStyle w:val="104"/>
        <w:adjustRightInd w:val="0"/>
        <w:snapToGrid w:val="0"/>
        <w:spacing w:line="3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1.1.1.10其他合同文件包括：</w:t>
      </w:r>
      <w:r>
        <w:rPr>
          <w:rFonts w:hint="eastAsia" w:ascii="宋体" w:hAnsi="宋体" w:cs="宋体"/>
          <w:color w:val="auto"/>
          <w:highlight w:val="none"/>
          <w:u w:val="single"/>
        </w:rPr>
        <w:t xml:space="preserve">           /      </w:t>
      </w:r>
    </w:p>
    <w:p w14:paraId="560C1BDD">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1.1.2 合同当事人及其他相关方</w:t>
      </w:r>
    </w:p>
    <w:p w14:paraId="2995C10F">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1.1.2.4监理人：</w:t>
      </w:r>
    </w:p>
    <w:p w14:paraId="711C12C5">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名    称：</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5D0903DB">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资质类别和等级：</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DE5BECD">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1D59AEF">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6AA5A235">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6F4CADDB">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1.1.2.5 设计人：</w:t>
      </w:r>
    </w:p>
    <w:p w14:paraId="6BB6AC42">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名    称：</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9FB4A00">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资质类别和等级：</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852BCBE">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91F773A">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072DBA60">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0053A13D">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1.1.3 工程和设备</w:t>
      </w:r>
    </w:p>
    <w:p w14:paraId="235D42A8">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1.1.3.7 作为施工现场组成部分的其他场所包括：</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4BD2E1ED">
      <w:pPr>
        <w:pStyle w:val="104"/>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1.1.3.9 永久占地包括：</w:t>
      </w:r>
      <w:r>
        <w:rPr>
          <w:rFonts w:hint="eastAsia" w:ascii="宋体" w:hAnsi="宋体" w:cs="宋体"/>
          <w:color w:val="auto"/>
          <w:highlight w:val="none"/>
          <w:u w:val="single"/>
        </w:rPr>
        <w:t xml:space="preserve">                /        </w:t>
      </w:r>
      <w:r>
        <w:rPr>
          <w:rFonts w:hint="eastAsia" w:ascii="宋体" w:hAnsi="宋体" w:cs="宋体"/>
          <w:color w:val="auto"/>
          <w:kern w:val="0"/>
          <w:highlight w:val="none"/>
        </w:rPr>
        <w:t>。</w:t>
      </w:r>
    </w:p>
    <w:p w14:paraId="7432207A">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kern w:val="0"/>
          <w:highlight w:val="none"/>
        </w:rPr>
        <w:t>1.1.3.10 临时占地包括：</w:t>
      </w:r>
      <w:r>
        <w:rPr>
          <w:rFonts w:hint="eastAsia" w:ascii="宋体" w:hAnsi="宋体" w:cs="宋体"/>
          <w:color w:val="auto"/>
          <w:highlight w:val="none"/>
          <w:u w:val="single"/>
        </w:rPr>
        <w:t xml:space="preserve">             /          </w:t>
      </w:r>
      <w:r>
        <w:rPr>
          <w:rFonts w:hint="eastAsia" w:ascii="宋体" w:hAnsi="宋体" w:cs="宋体"/>
          <w:color w:val="auto"/>
          <w:kern w:val="0"/>
          <w:highlight w:val="none"/>
        </w:rPr>
        <w:t>。</w:t>
      </w:r>
    </w:p>
    <w:p w14:paraId="4214F14A">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 xml:space="preserve">1.3法律 </w:t>
      </w:r>
    </w:p>
    <w:p w14:paraId="38797F39">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适用于合同的其他规范性文件：</w:t>
      </w:r>
    </w:p>
    <w:p w14:paraId="2812714B">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1.3.1《关于贯彻《省厅调整安全文明施工费的通知》的通知》(杭建市发〔2022)54号〕；</w:t>
      </w:r>
    </w:p>
    <w:p w14:paraId="66911DF0">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1.3.2省市建设行政部门颁发的其他现行有效文件(包括但不仅限于以下文件)；</w:t>
      </w:r>
    </w:p>
    <w:p w14:paraId="68367C44">
      <w:pPr>
        <w:pStyle w:val="104"/>
        <w:adjustRightInd w:val="0"/>
        <w:snapToGrid w:val="0"/>
        <w:spacing w:line="360" w:lineRule="exact"/>
        <w:ind w:firstLine="420" w:firstLineChars="200"/>
        <w:rPr>
          <w:rFonts w:ascii="宋体" w:hAnsi="宋体" w:cs="宋体"/>
          <w:color w:val="auto"/>
          <w:highlight w:val="none"/>
          <w:u w:val="single"/>
        </w:rPr>
      </w:pPr>
      <w:r>
        <w:rPr>
          <w:rFonts w:hint="eastAsia" w:ascii="宋体" w:hAnsi="宋体" w:cs="宋体"/>
          <w:color w:val="auto"/>
          <w:highlight w:val="none"/>
        </w:rPr>
        <w:t>(1)其他：</w:t>
      </w:r>
      <w:r>
        <w:rPr>
          <w:rFonts w:hint="eastAsia" w:ascii="宋体" w:hAnsi="宋体" w:cs="宋体"/>
          <w:b/>
          <w:bCs/>
          <w:color w:val="auto"/>
          <w:highlight w:val="none"/>
          <w:u w:val="single"/>
        </w:rPr>
        <w:t>《中华人民共和国建筑法》、《中华人民共和国民法典》及国家、浙江省、项目所在地市现行的其它法律、行政法规、地方性法规</w:t>
      </w:r>
      <w:r>
        <w:rPr>
          <w:rFonts w:hint="eastAsia" w:ascii="宋体" w:hAnsi="宋体" w:cs="宋体"/>
          <w:color w:val="auto"/>
          <w:highlight w:val="none"/>
          <w:u w:val="single"/>
        </w:rPr>
        <w:t>。</w:t>
      </w:r>
    </w:p>
    <w:p w14:paraId="0D4A351E">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1.3.3 新工艺、新技术的约定：：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72E46F66">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1.3.4 其他</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4092A267">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1.4 标准和规范</w:t>
      </w:r>
    </w:p>
    <w:p w14:paraId="546D171E">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1.4.1适用于工程的标准规范包括：</w:t>
      </w:r>
      <w:r>
        <w:rPr>
          <w:rFonts w:hint="eastAsia" w:ascii="宋体" w:hAnsi="宋体" w:cs="宋体"/>
          <w:b/>
          <w:bCs/>
          <w:color w:val="auto"/>
          <w:highlight w:val="none"/>
          <w:u w:val="single"/>
        </w:rPr>
        <w:t>按通用条款约定</w:t>
      </w:r>
      <w:r>
        <w:rPr>
          <w:rFonts w:hint="eastAsia" w:ascii="宋体" w:hAnsi="宋体" w:cs="宋体"/>
          <w:color w:val="auto"/>
          <w:highlight w:val="none"/>
          <w:u w:val="single"/>
        </w:rPr>
        <w:t xml:space="preserve"> </w:t>
      </w:r>
      <w:r>
        <w:rPr>
          <w:rFonts w:hint="eastAsia" w:ascii="宋体" w:hAnsi="宋体" w:cs="宋体"/>
          <w:color w:val="auto"/>
          <w:kern w:val="0"/>
          <w:highlight w:val="none"/>
        </w:rPr>
        <w:t>；</w:t>
      </w:r>
    </w:p>
    <w:p w14:paraId="781CC199">
      <w:pPr>
        <w:pStyle w:val="104"/>
        <w:adjustRightInd w:val="0"/>
        <w:snapToGrid w:val="0"/>
        <w:spacing w:line="3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1.4.2 发包人提供国外标准、规范的名称：</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w:t>
      </w:r>
    </w:p>
    <w:p w14:paraId="023BF369">
      <w:pPr>
        <w:pStyle w:val="104"/>
        <w:adjustRightInd w:val="0"/>
        <w:snapToGrid w:val="0"/>
        <w:spacing w:line="3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发包人提供国外标准、规范的份数：</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w:t>
      </w:r>
    </w:p>
    <w:p w14:paraId="50F5BB1E">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kern w:val="0"/>
          <w:highlight w:val="none"/>
        </w:rPr>
        <w:t>发包人提供国外标准、规范的名称：</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w:t>
      </w:r>
    </w:p>
    <w:p w14:paraId="7E183BAC">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1.4.3发包人对工程的技术标准和功能要求的特殊要求：</w:t>
      </w:r>
      <w:r>
        <w:rPr>
          <w:rFonts w:hint="eastAsia" w:ascii="宋体" w:hAnsi="宋体" w:cs="宋体"/>
          <w:b/>
          <w:bCs/>
          <w:color w:val="auto"/>
          <w:highlight w:val="none"/>
          <w:u w:val="single"/>
        </w:rPr>
        <w:t xml:space="preserve">按磋商文件第三章采购需求书中的技术标准约定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2B63B29">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1.5 合同文件的优先顺序</w:t>
      </w:r>
    </w:p>
    <w:p w14:paraId="2408492C">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合同文件组成及优先顺序为：</w:t>
      </w:r>
      <w:r>
        <w:rPr>
          <w:rFonts w:hint="eastAsia" w:ascii="宋体" w:hAnsi="宋体" w:cs="宋体"/>
          <w:b/>
          <w:bCs/>
          <w:color w:val="auto"/>
          <w:highlight w:val="none"/>
          <w:u w:val="single"/>
        </w:rPr>
        <w:t>（1）合同协议书；（2）成交通知书；（3）磋商文件、答疑、磋商记录及补充文件；（4）响应文件及其附件；（5）专用合同条款及其附件；（6）通用合同条款；（7）技术标准和要求；（8）图纸（如有）；（9）已标价工程量清单或预算书；（10）其他合同文件。</w:t>
      </w:r>
    </w:p>
    <w:p w14:paraId="6CEBD614">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1.6 图纸和承包人文件</w:t>
      </w:r>
      <w:r>
        <w:rPr>
          <w:rFonts w:hint="eastAsia" w:ascii="宋体" w:hAnsi="宋体" w:cs="宋体"/>
          <w:color w:val="auto"/>
          <w:highlight w:val="none"/>
        </w:rPr>
        <w:tab/>
      </w:r>
    </w:p>
    <w:p w14:paraId="2E80BDD8">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1.6.1 图纸的提供</w:t>
      </w:r>
    </w:p>
    <w:p w14:paraId="1BFFD59F">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发包人向承包人提供图纸的期限：</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40B2F98C">
      <w:pPr>
        <w:pStyle w:val="128"/>
        <w:adjustRightInd w:val="0"/>
        <w:snapToGrid w:val="0"/>
        <w:spacing w:line="360" w:lineRule="exact"/>
        <w:ind w:firstLine="420" w:firstLineChars="200"/>
        <w:rPr>
          <w:rFonts w:ascii="宋体" w:hAnsi="宋体" w:eastAsia="宋体" w:cs="宋体"/>
          <w:b/>
          <w:bCs/>
          <w:color w:val="auto"/>
          <w:highlight w:val="none"/>
          <w:u w:val="single"/>
        </w:rPr>
      </w:pPr>
      <w:r>
        <w:rPr>
          <w:rFonts w:hint="eastAsia" w:ascii="宋体" w:hAnsi="宋体" w:eastAsia="宋体" w:cs="宋体"/>
          <w:color w:val="auto"/>
          <w:highlight w:val="none"/>
        </w:rPr>
        <w:t>发包人向承包人提供图纸的数量：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D1C3FF6">
      <w:pPr>
        <w:pStyle w:val="104"/>
        <w:adjustRightInd w:val="0"/>
        <w:snapToGrid w:val="0"/>
        <w:spacing w:line="360" w:lineRule="exact"/>
        <w:ind w:firstLine="420" w:firstLineChars="200"/>
        <w:rPr>
          <w:rFonts w:ascii="宋体" w:hAnsi="宋体" w:cs="宋体"/>
          <w:color w:val="auto"/>
          <w:kern w:val="0"/>
          <w:highlight w:val="none"/>
          <w:u w:val="single"/>
        </w:rPr>
      </w:pPr>
      <w:r>
        <w:rPr>
          <w:rFonts w:hint="eastAsia" w:ascii="宋体" w:hAnsi="宋体" w:cs="宋体"/>
          <w:color w:val="auto"/>
          <w:highlight w:val="none"/>
        </w:rPr>
        <w:t>发包人向承包人提供图纸的内容：</w:t>
      </w:r>
      <w:r>
        <w:rPr>
          <w:rFonts w:hint="eastAsia" w:ascii="宋体" w:hAnsi="宋体" w:cs="宋体"/>
          <w:color w:val="auto"/>
          <w:highlight w:val="none"/>
          <w:u w:val="single"/>
        </w:rPr>
        <w:t xml:space="preserve">   /     </w:t>
      </w:r>
      <w:r>
        <w:rPr>
          <w:rFonts w:hint="eastAsia" w:ascii="宋体" w:hAnsi="宋体" w:cs="宋体"/>
          <w:color w:val="auto"/>
          <w:kern w:val="0"/>
          <w:highlight w:val="none"/>
        </w:rPr>
        <w:t>。</w:t>
      </w:r>
    </w:p>
    <w:p w14:paraId="2FCE7A83">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1.6.4 承包人文件</w:t>
      </w:r>
    </w:p>
    <w:p w14:paraId="1F3ECBA2">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需要由承包人提供的文件，包括：</w:t>
      </w:r>
      <w:r>
        <w:rPr>
          <w:rFonts w:hint="eastAsia" w:ascii="宋体" w:hAnsi="宋体" w:cs="宋体"/>
          <w:b/>
          <w:bCs/>
          <w:color w:val="auto"/>
          <w:highlight w:val="none"/>
          <w:u w:val="single"/>
        </w:rPr>
        <w:t>施工方案和进度计划</w:t>
      </w:r>
      <w:r>
        <w:rPr>
          <w:rFonts w:hint="eastAsia" w:ascii="宋体" w:hAnsi="宋体" w:cs="宋体"/>
          <w:color w:val="auto"/>
          <w:highlight w:val="none"/>
        </w:rPr>
        <w:t>；</w:t>
      </w:r>
    </w:p>
    <w:p w14:paraId="4716C9BD">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承包人提供的文件的期限为：</w:t>
      </w:r>
      <w:r>
        <w:rPr>
          <w:rFonts w:hint="eastAsia" w:ascii="宋体" w:hAnsi="宋体" w:cs="宋体"/>
          <w:b/>
          <w:bCs/>
          <w:color w:val="auto"/>
          <w:highlight w:val="none"/>
          <w:u w:val="single"/>
        </w:rPr>
        <w:t>开工前7天提供</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04620DD">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承包人提供的文件的数量为：</w:t>
      </w:r>
      <w:r>
        <w:rPr>
          <w:rFonts w:hint="eastAsia" w:ascii="宋体" w:hAnsi="宋体" w:cs="宋体"/>
          <w:b/>
          <w:bCs/>
          <w:color w:val="auto"/>
          <w:highlight w:val="none"/>
          <w:u w:val="single"/>
        </w:rPr>
        <w:t xml:space="preserve">三套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D67A9E2">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承包人提供的文件的形式为：</w:t>
      </w:r>
      <w:r>
        <w:rPr>
          <w:rFonts w:hint="eastAsia" w:ascii="宋体" w:hAnsi="宋体" w:cs="宋体"/>
          <w:b/>
          <w:bCs/>
          <w:color w:val="auto"/>
          <w:highlight w:val="none"/>
          <w:u w:val="single"/>
        </w:rPr>
        <w:t>书面文件</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CED16A5">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发包人审批承包人文件的期限：</w:t>
      </w:r>
      <w:r>
        <w:rPr>
          <w:rFonts w:hint="eastAsia" w:ascii="宋体" w:hAnsi="宋体" w:cs="宋体"/>
          <w:b/>
          <w:bCs/>
          <w:color w:val="auto"/>
          <w:highlight w:val="none"/>
          <w:u w:val="single"/>
        </w:rPr>
        <w:t>收到报告后7天内</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E8AA616">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1.6.5 现场图纸准备</w:t>
      </w:r>
    </w:p>
    <w:p w14:paraId="1812746F">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关于现场图纸准备的约定：</w:t>
      </w:r>
      <w:r>
        <w:rPr>
          <w:rFonts w:hint="eastAsia" w:ascii="宋体" w:hAnsi="宋体" w:cs="宋体"/>
          <w:b/>
          <w:bCs/>
          <w:color w:val="auto"/>
          <w:highlight w:val="none"/>
          <w:u w:val="single"/>
        </w:rPr>
        <w:t>按通用合同条款第1.6.5条规定执行</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7098305">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1.7 联络</w:t>
      </w:r>
    </w:p>
    <w:p w14:paraId="62F40F3C">
      <w:pPr>
        <w:pStyle w:val="104"/>
        <w:adjustRightInd w:val="0"/>
        <w:snapToGrid w:val="0"/>
        <w:spacing w:line="3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1.7.1发包人和承包人应当在</w:t>
      </w:r>
      <w:r>
        <w:rPr>
          <w:rFonts w:hint="eastAsia" w:ascii="宋体" w:hAnsi="宋体" w:cs="宋体"/>
          <w:b/>
          <w:bCs/>
          <w:color w:val="auto"/>
          <w:highlight w:val="none"/>
          <w:u w:val="single"/>
        </w:rPr>
        <w:t>7</w:t>
      </w:r>
      <w:r>
        <w:rPr>
          <w:rFonts w:hint="eastAsia" w:ascii="宋体" w:hAnsi="宋体" w:cs="宋体"/>
          <w:color w:val="auto"/>
          <w:highlight w:val="none"/>
          <w:u w:val="single"/>
        </w:rPr>
        <w:t xml:space="preserve">  </w:t>
      </w:r>
      <w:r>
        <w:rPr>
          <w:rFonts w:hint="eastAsia" w:ascii="宋体" w:hAnsi="宋体" w:cs="宋体"/>
          <w:color w:val="auto"/>
          <w:kern w:val="0"/>
          <w:highlight w:val="none"/>
        </w:rPr>
        <w:t>天内将与合同有关的通知、批准、证明、证书、指示、指令、要求、请求、同意、意见、确定和决定等书面函件送达对方当事人。</w:t>
      </w:r>
    </w:p>
    <w:p w14:paraId="47F96862">
      <w:pPr>
        <w:pStyle w:val="104"/>
        <w:adjustRightInd w:val="0"/>
        <w:snapToGrid w:val="0"/>
        <w:spacing w:line="3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1.7.2 发包人接收文件的地点：</w:t>
      </w:r>
      <w:r>
        <w:rPr>
          <w:rFonts w:hint="eastAsia" w:ascii="宋体" w:hAnsi="宋体" w:cs="宋体"/>
          <w:b/>
          <w:bCs/>
          <w:color w:val="auto"/>
          <w:highlight w:val="none"/>
          <w:u w:val="single"/>
          <w:lang w:val="en-US" w:eastAsia="zh-CN"/>
        </w:rPr>
        <w:t xml:space="preserve">            </w:t>
      </w:r>
      <w:r>
        <w:rPr>
          <w:rFonts w:hint="eastAsia" w:ascii="宋体" w:hAnsi="宋体" w:cs="宋体"/>
          <w:color w:val="auto"/>
          <w:highlight w:val="none"/>
          <w:u w:val="single"/>
        </w:rPr>
        <w:t xml:space="preserve">  </w:t>
      </w:r>
      <w:r>
        <w:rPr>
          <w:rFonts w:hint="eastAsia" w:ascii="宋体" w:hAnsi="宋体" w:cs="宋体"/>
          <w:color w:val="auto"/>
          <w:kern w:val="0"/>
          <w:highlight w:val="none"/>
        </w:rPr>
        <w:t>；</w:t>
      </w:r>
    </w:p>
    <w:p w14:paraId="46264D8B">
      <w:pPr>
        <w:pStyle w:val="104"/>
        <w:adjustRightInd w:val="0"/>
        <w:snapToGrid w:val="0"/>
        <w:spacing w:line="3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发包人指定的接收人为：</w:t>
      </w:r>
      <w:r>
        <w:rPr>
          <w:rFonts w:hint="eastAsia" w:ascii="宋体" w:hAnsi="宋体" w:cs="宋体"/>
          <w:color w:val="auto"/>
          <w:highlight w:val="none"/>
          <w:u w:val="single"/>
        </w:rPr>
        <w:t xml:space="preserve">                  </w:t>
      </w:r>
      <w:r>
        <w:rPr>
          <w:rFonts w:hint="eastAsia" w:ascii="宋体" w:hAnsi="宋体" w:cs="宋体"/>
          <w:color w:val="auto"/>
          <w:kern w:val="0"/>
          <w:highlight w:val="none"/>
        </w:rPr>
        <w:t>。</w:t>
      </w:r>
    </w:p>
    <w:p w14:paraId="4679B473">
      <w:pPr>
        <w:pStyle w:val="104"/>
        <w:adjustRightInd w:val="0"/>
        <w:snapToGrid w:val="0"/>
        <w:spacing w:line="3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承包人接收文件的地点：</w:t>
      </w:r>
      <w:r>
        <w:rPr>
          <w:rFonts w:hint="eastAsia" w:ascii="宋体" w:hAnsi="宋体" w:cs="宋体"/>
          <w:b/>
          <w:bCs/>
          <w:color w:val="auto"/>
          <w:highlight w:val="none"/>
          <w:u w:val="single"/>
        </w:rPr>
        <w:t>施工现场</w:t>
      </w:r>
      <w:r>
        <w:rPr>
          <w:rFonts w:hint="eastAsia" w:ascii="宋体" w:hAnsi="宋体" w:cs="宋体"/>
          <w:color w:val="auto"/>
          <w:highlight w:val="none"/>
          <w:u w:val="single"/>
        </w:rPr>
        <w:t xml:space="preserve">          </w:t>
      </w:r>
      <w:r>
        <w:rPr>
          <w:rFonts w:hint="eastAsia" w:ascii="宋体" w:hAnsi="宋体" w:cs="宋体"/>
          <w:color w:val="auto"/>
          <w:kern w:val="0"/>
          <w:highlight w:val="none"/>
        </w:rPr>
        <w:t>；</w:t>
      </w:r>
    </w:p>
    <w:p w14:paraId="460C6948">
      <w:pPr>
        <w:pStyle w:val="104"/>
        <w:adjustRightInd w:val="0"/>
        <w:snapToGrid w:val="0"/>
        <w:spacing w:line="3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承包人指定的接收人为：</w:t>
      </w:r>
      <w:r>
        <w:rPr>
          <w:rFonts w:hint="eastAsia" w:ascii="宋体" w:hAnsi="宋体" w:cs="宋体"/>
          <w:color w:val="auto"/>
          <w:highlight w:val="none"/>
          <w:u w:val="single"/>
        </w:rPr>
        <w:t xml:space="preserve">                  </w:t>
      </w:r>
      <w:r>
        <w:rPr>
          <w:rFonts w:hint="eastAsia" w:ascii="宋体" w:hAnsi="宋体" w:cs="宋体"/>
          <w:color w:val="auto"/>
          <w:kern w:val="0"/>
          <w:highlight w:val="none"/>
        </w:rPr>
        <w:t>。</w:t>
      </w:r>
    </w:p>
    <w:p w14:paraId="652FD043">
      <w:pPr>
        <w:pStyle w:val="104"/>
        <w:adjustRightInd w:val="0"/>
        <w:snapToGrid w:val="0"/>
        <w:spacing w:line="3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监理人接收文件的地点：</w:t>
      </w:r>
      <w:r>
        <w:rPr>
          <w:rFonts w:hint="eastAsia" w:ascii="宋体" w:hAnsi="宋体" w:cs="宋体"/>
          <w:color w:val="auto"/>
          <w:kern w:val="0"/>
          <w:highlight w:val="none"/>
          <w:u w:val="single"/>
        </w:rPr>
        <w:t xml:space="preserve">        </w:t>
      </w:r>
      <w:r>
        <w:rPr>
          <w:rFonts w:hint="eastAsia" w:ascii="宋体" w:hAnsi="宋体" w:cs="宋体"/>
          <w:b/>
          <w:bCs/>
          <w:color w:val="auto"/>
          <w:kern w:val="0"/>
          <w:highlight w:val="none"/>
          <w:u w:val="single"/>
        </w:rPr>
        <w:t>/</w:t>
      </w:r>
      <w:r>
        <w:rPr>
          <w:rFonts w:hint="eastAsia" w:ascii="宋体" w:hAnsi="宋体" w:cs="宋体"/>
          <w:color w:val="auto"/>
          <w:kern w:val="0"/>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kern w:val="0"/>
          <w:highlight w:val="none"/>
        </w:rPr>
        <w:t>；</w:t>
      </w:r>
    </w:p>
    <w:p w14:paraId="765583C3">
      <w:pPr>
        <w:pStyle w:val="104"/>
        <w:adjustRightInd w:val="0"/>
        <w:snapToGrid w:val="0"/>
        <w:spacing w:line="3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监理人指定的接收人为：</w:t>
      </w:r>
      <w:r>
        <w:rPr>
          <w:rFonts w:hint="eastAsia" w:ascii="宋体" w:hAnsi="宋体" w:cs="宋体"/>
          <w:b/>
          <w:bCs/>
          <w:color w:val="auto"/>
          <w:highlight w:val="none"/>
          <w:u w:val="single"/>
        </w:rPr>
        <w:t xml:space="preserve">       /     </w:t>
      </w:r>
      <w:r>
        <w:rPr>
          <w:rFonts w:hint="eastAsia" w:ascii="宋体" w:hAnsi="宋体" w:cs="宋体"/>
          <w:color w:val="auto"/>
          <w:highlight w:val="none"/>
          <w:u w:val="single"/>
        </w:rPr>
        <w:t xml:space="preserve">     </w:t>
      </w:r>
      <w:r>
        <w:rPr>
          <w:rFonts w:hint="eastAsia" w:ascii="宋体" w:hAnsi="宋体" w:cs="宋体"/>
          <w:color w:val="auto"/>
          <w:kern w:val="0"/>
          <w:highlight w:val="none"/>
        </w:rPr>
        <w:t>。</w:t>
      </w:r>
    </w:p>
    <w:p w14:paraId="49ACBF7C">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1.10 交通运输</w:t>
      </w:r>
    </w:p>
    <w:p w14:paraId="033AC467">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1.10.1 出入现场的权利</w:t>
      </w:r>
    </w:p>
    <w:p w14:paraId="008D5A6B">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关于出入现场的权利的约定：</w:t>
      </w:r>
      <w:r>
        <w:rPr>
          <w:rFonts w:hint="eastAsia" w:ascii="宋体" w:hAnsi="宋体" w:cs="宋体"/>
          <w:b/>
          <w:bCs/>
          <w:color w:val="auto"/>
          <w:highlight w:val="none"/>
          <w:u w:val="single"/>
        </w:rPr>
        <w:t>按通用合同条款第1.10.1条规定执行</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9D27AC9">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1.10.2 场内交通</w:t>
      </w:r>
    </w:p>
    <w:p w14:paraId="2ABD5F89">
      <w:pPr>
        <w:pStyle w:val="104"/>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关于场外交通和场内交通的边界的约定：</w:t>
      </w:r>
      <w:r>
        <w:rPr>
          <w:rFonts w:hint="eastAsia" w:ascii="宋体" w:hAnsi="宋体" w:cs="宋体"/>
          <w:b/>
          <w:bCs/>
          <w:color w:val="auto"/>
          <w:highlight w:val="none"/>
          <w:u w:val="single"/>
        </w:rPr>
        <w:t>施工范围内的场地</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E06CE6E">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关于发包人向承包人免费提供满足工程施工需要的场内道路和交通设施的约定：</w:t>
      </w:r>
      <w:r>
        <w:rPr>
          <w:rFonts w:hint="eastAsia" w:ascii="宋体" w:hAnsi="宋体" w:cs="宋体"/>
          <w:b/>
          <w:bCs/>
          <w:color w:val="auto"/>
          <w:highlight w:val="none"/>
          <w:u w:val="single"/>
        </w:rPr>
        <w:t>开工前7天，发包人负责施工场地道路畅通，确保承包人施工车辆进出工地畅通；承包人须办理校内施工相关手续并承担相应费用</w:t>
      </w:r>
      <w:r>
        <w:rPr>
          <w:rFonts w:hint="eastAsia" w:ascii="宋体" w:hAnsi="宋体" w:cs="宋体"/>
          <w:color w:val="auto"/>
          <w:highlight w:val="none"/>
        </w:rPr>
        <w:t xml:space="preserve">。  </w:t>
      </w:r>
    </w:p>
    <w:p w14:paraId="262A2CA0">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1.10.3超大件和超重件的运输</w:t>
      </w:r>
    </w:p>
    <w:p w14:paraId="3AFEC7B9">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运输超大件或超重件所需的道路和桥梁临时加固改造费用和其他有关费用由</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承包人</w:t>
      </w:r>
      <w:r>
        <w:rPr>
          <w:rFonts w:hint="eastAsia" w:ascii="宋体" w:hAnsi="宋体" w:cs="宋体"/>
          <w:color w:val="auto"/>
          <w:highlight w:val="none"/>
          <w:u w:val="single"/>
        </w:rPr>
        <w:t xml:space="preserve"> </w:t>
      </w:r>
      <w:r>
        <w:rPr>
          <w:rFonts w:hint="eastAsia" w:ascii="宋体" w:hAnsi="宋体" w:cs="宋体"/>
          <w:color w:val="auto"/>
          <w:highlight w:val="none"/>
        </w:rPr>
        <w:t>承担。</w:t>
      </w:r>
    </w:p>
    <w:p w14:paraId="5B40D6A0">
      <w:pPr>
        <w:pStyle w:val="104"/>
        <w:adjustRightInd w:val="0"/>
        <w:snapToGrid w:val="0"/>
        <w:spacing w:line="3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本工程的超大件：</w:t>
      </w:r>
      <w:r>
        <w:rPr>
          <w:rFonts w:hint="eastAsia" w:ascii="宋体" w:hAnsi="宋体" w:cs="宋体"/>
          <w:color w:val="auto"/>
          <w:highlight w:val="none"/>
          <w:u w:val="single"/>
        </w:rPr>
        <w:t xml:space="preserve">   /     </w:t>
      </w:r>
      <w:r>
        <w:rPr>
          <w:rFonts w:hint="eastAsia" w:ascii="宋体" w:hAnsi="宋体" w:cs="宋体"/>
          <w:color w:val="auto"/>
          <w:kern w:val="0"/>
          <w:highlight w:val="none"/>
        </w:rPr>
        <w:t>。</w:t>
      </w:r>
    </w:p>
    <w:p w14:paraId="6176B0D5">
      <w:pPr>
        <w:pStyle w:val="104"/>
        <w:adjustRightInd w:val="0"/>
        <w:snapToGrid w:val="0"/>
        <w:spacing w:line="3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本工程的超重件：</w:t>
      </w:r>
      <w:r>
        <w:rPr>
          <w:rFonts w:hint="eastAsia" w:ascii="宋体" w:hAnsi="宋体" w:cs="宋体"/>
          <w:color w:val="auto"/>
          <w:highlight w:val="none"/>
          <w:u w:val="single"/>
        </w:rPr>
        <w:t xml:space="preserve">   /     </w:t>
      </w:r>
      <w:r>
        <w:rPr>
          <w:rFonts w:hint="eastAsia" w:ascii="宋体" w:hAnsi="宋体" w:cs="宋体"/>
          <w:color w:val="auto"/>
          <w:kern w:val="0"/>
          <w:highlight w:val="none"/>
        </w:rPr>
        <w:t>。</w:t>
      </w:r>
    </w:p>
    <w:p w14:paraId="216ACD1F">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1.11 知识产权</w:t>
      </w:r>
    </w:p>
    <w:p w14:paraId="194BEDC3">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b/>
          <w:bCs/>
          <w:color w:val="auto"/>
          <w:highlight w:val="none"/>
          <w:u w:val="single"/>
        </w:rPr>
        <w:t>按通用合同条款第1.11.1条规定执行</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0ED20F8">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关于发包人提供的上述文件的使用限制的要求：</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74167660">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1.11.2 关于承包人为实施工程所编制文件的著作权的归属：</w:t>
      </w:r>
      <w:r>
        <w:rPr>
          <w:rFonts w:hint="eastAsia" w:ascii="宋体" w:hAnsi="宋体" w:cs="宋体"/>
          <w:b/>
          <w:bCs/>
          <w:color w:val="auto"/>
          <w:highlight w:val="none"/>
          <w:u w:val="single"/>
        </w:rPr>
        <w:t>按通用合同条款第1.11.2条规定执行</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CC82821">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关于承包人提供的上述文件的使用限制的要求：</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45B83927">
      <w:pPr>
        <w:pStyle w:val="104"/>
        <w:adjustRightInd w:val="0"/>
        <w:snapToGrid w:val="0"/>
        <w:spacing w:line="360" w:lineRule="exact"/>
        <w:ind w:firstLine="420" w:firstLineChars="200"/>
        <w:rPr>
          <w:rFonts w:ascii="宋体" w:hAnsi="宋体" w:cs="宋体"/>
          <w:color w:val="auto"/>
          <w:kern w:val="0"/>
          <w:highlight w:val="none"/>
        </w:rPr>
      </w:pPr>
      <w:r>
        <w:rPr>
          <w:rFonts w:hint="eastAsia" w:ascii="宋体" w:hAnsi="宋体" w:cs="宋体"/>
          <w:color w:val="auto"/>
          <w:highlight w:val="none"/>
        </w:rPr>
        <w:t>1.11.3 承包人在施工过程中所采用的专利、专有技术、技术秘密的使用费的承担方式：</w:t>
      </w:r>
      <w:r>
        <w:rPr>
          <w:rFonts w:hint="eastAsia" w:ascii="宋体" w:hAnsi="宋体" w:cs="宋体"/>
          <w:color w:val="auto"/>
          <w:highlight w:val="none"/>
          <w:u w:val="single"/>
        </w:rPr>
        <w:t xml:space="preserve"> (除发包人指明外)承包人在施工过 程中所采用的专利、专有技术、技术秘密的使用费包含在合同价款内。</w:t>
      </w:r>
      <w:r>
        <w:rPr>
          <w:rFonts w:hint="eastAsia" w:ascii="宋体" w:hAnsi="宋体" w:cs="宋体"/>
          <w:color w:val="auto"/>
          <w:kern w:val="0"/>
          <w:highlight w:val="none"/>
        </w:rPr>
        <w:t>。</w:t>
      </w:r>
    </w:p>
    <w:p w14:paraId="47756BBA">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1.12工程量清单错误的修正</w:t>
      </w:r>
    </w:p>
    <w:p w14:paraId="7EB2A13F">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出现工程量清单错误时，是否调整合同价格：</w:t>
      </w:r>
      <w:r>
        <w:rPr>
          <w:rFonts w:hint="eastAsia" w:ascii="宋体" w:hAnsi="宋体" w:cs="宋体"/>
          <w:color w:val="auto"/>
          <w:highlight w:val="none"/>
          <w:u w:val="single"/>
        </w:rPr>
        <w:t>是</w:t>
      </w:r>
      <w:r>
        <w:rPr>
          <w:rFonts w:hint="eastAsia" w:ascii="宋体" w:hAnsi="宋体" w:cs="宋体"/>
          <w:color w:val="auto"/>
          <w:kern w:val="0"/>
          <w:highlight w:val="none"/>
        </w:rPr>
        <w:t>。</w:t>
      </w:r>
    </w:p>
    <w:p w14:paraId="25E0F68F">
      <w:pPr>
        <w:pStyle w:val="104"/>
        <w:adjustRightInd w:val="0"/>
        <w:snapToGrid w:val="0"/>
        <w:spacing w:line="360" w:lineRule="exact"/>
        <w:ind w:firstLine="422"/>
        <w:rPr>
          <w:rFonts w:ascii="宋体" w:hAnsi="宋体" w:cs="宋体"/>
          <w:color w:val="auto"/>
          <w:kern w:val="0"/>
          <w:highlight w:val="none"/>
        </w:rPr>
      </w:pPr>
      <w:r>
        <w:rPr>
          <w:rFonts w:hint="eastAsia" w:ascii="宋体" w:hAnsi="宋体" w:cs="宋体"/>
          <w:color w:val="auto"/>
          <w:highlight w:val="none"/>
        </w:rPr>
        <w:t>允许调整合同价格的工程量偏差范围：</w:t>
      </w:r>
      <w:r>
        <w:rPr>
          <w:rFonts w:hint="eastAsia" w:ascii="宋体" w:hAnsi="宋体" w:cs="宋体"/>
          <w:color w:val="auto"/>
          <w:highlight w:val="none"/>
          <w:u w:val="single"/>
        </w:rPr>
        <w:t xml:space="preserve">   /     </w:t>
      </w:r>
      <w:r>
        <w:rPr>
          <w:rFonts w:hint="eastAsia" w:ascii="宋体" w:hAnsi="宋体" w:cs="宋体"/>
          <w:color w:val="auto"/>
          <w:kern w:val="0"/>
          <w:highlight w:val="none"/>
        </w:rPr>
        <w:t>。</w:t>
      </w:r>
    </w:p>
    <w:p w14:paraId="425F8B6A">
      <w:pPr>
        <w:pStyle w:val="104"/>
        <w:adjustRightInd w:val="0"/>
        <w:snapToGrid w:val="0"/>
        <w:spacing w:line="360" w:lineRule="exact"/>
        <w:ind w:firstLine="422"/>
        <w:rPr>
          <w:rFonts w:ascii="宋体" w:hAnsi="宋体" w:cs="宋体"/>
          <w:color w:val="auto"/>
          <w:kern w:val="0"/>
          <w:highlight w:val="none"/>
        </w:rPr>
      </w:pPr>
      <w:r>
        <w:rPr>
          <w:rFonts w:hint="eastAsia" w:ascii="宋体" w:hAnsi="宋体" w:cs="宋体"/>
          <w:color w:val="auto"/>
          <w:highlight w:val="none"/>
        </w:rPr>
        <w:t>调整合同价格的修正时间：</w:t>
      </w:r>
      <w:r>
        <w:rPr>
          <w:rFonts w:hint="eastAsia" w:ascii="宋体" w:hAnsi="宋体" w:cs="宋体"/>
          <w:color w:val="auto"/>
          <w:highlight w:val="none"/>
          <w:u w:val="single"/>
        </w:rPr>
        <w:t xml:space="preserve">   /       </w:t>
      </w:r>
      <w:r>
        <w:rPr>
          <w:rFonts w:hint="eastAsia" w:ascii="宋体" w:hAnsi="宋体" w:cs="宋体"/>
          <w:color w:val="auto"/>
          <w:kern w:val="0"/>
          <w:highlight w:val="none"/>
        </w:rPr>
        <w:t>。</w:t>
      </w:r>
    </w:p>
    <w:p w14:paraId="66743593">
      <w:pPr>
        <w:pStyle w:val="127"/>
        <w:adjustRightInd w:val="0"/>
        <w:snapToGrid w:val="0"/>
        <w:spacing w:before="0" w:after="0" w:line="360" w:lineRule="exact"/>
        <w:ind w:firstLine="42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2. 发包人</w:t>
      </w:r>
    </w:p>
    <w:p w14:paraId="133840F7">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2.1 发包人代表</w:t>
      </w:r>
    </w:p>
    <w:p w14:paraId="7021012B">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      </w:t>
      </w:r>
      <w:r>
        <w:rPr>
          <w:rFonts w:hint="eastAsia" w:ascii="宋体" w:hAnsi="宋体" w:cs="宋体"/>
          <w:color w:val="auto"/>
          <w:highlight w:val="none"/>
        </w:rPr>
        <w:t>；</w:t>
      </w:r>
    </w:p>
    <w:p w14:paraId="3D36CCBA">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A58CA04">
      <w:pPr>
        <w:pStyle w:val="104"/>
        <w:adjustRightInd w:val="0"/>
        <w:snapToGrid w:val="0"/>
        <w:spacing w:line="360" w:lineRule="exact"/>
        <w:ind w:firstLine="525" w:firstLineChars="250"/>
        <w:rPr>
          <w:rFonts w:ascii="宋体" w:hAnsi="宋体" w:cs="宋体"/>
          <w:color w:val="auto"/>
          <w:highlight w:val="none"/>
        </w:rPr>
      </w:pPr>
    </w:p>
    <w:p w14:paraId="3B4B0279">
      <w:pPr>
        <w:pStyle w:val="104"/>
        <w:adjustRightInd w:val="0"/>
        <w:snapToGrid w:val="0"/>
        <w:spacing w:line="360" w:lineRule="exact"/>
        <w:ind w:firstLine="525" w:firstLineChars="250"/>
        <w:rPr>
          <w:rFonts w:ascii="宋体" w:hAnsi="宋体" w:cs="宋体"/>
          <w:b/>
          <w:bCs/>
          <w:color w:val="auto"/>
          <w:highlight w:val="none"/>
          <w:u w:val="single"/>
        </w:rPr>
      </w:pPr>
      <w:r>
        <w:rPr>
          <w:rFonts w:hint="eastAsia" w:ascii="宋体" w:hAnsi="宋体" w:cs="宋体"/>
          <w:color w:val="auto"/>
          <w:highlight w:val="none"/>
        </w:rPr>
        <w:t>发包人对发包人代表的授权范围如下：</w:t>
      </w:r>
      <w:r>
        <w:rPr>
          <w:rFonts w:hint="eastAsia" w:ascii="宋体" w:hAnsi="宋体" w:cs="宋体"/>
          <w:b/>
          <w:bCs/>
          <w:color w:val="auto"/>
          <w:highlight w:val="none"/>
          <w:u w:val="single"/>
        </w:rPr>
        <w:t>（1）代表发包人对工程质量、进度、造价、安全及文明施工进行监督，工程存在质量问题或安全问题或施工进度不符合要求的，现场代表有权要求施工单位采取整改措施；</w:t>
      </w:r>
    </w:p>
    <w:p w14:paraId="47AAC216">
      <w:pPr>
        <w:pStyle w:val="104"/>
        <w:adjustRightInd w:val="0"/>
        <w:snapToGrid w:val="0"/>
        <w:spacing w:line="360" w:lineRule="exact"/>
        <w:ind w:firstLine="527" w:firstLineChars="250"/>
        <w:rPr>
          <w:rFonts w:ascii="宋体" w:hAnsi="宋体" w:cs="宋体"/>
          <w:b/>
          <w:bCs/>
          <w:color w:val="auto"/>
          <w:highlight w:val="none"/>
          <w:u w:val="single"/>
        </w:rPr>
      </w:pPr>
      <w:r>
        <w:rPr>
          <w:rFonts w:hint="eastAsia" w:ascii="宋体" w:hAnsi="宋体" w:cs="宋体"/>
          <w:b/>
          <w:bCs/>
          <w:color w:val="auto"/>
          <w:highlight w:val="none"/>
          <w:u w:val="single"/>
        </w:rPr>
        <w:t>（2）发包人代表可委派有关具体管理人员，承担自己部分权力和职责，并可在任何时候撤回并重新委派，委派和撤回均应提前3个工作日通知承包方；</w:t>
      </w:r>
    </w:p>
    <w:p w14:paraId="7CE48F92">
      <w:pPr>
        <w:pStyle w:val="128"/>
        <w:adjustRightInd w:val="0"/>
        <w:snapToGrid w:val="0"/>
        <w:spacing w:line="360" w:lineRule="exact"/>
        <w:ind w:firstLine="474" w:firstLineChars="225"/>
        <w:rPr>
          <w:rFonts w:ascii="宋体" w:hAnsi="宋体" w:eastAsia="宋体" w:cs="宋体"/>
          <w:b/>
          <w:bCs/>
          <w:color w:val="auto"/>
          <w:highlight w:val="none"/>
          <w:u w:val="single"/>
        </w:rPr>
      </w:pPr>
      <w:r>
        <w:rPr>
          <w:rFonts w:hint="eastAsia" w:ascii="宋体" w:hAnsi="宋体" w:eastAsia="宋体" w:cs="宋体"/>
          <w:b/>
          <w:bCs/>
          <w:color w:val="auto"/>
          <w:highlight w:val="none"/>
          <w:u w:val="single"/>
        </w:rPr>
        <w:t>（3）发包人代表的指令、通知及签证须由其本人签字并加盖印章（仅有本人签字未有印章的，发包人追认，则对发包人有效，发包人不予追认的，对发包人不具有效力），以书面形式交给承包人现场代表（或合同约定签收人），承包人代表在回执上签署姓名和收到时间。当承包人代表不在施工现场时，发包人可要求属于承包人其它管理人员代签，签字后即可视为承包人代表已签收。</w:t>
      </w:r>
    </w:p>
    <w:p w14:paraId="6764BC1D">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2.2 施工现场、施工条件和基础资料的提供</w:t>
      </w:r>
    </w:p>
    <w:p w14:paraId="1E9189EA">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2.2.1 提供施工现场</w:t>
      </w:r>
    </w:p>
    <w:p w14:paraId="5064A6A1">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关于发包人移交施工现场的期限要求：</w:t>
      </w:r>
      <w:r>
        <w:rPr>
          <w:rFonts w:hint="eastAsia" w:ascii="宋体" w:hAnsi="宋体" w:cs="宋体"/>
          <w:color w:val="auto"/>
          <w:highlight w:val="none"/>
          <w:u w:val="single"/>
        </w:rPr>
        <w:t xml:space="preserve"> 开工前7天提供符合施工条件的施工场地  </w:t>
      </w:r>
      <w:r>
        <w:rPr>
          <w:rFonts w:hint="eastAsia" w:ascii="宋体" w:hAnsi="宋体" w:cs="宋体"/>
          <w:color w:val="auto"/>
          <w:highlight w:val="none"/>
        </w:rPr>
        <w:t>。</w:t>
      </w:r>
    </w:p>
    <w:p w14:paraId="40595969">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2.2.2 提供施工条件</w:t>
      </w:r>
    </w:p>
    <w:p w14:paraId="3EC7F2B4">
      <w:pPr>
        <w:pStyle w:val="104"/>
        <w:adjustRightInd w:val="0"/>
        <w:snapToGrid w:val="0"/>
        <w:spacing w:line="360" w:lineRule="exact"/>
        <w:ind w:firstLine="420" w:firstLineChars="200"/>
        <w:rPr>
          <w:rFonts w:ascii="宋体" w:hAnsi="宋体" w:cs="宋体"/>
          <w:color w:val="auto"/>
          <w:highlight w:val="none"/>
          <w:u w:val="single"/>
        </w:rPr>
      </w:pPr>
      <w:r>
        <w:rPr>
          <w:rFonts w:hint="eastAsia" w:ascii="宋体" w:hAnsi="宋体" w:cs="宋体"/>
          <w:color w:val="auto"/>
          <w:highlight w:val="none"/>
        </w:rPr>
        <w:t>关于发包人应负责提供施工所需要的条件，包括：</w:t>
      </w:r>
      <w:r>
        <w:rPr>
          <w:rFonts w:hint="eastAsia" w:ascii="宋体" w:hAnsi="宋体" w:cs="宋体"/>
          <w:color w:val="auto"/>
          <w:highlight w:val="none"/>
          <w:u w:val="single"/>
        </w:rPr>
        <w:t xml:space="preserve"> 按通用合同条款第2.4.2条规定</w:t>
      </w:r>
      <w:r>
        <w:rPr>
          <w:rFonts w:hint="eastAsia" w:ascii="宋体" w:hAnsi="宋体" w:cs="宋体"/>
          <w:color w:val="auto"/>
          <w:highlight w:val="none"/>
        </w:rPr>
        <w:t>。</w:t>
      </w:r>
    </w:p>
    <w:p w14:paraId="17B6A9E7">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2.3 资金来源证明及支付担保</w:t>
      </w:r>
    </w:p>
    <w:p w14:paraId="55A0B378">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发包人提供资金来源证明的期限要求：</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1111F769">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发包人是否提供支付担保：</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794D3170">
      <w:pPr>
        <w:pStyle w:val="104"/>
        <w:adjustRightInd w:val="0"/>
        <w:snapToGrid w:val="0"/>
        <w:spacing w:line="360" w:lineRule="exact"/>
        <w:ind w:firstLine="420" w:firstLineChars="200"/>
        <w:rPr>
          <w:rFonts w:ascii="宋体" w:hAnsi="宋体" w:cs="宋体"/>
          <w:color w:val="auto"/>
          <w:highlight w:val="none"/>
          <w:u w:val="single"/>
        </w:rPr>
      </w:pPr>
      <w:r>
        <w:rPr>
          <w:rFonts w:hint="eastAsia" w:ascii="宋体" w:hAnsi="宋体" w:cs="宋体"/>
          <w:color w:val="auto"/>
          <w:highlight w:val="none"/>
        </w:rPr>
        <w:t>发包人提供支付担保的形式：</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216E7BAB">
      <w:pPr>
        <w:pStyle w:val="127"/>
        <w:adjustRightInd w:val="0"/>
        <w:snapToGrid w:val="0"/>
        <w:spacing w:before="0" w:after="0" w:line="360" w:lineRule="exact"/>
        <w:ind w:firstLine="42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3. 承包人</w:t>
      </w:r>
    </w:p>
    <w:p w14:paraId="268B0AD7">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3.1 承包人的一般义务</w:t>
      </w:r>
    </w:p>
    <w:p w14:paraId="3F2BAB07">
      <w:pPr>
        <w:pStyle w:val="104"/>
        <w:adjustRightInd w:val="0"/>
        <w:snapToGrid w:val="0"/>
        <w:spacing w:line="360" w:lineRule="exact"/>
        <w:ind w:firstLine="315" w:firstLineChars="150"/>
        <w:jc w:val="left"/>
        <w:rPr>
          <w:rFonts w:ascii="宋体" w:hAnsi="宋体" w:cs="宋体"/>
          <w:color w:val="auto"/>
          <w:highlight w:val="none"/>
        </w:rPr>
      </w:pPr>
      <w:r>
        <w:rPr>
          <w:rFonts w:hint="eastAsia" w:ascii="宋体" w:hAnsi="宋体" w:cs="宋体"/>
          <w:color w:val="auto"/>
          <w:highlight w:val="none"/>
        </w:rPr>
        <w:t>承包人提交的竣工资料的内容：包括但不限于承诺书、成交结果通知书、施工合同、开工申请报告、竣工申请报告、竣工验收单、结算书（纸质稿、电子稿、原文件计算稿）、竣工图纸（纸质稿、电子稿、签章扫描稿）以及全过程原始记录验收资料、材料质保书、合格证书、材质验收报告、其他按规定应提交的资料。</w:t>
      </w:r>
    </w:p>
    <w:p w14:paraId="094D0BFB">
      <w:pPr>
        <w:pStyle w:val="104"/>
        <w:adjustRightInd w:val="0"/>
        <w:snapToGrid w:val="0"/>
        <w:spacing w:line="360" w:lineRule="exact"/>
        <w:ind w:firstLine="315" w:firstLineChars="150"/>
        <w:jc w:val="left"/>
        <w:rPr>
          <w:rFonts w:ascii="宋体" w:hAnsi="宋体" w:cs="宋体"/>
          <w:color w:val="auto"/>
          <w:highlight w:val="none"/>
        </w:rPr>
      </w:pPr>
      <w:r>
        <w:rPr>
          <w:rFonts w:hint="eastAsia" w:ascii="宋体" w:hAnsi="宋体" w:cs="宋体"/>
          <w:color w:val="auto"/>
          <w:highlight w:val="none"/>
          <w:u w:val="single"/>
        </w:rPr>
        <w:t xml:space="preserve">上述文件的原始资料必须齐全，且必须符合工程技术档案要求。若承包人未按时向发包人提交以上资料及未经发包人确认，发包人不予支付工程款 </w:t>
      </w:r>
      <w:r>
        <w:rPr>
          <w:rFonts w:hint="eastAsia" w:ascii="宋体" w:hAnsi="宋体" w:cs="宋体"/>
          <w:color w:val="auto"/>
          <w:highlight w:val="none"/>
        </w:rPr>
        <w:t>。</w:t>
      </w:r>
    </w:p>
    <w:p w14:paraId="6BD146E4">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承包人需要提交的竣工资料套数：</w:t>
      </w:r>
      <w:r>
        <w:rPr>
          <w:rFonts w:hint="eastAsia" w:ascii="宋体" w:hAnsi="宋体" w:cs="宋体"/>
          <w:color w:val="auto"/>
          <w:highlight w:val="none"/>
          <w:u w:val="single"/>
        </w:rPr>
        <w:t xml:space="preserve">   叁   </w:t>
      </w:r>
      <w:r>
        <w:rPr>
          <w:rFonts w:hint="eastAsia" w:ascii="宋体" w:hAnsi="宋体" w:cs="宋体"/>
          <w:color w:val="auto"/>
          <w:highlight w:val="none"/>
        </w:rPr>
        <w:t>。</w:t>
      </w:r>
    </w:p>
    <w:p w14:paraId="56998732">
      <w:pPr>
        <w:pStyle w:val="104"/>
        <w:adjustRightInd w:val="0"/>
        <w:snapToGrid w:val="0"/>
        <w:spacing w:line="360" w:lineRule="exact"/>
        <w:ind w:firstLine="525" w:firstLineChars="250"/>
        <w:jc w:val="left"/>
        <w:rPr>
          <w:rFonts w:ascii="宋体" w:hAnsi="宋体" w:cs="宋体"/>
          <w:color w:val="auto"/>
          <w:highlight w:val="none"/>
        </w:rPr>
      </w:pPr>
      <w:r>
        <w:rPr>
          <w:rFonts w:hint="eastAsia" w:ascii="宋体" w:hAnsi="宋体" w:cs="宋体"/>
          <w:color w:val="auto"/>
          <w:highlight w:val="none"/>
        </w:rPr>
        <w:t>承包人提交的竣工资料的费用承担：</w:t>
      </w:r>
      <w:r>
        <w:rPr>
          <w:rFonts w:hint="eastAsia" w:ascii="宋体" w:hAnsi="宋体" w:cs="宋体"/>
          <w:color w:val="auto"/>
          <w:highlight w:val="none"/>
          <w:u w:val="single"/>
        </w:rPr>
        <w:t xml:space="preserve">   承包人承担    </w:t>
      </w:r>
      <w:r>
        <w:rPr>
          <w:rFonts w:hint="eastAsia" w:ascii="宋体" w:hAnsi="宋体" w:cs="宋体"/>
          <w:color w:val="auto"/>
          <w:highlight w:val="none"/>
        </w:rPr>
        <w:t>。</w:t>
      </w:r>
    </w:p>
    <w:p w14:paraId="5AE4786E">
      <w:pPr>
        <w:pStyle w:val="104"/>
        <w:adjustRightInd w:val="0"/>
        <w:snapToGrid w:val="0"/>
        <w:spacing w:line="360" w:lineRule="exact"/>
        <w:ind w:firstLine="525" w:firstLineChars="250"/>
        <w:jc w:val="left"/>
        <w:rPr>
          <w:rFonts w:ascii="宋体" w:hAnsi="宋体" w:cs="宋体"/>
          <w:color w:val="auto"/>
          <w:highlight w:val="none"/>
        </w:rPr>
      </w:pPr>
      <w:r>
        <w:rPr>
          <w:rFonts w:hint="eastAsia" w:ascii="宋体" w:hAnsi="宋体" w:cs="宋体"/>
          <w:color w:val="auto"/>
          <w:highlight w:val="none"/>
        </w:rPr>
        <w:t>承包人提交的竣工资料移交时间：</w:t>
      </w:r>
      <w:r>
        <w:rPr>
          <w:rFonts w:hint="eastAsia" w:ascii="宋体" w:hAnsi="宋体" w:cs="宋体"/>
          <w:color w:val="auto"/>
          <w:highlight w:val="none"/>
          <w:u w:val="single"/>
        </w:rPr>
        <w:t>工程竣工验收合格后20日历天内。</w:t>
      </w:r>
    </w:p>
    <w:p w14:paraId="09ED0A0D">
      <w:pPr>
        <w:pStyle w:val="104"/>
        <w:adjustRightInd w:val="0"/>
        <w:snapToGrid w:val="0"/>
        <w:spacing w:line="360" w:lineRule="exact"/>
        <w:ind w:firstLine="525" w:firstLineChars="250"/>
        <w:jc w:val="left"/>
        <w:rPr>
          <w:rFonts w:ascii="宋体" w:hAnsi="宋体" w:cs="宋体"/>
          <w:color w:val="auto"/>
          <w:highlight w:val="none"/>
        </w:rPr>
      </w:pPr>
      <w:r>
        <w:rPr>
          <w:rFonts w:hint="eastAsia" w:ascii="宋体" w:hAnsi="宋体" w:cs="宋体"/>
          <w:color w:val="auto"/>
          <w:highlight w:val="none"/>
        </w:rPr>
        <w:t>承包人提交的竣工资料形式要求:</w:t>
      </w:r>
      <w:r>
        <w:rPr>
          <w:rFonts w:hint="eastAsia" w:ascii="宋体" w:hAnsi="宋体" w:cs="宋体"/>
          <w:color w:val="auto"/>
          <w:highlight w:val="none"/>
          <w:u w:val="single"/>
        </w:rPr>
        <w:t>竣工资料按规范装订成册。</w:t>
      </w:r>
    </w:p>
    <w:p w14:paraId="65A75263">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kern w:val="0"/>
          <w:highlight w:val="none"/>
        </w:rPr>
        <w:t>（6）承包人应履行的其他义务：</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5F108C9C">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3.2 项目经理</w:t>
      </w:r>
    </w:p>
    <w:p w14:paraId="18EF250D">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kern w:val="0"/>
          <w:highlight w:val="none"/>
        </w:rPr>
        <w:t xml:space="preserve">3.2.1 </w:t>
      </w:r>
      <w:r>
        <w:rPr>
          <w:rFonts w:hint="eastAsia" w:ascii="宋体" w:hAnsi="宋体" w:cs="宋体"/>
          <w:color w:val="auto"/>
          <w:highlight w:val="none"/>
        </w:rPr>
        <w:t>项目经理：</w:t>
      </w:r>
    </w:p>
    <w:p w14:paraId="296D182D">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9452F84">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身份证号：</w:t>
      </w:r>
      <w:r>
        <w:rPr>
          <w:rFonts w:hint="eastAsia" w:ascii="宋体" w:hAnsi="宋体" w:cs="宋体"/>
          <w:b/>
          <w:bCs/>
          <w:color w:val="auto"/>
          <w:highlight w:val="none"/>
          <w:u w:val="single"/>
        </w:rPr>
        <w:t xml:space="preserve">                    </w:t>
      </w:r>
      <w:r>
        <w:rPr>
          <w:rFonts w:hint="eastAsia" w:ascii="宋体" w:hAnsi="宋体" w:cs="宋体"/>
          <w:color w:val="auto"/>
          <w:highlight w:val="none"/>
        </w:rPr>
        <w:t>；</w:t>
      </w:r>
    </w:p>
    <w:p w14:paraId="4E3CCB7F">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建造师执业资格等级：</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D579A3C">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建造师注册证书号：</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4C4B421">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建造师执业印章号：</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93F4901">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安全生产考核合格证书号：</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BE07E4F">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E5A7975">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FF278C2">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40FA309">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承包人对项目经理的授权范围如下：</w:t>
      </w:r>
      <w:r>
        <w:rPr>
          <w:rFonts w:hint="eastAsia" w:ascii="宋体" w:hAnsi="宋体" w:cs="宋体"/>
          <w:b/>
          <w:bCs/>
          <w:color w:val="auto"/>
          <w:highlight w:val="none"/>
          <w:u w:val="single"/>
        </w:rPr>
        <w:t>项目经理按合同约定组织工程实施</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6EE7427">
      <w:pPr>
        <w:pStyle w:val="104"/>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关于项目经理每月在施工现场的时间要求：</w:t>
      </w:r>
      <w:r>
        <w:rPr>
          <w:rFonts w:hint="eastAsia" w:ascii="宋体" w:hAnsi="宋体" w:cs="宋体"/>
          <w:b/>
          <w:bCs/>
          <w:color w:val="auto"/>
          <w:highlight w:val="none"/>
          <w:u w:val="single"/>
        </w:rPr>
        <w:t>以承包人承诺到位率为准   。</w:t>
      </w:r>
    </w:p>
    <w:p w14:paraId="24EAB484">
      <w:pPr>
        <w:pStyle w:val="104"/>
        <w:adjustRightInd w:val="0"/>
        <w:snapToGrid w:val="0"/>
        <w:spacing w:line="3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承包人未提交劳动合同，以及没有为项目经理缴纳社会保险证明的违约责任：</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由承包人承担违约责任 </w:t>
      </w:r>
      <w:r>
        <w:rPr>
          <w:rFonts w:hint="eastAsia" w:ascii="宋体" w:hAnsi="宋体" w:cs="宋体"/>
          <w:color w:val="auto"/>
          <w:highlight w:val="none"/>
        </w:rPr>
        <w:t>。</w:t>
      </w:r>
    </w:p>
    <w:p w14:paraId="5B1BF635">
      <w:pPr>
        <w:pStyle w:val="104"/>
        <w:adjustRightInd w:val="0"/>
        <w:snapToGrid w:val="0"/>
        <w:spacing w:line="360" w:lineRule="exact"/>
        <w:ind w:firstLine="420" w:firstLineChars="200"/>
        <w:rPr>
          <w:rFonts w:ascii="宋体" w:hAnsi="宋体" w:cs="宋体"/>
          <w:color w:val="auto"/>
          <w:highlight w:val="none"/>
          <w:u w:val="single"/>
        </w:rPr>
      </w:pPr>
      <w:r>
        <w:rPr>
          <w:rFonts w:hint="eastAsia" w:ascii="宋体" w:hAnsi="宋体" w:cs="宋体"/>
          <w:color w:val="auto"/>
          <w:kern w:val="0"/>
          <w:highlight w:val="none"/>
        </w:rPr>
        <w:t>项目经理未经批准，擅自离开施工现场的违约责任：</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按500元/次予以处罚</w:t>
      </w:r>
      <w:r>
        <w:rPr>
          <w:rFonts w:hint="eastAsia" w:ascii="宋体" w:hAnsi="宋体" w:cs="宋体"/>
          <w:color w:val="auto"/>
          <w:highlight w:val="none"/>
        </w:rPr>
        <w:t>。</w:t>
      </w:r>
    </w:p>
    <w:p w14:paraId="5AC12951">
      <w:pPr>
        <w:pStyle w:val="128"/>
        <w:adjustRightInd w:val="0"/>
        <w:snapToGrid w:val="0"/>
        <w:spacing w:line="360" w:lineRule="exact"/>
        <w:ind w:firstLine="359" w:firstLineChars="171"/>
        <w:rPr>
          <w:rFonts w:ascii="宋体" w:hAnsi="宋体" w:eastAsia="宋体" w:cs="宋体"/>
          <w:color w:val="auto"/>
          <w:highlight w:val="none"/>
        </w:rPr>
      </w:pPr>
      <w:r>
        <w:rPr>
          <w:rFonts w:hint="eastAsia" w:ascii="宋体" w:hAnsi="宋体" w:eastAsia="宋体" w:cs="宋体"/>
          <w:color w:val="auto"/>
          <w:highlight w:val="none"/>
        </w:rPr>
        <w:t>3.2.2承包人擅自更换项目经理的违约责任：</w:t>
      </w:r>
    </w:p>
    <w:p w14:paraId="3F5AEF01">
      <w:pPr>
        <w:pStyle w:val="128"/>
        <w:numPr>
          <w:ilvl w:val="0"/>
          <w:numId w:val="4"/>
        </w:numPr>
        <w:adjustRightInd w:val="0"/>
        <w:snapToGrid w:val="0"/>
        <w:spacing w:line="360" w:lineRule="exact"/>
        <w:ind w:firstLine="420" w:firstLineChars="200"/>
        <w:rPr>
          <w:rFonts w:ascii="宋体" w:hAnsi="宋体" w:eastAsia="宋体" w:cs="宋体"/>
          <w:color w:val="auto"/>
          <w:kern w:val="0"/>
          <w:szCs w:val="24"/>
          <w:highlight w:val="none"/>
          <w:u w:val="single"/>
        </w:rPr>
      </w:pPr>
      <w:r>
        <w:rPr>
          <w:rFonts w:hint="eastAsia" w:ascii="宋体" w:hAnsi="宋体" w:eastAsia="宋体" w:cs="宋体"/>
          <w:color w:val="auto"/>
          <w:kern w:val="0"/>
          <w:szCs w:val="24"/>
          <w:highlight w:val="none"/>
        </w:rPr>
        <w:t>承包人确需更换项目经理的，继任项目经理注册执业资格、管理经验的约定：</w:t>
      </w:r>
      <w:r>
        <w:rPr>
          <w:rFonts w:hint="eastAsia" w:ascii="宋体" w:hAnsi="宋体" w:eastAsia="宋体" w:cs="宋体"/>
          <w:color w:val="auto"/>
          <w:kern w:val="0"/>
          <w:szCs w:val="24"/>
          <w:highlight w:val="none"/>
          <w:u w:val="single"/>
        </w:rPr>
        <w:t>/ 。</w:t>
      </w:r>
    </w:p>
    <w:p w14:paraId="1E8FC664">
      <w:pPr>
        <w:pStyle w:val="128"/>
        <w:numPr>
          <w:ilvl w:val="0"/>
          <w:numId w:val="4"/>
        </w:numPr>
        <w:adjustRightInd w:val="0"/>
        <w:snapToGrid w:val="0"/>
        <w:spacing w:line="360" w:lineRule="exact"/>
        <w:ind w:firstLine="420" w:firstLineChars="200"/>
        <w:rPr>
          <w:rFonts w:ascii="宋体" w:hAnsi="宋体" w:eastAsia="宋体" w:cs="宋体"/>
          <w:b/>
          <w:bCs/>
          <w:color w:val="auto"/>
          <w:kern w:val="0"/>
          <w:highlight w:val="none"/>
          <w:u w:val="single"/>
        </w:rPr>
      </w:pPr>
      <w:r>
        <w:rPr>
          <w:rFonts w:hint="eastAsia" w:ascii="宋体" w:hAnsi="宋体" w:eastAsia="宋体" w:cs="宋体"/>
          <w:color w:val="auto"/>
          <w:kern w:val="0"/>
          <w:szCs w:val="24"/>
          <w:highlight w:val="none"/>
        </w:rPr>
        <w:t>承包人擅自更换项目经理的违约责任：</w:t>
      </w:r>
      <w:r>
        <w:rPr>
          <w:rFonts w:hint="eastAsia" w:ascii="宋体" w:hAnsi="宋体" w:eastAsia="宋体" w:cs="宋体"/>
          <w:b/>
          <w:bCs/>
          <w:color w:val="auto"/>
          <w:kern w:val="0"/>
          <w:highlight w:val="none"/>
          <w:u w:val="single"/>
        </w:rPr>
        <w:t>未经发包人同意，承包人不得擅自更换上述人员，承包人擅自更换的，除按合同要求派驻人员外，每次还需按合同总价的3%向发包人支付违约金，且发包人有权视情况解除本合同。如确需变更人员的，承包人需提出书面申请，经发包人同意后变更。</w:t>
      </w:r>
    </w:p>
    <w:p w14:paraId="0CBAB9AE">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szCs w:val="21"/>
          <w:highlight w:val="none"/>
        </w:rPr>
        <w:t>3.2.3 承包人无正当理由拒绝更换项目经理的违约责任</w:t>
      </w:r>
      <w:r>
        <w:rPr>
          <w:rFonts w:hint="eastAsia" w:ascii="宋体" w:hAnsi="宋体" w:cs="宋体"/>
          <w:color w:val="auto"/>
          <w:highlight w:val="none"/>
        </w:rPr>
        <w:t>：</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按通用合同条款第3.2.4条规定执行</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2720965">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3.3 承包人人员</w:t>
      </w:r>
    </w:p>
    <w:p w14:paraId="1BDF68F2">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3.3.1 承包人提交项目管理机构及施工现场管理人员安排报告的期限：</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64C9CC20">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3.3.2 承包人需更换主要施工管理人员的，继任人员的数量、注册执业资格、管理经验的约定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2CA8DB04">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3.3.3 承包人无正当理由拒绝撤换主要施工管理人员的违约责任：</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64E6F7CD">
      <w:pPr>
        <w:pStyle w:val="104"/>
        <w:adjustRightInd w:val="0"/>
        <w:snapToGrid w:val="0"/>
        <w:spacing w:line="360" w:lineRule="exact"/>
        <w:ind w:firstLine="420" w:firstLineChars="200"/>
        <w:rPr>
          <w:rFonts w:ascii="宋体" w:hAnsi="宋体" w:cs="宋体"/>
          <w:color w:val="auto"/>
          <w:highlight w:val="none"/>
          <w:u w:val="single"/>
        </w:rPr>
      </w:pPr>
      <w:r>
        <w:rPr>
          <w:rFonts w:hint="eastAsia" w:ascii="宋体" w:hAnsi="宋体" w:cs="宋体"/>
          <w:color w:val="auto"/>
          <w:highlight w:val="none"/>
        </w:rPr>
        <w:t>3.3.4 承包人主要施工管理人员离开施工现场的批准要求：</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按通用合同条款第3.3.4条规定执行</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BBD5B07">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3.3.5承包人擅自更换主要施工管理人员的违约责任：</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w:t>
      </w:r>
    </w:p>
    <w:p w14:paraId="7A59D011">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承包人主要施工管理人员擅自离开施工现场的违约责任：</w:t>
      </w:r>
      <w:r>
        <w:rPr>
          <w:rFonts w:hint="eastAsia" w:ascii="宋体" w:hAnsi="宋体" w:cs="宋体"/>
          <w:b/>
          <w:bCs/>
          <w:color w:val="auto"/>
          <w:highlight w:val="none"/>
          <w:u w:val="single"/>
        </w:rPr>
        <w:t>发包人有权要求更换管理人员</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29002AD">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3.4 分包</w:t>
      </w:r>
    </w:p>
    <w:p w14:paraId="49C39345">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3.4.1 分包的一般约定</w:t>
      </w:r>
    </w:p>
    <w:p w14:paraId="6EF59189">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禁止分包的工程包括：</w:t>
      </w:r>
      <w:r>
        <w:rPr>
          <w:rFonts w:hint="eastAsia" w:ascii="宋体" w:hAnsi="宋体" w:cs="宋体"/>
          <w:b/>
          <w:bCs/>
          <w:color w:val="auto"/>
          <w:highlight w:val="none"/>
          <w:u w:val="single"/>
        </w:rPr>
        <w:t xml:space="preserve"> 未经发包人同意一律不得分包。  </w:t>
      </w:r>
    </w:p>
    <w:p w14:paraId="5DDD1BF2">
      <w:pPr>
        <w:pStyle w:val="104"/>
        <w:adjustRightInd w:val="0"/>
        <w:snapToGrid w:val="0"/>
        <w:spacing w:line="360" w:lineRule="exact"/>
        <w:jc w:val="left"/>
        <w:rPr>
          <w:rFonts w:ascii="宋体" w:hAnsi="宋体" w:cs="宋体"/>
          <w:color w:val="auto"/>
          <w:highlight w:val="none"/>
          <w:u w:val="single"/>
        </w:rPr>
      </w:pPr>
      <w:r>
        <w:rPr>
          <w:rFonts w:hint="eastAsia" w:ascii="宋体" w:hAnsi="宋体" w:cs="宋体"/>
          <w:color w:val="auto"/>
          <w:highlight w:val="none"/>
        </w:rPr>
        <w:t xml:space="preserve">    主体结构、关键性工作的范围：</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0685F167">
      <w:pPr>
        <w:pStyle w:val="104"/>
        <w:adjustRightInd w:val="0"/>
        <w:snapToGrid w:val="0"/>
        <w:spacing w:line="360" w:lineRule="exact"/>
        <w:rPr>
          <w:rFonts w:ascii="宋体" w:hAnsi="宋体" w:cs="宋体"/>
          <w:color w:val="auto"/>
          <w:highlight w:val="none"/>
        </w:rPr>
      </w:pPr>
      <w:r>
        <w:rPr>
          <w:rFonts w:hint="eastAsia" w:ascii="宋体" w:hAnsi="宋体" w:cs="宋体"/>
          <w:color w:val="auto"/>
          <w:highlight w:val="none"/>
        </w:rPr>
        <w:t xml:space="preserve">    3.4.2分包的确定</w:t>
      </w:r>
    </w:p>
    <w:p w14:paraId="5B8AB1C4">
      <w:pPr>
        <w:pStyle w:val="104"/>
        <w:adjustRightInd w:val="0"/>
        <w:snapToGrid w:val="0"/>
        <w:spacing w:line="360" w:lineRule="exact"/>
        <w:ind w:firstLine="420" w:firstLineChars="200"/>
        <w:rPr>
          <w:rFonts w:ascii="宋体" w:hAnsi="宋体" w:cs="宋体"/>
          <w:color w:val="auto"/>
          <w:highlight w:val="none"/>
          <w:u w:val="single"/>
        </w:rPr>
      </w:pPr>
      <w:r>
        <w:rPr>
          <w:rFonts w:hint="eastAsia" w:ascii="宋体" w:hAnsi="宋体" w:cs="宋体"/>
          <w:color w:val="auto"/>
          <w:highlight w:val="none"/>
        </w:rPr>
        <w:t>允许分包的专业工程包括：</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72D292A1">
      <w:pPr>
        <w:pStyle w:val="104"/>
        <w:adjustRightInd w:val="0"/>
        <w:snapToGrid w:val="0"/>
        <w:spacing w:line="360" w:lineRule="exact"/>
        <w:rPr>
          <w:rFonts w:ascii="宋体" w:hAnsi="宋体" w:cs="宋体"/>
          <w:color w:val="auto"/>
          <w:highlight w:val="none"/>
        </w:rPr>
      </w:pPr>
      <w:r>
        <w:rPr>
          <w:rFonts w:hint="eastAsia" w:ascii="宋体" w:hAnsi="宋体" w:cs="宋体"/>
          <w:color w:val="auto"/>
          <w:highlight w:val="none"/>
        </w:rPr>
        <w:t xml:space="preserve">    其他关于分包的约定：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13500FF2">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3.4.3 分包合同价款</w:t>
      </w:r>
    </w:p>
    <w:p w14:paraId="0180684C">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关于分包合同价款支付的约定：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62DD39F">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3.5 工程照管与成品、半成品保护</w:t>
      </w:r>
    </w:p>
    <w:p w14:paraId="171C5474">
      <w:pPr>
        <w:pStyle w:val="104"/>
        <w:adjustRightInd w:val="0"/>
        <w:snapToGrid w:val="0"/>
        <w:spacing w:line="3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承包人负责照管工程及工程相关的材料、工程设备的起始时间：</w:t>
      </w:r>
      <w:r>
        <w:rPr>
          <w:rFonts w:hint="eastAsia" w:ascii="宋体" w:hAnsi="宋体" w:cs="宋体"/>
          <w:b/>
          <w:bCs/>
          <w:color w:val="auto"/>
          <w:kern w:val="0"/>
          <w:highlight w:val="none"/>
          <w:u w:val="single"/>
        </w:rPr>
        <w:t>按通用合同条款第3.6条规定执行</w:t>
      </w:r>
      <w:r>
        <w:rPr>
          <w:rFonts w:hint="eastAsia" w:ascii="宋体" w:hAnsi="宋体" w:cs="宋体"/>
          <w:color w:val="auto"/>
          <w:kern w:val="0"/>
          <w:highlight w:val="none"/>
        </w:rPr>
        <w:t>。</w:t>
      </w:r>
    </w:p>
    <w:p w14:paraId="34E0B557">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3.6 履约担保</w:t>
      </w:r>
    </w:p>
    <w:p w14:paraId="2B99A439">
      <w:pPr>
        <w:pStyle w:val="104"/>
        <w:adjustRightInd w:val="0"/>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承包人是否提供履约担保：</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是</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03DDB79">
      <w:pPr>
        <w:pStyle w:val="104"/>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承包人提供履约担保的形式、金额及期限的，采用以下第</w:t>
      </w:r>
      <w:r>
        <w:rPr>
          <w:rFonts w:hint="eastAsia" w:ascii="宋体" w:hAnsi="宋体" w:cs="宋体"/>
          <w:color w:val="auto"/>
          <w:highlight w:val="none"/>
          <w:u w:val="single"/>
        </w:rPr>
        <w:t>3</w:t>
      </w:r>
      <w:r>
        <w:rPr>
          <w:rFonts w:hint="eastAsia" w:ascii="宋体" w:hAnsi="宋体" w:cs="宋体"/>
          <w:color w:val="auto"/>
          <w:highlight w:val="none"/>
        </w:rPr>
        <w:t>种方式：</w:t>
      </w:r>
    </w:p>
    <w:p w14:paraId="201996B6">
      <w:pPr>
        <w:pStyle w:val="104"/>
        <w:adjustRightInd w:val="0"/>
        <w:snapToGrid w:val="0"/>
        <w:spacing w:line="360" w:lineRule="exact"/>
        <w:ind w:firstLine="420" w:firstLineChars="200"/>
        <w:rPr>
          <w:rFonts w:ascii="宋体" w:hAnsi="宋体" w:cs="宋体"/>
          <w:color w:val="auto"/>
          <w:highlight w:val="none"/>
          <w:u w:val="single"/>
        </w:rPr>
      </w:pPr>
      <w:r>
        <w:rPr>
          <w:rFonts w:hint="eastAsia" w:ascii="宋体" w:hAnsi="宋体" w:cs="宋体"/>
          <w:color w:val="auto"/>
          <w:highlight w:val="none"/>
        </w:rPr>
        <w:t>(1)保证保险，金额及期限为：</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10B79139">
      <w:pPr>
        <w:pStyle w:val="104"/>
        <w:adjustRightInd w:val="0"/>
        <w:snapToGrid w:val="0"/>
        <w:spacing w:line="360" w:lineRule="exact"/>
        <w:ind w:firstLine="420" w:firstLineChars="200"/>
        <w:rPr>
          <w:rFonts w:ascii="宋体" w:hAnsi="宋体" w:cs="宋体"/>
          <w:color w:val="auto"/>
          <w:highlight w:val="none"/>
          <w:u w:val="single"/>
        </w:rPr>
      </w:pPr>
      <w:r>
        <w:rPr>
          <w:rFonts w:hint="eastAsia" w:ascii="宋体" w:hAnsi="宋体" w:cs="宋体"/>
          <w:color w:val="auto"/>
          <w:highlight w:val="none"/>
        </w:rPr>
        <w:t>(2)银行保函，金额及期限为：</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w:t>
      </w:r>
    </w:p>
    <w:p w14:paraId="6D4AE7A9">
      <w:pPr>
        <w:pStyle w:val="104"/>
        <w:adjustRightInd w:val="0"/>
        <w:snapToGrid w:val="0"/>
        <w:spacing w:line="360" w:lineRule="exact"/>
        <w:ind w:firstLine="420" w:firstLineChars="200"/>
        <w:rPr>
          <w:rFonts w:ascii="宋体" w:hAnsi="宋体" w:cs="宋体"/>
          <w:b/>
          <w:bCs/>
          <w:color w:val="auto"/>
          <w:highlight w:val="none"/>
          <w:u w:val="single"/>
        </w:rPr>
      </w:pPr>
      <w:r>
        <w:rPr>
          <w:rFonts w:hint="eastAsia" w:ascii="宋体" w:hAnsi="宋体" w:cs="宋体"/>
          <w:color w:val="auto"/>
          <w:kern w:val="0"/>
          <w:highlight w:val="none"/>
        </w:rPr>
        <w:t>(3)其他方式，</w:t>
      </w:r>
      <w:r>
        <w:rPr>
          <w:rFonts w:hint="eastAsia" w:ascii="宋体" w:hAnsi="宋体" w:cs="宋体"/>
          <w:b/>
          <w:bCs/>
          <w:color w:val="auto"/>
          <w:highlight w:val="none"/>
          <w:u w:val="single"/>
        </w:rPr>
        <w:t>合同签订后7天内，承包人向发包人递交合同价1%的履约保证金（履约担保的形式：电汇、汇票、支票形式或银行、保险公司出具的保函）</w:t>
      </w:r>
      <w:r>
        <w:rPr>
          <w:rFonts w:hint="eastAsia" w:ascii="宋体" w:hAnsi="宋体" w:cs="宋体"/>
          <w:color w:val="auto"/>
          <w:highlight w:val="none"/>
          <w:u w:val="single"/>
        </w:rPr>
        <w:t>。</w:t>
      </w:r>
    </w:p>
    <w:p w14:paraId="6DA621D2">
      <w:pPr>
        <w:pStyle w:val="104"/>
        <w:adjustRightInd w:val="0"/>
        <w:snapToGrid w:val="0"/>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履约保证金分五部分，其中：</w:t>
      </w:r>
    </w:p>
    <w:p w14:paraId="196C76FE">
      <w:pPr>
        <w:pStyle w:val="104"/>
        <w:adjustRightInd w:val="0"/>
        <w:snapToGrid w:val="0"/>
        <w:spacing w:line="360" w:lineRule="auto"/>
        <w:ind w:firstLine="210" w:firstLineChars="100"/>
        <w:rPr>
          <w:rFonts w:ascii="宋体" w:hAnsi="宋体" w:cs="宋体"/>
          <w:color w:val="auto"/>
          <w:kern w:val="0"/>
          <w:highlight w:val="none"/>
        </w:rPr>
      </w:pPr>
      <w:r>
        <w:rPr>
          <w:rFonts w:hint="eastAsia" w:ascii="宋体" w:hAnsi="宋体" w:cs="宋体"/>
          <w:color w:val="auto"/>
          <w:kern w:val="0"/>
          <w:highlight w:val="none"/>
        </w:rPr>
        <w:t>（a）质量履约保证金占30%，发生质量事故的，则按磋商文件和合同中相关条款处罚。</w:t>
      </w:r>
    </w:p>
    <w:p w14:paraId="711DB1EE">
      <w:pPr>
        <w:pStyle w:val="104"/>
        <w:adjustRightInd w:val="0"/>
        <w:snapToGrid w:val="0"/>
        <w:spacing w:line="360" w:lineRule="auto"/>
        <w:ind w:firstLine="210" w:firstLineChars="100"/>
        <w:rPr>
          <w:rFonts w:ascii="宋体" w:hAnsi="宋体" w:cs="宋体"/>
          <w:color w:val="auto"/>
          <w:kern w:val="0"/>
          <w:highlight w:val="none"/>
        </w:rPr>
      </w:pPr>
      <w:r>
        <w:rPr>
          <w:rFonts w:hint="eastAsia" w:ascii="宋体" w:hAnsi="宋体" w:cs="宋体"/>
          <w:color w:val="auto"/>
          <w:kern w:val="0"/>
          <w:highlight w:val="none"/>
        </w:rPr>
        <w:t>（b）工期履约保证金占40%，工期以合同为准，若不能按期竣工，则按磋商文件和合同中相关条款处罚。</w:t>
      </w:r>
    </w:p>
    <w:p w14:paraId="1B3FF87D">
      <w:pPr>
        <w:pStyle w:val="104"/>
        <w:adjustRightInd w:val="0"/>
        <w:snapToGrid w:val="0"/>
        <w:spacing w:line="360" w:lineRule="auto"/>
        <w:ind w:firstLine="210" w:firstLineChars="100"/>
        <w:rPr>
          <w:rFonts w:ascii="宋体" w:hAnsi="宋体" w:cs="宋体"/>
          <w:color w:val="auto"/>
          <w:kern w:val="0"/>
          <w:highlight w:val="none"/>
        </w:rPr>
      </w:pPr>
      <w:r>
        <w:rPr>
          <w:rFonts w:hint="eastAsia" w:ascii="宋体" w:hAnsi="宋体" w:cs="宋体"/>
          <w:color w:val="auto"/>
          <w:kern w:val="0"/>
          <w:highlight w:val="none"/>
        </w:rPr>
        <w:t>（c）项目经理及项目班子到位履约保证金占20%。项目经理不能到位，则按磋商文件和合同中相关条款处罚。</w:t>
      </w:r>
    </w:p>
    <w:p w14:paraId="002CA529">
      <w:pPr>
        <w:pStyle w:val="104"/>
        <w:adjustRightInd w:val="0"/>
        <w:snapToGrid w:val="0"/>
        <w:spacing w:line="360" w:lineRule="auto"/>
        <w:ind w:firstLine="210" w:firstLineChars="100"/>
        <w:rPr>
          <w:rFonts w:ascii="宋体" w:hAnsi="宋体" w:cs="宋体"/>
          <w:color w:val="auto"/>
          <w:kern w:val="0"/>
          <w:highlight w:val="none"/>
        </w:rPr>
      </w:pPr>
      <w:r>
        <w:rPr>
          <w:rFonts w:hint="eastAsia" w:ascii="宋体" w:hAnsi="宋体" w:cs="宋体"/>
          <w:color w:val="auto"/>
          <w:kern w:val="0"/>
          <w:highlight w:val="none"/>
        </w:rPr>
        <w:t>（d）安全生产、文明施工履约保证金占5%。发生重大人身安全事故的，罚没该部分保证金。</w:t>
      </w:r>
    </w:p>
    <w:p w14:paraId="4BC8CFE3">
      <w:pPr>
        <w:pStyle w:val="104"/>
        <w:adjustRightInd w:val="0"/>
        <w:snapToGrid w:val="0"/>
        <w:spacing w:line="360" w:lineRule="auto"/>
        <w:ind w:firstLine="210" w:firstLineChars="100"/>
        <w:rPr>
          <w:rFonts w:ascii="宋体" w:hAnsi="宋体" w:cs="宋体"/>
          <w:color w:val="auto"/>
          <w:kern w:val="0"/>
          <w:highlight w:val="none"/>
        </w:rPr>
      </w:pPr>
      <w:r>
        <w:rPr>
          <w:rFonts w:hint="eastAsia" w:ascii="宋体" w:hAnsi="宋体" w:cs="宋体"/>
          <w:color w:val="auto"/>
          <w:kern w:val="0"/>
          <w:highlight w:val="none"/>
        </w:rPr>
        <w:t>（e）廉洁自律、计划生育履约保证金占5%。发生违反廉政合同或计划生育行为的，罚没该部分保证金。</w:t>
      </w:r>
    </w:p>
    <w:p w14:paraId="71DC27EE">
      <w:pPr>
        <w:pStyle w:val="104"/>
        <w:adjustRightInd w:val="0"/>
        <w:snapToGrid w:val="0"/>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履约担保有效期自履约保证金交纳之日起至上述五项指标考核合格后28天内有效。履约保证金在工程竣工验收合格、承包人履行了合同约定的责任和义务（如有违约，扣除违约金）后无息退还。</w:t>
      </w:r>
    </w:p>
    <w:p w14:paraId="25F4D657">
      <w:pPr>
        <w:pStyle w:val="104"/>
        <w:adjustRightInd w:val="0"/>
        <w:snapToGrid w:val="0"/>
        <w:spacing w:line="360" w:lineRule="auto"/>
        <w:ind w:firstLine="482" w:firstLineChars="200"/>
        <w:jc w:val="center"/>
        <w:rPr>
          <w:rFonts w:ascii="宋体" w:hAnsi="宋体" w:cs="宋体"/>
          <w:b/>
          <w:bCs/>
          <w:color w:val="auto"/>
          <w:sz w:val="24"/>
          <w:highlight w:val="none"/>
        </w:rPr>
      </w:pPr>
      <w:r>
        <w:rPr>
          <w:rFonts w:hint="eastAsia" w:ascii="宋体" w:hAnsi="宋体" w:cs="宋体"/>
          <w:b/>
          <w:bCs/>
          <w:color w:val="auto"/>
          <w:sz w:val="24"/>
          <w:highlight w:val="none"/>
        </w:rPr>
        <w:t>4. 监理人</w:t>
      </w:r>
    </w:p>
    <w:p w14:paraId="3CCF8B44">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4.1监理人的一般规定</w:t>
      </w:r>
    </w:p>
    <w:p w14:paraId="011E8A5F">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关于监理人的监理内容：</w:t>
      </w:r>
      <w:r>
        <w:rPr>
          <w:rFonts w:hint="eastAsia" w:ascii="宋体" w:hAnsi="宋体" w:cs="宋体"/>
          <w:b/>
          <w:bCs/>
          <w:color w:val="auto"/>
          <w:highlight w:val="none"/>
          <w:u w:val="single"/>
        </w:rPr>
        <w:t>现场全过程协调，负责质量、安全、投资、进度管理</w:t>
      </w:r>
      <w:r>
        <w:rPr>
          <w:rFonts w:hint="eastAsia" w:ascii="宋体" w:hAnsi="宋体" w:cs="宋体"/>
          <w:color w:val="auto"/>
          <w:highlight w:val="none"/>
        </w:rPr>
        <w:t>。</w:t>
      </w:r>
    </w:p>
    <w:p w14:paraId="0BAF09C0">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关于监理人的监理权限：</w:t>
      </w:r>
      <w:r>
        <w:rPr>
          <w:rFonts w:hint="eastAsia" w:ascii="宋体" w:hAnsi="宋体" w:cs="宋体"/>
          <w:b/>
          <w:bCs/>
          <w:color w:val="auto"/>
          <w:highlight w:val="none"/>
          <w:u w:val="single"/>
        </w:rPr>
        <w:t>按监理合同约定实行</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5515B6CF">
      <w:pPr>
        <w:pStyle w:val="128"/>
        <w:adjustRightInd w:val="0"/>
        <w:snapToGrid w:val="0"/>
        <w:spacing w:line="360" w:lineRule="exact"/>
        <w:ind w:firstLine="420" w:firstLineChars="200"/>
        <w:rPr>
          <w:rFonts w:ascii="宋体" w:hAnsi="宋体" w:eastAsia="宋体" w:cs="宋体"/>
          <w:b/>
          <w:bCs/>
          <w:color w:val="auto"/>
          <w:highlight w:val="none"/>
          <w:u w:val="single"/>
        </w:rPr>
      </w:pPr>
      <w:r>
        <w:rPr>
          <w:rFonts w:hint="eastAsia" w:ascii="宋体" w:hAnsi="宋体" w:eastAsia="宋体" w:cs="宋体"/>
          <w:color w:val="auto"/>
          <w:highlight w:val="none"/>
        </w:rPr>
        <w:t>需要取得发包人批准才能行使的职权：</w:t>
      </w:r>
      <w:r>
        <w:rPr>
          <w:rFonts w:hint="eastAsia" w:ascii="宋体" w:hAnsi="宋体" w:eastAsia="宋体" w:cs="宋体"/>
          <w:b/>
          <w:bCs/>
          <w:color w:val="auto"/>
          <w:kern w:val="0"/>
          <w:highlight w:val="none"/>
          <w:u w:val="single"/>
        </w:rPr>
        <w:t>总监理工程师签署的任何付款凭证需经发包人代表签署确认意见后有效。涉及设计变更、工期顺延、材料价格、停/复工令、工程索赔等可能影响工程价款或工期的签证需经发包人书面同意，签证才有效。</w:t>
      </w:r>
      <w:r>
        <w:rPr>
          <w:rFonts w:hint="eastAsia" w:ascii="宋体" w:hAnsi="宋体" w:eastAsia="宋体" w:cs="宋体"/>
          <w:b/>
          <w:bCs/>
          <w:color w:val="auto"/>
          <w:highlight w:val="none"/>
          <w:u w:val="single"/>
        </w:rPr>
        <w:t xml:space="preserve"> </w:t>
      </w:r>
    </w:p>
    <w:p w14:paraId="3D13010C">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关于监理人在施工现场的办公场所、生活场所的提供和费用承担的约定：</w:t>
      </w:r>
      <w:r>
        <w:rPr>
          <w:rFonts w:hint="eastAsia" w:ascii="宋体" w:hAnsi="宋体" w:cs="宋体"/>
          <w:b/>
          <w:bCs/>
          <w:color w:val="auto"/>
          <w:highlight w:val="none"/>
          <w:u w:val="single"/>
        </w:rPr>
        <w:t>监理人在施工现场的办公场所、生活场所及发生的水电费由承包人提供和承担</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D1C036D">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4.2 监理人员</w:t>
      </w:r>
    </w:p>
    <w:p w14:paraId="56BC2CCF">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总监理工程师：</w:t>
      </w:r>
    </w:p>
    <w:p w14:paraId="0C0FF498">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5B271434">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职    务：</w:t>
      </w:r>
      <w:r>
        <w:rPr>
          <w:rFonts w:hint="eastAsia" w:ascii="宋体" w:hAnsi="宋体" w:cs="宋体"/>
          <w:b/>
          <w:bCs/>
          <w:color w:val="auto"/>
          <w:highlight w:val="none"/>
          <w:u w:val="single"/>
        </w:rPr>
        <w:t xml:space="preserve">      /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53EF672">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监理工程师执业资格证书号：</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5B8127F0">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04E608B1">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07E8345D">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722D80E4">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关于监理人的其他约定：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56B69201">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4.4 商定或确定</w:t>
      </w:r>
    </w:p>
    <w:p w14:paraId="350C0ED9">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在发包人和承包人不能通过协商达成一致意见时，发包人授权监理人对以下事项进行确定：</w:t>
      </w:r>
    </w:p>
    <w:p w14:paraId="2AA2768C">
      <w:pPr>
        <w:pStyle w:val="104"/>
        <w:autoSpaceDE w:val="0"/>
        <w:autoSpaceDN w:val="0"/>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5AA98ED">
      <w:pPr>
        <w:pStyle w:val="104"/>
        <w:autoSpaceDE w:val="0"/>
        <w:autoSpaceDN w:val="0"/>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（2）</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6CB97B2F">
      <w:pPr>
        <w:pStyle w:val="104"/>
        <w:autoSpaceDE w:val="0"/>
        <w:autoSpaceDN w:val="0"/>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（3）</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22B7B808">
      <w:pPr>
        <w:pStyle w:val="127"/>
        <w:adjustRightInd w:val="0"/>
        <w:snapToGrid w:val="0"/>
        <w:spacing w:before="0" w:after="0" w:line="360" w:lineRule="exact"/>
        <w:ind w:firstLine="42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5. 工程质量</w:t>
      </w:r>
    </w:p>
    <w:p w14:paraId="7D1BCB6B">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5.1 质量要求</w:t>
      </w:r>
    </w:p>
    <w:p w14:paraId="2E57B0C6">
      <w:pPr>
        <w:pStyle w:val="104"/>
        <w:adjustRightInd w:val="0"/>
        <w:snapToGrid w:val="0"/>
        <w:spacing w:line="360" w:lineRule="exact"/>
        <w:jc w:val="left"/>
        <w:rPr>
          <w:rFonts w:ascii="宋体" w:hAnsi="宋体" w:cs="宋体"/>
          <w:color w:val="auto"/>
          <w:highlight w:val="none"/>
        </w:rPr>
      </w:pPr>
      <w:r>
        <w:rPr>
          <w:rFonts w:hint="eastAsia" w:ascii="宋体" w:hAnsi="宋体" w:cs="宋体"/>
          <w:color w:val="auto"/>
          <w:highlight w:val="none"/>
        </w:rPr>
        <w:t xml:space="preserve">    5.1.1 特殊质量标准和要求：</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75255ACB">
      <w:pPr>
        <w:pStyle w:val="104"/>
        <w:adjustRightInd w:val="0"/>
        <w:snapToGrid w:val="0"/>
        <w:spacing w:line="360" w:lineRule="exact"/>
        <w:jc w:val="left"/>
        <w:rPr>
          <w:rFonts w:ascii="宋体" w:hAnsi="宋体" w:cs="宋体"/>
          <w:color w:val="auto"/>
          <w:highlight w:val="none"/>
        </w:rPr>
      </w:pPr>
      <w:r>
        <w:rPr>
          <w:rFonts w:hint="eastAsia" w:ascii="宋体" w:hAnsi="宋体" w:cs="宋体"/>
          <w:color w:val="auto"/>
          <w:highlight w:val="none"/>
        </w:rPr>
        <w:t xml:space="preserve">    关于工程奖项的约定：</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51906CC">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5.2 隐蔽工程检查</w:t>
      </w:r>
    </w:p>
    <w:p w14:paraId="1C268D10">
      <w:pPr>
        <w:pStyle w:val="104"/>
        <w:adjustRightInd w:val="0"/>
        <w:snapToGrid w:val="0"/>
        <w:spacing w:line="360" w:lineRule="exact"/>
        <w:ind w:firstLine="420" w:firstLineChars="200"/>
        <w:jc w:val="left"/>
        <w:rPr>
          <w:rFonts w:ascii="宋体" w:hAnsi="宋体" w:cs="宋体"/>
          <w:b/>
          <w:bCs/>
          <w:i/>
          <w:iCs/>
          <w:color w:val="auto"/>
          <w:highlight w:val="none"/>
          <w:u w:val="single"/>
        </w:rPr>
      </w:pPr>
      <w:r>
        <w:rPr>
          <w:rFonts w:hint="eastAsia" w:ascii="宋体" w:hAnsi="宋体" w:cs="宋体"/>
          <w:color w:val="auto"/>
          <w:highlight w:val="none"/>
        </w:rPr>
        <w:t>5.2.1承包人提前通知监理人隐蔽工程检查的期限的约定：</w:t>
      </w:r>
      <w:r>
        <w:rPr>
          <w:rFonts w:hint="eastAsia" w:ascii="宋体" w:hAnsi="宋体" w:cs="宋体"/>
          <w:b/>
          <w:bCs/>
          <w:color w:val="auto"/>
          <w:highlight w:val="none"/>
          <w:u w:val="single"/>
        </w:rPr>
        <w:t>承包人自检合格后，在隐蔽工程验收48小时前通知监理工程师和发包人代表参加。通知包括承包人自检记录、隐蔽验收时间和地点。验收合格，监理工程师和发包人代表在记录上签字后方可进行隐蔽和继续施工。不合格的，承包人在限定期限内整改后重新组织验收。</w:t>
      </w:r>
    </w:p>
    <w:p w14:paraId="0DFE6732">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监理人不能按时进行检查时，应提前</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w:t>
      </w:r>
      <w:r>
        <w:rPr>
          <w:rFonts w:hint="eastAsia" w:ascii="宋体" w:hAnsi="宋体" w:cs="宋体"/>
          <w:color w:val="auto"/>
          <w:highlight w:val="none"/>
          <w:u w:val="single"/>
        </w:rPr>
        <w:t xml:space="preserve"> </w:t>
      </w:r>
      <w:r>
        <w:rPr>
          <w:rFonts w:hint="eastAsia" w:ascii="宋体" w:hAnsi="宋体" w:cs="宋体"/>
          <w:color w:val="auto"/>
          <w:highlight w:val="none"/>
        </w:rPr>
        <w:t>小时提交书面延期要求。</w:t>
      </w:r>
    </w:p>
    <w:p w14:paraId="73C9AE78">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关于延期最长不得超过：</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小时。</w:t>
      </w:r>
    </w:p>
    <w:p w14:paraId="1B373279">
      <w:pPr>
        <w:pStyle w:val="127"/>
        <w:adjustRightInd w:val="0"/>
        <w:snapToGrid w:val="0"/>
        <w:spacing w:before="0" w:after="0" w:line="360" w:lineRule="exact"/>
        <w:ind w:firstLine="42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6. 安全文明施工与环境保护</w:t>
      </w:r>
    </w:p>
    <w:p w14:paraId="2F980F9E">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6.1安全文明施工</w:t>
      </w:r>
    </w:p>
    <w:p w14:paraId="779BFB0F">
      <w:pPr>
        <w:pStyle w:val="104"/>
        <w:adjustRightInd w:val="0"/>
        <w:snapToGrid w:val="0"/>
        <w:spacing w:line="360" w:lineRule="exact"/>
        <w:jc w:val="left"/>
        <w:rPr>
          <w:rFonts w:ascii="宋体" w:hAnsi="宋体" w:cs="宋体"/>
          <w:color w:val="auto"/>
          <w:highlight w:val="none"/>
        </w:rPr>
      </w:pPr>
      <w:r>
        <w:rPr>
          <w:rFonts w:hint="eastAsia" w:ascii="宋体" w:hAnsi="宋体" w:cs="宋体"/>
          <w:color w:val="auto"/>
          <w:highlight w:val="none"/>
        </w:rPr>
        <w:t xml:space="preserve">    6.1.1 项目安全生产的达标目标及相应事项的约定：</w:t>
      </w:r>
      <w:r>
        <w:rPr>
          <w:rFonts w:hint="eastAsia" w:ascii="宋体" w:hAnsi="宋体" w:cs="宋体"/>
          <w:color w:val="auto"/>
          <w:highlight w:val="none"/>
          <w:u w:val="single"/>
        </w:rPr>
        <w:t xml:space="preserve"> 详见附件3 </w:t>
      </w:r>
      <w:r>
        <w:rPr>
          <w:rFonts w:hint="eastAsia" w:ascii="宋体" w:hAnsi="宋体" w:cs="宋体"/>
          <w:color w:val="auto"/>
          <w:highlight w:val="none"/>
        </w:rPr>
        <w:t>。</w:t>
      </w:r>
    </w:p>
    <w:p w14:paraId="35FB6669">
      <w:pPr>
        <w:pStyle w:val="104"/>
        <w:adjustRightInd w:val="0"/>
        <w:snapToGrid w:val="0"/>
        <w:spacing w:line="360" w:lineRule="exact"/>
        <w:jc w:val="left"/>
        <w:rPr>
          <w:rFonts w:ascii="宋体" w:hAnsi="宋体" w:cs="宋体"/>
          <w:color w:val="auto"/>
          <w:highlight w:val="none"/>
        </w:rPr>
      </w:pPr>
      <w:r>
        <w:rPr>
          <w:rFonts w:hint="eastAsia" w:ascii="宋体" w:hAnsi="宋体" w:cs="宋体"/>
          <w:color w:val="auto"/>
          <w:highlight w:val="none"/>
        </w:rPr>
        <w:t xml:space="preserve">    6.1.2 关于治安保卫的特别约定：</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按通用合同条款第6.1.4条规定执行</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8949CA5">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关于编制施工场地治安管理计划的约定：</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按通用合同条款第6.1.4条规定执行</w:t>
      </w:r>
      <w:r>
        <w:rPr>
          <w:rFonts w:hint="eastAsia" w:ascii="宋体" w:hAnsi="宋体" w:cs="宋体"/>
          <w:color w:val="auto"/>
          <w:highlight w:val="none"/>
        </w:rPr>
        <w:t>。</w:t>
      </w:r>
    </w:p>
    <w:p w14:paraId="484A18E4">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6.1.3 文明施工</w:t>
      </w:r>
    </w:p>
    <w:p w14:paraId="5DA9D072">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合同当事人对文明施工的要求：</w:t>
      </w:r>
    </w:p>
    <w:p w14:paraId="56AE9BA6">
      <w:pPr>
        <w:pStyle w:val="104"/>
        <w:autoSpaceDE w:val="0"/>
        <w:autoSpaceDN w:val="0"/>
        <w:adjustRightInd w:val="0"/>
        <w:snapToGrid w:val="0"/>
        <w:spacing w:line="360" w:lineRule="exact"/>
        <w:ind w:firstLine="422" w:firstLineChars="200"/>
        <w:rPr>
          <w:rFonts w:ascii="宋体" w:hAnsi="宋体" w:cs="宋体"/>
          <w:b/>
          <w:bCs/>
          <w:color w:val="auto"/>
          <w:highlight w:val="none"/>
          <w:u w:val="single"/>
        </w:rPr>
      </w:pPr>
      <w:r>
        <w:rPr>
          <w:rFonts w:hint="eastAsia" w:ascii="宋体" w:hAnsi="宋体" w:cs="宋体"/>
          <w:b/>
          <w:bCs/>
          <w:color w:val="auto"/>
          <w:highlight w:val="none"/>
          <w:u w:val="single"/>
        </w:rPr>
        <w:t>（1）承包人应严格按安全文明施工的要求组织施工，遵守工程建设安全文明的有关规定，认真落实各项安全保护措施，并随时接受发包人、监理工程师及有关部门的监督检查；</w:t>
      </w:r>
    </w:p>
    <w:p w14:paraId="03962146">
      <w:pPr>
        <w:pStyle w:val="104"/>
        <w:autoSpaceDE w:val="0"/>
        <w:autoSpaceDN w:val="0"/>
        <w:adjustRightInd w:val="0"/>
        <w:snapToGrid w:val="0"/>
        <w:spacing w:line="360" w:lineRule="exact"/>
        <w:ind w:firstLine="422" w:firstLineChars="200"/>
        <w:rPr>
          <w:rFonts w:ascii="宋体" w:hAnsi="宋体" w:cs="宋体"/>
          <w:b/>
          <w:bCs/>
          <w:color w:val="auto"/>
          <w:highlight w:val="none"/>
          <w:u w:val="single"/>
        </w:rPr>
      </w:pPr>
      <w:r>
        <w:rPr>
          <w:rFonts w:hint="eastAsia" w:ascii="宋体" w:hAnsi="宋体" w:cs="宋体"/>
          <w:b/>
          <w:bCs/>
          <w:color w:val="auto"/>
          <w:highlight w:val="none"/>
          <w:u w:val="single"/>
        </w:rPr>
        <w:t>（2）承包人应对进入施工现场的施工人员进行安全文明教育，配备必要的劳动保护用具，保证工程的施工安全和人身安全；</w:t>
      </w:r>
    </w:p>
    <w:p w14:paraId="31873879">
      <w:pPr>
        <w:pStyle w:val="104"/>
        <w:autoSpaceDE w:val="0"/>
        <w:autoSpaceDN w:val="0"/>
        <w:adjustRightInd w:val="0"/>
        <w:snapToGrid w:val="0"/>
        <w:spacing w:line="360" w:lineRule="exact"/>
        <w:ind w:firstLine="422" w:firstLineChars="200"/>
        <w:rPr>
          <w:rFonts w:ascii="宋体" w:hAnsi="宋体" w:cs="宋体"/>
          <w:b/>
          <w:bCs/>
          <w:color w:val="auto"/>
          <w:highlight w:val="none"/>
          <w:u w:val="single"/>
        </w:rPr>
      </w:pPr>
      <w:r>
        <w:rPr>
          <w:rFonts w:hint="eastAsia" w:ascii="宋体" w:hAnsi="宋体" w:cs="宋体"/>
          <w:b/>
          <w:bCs/>
          <w:color w:val="auto"/>
          <w:highlight w:val="none"/>
          <w:u w:val="single"/>
        </w:rPr>
        <w:t>（3）承包人应注意保护施工现场已完建筑物的安全；</w:t>
      </w:r>
    </w:p>
    <w:p w14:paraId="2B8E3CB8">
      <w:pPr>
        <w:pStyle w:val="104"/>
        <w:autoSpaceDE w:val="0"/>
        <w:autoSpaceDN w:val="0"/>
        <w:adjustRightInd w:val="0"/>
        <w:snapToGrid w:val="0"/>
        <w:spacing w:line="360" w:lineRule="exact"/>
        <w:ind w:firstLine="422" w:firstLineChars="200"/>
        <w:rPr>
          <w:rFonts w:ascii="宋体" w:hAnsi="宋体" w:cs="宋体"/>
          <w:b/>
          <w:bCs/>
          <w:color w:val="auto"/>
          <w:highlight w:val="none"/>
          <w:u w:val="single"/>
        </w:rPr>
      </w:pPr>
      <w:r>
        <w:rPr>
          <w:rFonts w:hint="eastAsia" w:ascii="宋体" w:hAnsi="宋体" w:cs="宋体"/>
          <w:b/>
          <w:bCs/>
          <w:color w:val="auto"/>
          <w:highlight w:val="none"/>
          <w:u w:val="single"/>
        </w:rPr>
        <w:t>（4）如由于承包人安全措施不力造成事故的责任和由此发生的全部费用，包括但不限于给发包人或其他单位造成的直接和间接损失均由承包人承担；</w:t>
      </w:r>
    </w:p>
    <w:p w14:paraId="0ABC329E">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（5）上述手续办理费用约定如下：</w:t>
      </w:r>
      <w:r>
        <w:rPr>
          <w:rFonts w:hint="eastAsia" w:ascii="宋体" w:hAnsi="宋体" w:cs="宋体"/>
          <w:color w:val="auto"/>
          <w:highlight w:val="none"/>
          <w:u w:val="single"/>
        </w:rPr>
        <w:t xml:space="preserve"> 由承包人承担 </w:t>
      </w:r>
      <w:r>
        <w:rPr>
          <w:rFonts w:hint="eastAsia" w:ascii="宋体" w:hAnsi="宋体" w:cs="宋体"/>
          <w:color w:val="auto"/>
          <w:highlight w:val="none"/>
        </w:rPr>
        <w:t>。</w:t>
      </w:r>
    </w:p>
    <w:p w14:paraId="70EE8DB8">
      <w:pPr>
        <w:pStyle w:val="28"/>
        <w:shd w:val="clear" w:color="auto" w:fill="FFFFFF"/>
        <w:spacing w:before="0" w:beforeAutospacing="0" w:after="0" w:afterAutospacing="0" w:line="360" w:lineRule="exact"/>
        <w:ind w:firstLine="420" w:firstLineChars="200"/>
        <w:rPr>
          <w:color w:val="auto"/>
          <w:kern w:val="2"/>
          <w:sz w:val="21"/>
          <w:highlight w:val="none"/>
        </w:rPr>
      </w:pPr>
      <w:r>
        <w:rPr>
          <w:rFonts w:hint="eastAsia"/>
          <w:color w:val="auto"/>
          <w:kern w:val="2"/>
          <w:sz w:val="21"/>
          <w:highlight w:val="none"/>
        </w:rPr>
        <w:t>6.1.6 关于安全文明施工费支付比例和支付期限的约定：</w:t>
      </w:r>
      <w:r>
        <w:rPr>
          <w:rFonts w:hint="eastAsia"/>
          <w:color w:val="auto"/>
          <w:kern w:val="2"/>
          <w:sz w:val="21"/>
          <w:highlight w:val="none"/>
          <w:u w:val="single"/>
        </w:rPr>
        <w:t>/</w:t>
      </w:r>
      <w:r>
        <w:rPr>
          <w:rFonts w:hint="eastAsia"/>
          <w:color w:val="auto"/>
          <w:kern w:val="2"/>
          <w:sz w:val="21"/>
          <w:highlight w:val="none"/>
        </w:rPr>
        <w:t>。</w:t>
      </w:r>
    </w:p>
    <w:p w14:paraId="0ABFC023">
      <w:pPr>
        <w:pStyle w:val="127"/>
        <w:adjustRightInd w:val="0"/>
        <w:snapToGrid w:val="0"/>
        <w:spacing w:before="0" w:after="0" w:line="360" w:lineRule="exact"/>
        <w:ind w:firstLine="42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7. 工期和进度</w:t>
      </w:r>
    </w:p>
    <w:p w14:paraId="793AAE97">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7.1 施工组织设计</w:t>
      </w:r>
    </w:p>
    <w:p w14:paraId="5B48D9AE">
      <w:pPr>
        <w:pStyle w:val="104"/>
        <w:autoSpaceDE w:val="0"/>
        <w:autoSpaceDN w:val="0"/>
        <w:adjustRightInd w:val="0"/>
        <w:snapToGrid w:val="0"/>
        <w:spacing w:line="360" w:lineRule="exact"/>
        <w:jc w:val="left"/>
        <w:rPr>
          <w:rFonts w:ascii="宋体" w:hAnsi="宋体" w:cs="宋体"/>
          <w:color w:val="auto"/>
          <w:kern w:val="0"/>
          <w:highlight w:val="none"/>
        </w:rPr>
      </w:pPr>
      <w:r>
        <w:rPr>
          <w:rFonts w:hint="eastAsia" w:ascii="宋体" w:hAnsi="宋体" w:cs="宋体"/>
          <w:color w:val="auto"/>
          <w:highlight w:val="none"/>
        </w:rPr>
        <w:t xml:space="preserve">    7.1.1 合</w:t>
      </w:r>
      <w:r>
        <w:rPr>
          <w:rFonts w:hint="eastAsia" w:ascii="宋体" w:hAnsi="宋体" w:cs="宋体"/>
          <w:color w:val="auto"/>
          <w:kern w:val="0"/>
          <w:highlight w:val="none"/>
        </w:rPr>
        <w:t>同当事人约定的施工组织设计应包括的其他内容：</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14D3C7BF">
      <w:pPr>
        <w:pStyle w:val="104"/>
        <w:autoSpaceDE w:val="0"/>
        <w:autoSpaceDN w:val="0"/>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highlight w:val="none"/>
        </w:rPr>
        <w:t xml:space="preserve">7.1.2 </w:t>
      </w:r>
      <w:r>
        <w:rPr>
          <w:rFonts w:hint="eastAsia" w:ascii="宋体" w:hAnsi="宋体" w:cs="宋体"/>
          <w:color w:val="auto"/>
          <w:kern w:val="0"/>
          <w:highlight w:val="none"/>
        </w:rPr>
        <w:t>施工组织设计的提交和修改</w:t>
      </w:r>
    </w:p>
    <w:p w14:paraId="1BA2B491">
      <w:pPr>
        <w:pStyle w:val="104"/>
        <w:autoSpaceDE w:val="0"/>
        <w:autoSpaceDN w:val="0"/>
        <w:adjustRightInd w:val="0"/>
        <w:snapToGrid w:val="0"/>
        <w:spacing w:line="360" w:lineRule="exact"/>
        <w:jc w:val="left"/>
        <w:rPr>
          <w:rFonts w:ascii="宋体" w:hAnsi="宋体" w:cs="宋体"/>
          <w:color w:val="auto"/>
          <w:highlight w:val="none"/>
        </w:rPr>
      </w:pPr>
      <w:r>
        <w:rPr>
          <w:rFonts w:hint="eastAsia" w:ascii="宋体" w:hAnsi="宋体" w:cs="宋体"/>
          <w:color w:val="auto"/>
          <w:kern w:val="0"/>
          <w:highlight w:val="none"/>
        </w:rPr>
        <w:t xml:space="preserve">    承包人提交详细施工组织设计的期限的约定：</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开工前7天内提供</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BF5F1C5">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发包人和监理人在收到详细的施工组织设计后确认或提出修改意见的期限：</w:t>
      </w:r>
      <w:r>
        <w:rPr>
          <w:rFonts w:hint="eastAsia" w:ascii="宋体" w:hAnsi="宋体" w:cs="宋体"/>
          <w:b/>
          <w:bCs/>
          <w:color w:val="auto"/>
          <w:highlight w:val="none"/>
          <w:u w:val="single"/>
        </w:rPr>
        <w:t xml:space="preserve"> 接到报告后7天内予以批复。（发包人、监理单位对施工组织设计方案的确认只是对施工组织设计方案可行性的确认，并不是对所涉费用的确认，也不免除承包人对施工组织设计方案应承担的全部责任）</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548FD44">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7.2 施工进度计划</w:t>
      </w:r>
    </w:p>
    <w:p w14:paraId="4C28E65B">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7.2.1 施工进度计划的修订</w:t>
      </w:r>
    </w:p>
    <w:p w14:paraId="581A03EE">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发包人和监理人在收到修订的施工进度计划后确认或提出修改意见的期限：</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接到报告后7天内予以批复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9159740">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7.3 开工</w:t>
      </w:r>
    </w:p>
    <w:p w14:paraId="4C5871A1">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7.3.1 开工准备</w:t>
      </w:r>
    </w:p>
    <w:p w14:paraId="780BFF3B">
      <w:pPr>
        <w:pStyle w:val="104"/>
        <w:adjustRightInd w:val="0"/>
        <w:snapToGrid w:val="0"/>
        <w:spacing w:line="360" w:lineRule="exact"/>
        <w:jc w:val="left"/>
        <w:rPr>
          <w:rFonts w:ascii="宋体" w:hAnsi="宋体" w:cs="宋体"/>
          <w:color w:val="auto"/>
          <w:highlight w:val="none"/>
          <w:u w:val="single"/>
        </w:rPr>
      </w:pPr>
      <w:r>
        <w:rPr>
          <w:rFonts w:hint="eastAsia" w:ascii="宋体" w:hAnsi="宋体" w:cs="宋体"/>
          <w:color w:val="auto"/>
          <w:highlight w:val="none"/>
        </w:rPr>
        <w:t xml:space="preserve">    关于承包人提交</w:t>
      </w:r>
      <w:r>
        <w:rPr>
          <w:rFonts w:hint="eastAsia" w:ascii="宋体" w:hAnsi="宋体" w:cs="宋体"/>
          <w:color w:val="auto"/>
          <w:kern w:val="0"/>
          <w:highlight w:val="none"/>
        </w:rPr>
        <w:t>工程开工报审表的期限：</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开工前7天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F4B8127">
      <w:pPr>
        <w:pStyle w:val="104"/>
        <w:adjustRightInd w:val="0"/>
        <w:snapToGrid w:val="0"/>
        <w:spacing w:line="360" w:lineRule="exact"/>
        <w:jc w:val="left"/>
        <w:rPr>
          <w:rFonts w:ascii="宋体" w:hAnsi="宋体" w:cs="宋体"/>
          <w:color w:val="auto"/>
          <w:highlight w:val="none"/>
        </w:rPr>
      </w:pPr>
      <w:r>
        <w:rPr>
          <w:rFonts w:hint="eastAsia" w:ascii="宋体" w:hAnsi="宋体" w:cs="宋体"/>
          <w:color w:val="auto"/>
          <w:highlight w:val="none"/>
        </w:rPr>
        <w:t xml:space="preserve">    关于发包人应完成的其他开工准备工作及期限：</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开工前7天</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EA6A5CA">
      <w:pPr>
        <w:pStyle w:val="104"/>
        <w:adjustRightInd w:val="0"/>
        <w:snapToGrid w:val="0"/>
        <w:spacing w:line="360" w:lineRule="exact"/>
        <w:jc w:val="left"/>
        <w:rPr>
          <w:rFonts w:ascii="宋体" w:hAnsi="宋体" w:cs="宋体"/>
          <w:color w:val="auto"/>
          <w:highlight w:val="none"/>
        </w:rPr>
      </w:pPr>
      <w:r>
        <w:rPr>
          <w:rFonts w:hint="eastAsia" w:ascii="宋体" w:hAnsi="宋体" w:cs="宋体"/>
          <w:color w:val="auto"/>
          <w:highlight w:val="none"/>
        </w:rPr>
        <w:t xml:space="preserve">    关于承包人应完成的其他开工准备工作及期限：</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开工前7天</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A32EA29">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7.3.2开工通知</w:t>
      </w:r>
    </w:p>
    <w:p w14:paraId="7E4DEE13">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因发包人原因造成监理人未能在计划开工日期之日起</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天内发出开工通知的，承包人有权提出价格调整要求，或者解除合同。</w:t>
      </w:r>
    </w:p>
    <w:p w14:paraId="0EB33E2D">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7.4 测量放线</w:t>
      </w:r>
    </w:p>
    <w:p w14:paraId="0D64EDC9">
      <w:pPr>
        <w:pStyle w:val="104"/>
        <w:adjustRightInd w:val="0"/>
        <w:snapToGrid w:val="0"/>
        <w:spacing w:line="360" w:lineRule="exact"/>
        <w:ind w:firstLine="420" w:firstLineChars="200"/>
        <w:jc w:val="left"/>
        <w:rPr>
          <w:rFonts w:ascii="宋体" w:hAnsi="宋体" w:cs="宋体"/>
          <w:color w:val="auto"/>
          <w:highlight w:val="none"/>
          <w:u w:val="single"/>
        </w:rPr>
      </w:pPr>
      <w:r>
        <w:rPr>
          <w:rFonts w:hint="eastAsia" w:ascii="宋体" w:hAnsi="宋体" w:cs="宋体"/>
          <w:color w:val="auto"/>
          <w:highlight w:val="none"/>
        </w:rPr>
        <w:t>7.4.1发包人通过监理人向承包人提供测量基准点、基准线和水准点及其书面资料的期限：</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402FCA7">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7.5 工期延误</w:t>
      </w:r>
    </w:p>
    <w:p w14:paraId="31A37B32">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7.5.1 因发包人原因导致工期延误</w:t>
      </w:r>
    </w:p>
    <w:p w14:paraId="67B9EFA0">
      <w:pPr>
        <w:pStyle w:val="104"/>
        <w:adjustRightInd w:val="0"/>
        <w:snapToGrid w:val="0"/>
        <w:spacing w:line="360" w:lineRule="exact"/>
        <w:rPr>
          <w:rFonts w:ascii="宋体" w:hAnsi="宋体" w:cs="宋体"/>
          <w:color w:val="auto"/>
          <w:highlight w:val="none"/>
        </w:rPr>
      </w:pPr>
      <w:r>
        <w:rPr>
          <w:rFonts w:hint="eastAsia" w:ascii="宋体" w:hAnsi="宋体" w:cs="宋体"/>
          <w:color w:val="auto"/>
          <w:highlight w:val="none"/>
        </w:rPr>
        <w:t xml:space="preserve">    因发包人原因导致工期延误的其他情形：</w:t>
      </w:r>
    </w:p>
    <w:p w14:paraId="632AAB62">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①重大设计变更引起的工期延误；</w:t>
      </w:r>
    </w:p>
    <w:p w14:paraId="76FDBBC5">
      <w:pPr>
        <w:pStyle w:val="104"/>
        <w:adjustRightInd w:val="0"/>
        <w:snapToGrid w:val="0"/>
        <w:spacing w:line="360" w:lineRule="exact"/>
        <w:ind w:firstLine="420" w:firstLineChars="200"/>
        <w:rPr>
          <w:rFonts w:ascii="宋体" w:hAnsi="宋体" w:cs="宋体"/>
          <w:b/>
          <w:bCs/>
          <w:color w:val="auto"/>
          <w:highlight w:val="none"/>
          <w:u w:val="single"/>
        </w:rPr>
      </w:pPr>
      <w:r>
        <w:rPr>
          <w:rFonts w:hint="eastAsia" w:ascii="宋体" w:hAnsi="宋体" w:cs="宋体"/>
          <w:color w:val="auto"/>
          <w:highlight w:val="none"/>
        </w:rPr>
        <w:t>②其他：</w:t>
      </w:r>
      <w:r>
        <w:rPr>
          <w:rFonts w:hint="eastAsia" w:ascii="宋体" w:hAnsi="宋体" w:cs="宋体"/>
          <w:b/>
          <w:bCs/>
          <w:color w:val="auto"/>
          <w:highlight w:val="none"/>
          <w:u w:val="single"/>
        </w:rPr>
        <w:t>由发包人原因造成的工期延误，并经发包人和监理签证确认；</w:t>
      </w:r>
    </w:p>
    <w:p w14:paraId="7F19675A">
      <w:pPr>
        <w:pStyle w:val="104"/>
        <w:adjustRightInd w:val="0"/>
        <w:snapToGrid w:val="0"/>
        <w:spacing w:line="360" w:lineRule="exact"/>
        <w:ind w:firstLine="422" w:firstLineChars="200"/>
        <w:jc w:val="left"/>
        <w:rPr>
          <w:rFonts w:ascii="宋体" w:hAnsi="宋体" w:cs="宋体"/>
          <w:b/>
          <w:bCs/>
          <w:color w:val="auto"/>
          <w:highlight w:val="none"/>
          <w:u w:val="single"/>
        </w:rPr>
      </w:pPr>
      <w:r>
        <w:rPr>
          <w:rFonts w:hint="eastAsia" w:ascii="宋体" w:hAnsi="宋体" w:cs="宋体"/>
          <w:b/>
          <w:bCs/>
          <w:color w:val="auto"/>
          <w:highlight w:val="none"/>
          <w:u w:val="single"/>
        </w:rPr>
        <w:t>对于因发包人原因造成的工期延误，承包人要求顺延工期的，应在延误发生后14日内提出；逾期提出的，发包人有权不予认可；未提出顺延签证的，视为工期不需顺延。</w:t>
      </w:r>
    </w:p>
    <w:p w14:paraId="0C9EF264">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7.5.2 因承包人原因导致工期延误</w:t>
      </w:r>
    </w:p>
    <w:p w14:paraId="48C5A232">
      <w:pPr>
        <w:pStyle w:val="104"/>
        <w:adjustRightInd w:val="0"/>
        <w:snapToGrid w:val="0"/>
        <w:spacing w:line="360" w:lineRule="exact"/>
        <w:ind w:firstLine="420" w:firstLineChars="200"/>
        <w:jc w:val="left"/>
        <w:rPr>
          <w:rFonts w:ascii="宋体" w:hAnsi="宋体" w:cs="宋体"/>
          <w:color w:val="auto"/>
          <w:highlight w:val="none"/>
          <w:u w:val="single"/>
        </w:rPr>
      </w:pPr>
      <w:r>
        <w:rPr>
          <w:rFonts w:hint="eastAsia" w:ascii="宋体" w:hAnsi="宋体" w:cs="宋体"/>
          <w:color w:val="auto"/>
          <w:highlight w:val="none"/>
        </w:rPr>
        <w:t>因承包人原因造成工期延误，逾期竣工违约金的计算方法为：</w:t>
      </w:r>
    </w:p>
    <w:p w14:paraId="60EC3706">
      <w:pPr>
        <w:pStyle w:val="104"/>
        <w:adjustRightInd w:val="0"/>
        <w:snapToGrid w:val="0"/>
        <w:spacing w:line="360" w:lineRule="exact"/>
        <w:ind w:firstLine="422" w:firstLineChars="200"/>
        <w:jc w:val="left"/>
        <w:rPr>
          <w:rFonts w:ascii="宋体" w:hAnsi="宋体" w:cs="宋体"/>
          <w:b/>
          <w:bCs/>
          <w:color w:val="auto"/>
          <w:highlight w:val="none"/>
        </w:rPr>
      </w:pPr>
      <w:r>
        <w:rPr>
          <w:rFonts w:hint="eastAsia" w:ascii="宋体" w:hAnsi="宋体" w:cs="宋体"/>
          <w:b/>
          <w:bCs/>
          <w:color w:val="auto"/>
          <w:highlight w:val="none"/>
          <w:u w:val="single"/>
        </w:rPr>
        <w:t>因承包人原因工程不能按合同约定工期竣工，每逾期一日，承包人应按每天人民币1500元向发包人支付违约金。</w:t>
      </w:r>
    </w:p>
    <w:p w14:paraId="6107B95E">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因承包人原因造成工期延误，逾期竣工违约金的上限：</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合同价总额</w:t>
      </w:r>
      <w:r>
        <w:rPr>
          <w:rFonts w:hint="eastAsia" w:ascii="宋体" w:hAnsi="宋体" w:cs="宋体"/>
          <w:color w:val="auto"/>
          <w:highlight w:val="none"/>
          <w:u w:val="single"/>
        </w:rPr>
        <w:t xml:space="preserve"> 10%</w:t>
      </w:r>
      <w:r>
        <w:rPr>
          <w:rFonts w:hint="eastAsia" w:ascii="宋体" w:hAnsi="宋体" w:cs="宋体"/>
          <w:color w:val="auto"/>
          <w:highlight w:val="none"/>
        </w:rPr>
        <w:t>。</w:t>
      </w:r>
    </w:p>
    <w:p w14:paraId="005F4356">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7.5.3因其他原因导致工期延误</w:t>
      </w:r>
    </w:p>
    <w:p w14:paraId="61A6FB34">
      <w:pPr>
        <w:pStyle w:val="104"/>
        <w:adjustRightInd w:val="0"/>
        <w:snapToGrid w:val="0"/>
        <w:spacing w:line="360" w:lineRule="exact"/>
        <w:ind w:firstLine="422" w:firstLineChars="200"/>
        <w:jc w:val="left"/>
        <w:rPr>
          <w:rFonts w:ascii="宋体" w:hAnsi="宋体" w:cs="宋体"/>
          <w:b/>
          <w:bCs/>
          <w:color w:val="auto"/>
          <w:highlight w:val="none"/>
          <w:u w:val="single"/>
        </w:rPr>
      </w:pPr>
      <w:r>
        <w:rPr>
          <w:rFonts w:hint="eastAsia" w:ascii="宋体" w:hAnsi="宋体" w:cs="宋体"/>
          <w:b/>
          <w:bCs/>
          <w:color w:val="auto"/>
          <w:highlight w:val="none"/>
          <w:u w:val="single"/>
        </w:rPr>
        <w:t>（1）不可抗力因素；（2）非承包人的过失造成工期延误，并经发包人和监理签证确认。</w:t>
      </w:r>
    </w:p>
    <w:p w14:paraId="5DFFE63D">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 xml:space="preserve"> 对于前述两种情形造成的工期延误，承包人要求顺延工期的，应在延误发生后14日内提出；逾期提出的，发包人有权不予认可；未提出顺延签证的，视为工期不需顺延。</w:t>
      </w:r>
    </w:p>
    <w:p w14:paraId="3D308D0C">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7.6 不利物质条件</w:t>
      </w:r>
    </w:p>
    <w:p w14:paraId="0A9FEBDD">
      <w:pPr>
        <w:pStyle w:val="104"/>
        <w:adjustRightInd w:val="0"/>
        <w:snapToGrid w:val="0"/>
        <w:spacing w:line="360" w:lineRule="exact"/>
        <w:ind w:firstLine="422"/>
        <w:jc w:val="left"/>
        <w:rPr>
          <w:rFonts w:ascii="宋体" w:hAnsi="宋体" w:cs="宋体"/>
          <w:color w:val="auto"/>
          <w:highlight w:val="none"/>
        </w:rPr>
      </w:pPr>
      <w:r>
        <w:rPr>
          <w:rFonts w:hint="eastAsia" w:ascii="宋体" w:hAnsi="宋体" w:cs="宋体"/>
          <w:color w:val="auto"/>
          <w:highlight w:val="none"/>
        </w:rPr>
        <w:t>不利物质条件的其他情形和有关约定：</w:t>
      </w:r>
      <w:r>
        <w:rPr>
          <w:rFonts w:hint="eastAsia" w:ascii="宋体" w:hAnsi="宋体" w:cs="宋体"/>
          <w:color w:val="auto"/>
          <w:highlight w:val="none"/>
          <w:u w:val="single"/>
        </w:rPr>
        <w:t>按通用合同条款第7.6条规定执行</w:t>
      </w:r>
      <w:r>
        <w:rPr>
          <w:rFonts w:hint="eastAsia" w:ascii="宋体" w:hAnsi="宋体" w:cs="宋体"/>
          <w:color w:val="auto"/>
          <w:highlight w:val="none"/>
        </w:rPr>
        <w:t>。</w:t>
      </w:r>
    </w:p>
    <w:p w14:paraId="34284358">
      <w:pPr>
        <w:pStyle w:val="104"/>
        <w:adjustRightInd w:val="0"/>
        <w:snapToGrid w:val="0"/>
        <w:spacing w:line="360" w:lineRule="exact"/>
        <w:ind w:firstLine="422"/>
        <w:jc w:val="left"/>
        <w:rPr>
          <w:rFonts w:ascii="宋体" w:hAnsi="宋体" w:cs="宋体"/>
          <w:color w:val="auto"/>
          <w:highlight w:val="none"/>
        </w:rPr>
      </w:pPr>
      <w:r>
        <w:rPr>
          <w:rFonts w:hint="eastAsia" w:ascii="宋体" w:hAnsi="宋体" w:cs="宋体"/>
          <w:color w:val="auto"/>
          <w:highlight w:val="none"/>
        </w:rPr>
        <w:t>其他：</w:t>
      </w:r>
      <w:r>
        <w:rPr>
          <w:rFonts w:hint="eastAsia" w:ascii="宋体" w:hAnsi="宋体" w:cs="宋体"/>
          <w:b/>
          <w:bCs/>
          <w:color w:val="auto"/>
          <w:highlight w:val="none"/>
          <w:u w:val="single"/>
        </w:rPr>
        <w:t>按通用合同条款第7.6条规定执行</w:t>
      </w:r>
      <w:r>
        <w:rPr>
          <w:rFonts w:hint="eastAsia" w:ascii="宋体" w:hAnsi="宋体" w:cs="宋体"/>
          <w:color w:val="auto"/>
          <w:highlight w:val="none"/>
        </w:rPr>
        <w:t>。</w:t>
      </w:r>
    </w:p>
    <w:p w14:paraId="07AC5A71">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7.7异常恶劣的气候条件</w:t>
      </w:r>
    </w:p>
    <w:p w14:paraId="7A1661DC">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发包人和承包人同意以下情形视为异常恶劣的气候条件：</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 /  。</w:t>
      </w:r>
    </w:p>
    <w:p w14:paraId="47B539B2">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7.8 提前竣工的奖励</w:t>
      </w:r>
    </w:p>
    <w:p w14:paraId="0E733669">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7.8.1提前竣工的奖励：</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 /  </w:t>
      </w:r>
      <w:r>
        <w:rPr>
          <w:rFonts w:hint="eastAsia" w:ascii="宋体" w:hAnsi="宋体" w:cs="宋体"/>
          <w:color w:val="auto"/>
          <w:highlight w:val="none"/>
        </w:rPr>
        <w:t>。</w:t>
      </w:r>
    </w:p>
    <w:p w14:paraId="74FB1E54">
      <w:pPr>
        <w:pStyle w:val="127"/>
        <w:adjustRightInd w:val="0"/>
        <w:snapToGrid w:val="0"/>
        <w:spacing w:before="0" w:after="0" w:line="360" w:lineRule="exact"/>
        <w:ind w:firstLine="42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8. 材料与设备</w:t>
      </w:r>
    </w:p>
    <w:p w14:paraId="60C76198">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8.4材料与工程设备的保管与使用</w:t>
      </w:r>
    </w:p>
    <w:p w14:paraId="5BF7DF68">
      <w:pPr>
        <w:pStyle w:val="104"/>
        <w:adjustRightInd w:val="0"/>
        <w:snapToGrid w:val="0"/>
        <w:spacing w:line="360" w:lineRule="exact"/>
        <w:jc w:val="left"/>
        <w:rPr>
          <w:rFonts w:ascii="宋体" w:hAnsi="宋体" w:cs="宋体"/>
          <w:color w:val="auto"/>
          <w:highlight w:val="none"/>
        </w:rPr>
      </w:pPr>
      <w:r>
        <w:rPr>
          <w:rFonts w:hint="eastAsia" w:ascii="宋体" w:hAnsi="宋体" w:cs="宋体"/>
          <w:color w:val="auto"/>
          <w:highlight w:val="none"/>
        </w:rPr>
        <w:t xml:space="preserve">    8.4.1发包人供应的材料设备的保管费用的承担：</w:t>
      </w:r>
    </w:p>
    <w:p w14:paraId="4F4274CB">
      <w:pPr>
        <w:pStyle w:val="104"/>
        <w:adjustRightInd w:val="0"/>
        <w:snapToGrid w:val="0"/>
        <w:spacing w:line="360" w:lineRule="exact"/>
        <w:ind w:firstLine="422" w:firstLineChars="200"/>
        <w:jc w:val="left"/>
        <w:rPr>
          <w:rFonts w:ascii="宋体" w:hAnsi="宋体" w:cs="宋体"/>
          <w:b/>
          <w:bCs/>
          <w:color w:val="auto"/>
          <w:highlight w:val="none"/>
          <w:u w:val="single"/>
        </w:rPr>
      </w:pPr>
      <w:r>
        <w:rPr>
          <w:rFonts w:hint="eastAsia" w:ascii="宋体" w:hAnsi="宋体" w:cs="宋体"/>
          <w:b/>
          <w:bCs/>
          <w:color w:val="auto"/>
          <w:highlight w:val="none"/>
          <w:u w:val="single"/>
        </w:rPr>
        <w:t>1、发包人供应的材料设备保管费用、安装过程中的二次搬运和设备就位费、检验试验费由承包人投标时报价包干；</w:t>
      </w:r>
    </w:p>
    <w:p w14:paraId="43876BAF">
      <w:pPr>
        <w:pStyle w:val="104"/>
        <w:adjustRightInd w:val="0"/>
        <w:snapToGrid w:val="0"/>
        <w:spacing w:line="360" w:lineRule="exact"/>
        <w:ind w:firstLine="422" w:firstLineChars="200"/>
        <w:jc w:val="left"/>
        <w:rPr>
          <w:rFonts w:ascii="宋体" w:hAnsi="宋体" w:cs="宋体"/>
          <w:b/>
          <w:bCs/>
          <w:color w:val="auto"/>
          <w:highlight w:val="none"/>
          <w:u w:val="single"/>
        </w:rPr>
      </w:pPr>
      <w:r>
        <w:rPr>
          <w:rFonts w:hint="eastAsia" w:ascii="宋体" w:hAnsi="宋体" w:cs="宋体"/>
          <w:b/>
          <w:bCs/>
          <w:color w:val="auto"/>
          <w:highlight w:val="none"/>
          <w:u w:val="single"/>
        </w:rPr>
        <w:t>2、因承包人原因发生材料丢失损坏，由承包人负责赔偿。</w:t>
      </w:r>
    </w:p>
    <w:p w14:paraId="3D3AED8B">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8.5 样品</w:t>
      </w:r>
    </w:p>
    <w:p w14:paraId="18B7C697">
      <w:pPr>
        <w:pStyle w:val="104"/>
        <w:autoSpaceDE w:val="0"/>
        <w:autoSpaceDN w:val="0"/>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8.5.1样品的报送与封存</w:t>
      </w:r>
    </w:p>
    <w:p w14:paraId="5D4A4135">
      <w:pPr>
        <w:pStyle w:val="104"/>
        <w:autoSpaceDE w:val="0"/>
        <w:autoSpaceDN w:val="0"/>
        <w:adjustRightInd w:val="0"/>
        <w:snapToGrid w:val="0"/>
        <w:spacing w:line="360" w:lineRule="exact"/>
        <w:ind w:firstLine="420" w:firstLineChars="200"/>
        <w:jc w:val="left"/>
        <w:rPr>
          <w:rFonts w:ascii="宋体" w:hAnsi="宋体" w:cs="宋体"/>
          <w:color w:val="auto"/>
          <w:highlight w:val="none"/>
          <w:u w:val="single"/>
        </w:rPr>
      </w:pPr>
      <w:r>
        <w:rPr>
          <w:rFonts w:hint="eastAsia" w:ascii="宋体" w:hAnsi="宋体" w:cs="宋体"/>
          <w:color w:val="auto"/>
          <w:kern w:val="0"/>
          <w:highlight w:val="none"/>
        </w:rPr>
        <w:t>需要承包人报送样品的材料或工程设备，样品的种类、名称、规格、数量要求：</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按通用合同条款8.6.1条规定执行</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4B46A7F">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8.6 施工设备和临时设施</w:t>
      </w:r>
    </w:p>
    <w:p w14:paraId="18662E41">
      <w:pPr>
        <w:pStyle w:val="104"/>
        <w:autoSpaceDE w:val="0"/>
        <w:autoSpaceDN w:val="0"/>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8.6.1 承包人提供的施工设备和临时设施</w:t>
      </w:r>
    </w:p>
    <w:p w14:paraId="23093C39">
      <w:pPr>
        <w:pStyle w:val="104"/>
        <w:autoSpaceDE w:val="0"/>
        <w:autoSpaceDN w:val="0"/>
        <w:adjustRightInd w:val="0"/>
        <w:snapToGrid w:val="0"/>
        <w:spacing w:line="360" w:lineRule="exact"/>
        <w:jc w:val="left"/>
        <w:rPr>
          <w:rFonts w:ascii="宋体" w:hAnsi="宋体" w:cs="宋体"/>
          <w:color w:val="auto"/>
          <w:highlight w:val="none"/>
        </w:rPr>
      </w:pPr>
      <w:r>
        <w:rPr>
          <w:rFonts w:hint="eastAsia" w:ascii="宋体" w:hAnsi="宋体" w:cs="宋体"/>
          <w:color w:val="auto"/>
          <w:highlight w:val="none"/>
        </w:rPr>
        <w:t xml:space="preserve">    关于修建临时设施费用承担的约定：</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由承包人承担</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4580A8F">
      <w:pPr>
        <w:pStyle w:val="127"/>
        <w:adjustRightInd w:val="0"/>
        <w:snapToGrid w:val="0"/>
        <w:spacing w:before="0" w:after="0" w:line="360" w:lineRule="exact"/>
        <w:ind w:firstLine="42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9. 试验与检验</w:t>
      </w:r>
    </w:p>
    <w:p w14:paraId="3099DE1A">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9.1试验设备与试验人员</w:t>
      </w:r>
    </w:p>
    <w:p w14:paraId="19EA503B">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9.2 试验设备</w:t>
      </w:r>
    </w:p>
    <w:p w14:paraId="4D14B788">
      <w:pPr>
        <w:pStyle w:val="104"/>
        <w:adjustRightInd w:val="0"/>
        <w:snapToGrid w:val="0"/>
        <w:spacing w:line="360" w:lineRule="exact"/>
        <w:jc w:val="left"/>
        <w:rPr>
          <w:rFonts w:ascii="宋体" w:hAnsi="宋体" w:cs="宋体"/>
          <w:color w:val="auto"/>
          <w:highlight w:val="none"/>
        </w:rPr>
      </w:pPr>
      <w:r>
        <w:rPr>
          <w:rFonts w:hint="eastAsia" w:ascii="宋体" w:hAnsi="宋体" w:cs="宋体"/>
          <w:color w:val="auto"/>
          <w:highlight w:val="none"/>
        </w:rPr>
        <w:t xml:space="preserve">    施工现场需要配置的试验场所：</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w:t>
      </w:r>
    </w:p>
    <w:p w14:paraId="2ED1BCEA">
      <w:pPr>
        <w:pStyle w:val="104"/>
        <w:adjustRightInd w:val="0"/>
        <w:snapToGrid w:val="0"/>
        <w:spacing w:line="360" w:lineRule="exact"/>
        <w:jc w:val="left"/>
        <w:rPr>
          <w:rFonts w:ascii="宋体" w:hAnsi="宋体" w:cs="宋体"/>
          <w:color w:val="auto"/>
          <w:highlight w:val="none"/>
        </w:rPr>
      </w:pPr>
      <w:r>
        <w:rPr>
          <w:rFonts w:hint="eastAsia" w:ascii="宋体" w:hAnsi="宋体" w:cs="宋体"/>
          <w:color w:val="auto"/>
          <w:highlight w:val="none"/>
        </w:rPr>
        <w:t xml:space="preserve">    施工现场需要配备的试验设备：</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F49350D">
      <w:pPr>
        <w:pStyle w:val="104"/>
        <w:adjustRightInd w:val="0"/>
        <w:snapToGrid w:val="0"/>
        <w:spacing w:line="360" w:lineRule="exact"/>
        <w:ind w:firstLine="422"/>
        <w:jc w:val="left"/>
        <w:rPr>
          <w:rFonts w:ascii="宋体" w:hAnsi="宋体" w:cs="宋体"/>
          <w:color w:val="auto"/>
          <w:highlight w:val="none"/>
        </w:rPr>
      </w:pPr>
      <w:r>
        <w:rPr>
          <w:rFonts w:hint="eastAsia" w:ascii="宋体" w:hAnsi="宋体" w:cs="宋体"/>
          <w:color w:val="auto"/>
          <w:highlight w:val="none"/>
        </w:rPr>
        <w:t>施工现场需要具备的其他试验条件：</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7684F79B">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9.3材料、工程设备和工程的试验和检验</w:t>
      </w:r>
    </w:p>
    <w:p w14:paraId="661BE4E0">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试验、检测单位资质条件约定；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5728510C">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试验、检测单位选择约定：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40BA13DF">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试验、检测费用约定：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D993C09">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 xml:space="preserve">9.4 现场工艺试验 </w:t>
      </w:r>
    </w:p>
    <w:p w14:paraId="3AA0FFEF">
      <w:pPr>
        <w:pStyle w:val="104"/>
        <w:adjustRightInd w:val="0"/>
        <w:snapToGrid w:val="0"/>
        <w:spacing w:line="360" w:lineRule="exact"/>
        <w:jc w:val="left"/>
        <w:rPr>
          <w:rFonts w:ascii="宋体" w:hAnsi="宋体" w:cs="宋体"/>
          <w:color w:val="auto"/>
          <w:highlight w:val="none"/>
        </w:rPr>
      </w:pPr>
      <w:r>
        <w:rPr>
          <w:rFonts w:hint="eastAsia" w:ascii="宋体" w:hAnsi="宋体" w:cs="宋体"/>
          <w:color w:val="auto"/>
          <w:highlight w:val="none"/>
        </w:rPr>
        <w:t xml:space="preserve">    现场工艺试验的有关约定：</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D87456C">
      <w:pPr>
        <w:pStyle w:val="127"/>
        <w:adjustRightInd w:val="0"/>
        <w:snapToGrid w:val="0"/>
        <w:spacing w:before="0" w:after="0" w:line="360" w:lineRule="exact"/>
        <w:ind w:firstLine="420"/>
        <w:jc w:val="center"/>
        <w:rPr>
          <w:rFonts w:ascii="宋体" w:hAnsi="宋体" w:eastAsia="宋体" w:cs="宋体"/>
          <w:color w:val="auto"/>
          <w:sz w:val="24"/>
          <w:highlight w:val="none"/>
        </w:rPr>
      </w:pPr>
      <w:r>
        <w:rPr>
          <w:rFonts w:hint="eastAsia" w:ascii="宋体" w:hAnsi="宋体" w:eastAsia="宋体" w:cs="宋体"/>
          <w:b/>
          <w:bCs/>
          <w:color w:val="auto"/>
          <w:sz w:val="24"/>
          <w:highlight w:val="none"/>
        </w:rPr>
        <w:t>10. 变更</w:t>
      </w:r>
    </w:p>
    <w:p w14:paraId="597F12A7">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10.1变更范围</w:t>
      </w:r>
    </w:p>
    <w:p w14:paraId="7AFB8960">
      <w:pPr>
        <w:pStyle w:val="104"/>
        <w:adjustRightInd w:val="0"/>
        <w:snapToGrid w:val="0"/>
        <w:spacing w:line="360" w:lineRule="exact"/>
        <w:ind w:firstLine="420"/>
        <w:jc w:val="left"/>
        <w:rPr>
          <w:rFonts w:ascii="宋体" w:hAnsi="宋体" w:cs="宋体"/>
          <w:color w:val="auto"/>
          <w:highlight w:val="none"/>
        </w:rPr>
      </w:pPr>
      <w:r>
        <w:rPr>
          <w:rFonts w:hint="eastAsia" w:ascii="宋体" w:hAnsi="宋体" w:cs="宋体"/>
          <w:color w:val="auto"/>
          <w:highlight w:val="none"/>
        </w:rPr>
        <w:t>关于变更范围的约定：</w:t>
      </w:r>
      <w:r>
        <w:rPr>
          <w:rFonts w:hint="eastAsia" w:ascii="宋体" w:hAnsi="宋体" w:cs="宋体"/>
          <w:color w:val="auto"/>
          <w:highlight w:val="none"/>
          <w:u w:val="single"/>
        </w:rPr>
        <w:t>按</w:t>
      </w:r>
      <w:r>
        <w:rPr>
          <w:rFonts w:hint="eastAsia" w:ascii="宋体" w:hAnsi="宋体" w:cs="宋体"/>
          <w:color w:val="auto"/>
          <w:highlight w:val="none"/>
          <w:u w:val="single"/>
          <w:lang w:val="en-US" w:eastAsia="zh-CN"/>
        </w:rPr>
        <w:t>甲方相关要求</w:t>
      </w:r>
      <w:r>
        <w:rPr>
          <w:rFonts w:hint="eastAsia" w:ascii="宋体" w:hAnsi="宋体" w:cs="宋体"/>
          <w:color w:val="auto"/>
          <w:highlight w:val="none"/>
          <w:u w:val="single"/>
        </w:rPr>
        <w:t>执行</w:t>
      </w:r>
    </w:p>
    <w:p w14:paraId="1ED2199E">
      <w:pPr>
        <w:pStyle w:val="104"/>
        <w:adjustRightInd w:val="0"/>
        <w:snapToGrid w:val="0"/>
        <w:spacing w:line="360" w:lineRule="exact"/>
        <w:ind w:firstLine="420"/>
        <w:jc w:val="left"/>
        <w:rPr>
          <w:rFonts w:ascii="宋体" w:hAnsi="宋体" w:cs="宋体"/>
          <w:b/>
          <w:bCs/>
          <w:color w:val="auto"/>
          <w:highlight w:val="none"/>
        </w:rPr>
      </w:pPr>
      <w:r>
        <w:rPr>
          <w:rFonts w:hint="eastAsia" w:ascii="宋体" w:hAnsi="宋体" w:cs="宋体"/>
          <w:color w:val="auto"/>
          <w:highlight w:val="none"/>
        </w:rPr>
        <w:t>10.2</w:t>
      </w:r>
      <w:r>
        <w:rPr>
          <w:rFonts w:hint="eastAsia" w:ascii="宋体" w:hAnsi="宋体" w:cs="宋体"/>
          <w:b/>
          <w:bCs/>
          <w:color w:val="auto"/>
          <w:highlight w:val="none"/>
        </w:rPr>
        <w:t xml:space="preserve"> 变更流程</w:t>
      </w:r>
    </w:p>
    <w:p w14:paraId="7D2D920B">
      <w:pPr>
        <w:pStyle w:val="104"/>
        <w:adjustRightInd w:val="0"/>
        <w:snapToGrid w:val="0"/>
        <w:spacing w:line="360" w:lineRule="exact"/>
        <w:ind w:firstLine="420"/>
        <w:jc w:val="left"/>
        <w:rPr>
          <w:rFonts w:ascii="宋体" w:hAnsi="宋体" w:cs="宋体"/>
          <w:b/>
          <w:bCs/>
          <w:color w:val="auto"/>
          <w:highlight w:val="none"/>
        </w:rPr>
      </w:pPr>
      <w:r>
        <w:rPr>
          <w:rFonts w:hint="eastAsia" w:ascii="宋体" w:hAnsi="宋体" w:cs="宋体"/>
          <w:b/>
          <w:bCs/>
          <w:color w:val="auto"/>
          <w:highlight w:val="none"/>
        </w:rPr>
        <w:t>关于变更流程的约定：</w:t>
      </w:r>
      <w:r>
        <w:rPr>
          <w:b/>
          <w:bCs/>
          <w:color w:val="auto"/>
          <w:szCs w:val="21"/>
          <w:highlight w:val="none"/>
        </w:rPr>
        <w:t>工程变更或新增项目须事前向甲方提出书面报告，并经甲方职能部门审核批准。未经批准擅自变更或施工的，由此产生的费用由乙方自行承担。</w:t>
      </w:r>
    </w:p>
    <w:p w14:paraId="5848B36B">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10.3 变更估价</w:t>
      </w:r>
    </w:p>
    <w:p w14:paraId="781800C9">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10.3.1 变更估价原则</w:t>
      </w:r>
    </w:p>
    <w:p w14:paraId="4BE314F5">
      <w:pPr>
        <w:pStyle w:val="104"/>
        <w:adjustRightInd w:val="0"/>
        <w:snapToGrid w:val="0"/>
        <w:spacing w:line="360" w:lineRule="exact"/>
        <w:ind w:firstLine="422"/>
        <w:jc w:val="left"/>
        <w:rPr>
          <w:rFonts w:ascii="宋体" w:hAnsi="宋体" w:cs="宋体"/>
          <w:color w:val="auto"/>
          <w:highlight w:val="none"/>
        </w:rPr>
      </w:pPr>
      <w:r>
        <w:rPr>
          <w:rFonts w:hint="eastAsia" w:ascii="宋体" w:hAnsi="宋体" w:cs="宋体"/>
          <w:color w:val="auto"/>
          <w:highlight w:val="none"/>
        </w:rPr>
        <w:t>关于变更估价的约定:</w:t>
      </w:r>
      <w:r>
        <w:rPr>
          <w:rFonts w:hint="eastAsia" w:ascii="宋体" w:hAnsi="宋体" w:cs="宋体"/>
          <w:color w:val="auto"/>
          <w:highlight w:val="none"/>
          <w:u w:val="single"/>
        </w:rPr>
        <w:t>设计变更、施工联系单签证等发生的费用，结算综合单价直接套用相应或相似的投标响应单价。如无法套用时，无响应价的材料单价按同期信息价，无信息价按市场价计取，各项取费与响应同口径；</w:t>
      </w:r>
      <w:r>
        <w:rPr>
          <w:rFonts w:hint="eastAsia" w:ascii="宋体" w:hAnsi="宋体" w:cs="宋体"/>
          <w:b/>
          <w:bCs/>
          <w:color w:val="auto"/>
          <w:highlight w:val="none"/>
          <w:u w:val="single"/>
        </w:rPr>
        <w:t>项目竣工结算时，最终结算价根据承诺优惠率同比例调整，调整范围包括合同部分及新增联系单部分。</w:t>
      </w:r>
    </w:p>
    <w:p w14:paraId="61A7D13F">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10.4承包人的合理化建议</w:t>
      </w:r>
    </w:p>
    <w:p w14:paraId="7E133A58">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监理人审查承包人合理化建议的期限：</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按通用合同条款第10.5条规定执行</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2B247B7">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发包人审批承包人合理化建议的期限：</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按通用合同条款第10.5条规定执行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C761A29">
      <w:pPr>
        <w:pStyle w:val="104"/>
        <w:adjustRightInd w:val="0"/>
        <w:snapToGrid w:val="0"/>
        <w:spacing w:line="360" w:lineRule="exact"/>
        <w:jc w:val="left"/>
        <w:rPr>
          <w:rFonts w:ascii="宋体" w:hAnsi="宋体" w:cs="宋体"/>
          <w:color w:val="auto"/>
          <w:highlight w:val="none"/>
          <w:u w:val="single"/>
        </w:rPr>
      </w:pPr>
      <w:r>
        <w:rPr>
          <w:rFonts w:hint="eastAsia" w:ascii="宋体" w:hAnsi="宋体" w:cs="宋体"/>
          <w:color w:val="auto"/>
          <w:highlight w:val="none"/>
        </w:rPr>
        <w:t xml:space="preserve">    承包人提出的合理化建议降低了合同价格或者提高了工程经济效益的奖励的方法和金额为：</w:t>
      </w:r>
      <w:r>
        <w:rPr>
          <w:rFonts w:hint="eastAsia" w:ascii="宋体" w:hAnsi="宋体" w:cs="宋体"/>
          <w:b/>
          <w:bCs/>
          <w:color w:val="auto"/>
          <w:highlight w:val="none"/>
          <w:u w:val="single"/>
        </w:rPr>
        <w:t xml:space="preserve">/ </w:t>
      </w:r>
      <w:r>
        <w:rPr>
          <w:rFonts w:hint="eastAsia" w:ascii="宋体" w:hAnsi="宋体" w:cs="宋体"/>
          <w:color w:val="auto"/>
          <w:highlight w:val="none"/>
        </w:rPr>
        <w:t>。</w:t>
      </w:r>
    </w:p>
    <w:p w14:paraId="69D67933">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10.5 暂估价</w:t>
      </w:r>
    </w:p>
    <w:p w14:paraId="63F47F5A">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kern w:val="0"/>
          <w:highlight w:val="none"/>
        </w:rPr>
        <w:t>暂估价材料和工程设备的明细：</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 xml:space="preserve"> 。</w:t>
      </w:r>
    </w:p>
    <w:p w14:paraId="35C69A21">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10.5.1 依法必须招标的暂估价项目</w:t>
      </w:r>
    </w:p>
    <w:p w14:paraId="1F13B630">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对于依法必须招标的暂估价项目的确认和批准采取第</w:t>
      </w:r>
      <w:r>
        <w:rPr>
          <w:rFonts w:hint="eastAsia" w:ascii="宋体" w:hAnsi="宋体" w:cs="宋体"/>
          <w:color w:val="auto"/>
          <w:highlight w:val="none"/>
          <w:u w:val="single"/>
        </w:rPr>
        <w:t xml:space="preserve">   /   </w:t>
      </w:r>
      <w:r>
        <w:rPr>
          <w:rFonts w:hint="eastAsia" w:ascii="宋体" w:hAnsi="宋体" w:cs="宋体"/>
          <w:color w:val="auto"/>
          <w:highlight w:val="none"/>
        </w:rPr>
        <w:t>种方式确定。</w:t>
      </w:r>
    </w:p>
    <w:p w14:paraId="52410CE1">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10.5.2 不属于依法必须招标的暂估价项目</w:t>
      </w:r>
    </w:p>
    <w:p w14:paraId="2497EB7B">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对于不属于依法必须招标的暂估价项目的确认和批准采取第</w:t>
      </w:r>
      <w:r>
        <w:rPr>
          <w:rFonts w:hint="eastAsia" w:ascii="宋体" w:hAnsi="宋体" w:cs="宋体"/>
          <w:color w:val="auto"/>
          <w:highlight w:val="none"/>
          <w:u w:val="single"/>
        </w:rPr>
        <w:t xml:space="preserve">  /  </w:t>
      </w:r>
      <w:r>
        <w:rPr>
          <w:rFonts w:hint="eastAsia" w:ascii="宋体" w:hAnsi="宋体" w:cs="宋体"/>
          <w:color w:val="auto"/>
          <w:highlight w:val="none"/>
        </w:rPr>
        <w:t>种方式确定。</w:t>
      </w:r>
    </w:p>
    <w:p w14:paraId="73319C0E">
      <w:pPr>
        <w:pStyle w:val="104"/>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highlight w:val="none"/>
        </w:rPr>
        <w:t>第3种方式：</w:t>
      </w:r>
      <w:r>
        <w:rPr>
          <w:rFonts w:hint="eastAsia" w:ascii="宋体" w:hAnsi="宋体" w:cs="宋体"/>
          <w:color w:val="auto"/>
          <w:kern w:val="0"/>
          <w:highlight w:val="none"/>
        </w:rPr>
        <w:t>承包人直接实施的暂估价项目</w:t>
      </w:r>
    </w:p>
    <w:p w14:paraId="513CC523">
      <w:pPr>
        <w:pStyle w:val="104"/>
        <w:adjustRightInd w:val="0"/>
        <w:snapToGrid w:val="0"/>
        <w:spacing w:line="360" w:lineRule="exact"/>
        <w:jc w:val="left"/>
        <w:rPr>
          <w:rFonts w:ascii="宋体" w:hAnsi="宋体" w:cs="宋体"/>
          <w:color w:val="auto"/>
          <w:highlight w:val="none"/>
        </w:rPr>
      </w:pPr>
      <w:r>
        <w:rPr>
          <w:rFonts w:hint="eastAsia" w:ascii="宋体" w:hAnsi="宋体" w:cs="宋体"/>
          <w:color w:val="auto"/>
          <w:highlight w:val="none"/>
        </w:rPr>
        <w:t xml:space="preserve">    承包人直接实施的暂估价项目的约定：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2363B9E4">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10.6 暂列金额</w:t>
      </w:r>
    </w:p>
    <w:p w14:paraId="43DF2211">
      <w:pPr>
        <w:pStyle w:val="104"/>
        <w:autoSpaceDE w:val="0"/>
        <w:autoSpaceDN w:val="0"/>
        <w:adjustRightInd w:val="0"/>
        <w:snapToGrid w:val="0"/>
        <w:spacing w:line="360" w:lineRule="exact"/>
        <w:jc w:val="left"/>
        <w:rPr>
          <w:rFonts w:ascii="宋体" w:hAnsi="宋体" w:cs="宋体"/>
          <w:color w:val="auto"/>
          <w:kern w:val="0"/>
          <w:highlight w:val="none"/>
        </w:rPr>
      </w:pPr>
      <w:r>
        <w:rPr>
          <w:rFonts w:hint="eastAsia" w:ascii="宋体" w:hAnsi="宋体" w:cs="宋体"/>
          <w:color w:val="auto"/>
          <w:kern w:val="0"/>
          <w:highlight w:val="none"/>
        </w:rPr>
        <w:t xml:space="preserve">    合同当事人关于暂列金额使用的约定：</w:t>
      </w:r>
      <w:r>
        <w:rPr>
          <w:rFonts w:hint="eastAsia" w:ascii="宋体" w:hAnsi="宋体" w:cs="宋体"/>
          <w:color w:val="auto"/>
          <w:highlight w:val="none"/>
          <w:u w:val="single"/>
        </w:rPr>
        <w:t xml:space="preserve">      /        </w:t>
      </w:r>
      <w:r>
        <w:rPr>
          <w:rFonts w:hint="eastAsia" w:ascii="宋体" w:hAnsi="宋体" w:cs="宋体"/>
          <w:color w:val="auto"/>
          <w:kern w:val="0"/>
          <w:highlight w:val="none"/>
        </w:rPr>
        <w:t>。</w:t>
      </w:r>
    </w:p>
    <w:p w14:paraId="622AAF87">
      <w:pPr>
        <w:pStyle w:val="127"/>
        <w:adjustRightInd w:val="0"/>
        <w:snapToGrid w:val="0"/>
        <w:spacing w:before="0" w:after="0" w:line="360" w:lineRule="exact"/>
        <w:ind w:firstLine="42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11. 价格调整</w:t>
      </w:r>
    </w:p>
    <w:p w14:paraId="1A9CC794">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11.1 市场价格波动引起的调整</w:t>
      </w:r>
    </w:p>
    <w:p w14:paraId="0BA14412">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kern w:val="0"/>
          <w:highlight w:val="none"/>
        </w:rPr>
        <w:t>市场价格波动是否调整合同价格的约定：</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否</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4BD2F12">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因市场价格波动调整合同价格，采用以下第</w:t>
      </w:r>
      <w:r>
        <w:rPr>
          <w:rFonts w:hint="eastAsia" w:ascii="宋体" w:hAnsi="宋体" w:cs="宋体"/>
          <w:color w:val="auto"/>
          <w:highlight w:val="none"/>
          <w:u w:val="single"/>
        </w:rPr>
        <w:t xml:space="preserve">  /   </w:t>
      </w:r>
      <w:r>
        <w:rPr>
          <w:rFonts w:hint="eastAsia" w:ascii="宋体" w:hAnsi="宋体" w:cs="宋体"/>
          <w:color w:val="auto"/>
          <w:highlight w:val="none"/>
        </w:rPr>
        <w:t>种方式对合同价格进行调整：</w:t>
      </w:r>
    </w:p>
    <w:p w14:paraId="28C398C9">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第1种方式：采用价格指数进行价格调整。</w:t>
      </w:r>
    </w:p>
    <w:p w14:paraId="72C9294A">
      <w:pPr>
        <w:pStyle w:val="104"/>
        <w:adjustRightInd w:val="0"/>
        <w:snapToGrid w:val="0"/>
        <w:spacing w:line="360" w:lineRule="exact"/>
        <w:ind w:firstLine="420" w:firstLineChars="200"/>
        <w:jc w:val="left"/>
        <w:rPr>
          <w:rFonts w:ascii="宋体" w:hAnsi="宋体" w:cs="宋体"/>
          <w:color w:val="auto"/>
          <w:highlight w:val="none"/>
          <w:u w:val="single"/>
        </w:rPr>
      </w:pPr>
      <w:r>
        <w:rPr>
          <w:rFonts w:hint="eastAsia" w:ascii="宋体" w:hAnsi="宋体" w:cs="宋体"/>
          <w:color w:val="auto"/>
          <w:highlight w:val="none"/>
        </w:rPr>
        <w:t>关于各可调因子、定值和变值权重，以及基本价格指数及其来源的约定：</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w:t>
      </w:r>
    </w:p>
    <w:p w14:paraId="2A41E6A8">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第2种方式：采用造价信息进行价格调整。</w:t>
      </w:r>
    </w:p>
    <w:p w14:paraId="3D3A8EBA">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（2）关于基准价格的约定：</w:t>
      </w:r>
      <w:r>
        <w:rPr>
          <w:rFonts w:hint="eastAsia" w:ascii="宋体" w:hAnsi="宋体" w:cs="宋体"/>
          <w:b/>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A824B4B">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cs="宋体"/>
          <w:color w:val="auto"/>
          <w:highlight w:val="none"/>
          <w:u w:val="single"/>
        </w:rPr>
        <w:t xml:space="preserve">  /  </w:t>
      </w:r>
      <w:r>
        <w:rPr>
          <w:rFonts w:hint="eastAsia" w:ascii="宋体" w:hAnsi="宋体" w:cs="宋体"/>
          <w:color w:val="auto"/>
          <w:highlight w:val="none"/>
        </w:rPr>
        <w:t>%时，或材料单价跌幅以已标价工程量清单或预算书中载明材料单价为基础超过</w:t>
      </w:r>
      <w:r>
        <w:rPr>
          <w:rFonts w:hint="eastAsia" w:ascii="宋体" w:hAnsi="宋体" w:cs="宋体"/>
          <w:color w:val="auto"/>
          <w:highlight w:val="none"/>
          <w:u w:val="single"/>
        </w:rPr>
        <w:t xml:space="preserve">  / </w:t>
      </w:r>
      <w:r>
        <w:rPr>
          <w:rFonts w:hint="eastAsia" w:ascii="宋体" w:hAnsi="宋体" w:cs="宋体"/>
          <w:color w:val="auto"/>
          <w:highlight w:val="none"/>
        </w:rPr>
        <w:t>%时，其超过部分据实调整。</w:t>
      </w:r>
    </w:p>
    <w:p w14:paraId="438F27EE">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②承包人在已标价工程量清单或预算书中载明的材料单价高于基准价格的：专用合同条款合同履行期间材料单价跌幅以基准价格为基础超过</w:t>
      </w:r>
      <w:r>
        <w:rPr>
          <w:rFonts w:hint="eastAsia" w:ascii="宋体" w:hAnsi="宋体" w:cs="宋体"/>
          <w:color w:val="auto"/>
          <w:highlight w:val="none"/>
          <w:u w:val="single"/>
        </w:rPr>
        <w:t xml:space="preserve">  /  </w:t>
      </w:r>
      <w:r>
        <w:rPr>
          <w:rFonts w:hint="eastAsia" w:ascii="宋体" w:hAnsi="宋体" w:cs="宋体"/>
          <w:color w:val="auto"/>
          <w:highlight w:val="none"/>
        </w:rPr>
        <w:t>%时，材料单价涨幅以已标价工程量清单或预算书中载明材料单价为基础超过</w:t>
      </w:r>
      <w:r>
        <w:rPr>
          <w:rFonts w:hint="eastAsia" w:ascii="宋体" w:hAnsi="宋体" w:cs="宋体"/>
          <w:color w:val="auto"/>
          <w:highlight w:val="none"/>
          <w:u w:val="single"/>
        </w:rPr>
        <w:t xml:space="preserve">  /  </w:t>
      </w:r>
      <w:r>
        <w:rPr>
          <w:rFonts w:hint="eastAsia" w:ascii="宋体" w:hAnsi="宋体" w:cs="宋体"/>
          <w:color w:val="auto"/>
          <w:highlight w:val="none"/>
        </w:rPr>
        <w:t>%时，其超过部分据实调整。</w:t>
      </w:r>
    </w:p>
    <w:p w14:paraId="65FBAB54">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③承包人在已标价工程量清单或预算书中载明的材料单价等于基准单价的：专用合同条款合同履行期间材料单价涨跌幅以基准单价为基础超过±</w:t>
      </w:r>
      <w:r>
        <w:rPr>
          <w:rFonts w:hint="eastAsia" w:ascii="宋体" w:hAnsi="宋体" w:cs="宋体"/>
          <w:color w:val="auto"/>
          <w:highlight w:val="none"/>
          <w:u w:val="single"/>
        </w:rPr>
        <w:t xml:space="preserve">  / </w:t>
      </w:r>
      <w:r>
        <w:rPr>
          <w:rFonts w:hint="eastAsia" w:ascii="宋体" w:hAnsi="宋体" w:cs="宋体"/>
          <w:color w:val="auto"/>
          <w:highlight w:val="none"/>
        </w:rPr>
        <w:t>%时，其超过部分据实调整。</w:t>
      </w:r>
    </w:p>
    <w:p w14:paraId="02E89581">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第3种方式：其他价格调整方式：</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2FBC1D21">
      <w:pPr>
        <w:pStyle w:val="127"/>
        <w:adjustRightInd w:val="0"/>
        <w:snapToGrid w:val="0"/>
        <w:spacing w:before="0" w:after="0" w:line="360" w:lineRule="exact"/>
        <w:ind w:firstLine="42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12. 合同价格、计量与支付</w:t>
      </w:r>
    </w:p>
    <w:p w14:paraId="5EB6355C">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12.1 合同价格形式</w:t>
      </w:r>
    </w:p>
    <w:p w14:paraId="0F29E803">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1、单价合同。</w:t>
      </w:r>
    </w:p>
    <w:p w14:paraId="55B6698B">
      <w:pPr>
        <w:pStyle w:val="104"/>
        <w:adjustRightInd w:val="0"/>
        <w:snapToGrid w:val="0"/>
        <w:spacing w:line="360" w:lineRule="exact"/>
        <w:ind w:firstLine="422"/>
        <w:jc w:val="left"/>
        <w:rPr>
          <w:rFonts w:ascii="宋体" w:hAnsi="宋体" w:cs="宋体"/>
          <w:color w:val="auto"/>
          <w:highlight w:val="none"/>
        </w:rPr>
      </w:pPr>
      <w:r>
        <w:rPr>
          <w:rFonts w:hint="eastAsia" w:ascii="宋体" w:hAnsi="宋体" w:cs="宋体"/>
          <w:color w:val="auto"/>
          <w:highlight w:val="none"/>
        </w:rPr>
        <w:t>综合单价包含的风险范围：</w:t>
      </w:r>
    </w:p>
    <w:p w14:paraId="51FBEB03">
      <w:pPr>
        <w:spacing w:line="360" w:lineRule="exact"/>
        <w:ind w:firstLine="420" w:firstLineChars="200"/>
        <w:rPr>
          <w:bCs/>
          <w:color w:val="auto"/>
          <w:sz w:val="21"/>
          <w:szCs w:val="21"/>
          <w:highlight w:val="none"/>
        </w:rPr>
      </w:pPr>
      <w:r>
        <w:rPr>
          <w:rFonts w:hint="eastAsia"/>
          <w:bCs/>
          <w:color w:val="auto"/>
          <w:sz w:val="21"/>
          <w:szCs w:val="21"/>
          <w:highlight w:val="none"/>
        </w:rPr>
        <w:t>（1）</w:t>
      </w:r>
      <w:r>
        <w:rPr>
          <w:rFonts w:hint="eastAsia"/>
          <w:bCs/>
          <w:color w:val="auto"/>
          <w:sz w:val="21"/>
          <w:szCs w:val="21"/>
          <w:highlight w:val="none"/>
          <w:u w:val="single"/>
        </w:rPr>
        <w:t>应由承包人承担的工、料、机在投标编制期或预算书编制期与合同实施期间所发生的市场价格波动</w:t>
      </w:r>
      <w:r>
        <w:rPr>
          <w:rFonts w:hint="eastAsia"/>
          <w:bCs/>
          <w:color w:val="auto"/>
          <w:sz w:val="21"/>
          <w:szCs w:val="21"/>
          <w:highlight w:val="none"/>
        </w:rPr>
        <w:t>。</w:t>
      </w:r>
    </w:p>
    <w:p w14:paraId="4873B30C">
      <w:pPr>
        <w:pStyle w:val="104"/>
        <w:adjustRightInd w:val="0"/>
        <w:snapToGrid w:val="0"/>
        <w:spacing w:line="360" w:lineRule="exact"/>
        <w:ind w:firstLine="422"/>
        <w:jc w:val="left"/>
        <w:rPr>
          <w:rFonts w:ascii="宋体" w:hAnsi="宋体" w:cs="宋体"/>
          <w:b/>
          <w:bCs/>
          <w:i/>
          <w:iCs/>
          <w:color w:val="auto"/>
          <w:highlight w:val="none"/>
        </w:rPr>
      </w:pPr>
      <w:r>
        <w:rPr>
          <w:rFonts w:hint="eastAsia" w:ascii="宋体" w:hAnsi="宋体" w:cs="宋体"/>
          <w:bCs/>
          <w:color w:val="auto"/>
          <w:szCs w:val="21"/>
          <w:highlight w:val="none"/>
        </w:rPr>
        <w:t>（2）其他：</w:t>
      </w:r>
      <w:r>
        <w:rPr>
          <w:rFonts w:hint="eastAsia" w:ascii="宋体" w:hAnsi="宋体" w:cs="宋体"/>
          <w:b/>
          <w:bCs/>
          <w:color w:val="auto"/>
          <w:highlight w:val="none"/>
          <w:u w:val="single"/>
        </w:rPr>
        <w:t>a、分部分项工程量清单和施工技术措施项目清单与计价表中已列项目的综合单价；b、所有磋商文件或工程量清单明示要求报价的内容而承包人未予报价的；c、承包人对工程现场环境以及发包人提供的磋商文件、图纸等资料做出错误的推论、理解而导致的报价失误；d、磋商文件约定的工程量清单数量误差引起的综合单价成本差异；e、施工组织措施项目清单与计价表实行固定总价包干，不得因设计图纸变化、工程量增减、施工方案变更等任何因素而调整费用；f、规费、税金、农民工工伤保险费、总承包服务费为费率包干；g、清单描述中有按图集或规范施工的，综合单价必须满足规范和图集</w:t>
      </w:r>
      <w:r>
        <w:rPr>
          <w:rFonts w:hint="eastAsia"/>
          <w:b/>
          <w:bCs/>
          <w:color w:val="auto"/>
          <w:highlight w:val="none"/>
          <w:u w:val="single"/>
        </w:rPr>
        <w:t>要求</w:t>
      </w:r>
      <w:r>
        <w:rPr>
          <w:rFonts w:hint="eastAsia" w:ascii="宋体" w:hAnsi="宋体" w:cs="宋体"/>
          <w:b/>
          <w:bCs/>
          <w:color w:val="auto"/>
          <w:highlight w:val="none"/>
          <w:u w:val="single"/>
        </w:rPr>
        <w:t>，综合单价不作调整；h、所有磋商文件或工程量清单明示要求报价包干或费率包干的内容</w:t>
      </w:r>
      <w:r>
        <w:rPr>
          <w:rFonts w:hint="eastAsia" w:ascii="宋体" w:hAnsi="宋体" w:cs="宋体"/>
          <w:b/>
          <w:bCs/>
          <w:color w:val="auto"/>
          <w:kern w:val="0"/>
          <w:highlight w:val="none"/>
          <w:u w:val="single"/>
          <w:shd w:val="clear" w:color="auto" w:fill="FFFFFF"/>
        </w:rPr>
        <w:t>。除政府出台价格调整政策且审计单位认为适用情况外，价格不作调整。</w:t>
      </w:r>
    </w:p>
    <w:p w14:paraId="19A8AED9">
      <w:pPr>
        <w:pStyle w:val="104"/>
        <w:adjustRightInd w:val="0"/>
        <w:snapToGrid w:val="0"/>
        <w:spacing w:line="360" w:lineRule="exact"/>
        <w:ind w:firstLine="422"/>
        <w:jc w:val="left"/>
        <w:rPr>
          <w:rFonts w:ascii="宋体" w:hAnsi="宋体" w:cs="宋体"/>
          <w:b/>
          <w:bCs/>
          <w:color w:val="auto"/>
          <w:highlight w:val="none"/>
          <w:u w:val="single"/>
        </w:rPr>
      </w:pPr>
      <w:r>
        <w:rPr>
          <w:rFonts w:hint="eastAsia" w:ascii="宋体" w:hAnsi="宋体" w:cs="宋体"/>
          <w:color w:val="auto"/>
          <w:highlight w:val="none"/>
        </w:rPr>
        <w:t>风险费用计算方法：</w:t>
      </w:r>
      <w:r>
        <w:rPr>
          <w:rFonts w:hint="eastAsia" w:ascii="宋体" w:hAnsi="宋体" w:cs="宋体"/>
          <w:b/>
          <w:bCs/>
          <w:color w:val="auto"/>
          <w:highlight w:val="none"/>
          <w:u w:val="single"/>
        </w:rPr>
        <w:t>以上风险费用在投标报价时考虑，不再另行计取。</w:t>
      </w:r>
    </w:p>
    <w:p w14:paraId="77488C5A">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风险范围以外合同价格的调整方法：</w:t>
      </w:r>
    </w:p>
    <w:p w14:paraId="353D4A83">
      <w:pPr>
        <w:pStyle w:val="104"/>
        <w:autoSpaceDE w:val="0"/>
        <w:autoSpaceDN w:val="0"/>
        <w:adjustRightInd w:val="0"/>
        <w:snapToGrid w:val="0"/>
        <w:spacing w:line="360" w:lineRule="exact"/>
        <w:ind w:firstLine="420" w:firstLineChars="200"/>
        <w:jc w:val="left"/>
        <w:rPr>
          <w:rFonts w:ascii="宋体" w:hAnsi="宋体" w:cs="宋体"/>
          <w:b/>
          <w:bCs/>
          <w:color w:val="auto"/>
          <w:highlight w:val="none"/>
          <w:u w:val="single"/>
        </w:rPr>
      </w:pPr>
      <w:r>
        <w:rPr>
          <w:rFonts w:hint="eastAsia" w:ascii="宋体" w:hAnsi="宋体" w:cs="宋体"/>
          <w:bCs/>
          <w:color w:val="auto"/>
          <w:szCs w:val="21"/>
          <w:highlight w:val="none"/>
        </w:rPr>
        <w:t>其他：</w:t>
      </w:r>
      <w:r>
        <w:rPr>
          <w:rFonts w:hint="eastAsia" w:ascii="宋体" w:hAnsi="宋体" w:cs="宋体"/>
          <w:b/>
          <w:bCs/>
          <w:color w:val="auto"/>
          <w:highlight w:val="none"/>
          <w:u w:val="single"/>
        </w:rPr>
        <w:t>a、在竣工结算时工程量按实计算；设计变更、施工联系单签证等发生的费用，结算综合单价直接套用相应或相似的投标响应单价。如无法套用时，无投标价的材料单价按同期信息价，无信息价按市场价计取，各项取费与投标同口径。b、不可抗力因素造成的损失由双方各自行承担。但属于应该预见、预防、承包方没有及时预防或预防不力造成的损失，由承包方承担。</w:t>
      </w:r>
    </w:p>
    <w:p w14:paraId="0B605A23">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2、总价合同。</w:t>
      </w:r>
    </w:p>
    <w:p w14:paraId="0A6E9C54">
      <w:pPr>
        <w:pStyle w:val="104"/>
        <w:adjustRightInd w:val="0"/>
        <w:snapToGrid w:val="0"/>
        <w:spacing w:line="360" w:lineRule="exact"/>
        <w:jc w:val="left"/>
        <w:rPr>
          <w:rFonts w:ascii="宋体" w:hAnsi="宋体" w:cs="宋体"/>
          <w:color w:val="auto"/>
          <w:highlight w:val="none"/>
        </w:rPr>
      </w:pPr>
      <w:r>
        <w:rPr>
          <w:rFonts w:hint="eastAsia" w:ascii="宋体" w:hAnsi="宋体" w:cs="宋体"/>
          <w:color w:val="auto"/>
          <w:highlight w:val="none"/>
        </w:rPr>
        <w:t xml:space="preserve">    总价包含的风险范围：</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506FEB0D">
      <w:pPr>
        <w:pStyle w:val="104"/>
        <w:adjustRightInd w:val="0"/>
        <w:snapToGrid w:val="0"/>
        <w:spacing w:line="360" w:lineRule="exact"/>
        <w:jc w:val="left"/>
        <w:rPr>
          <w:rFonts w:ascii="宋体" w:hAnsi="宋体" w:cs="宋体"/>
          <w:color w:val="auto"/>
          <w:highlight w:val="none"/>
        </w:rPr>
      </w:pPr>
      <w:r>
        <w:rPr>
          <w:rFonts w:hint="eastAsia" w:ascii="宋体" w:hAnsi="宋体" w:cs="宋体"/>
          <w:color w:val="auto"/>
          <w:highlight w:val="none"/>
        </w:rPr>
        <w:t xml:space="preserve">    风险费用的计算方法：</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709935D3">
      <w:pPr>
        <w:pStyle w:val="104"/>
        <w:adjustRightInd w:val="0"/>
        <w:snapToGrid w:val="0"/>
        <w:spacing w:line="360" w:lineRule="exact"/>
        <w:jc w:val="left"/>
        <w:rPr>
          <w:rFonts w:ascii="宋体" w:hAnsi="宋体" w:cs="宋体"/>
          <w:color w:val="auto"/>
          <w:highlight w:val="none"/>
        </w:rPr>
      </w:pPr>
      <w:r>
        <w:rPr>
          <w:rFonts w:hint="eastAsia" w:ascii="宋体" w:hAnsi="宋体" w:cs="宋体"/>
          <w:color w:val="auto"/>
          <w:highlight w:val="none"/>
        </w:rPr>
        <w:t xml:space="preserve">    风险范围以外合同价格的调整方法：</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40B2D344">
      <w:pPr>
        <w:pStyle w:val="104"/>
        <w:adjustRightInd w:val="0"/>
        <w:snapToGrid w:val="0"/>
        <w:spacing w:line="360" w:lineRule="exact"/>
        <w:jc w:val="left"/>
        <w:rPr>
          <w:rFonts w:ascii="宋体" w:hAnsi="宋体" w:cs="宋体"/>
          <w:color w:val="auto"/>
          <w:highlight w:val="none"/>
        </w:rPr>
      </w:pPr>
      <w:r>
        <w:rPr>
          <w:rFonts w:hint="eastAsia" w:ascii="宋体" w:hAnsi="宋体" w:cs="宋体"/>
          <w:color w:val="auto"/>
          <w:highlight w:val="none"/>
        </w:rPr>
        <w:t xml:space="preserve">    3、其他价格方式：</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275FBC09">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12.2 预付款</w:t>
      </w:r>
    </w:p>
    <w:p w14:paraId="1EBD6111">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12.2.1 预付款的支付</w:t>
      </w:r>
    </w:p>
    <w:p w14:paraId="62417AB4">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预付款支付比例或金额：</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合同总价的40%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50D27B5">
      <w:pPr>
        <w:spacing w:line="360" w:lineRule="exact"/>
        <w:ind w:firstLine="420" w:firstLineChars="200"/>
        <w:rPr>
          <w:color w:val="auto"/>
          <w:sz w:val="21"/>
          <w:highlight w:val="none"/>
        </w:rPr>
      </w:pPr>
      <w:r>
        <w:rPr>
          <w:rFonts w:hint="eastAsia"/>
          <w:color w:val="auto"/>
          <w:sz w:val="21"/>
          <w:highlight w:val="none"/>
        </w:rPr>
        <w:t>工资预付款支付比例或金额：</w:t>
      </w:r>
      <w:r>
        <w:rPr>
          <w:rFonts w:hint="eastAsia"/>
          <w:color w:val="auto"/>
          <w:highlight w:val="none"/>
          <w:u w:val="single"/>
        </w:rPr>
        <w:t xml:space="preserve">        /          </w:t>
      </w:r>
      <w:r>
        <w:rPr>
          <w:rFonts w:hint="eastAsia"/>
          <w:color w:val="auto"/>
          <w:highlight w:val="none"/>
        </w:rPr>
        <w:t>。</w:t>
      </w:r>
    </w:p>
    <w:p w14:paraId="64B8F5D6">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预付款支付期限：</w:t>
      </w:r>
      <w:r>
        <w:rPr>
          <w:rFonts w:hint="eastAsia" w:ascii="宋体" w:hAnsi="宋体" w:cs="宋体"/>
          <w:b/>
          <w:bCs/>
          <w:color w:val="auto"/>
          <w:highlight w:val="none"/>
          <w:u w:val="single"/>
        </w:rPr>
        <w:t xml:space="preserve"> 承包人递交履约保证金、合同签订后，满足进场施工条件，经发包人代表确认后7个工作日内向承包人支付工程预付款；后期转为工程款（逾期未递交履约保证金及发票等付款凭证，视为承包人放弃工程预付款）</w:t>
      </w:r>
      <w:r>
        <w:rPr>
          <w:rFonts w:hint="eastAsia" w:ascii="宋体" w:hAnsi="宋体" w:cs="宋体"/>
          <w:color w:val="auto"/>
          <w:highlight w:val="none"/>
        </w:rPr>
        <w:t>。</w:t>
      </w:r>
    </w:p>
    <w:p w14:paraId="26BBFD98">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预付款扣回的方式：</w:t>
      </w:r>
      <w:r>
        <w:rPr>
          <w:rFonts w:hint="eastAsia" w:ascii="宋体" w:hAnsi="宋体" w:cs="宋体"/>
          <w:color w:val="auto"/>
          <w:highlight w:val="none"/>
          <w:u w:val="single"/>
        </w:rPr>
        <w:t xml:space="preserve">   不扣回    </w:t>
      </w:r>
      <w:r>
        <w:rPr>
          <w:rFonts w:hint="eastAsia" w:ascii="宋体" w:hAnsi="宋体" w:cs="宋体"/>
          <w:color w:val="auto"/>
          <w:highlight w:val="none"/>
        </w:rPr>
        <w:t>。</w:t>
      </w:r>
    </w:p>
    <w:p w14:paraId="14FC6472">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12.3 计量</w:t>
      </w:r>
    </w:p>
    <w:p w14:paraId="31A6340B">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12.3.1 计量原则</w:t>
      </w:r>
    </w:p>
    <w:p w14:paraId="5027608A">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工程量计算规则：</w:t>
      </w:r>
    </w:p>
    <w:p w14:paraId="11AF601C">
      <w:pPr>
        <w:spacing w:line="360" w:lineRule="exact"/>
        <w:ind w:firstLine="420" w:firstLineChars="200"/>
        <w:rPr>
          <w:bCs/>
          <w:color w:val="auto"/>
          <w:sz w:val="21"/>
          <w:szCs w:val="21"/>
          <w:highlight w:val="none"/>
          <w:u w:val="single"/>
        </w:rPr>
      </w:pPr>
      <w:r>
        <w:rPr>
          <w:rFonts w:hint="eastAsia"/>
          <w:bCs/>
          <w:color w:val="auto"/>
          <w:sz w:val="21"/>
          <w:szCs w:val="21"/>
          <w:highlight w:val="none"/>
        </w:rPr>
        <w:t>（1）</w:t>
      </w:r>
      <w:r>
        <w:rPr>
          <w:rFonts w:hint="eastAsia"/>
          <w:bCs/>
          <w:color w:val="auto"/>
          <w:sz w:val="21"/>
          <w:szCs w:val="21"/>
          <w:highlight w:val="none"/>
          <w:u w:val="single"/>
        </w:rPr>
        <w:t>实行工程量清单计价的工程项目，其工程量的计算规则应按国家标准工程量计算规范及省级行业主管部门颁布的补充规定执行。</w:t>
      </w:r>
    </w:p>
    <w:p w14:paraId="1006BAB6">
      <w:pPr>
        <w:spacing w:line="360" w:lineRule="exact"/>
        <w:ind w:firstLine="420" w:firstLineChars="200"/>
        <w:rPr>
          <w:bCs/>
          <w:color w:val="auto"/>
          <w:sz w:val="21"/>
          <w:szCs w:val="21"/>
          <w:highlight w:val="none"/>
          <w:u w:val="single"/>
        </w:rPr>
      </w:pPr>
      <w:r>
        <w:rPr>
          <w:rFonts w:hint="eastAsia"/>
          <w:bCs/>
          <w:color w:val="auto"/>
          <w:sz w:val="21"/>
          <w:szCs w:val="21"/>
          <w:highlight w:val="none"/>
        </w:rPr>
        <w:t>（2）</w:t>
      </w:r>
      <w:r>
        <w:rPr>
          <w:rFonts w:hint="eastAsia"/>
          <w:bCs/>
          <w:color w:val="auto"/>
          <w:sz w:val="21"/>
          <w:szCs w:val="21"/>
          <w:highlight w:val="none"/>
          <w:u w:val="single"/>
        </w:rPr>
        <w:t>不实行工程量清单计价的工程项目，工程量的计算规则应按省、市行业主管部门颁布的各专业工程定额的工程量计算规则执行。</w:t>
      </w:r>
    </w:p>
    <w:p w14:paraId="6D3595DB">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12.3.2 计量周期</w:t>
      </w:r>
    </w:p>
    <w:p w14:paraId="3BC2E62C">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关于计量周期的约定：</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F050A50">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12.3.3 单价合同的计量</w:t>
      </w:r>
    </w:p>
    <w:p w14:paraId="3F698138">
      <w:pPr>
        <w:pStyle w:val="104"/>
        <w:adjustRightInd w:val="0"/>
        <w:snapToGrid w:val="0"/>
        <w:spacing w:line="360" w:lineRule="exact"/>
        <w:ind w:firstLine="420" w:firstLineChars="200"/>
        <w:jc w:val="left"/>
        <w:rPr>
          <w:rFonts w:ascii="宋体" w:hAnsi="宋体" w:cs="宋体"/>
          <w:b/>
          <w:bCs/>
          <w:color w:val="auto"/>
          <w:highlight w:val="none"/>
          <w:u w:val="single"/>
        </w:rPr>
      </w:pPr>
      <w:r>
        <w:rPr>
          <w:rFonts w:hint="eastAsia" w:ascii="宋体" w:hAnsi="宋体" w:cs="宋体"/>
          <w:color w:val="auto"/>
          <w:highlight w:val="none"/>
        </w:rPr>
        <w:t>关于单价合同计量的约定：</w:t>
      </w:r>
      <w:r>
        <w:rPr>
          <w:rFonts w:hint="eastAsia" w:ascii="宋体" w:hAnsi="宋体" w:cs="宋体"/>
          <w:b/>
          <w:bCs/>
          <w:color w:val="auto"/>
          <w:highlight w:val="none"/>
          <w:u w:val="single"/>
        </w:rPr>
        <w:t xml:space="preserve">  /  </w:t>
      </w:r>
      <w:r>
        <w:rPr>
          <w:rFonts w:hint="eastAsia" w:ascii="宋体" w:hAnsi="宋体" w:cs="宋体"/>
          <w:b/>
          <w:bCs/>
          <w:color w:val="auto"/>
          <w:highlight w:val="none"/>
        </w:rPr>
        <w:t>。</w:t>
      </w:r>
    </w:p>
    <w:p w14:paraId="4D8F193C">
      <w:pPr>
        <w:spacing w:line="360" w:lineRule="exact"/>
        <w:ind w:firstLine="420" w:firstLineChars="200"/>
        <w:rPr>
          <w:color w:val="auto"/>
          <w:sz w:val="21"/>
          <w:highlight w:val="none"/>
        </w:rPr>
      </w:pPr>
      <w:r>
        <w:rPr>
          <w:rFonts w:hint="eastAsia"/>
          <w:color w:val="auto"/>
          <w:sz w:val="21"/>
          <w:highlight w:val="none"/>
        </w:rPr>
        <w:t>工资性工程款比例约定：</w:t>
      </w:r>
      <w:r>
        <w:rPr>
          <w:rFonts w:hint="eastAsia"/>
          <w:color w:val="auto"/>
          <w:highlight w:val="none"/>
          <w:u w:val="single"/>
        </w:rPr>
        <w:t xml:space="preserve">        /          </w:t>
      </w:r>
      <w:r>
        <w:rPr>
          <w:rFonts w:hint="eastAsia"/>
          <w:color w:val="auto"/>
          <w:highlight w:val="none"/>
        </w:rPr>
        <w:t>。</w:t>
      </w:r>
    </w:p>
    <w:p w14:paraId="05C7EF1D">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12.3.4 总价合同的计量</w:t>
      </w:r>
    </w:p>
    <w:p w14:paraId="622CD69E">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关于总价合同计量的约定：</w:t>
      </w:r>
      <w:r>
        <w:rPr>
          <w:rFonts w:hint="eastAsia" w:ascii="宋体" w:hAnsi="宋体" w:cs="宋体"/>
          <w:color w:val="auto"/>
          <w:highlight w:val="none"/>
          <w:u w:val="single"/>
        </w:rPr>
        <w:t>/</w:t>
      </w:r>
      <w:r>
        <w:rPr>
          <w:rFonts w:hint="eastAsia" w:ascii="宋体" w:hAnsi="宋体" w:cs="宋体"/>
          <w:color w:val="auto"/>
          <w:highlight w:val="none"/>
        </w:rPr>
        <w:t>。</w:t>
      </w:r>
    </w:p>
    <w:p w14:paraId="6D32563E">
      <w:pPr>
        <w:spacing w:line="360" w:lineRule="exact"/>
        <w:ind w:firstLine="420" w:firstLineChars="200"/>
        <w:rPr>
          <w:color w:val="auto"/>
          <w:sz w:val="21"/>
          <w:highlight w:val="none"/>
        </w:rPr>
      </w:pPr>
      <w:r>
        <w:rPr>
          <w:rFonts w:hint="eastAsia"/>
          <w:color w:val="auto"/>
          <w:sz w:val="21"/>
          <w:highlight w:val="none"/>
        </w:rPr>
        <w:t>工资性工程款比例约定：</w:t>
      </w:r>
      <w:r>
        <w:rPr>
          <w:rFonts w:hint="eastAsia"/>
          <w:color w:val="auto"/>
          <w:highlight w:val="none"/>
          <w:u w:val="single"/>
        </w:rPr>
        <w:t xml:space="preserve">        /          </w:t>
      </w:r>
      <w:r>
        <w:rPr>
          <w:rFonts w:hint="eastAsia"/>
          <w:color w:val="auto"/>
          <w:highlight w:val="none"/>
        </w:rPr>
        <w:t>。</w:t>
      </w:r>
    </w:p>
    <w:p w14:paraId="3F23897A">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12.3.5总价合同采用支付分解表计量支付的，是否适用第</w:t>
      </w:r>
      <w:r>
        <w:rPr>
          <w:rFonts w:hint="eastAsia" w:ascii="宋体" w:hAnsi="宋体" w:cs="宋体"/>
          <w:color w:val="auto"/>
          <w:kern w:val="0"/>
          <w:highlight w:val="none"/>
        </w:rPr>
        <w:t xml:space="preserve">12.3.4 </w:t>
      </w:r>
      <w:r>
        <w:rPr>
          <w:rFonts w:hint="eastAsia" w:ascii="宋体" w:hAnsi="宋体" w:cs="宋体"/>
          <w:color w:val="auto"/>
          <w:highlight w:val="none"/>
        </w:rPr>
        <w:t>项</w:t>
      </w:r>
      <w:r>
        <w:rPr>
          <w:rFonts w:hint="eastAsia" w:ascii="宋体" w:hAnsi="宋体" w:cs="宋体"/>
          <w:color w:val="auto"/>
          <w:kern w:val="0"/>
          <w:highlight w:val="none"/>
        </w:rPr>
        <w:t>〔总价合同的计量〕</w:t>
      </w:r>
      <w:r>
        <w:rPr>
          <w:rFonts w:hint="eastAsia" w:ascii="宋体" w:hAnsi="宋体" w:cs="宋体"/>
          <w:color w:val="auto"/>
          <w:highlight w:val="none"/>
        </w:rPr>
        <w:t>约定进行计量：</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15DD806">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12.3.6 其他价格形式合同的计量</w:t>
      </w:r>
    </w:p>
    <w:p w14:paraId="18353BB1">
      <w:pPr>
        <w:pStyle w:val="104"/>
        <w:adjustRightInd w:val="0"/>
        <w:snapToGrid w:val="0"/>
        <w:spacing w:line="360" w:lineRule="exact"/>
        <w:jc w:val="left"/>
        <w:rPr>
          <w:rFonts w:ascii="宋体" w:hAnsi="宋体" w:cs="宋体"/>
          <w:color w:val="auto"/>
          <w:highlight w:val="none"/>
        </w:rPr>
      </w:pPr>
      <w:r>
        <w:rPr>
          <w:rFonts w:hint="eastAsia" w:ascii="宋体" w:hAnsi="宋体" w:cs="宋体"/>
          <w:color w:val="auto"/>
          <w:highlight w:val="none"/>
        </w:rPr>
        <w:t xml:space="preserve">    其他价格形式的计量方式和程序：</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4D3FC327">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12.4 工程进度款支付</w:t>
      </w:r>
    </w:p>
    <w:p w14:paraId="222E7E72">
      <w:pPr>
        <w:pStyle w:val="104"/>
        <w:adjustRightInd w:val="0"/>
        <w:snapToGrid w:val="0"/>
        <w:spacing w:line="360" w:lineRule="exact"/>
        <w:ind w:firstLine="420" w:firstLineChars="200"/>
        <w:jc w:val="left"/>
        <w:rPr>
          <w:rFonts w:ascii="宋体" w:hAnsi="宋体" w:cs="宋体"/>
          <w:b/>
          <w:bCs/>
          <w:color w:val="auto"/>
          <w:highlight w:val="none"/>
          <w:u w:val="single"/>
        </w:rPr>
      </w:pPr>
      <w:r>
        <w:rPr>
          <w:rFonts w:hint="eastAsia" w:ascii="宋体" w:hAnsi="宋体" w:cs="宋体"/>
          <w:color w:val="auto"/>
          <w:highlight w:val="none"/>
        </w:rPr>
        <w:t>12.4.1 付款周期</w:t>
      </w:r>
    </w:p>
    <w:p w14:paraId="6CB595A2">
      <w:pPr>
        <w:pStyle w:val="104"/>
        <w:adjustRightInd w:val="0"/>
        <w:snapToGrid w:val="0"/>
        <w:spacing w:line="360" w:lineRule="exact"/>
        <w:ind w:firstLine="422" w:firstLineChars="200"/>
        <w:jc w:val="left"/>
        <w:rPr>
          <w:rFonts w:ascii="宋体" w:hAnsi="宋体" w:cs="宋体"/>
          <w:b/>
          <w:bCs/>
          <w:color w:val="auto"/>
          <w:highlight w:val="none"/>
          <w:u w:val="single"/>
        </w:rPr>
      </w:pPr>
      <w:r>
        <w:rPr>
          <w:rFonts w:hint="eastAsia" w:ascii="宋体" w:hAnsi="宋体" w:cs="宋体"/>
          <w:b/>
          <w:bCs/>
          <w:color w:val="auto"/>
          <w:highlight w:val="none"/>
          <w:u w:val="single"/>
        </w:rPr>
        <w:t>（1）承包人递交履约保证金、合同签订后，满足进场施工条件，经发包人代表确认后7个工作日内向承包人支付合同总价40%的工程预付款，后期转为工程款（逾期未递交履约保证金及发票等付款凭证，视为承包人放弃工程预付款）；</w:t>
      </w:r>
    </w:p>
    <w:p w14:paraId="0D3A46DD">
      <w:pPr>
        <w:pStyle w:val="104"/>
        <w:adjustRightInd w:val="0"/>
        <w:snapToGrid w:val="0"/>
        <w:spacing w:line="360" w:lineRule="exact"/>
        <w:ind w:firstLine="422" w:firstLineChars="200"/>
        <w:jc w:val="left"/>
        <w:rPr>
          <w:rFonts w:ascii="宋体" w:hAnsi="宋体" w:cs="宋体"/>
          <w:b/>
          <w:bCs/>
          <w:color w:val="auto"/>
          <w:highlight w:val="none"/>
          <w:u w:val="single"/>
        </w:rPr>
      </w:pPr>
      <w:r>
        <w:rPr>
          <w:rFonts w:hint="eastAsia" w:ascii="宋体" w:hAnsi="宋体" w:cs="宋体"/>
          <w:b/>
          <w:bCs/>
          <w:color w:val="auto"/>
          <w:highlight w:val="none"/>
          <w:u w:val="single"/>
        </w:rPr>
        <w:t>（2）承包人履行完全部合同约定，整体工程竣工验收合格后10个工作日内，支付至承包人合同总价款的8</w:t>
      </w:r>
      <w:r>
        <w:rPr>
          <w:rFonts w:hint="eastAsia" w:ascii="宋体" w:hAnsi="宋体" w:cs="宋体"/>
          <w:b/>
          <w:bCs/>
          <w:color w:val="auto"/>
          <w:highlight w:val="none"/>
          <w:u w:val="single"/>
          <w:lang w:val="en-US" w:eastAsia="zh-CN"/>
        </w:rPr>
        <w:t>0</w:t>
      </w:r>
      <w:r>
        <w:rPr>
          <w:rFonts w:hint="eastAsia" w:ascii="宋体" w:hAnsi="宋体" w:cs="宋体"/>
          <w:b/>
          <w:bCs/>
          <w:color w:val="auto"/>
          <w:highlight w:val="none"/>
          <w:u w:val="single"/>
        </w:rPr>
        <w:t>%，承包人向发包人账户缴纳的履约保证金自动转为质量保证金；</w:t>
      </w:r>
    </w:p>
    <w:p w14:paraId="0FBD4C0D">
      <w:pPr>
        <w:pStyle w:val="104"/>
        <w:adjustRightInd w:val="0"/>
        <w:snapToGrid w:val="0"/>
        <w:spacing w:line="360" w:lineRule="exact"/>
        <w:ind w:left="629" w:leftChars="174" w:hanging="211" w:hangingChars="100"/>
        <w:jc w:val="left"/>
        <w:rPr>
          <w:rFonts w:ascii="宋体" w:hAnsi="宋体" w:cs="宋体"/>
          <w:b/>
          <w:bCs/>
          <w:color w:val="auto"/>
          <w:highlight w:val="none"/>
          <w:u w:val="single"/>
        </w:rPr>
      </w:pPr>
      <w:r>
        <w:rPr>
          <w:rFonts w:hint="eastAsia" w:ascii="宋体" w:hAnsi="宋体" w:cs="宋体"/>
          <w:b/>
          <w:bCs/>
          <w:color w:val="auto"/>
          <w:highlight w:val="none"/>
          <w:u w:val="single"/>
        </w:rPr>
        <w:t>（3）工程造价结算审计完毕，其他相关服务按约定履行，发包人支付至审定工程总价款的100%；</w:t>
      </w:r>
    </w:p>
    <w:p w14:paraId="6C1B584D">
      <w:pPr>
        <w:pStyle w:val="104"/>
        <w:adjustRightInd w:val="0"/>
        <w:snapToGrid w:val="0"/>
        <w:spacing w:line="360" w:lineRule="exact"/>
        <w:ind w:left="629" w:leftChars="174" w:hanging="211" w:hangingChars="100"/>
        <w:jc w:val="left"/>
        <w:rPr>
          <w:rFonts w:ascii="宋体" w:hAnsi="宋体" w:cs="宋体"/>
          <w:b/>
          <w:bCs/>
          <w:color w:val="auto"/>
          <w:highlight w:val="none"/>
          <w:u w:val="single"/>
        </w:rPr>
      </w:pPr>
      <w:r>
        <w:rPr>
          <w:rFonts w:hint="eastAsia" w:ascii="宋体" w:hAnsi="宋体" w:cs="宋体"/>
          <w:b/>
          <w:bCs/>
          <w:color w:val="auto"/>
          <w:highlight w:val="none"/>
          <w:u w:val="single"/>
        </w:rPr>
        <w:t>（4）质保期满后若无质量问题，发包人在10个工作日内无息退还质保金。</w:t>
      </w:r>
    </w:p>
    <w:p w14:paraId="70176A0C">
      <w:pPr>
        <w:pStyle w:val="127"/>
        <w:adjustRightInd w:val="0"/>
        <w:snapToGrid w:val="0"/>
        <w:spacing w:before="0" w:after="0" w:line="360" w:lineRule="exact"/>
        <w:ind w:firstLine="482" w:firstLineChars="20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13. 验收和工程试车</w:t>
      </w:r>
    </w:p>
    <w:p w14:paraId="4D4C33BD">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13.1 分部分项工程验收</w:t>
      </w:r>
    </w:p>
    <w:p w14:paraId="7F69AA5B">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13.1.1监理人不能按时进行验收时，应提前</w:t>
      </w:r>
      <w:r>
        <w:rPr>
          <w:rFonts w:hint="eastAsia" w:ascii="宋体" w:hAnsi="宋体" w:cs="宋体"/>
          <w:color w:val="auto"/>
          <w:highlight w:val="none"/>
          <w:u w:val="single"/>
        </w:rPr>
        <w:t xml:space="preserve"> </w:t>
      </w:r>
      <w:r>
        <w:rPr>
          <w:rFonts w:hint="eastAsia" w:ascii="宋体" w:hAnsi="宋体" w:cs="宋体"/>
          <w:b/>
          <w:bCs/>
          <w:color w:val="auto"/>
          <w:highlight w:val="none"/>
          <w:u w:val="single"/>
          <w:lang w:val="en-US" w:eastAsia="zh-CN"/>
        </w:rPr>
        <w:t>/</w:t>
      </w:r>
      <w:r>
        <w:rPr>
          <w:rFonts w:hint="eastAsia" w:ascii="宋体" w:hAnsi="宋体" w:cs="宋体"/>
          <w:color w:val="auto"/>
          <w:highlight w:val="none"/>
          <w:u w:val="single"/>
        </w:rPr>
        <w:t xml:space="preserve"> </w:t>
      </w:r>
      <w:r>
        <w:rPr>
          <w:rFonts w:hint="eastAsia" w:ascii="宋体" w:hAnsi="宋体" w:cs="宋体"/>
          <w:color w:val="auto"/>
          <w:highlight w:val="none"/>
        </w:rPr>
        <w:t>小时提交书面延期要求。</w:t>
      </w:r>
    </w:p>
    <w:p w14:paraId="13B956F4">
      <w:pPr>
        <w:pStyle w:val="104"/>
        <w:adjustRightInd w:val="0"/>
        <w:snapToGrid w:val="0"/>
        <w:spacing w:line="360" w:lineRule="exact"/>
        <w:ind w:firstLine="420" w:firstLineChars="200"/>
        <w:jc w:val="left"/>
        <w:rPr>
          <w:rFonts w:ascii="宋体" w:hAnsi="宋体" w:cs="宋体"/>
          <w:b/>
          <w:bCs/>
          <w:color w:val="auto"/>
          <w:highlight w:val="none"/>
        </w:rPr>
      </w:pPr>
      <w:r>
        <w:rPr>
          <w:rFonts w:hint="eastAsia" w:ascii="宋体" w:hAnsi="宋体" w:cs="宋体"/>
          <w:color w:val="auto"/>
          <w:highlight w:val="none"/>
        </w:rPr>
        <w:t>关于延期最长不得超过：</w:t>
      </w:r>
      <w:r>
        <w:rPr>
          <w:rFonts w:hint="eastAsia" w:ascii="宋体" w:hAnsi="宋体" w:cs="宋体"/>
          <w:color w:val="auto"/>
          <w:highlight w:val="none"/>
          <w:u w:val="single"/>
        </w:rPr>
        <w:t xml:space="preserve"> </w:t>
      </w:r>
      <w:r>
        <w:rPr>
          <w:rFonts w:hint="eastAsia" w:ascii="宋体" w:hAnsi="宋体" w:cs="宋体"/>
          <w:b/>
          <w:bCs/>
          <w:color w:val="auto"/>
          <w:highlight w:val="none"/>
          <w:u w:val="single"/>
          <w:lang w:val="en-US" w:eastAsia="zh-CN"/>
        </w:rPr>
        <w:t>/</w:t>
      </w:r>
      <w:r>
        <w:rPr>
          <w:rFonts w:hint="eastAsia" w:ascii="宋体" w:hAnsi="宋体" w:cs="宋体"/>
          <w:b/>
          <w:bCs/>
          <w:color w:val="auto"/>
          <w:highlight w:val="none"/>
          <w:u w:val="single"/>
        </w:rPr>
        <w:t xml:space="preserve"> </w:t>
      </w:r>
      <w:r>
        <w:rPr>
          <w:rFonts w:hint="eastAsia" w:ascii="宋体" w:hAnsi="宋体" w:cs="宋体"/>
          <w:color w:val="auto"/>
          <w:highlight w:val="none"/>
        </w:rPr>
        <w:t>小时。</w:t>
      </w:r>
    </w:p>
    <w:p w14:paraId="484985B6">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13.2 竣工验收</w:t>
      </w:r>
    </w:p>
    <w:p w14:paraId="479B845D">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13.2.1竣工验收程序</w:t>
      </w:r>
    </w:p>
    <w:p w14:paraId="3431B72E">
      <w:pPr>
        <w:pStyle w:val="104"/>
        <w:adjustRightInd w:val="0"/>
        <w:snapToGrid w:val="0"/>
        <w:spacing w:line="360" w:lineRule="exact"/>
        <w:ind w:left="4200" w:hanging="4200" w:hangingChars="2000"/>
        <w:jc w:val="left"/>
        <w:rPr>
          <w:rFonts w:ascii="宋体" w:hAnsi="宋体" w:cs="宋体"/>
          <w:color w:val="auto"/>
          <w:highlight w:val="none"/>
        </w:rPr>
      </w:pPr>
      <w:r>
        <w:rPr>
          <w:rFonts w:hint="eastAsia" w:ascii="宋体" w:hAnsi="宋体" w:cs="宋体"/>
          <w:color w:val="auto"/>
          <w:kern w:val="0"/>
          <w:highlight w:val="none"/>
        </w:rPr>
        <w:t xml:space="preserve">    关于竣工验收程序的约定：</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合同内容完成后由承包人提交书面申请，发包人组织验收。</w:t>
      </w:r>
    </w:p>
    <w:p w14:paraId="724D3FEB">
      <w:pPr>
        <w:pStyle w:val="104"/>
        <w:adjustRightInd w:val="0"/>
        <w:snapToGrid w:val="0"/>
        <w:spacing w:line="360" w:lineRule="exact"/>
        <w:ind w:firstLine="420" w:firstLineChars="200"/>
        <w:jc w:val="left"/>
        <w:rPr>
          <w:rFonts w:ascii="宋体" w:hAnsi="宋体" w:cs="宋体"/>
          <w:b/>
          <w:bCs/>
          <w:color w:val="auto"/>
          <w:highlight w:val="none"/>
          <w:u w:val="single"/>
        </w:rPr>
      </w:pPr>
      <w:r>
        <w:rPr>
          <w:rFonts w:hint="eastAsia" w:ascii="宋体" w:hAnsi="宋体" w:cs="宋体"/>
          <w:color w:val="auto"/>
          <w:kern w:val="0"/>
          <w:highlight w:val="none"/>
        </w:rPr>
        <w:t>发包人不按照本项约定组织竣工验收、颁发工程接收证书的违约金的计算方法：</w:t>
      </w:r>
      <w:r>
        <w:rPr>
          <w:rFonts w:hint="eastAsia" w:ascii="宋体" w:hAnsi="宋体" w:cs="宋体"/>
          <w:b/>
          <w:bCs/>
          <w:color w:val="auto"/>
          <w:highlight w:val="none"/>
          <w:u w:val="single"/>
        </w:rPr>
        <w:t>/</w:t>
      </w:r>
      <w:r>
        <w:rPr>
          <w:rFonts w:hint="eastAsia" w:ascii="宋体" w:hAnsi="宋体" w:cs="宋体"/>
          <w:b/>
          <w:bCs/>
          <w:color w:val="auto"/>
          <w:highlight w:val="none"/>
        </w:rPr>
        <w:t>。</w:t>
      </w:r>
    </w:p>
    <w:p w14:paraId="1899FCE8">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13.2.2移交、接收全部与部分工程</w:t>
      </w:r>
    </w:p>
    <w:p w14:paraId="6687FE5C">
      <w:pPr>
        <w:pStyle w:val="104"/>
        <w:autoSpaceDE w:val="0"/>
        <w:autoSpaceDN w:val="0"/>
        <w:adjustRightInd w:val="0"/>
        <w:snapToGrid w:val="0"/>
        <w:spacing w:line="360" w:lineRule="exact"/>
        <w:ind w:firstLine="420" w:firstLineChars="200"/>
        <w:jc w:val="left"/>
        <w:rPr>
          <w:rFonts w:ascii="宋体" w:hAnsi="宋体" w:cs="宋体"/>
          <w:b/>
          <w:bCs/>
          <w:color w:val="auto"/>
          <w:highlight w:val="none"/>
          <w:u w:val="single"/>
        </w:rPr>
      </w:pPr>
      <w:r>
        <w:rPr>
          <w:rFonts w:hint="eastAsia" w:ascii="宋体" w:hAnsi="宋体" w:cs="宋体"/>
          <w:color w:val="auto"/>
          <w:kern w:val="0"/>
          <w:highlight w:val="none"/>
        </w:rPr>
        <w:t>承包人向发包人移交工程的期限：</w:t>
      </w:r>
      <w:r>
        <w:rPr>
          <w:rFonts w:hint="eastAsia" w:ascii="宋体" w:hAnsi="宋体" w:cs="宋体"/>
          <w:b/>
          <w:bCs/>
          <w:color w:val="auto"/>
          <w:highlight w:val="none"/>
          <w:u w:val="single"/>
        </w:rPr>
        <w:t>竣工验收合格后7天内完成工程的移交。</w:t>
      </w:r>
    </w:p>
    <w:p w14:paraId="0A360477">
      <w:pPr>
        <w:pStyle w:val="104"/>
        <w:autoSpaceDE w:val="0"/>
        <w:autoSpaceDN w:val="0"/>
        <w:adjustRightInd w:val="0"/>
        <w:snapToGrid w:val="0"/>
        <w:spacing w:line="360" w:lineRule="exact"/>
        <w:ind w:firstLine="420" w:firstLineChars="200"/>
        <w:jc w:val="left"/>
        <w:rPr>
          <w:rFonts w:ascii="宋体" w:hAnsi="宋体" w:cs="宋体"/>
          <w:color w:val="auto"/>
          <w:kern w:val="0"/>
          <w:highlight w:val="none"/>
          <w:u w:val="single"/>
        </w:rPr>
      </w:pPr>
      <w:r>
        <w:rPr>
          <w:rFonts w:hint="eastAsia" w:ascii="宋体" w:hAnsi="宋体" w:cs="宋体"/>
          <w:color w:val="auto"/>
          <w:kern w:val="0"/>
          <w:highlight w:val="none"/>
        </w:rPr>
        <w:t>发包人未按本合同约定接收全部或部分工程的，违约金的计算方法为：</w:t>
      </w:r>
      <w:r>
        <w:rPr>
          <w:rFonts w:hint="eastAsia" w:ascii="宋体" w:hAnsi="宋体" w:cs="宋体"/>
          <w:b/>
          <w:bCs/>
          <w:color w:val="auto"/>
          <w:highlight w:val="none"/>
          <w:u w:val="single"/>
        </w:rPr>
        <w:t>/</w:t>
      </w:r>
      <w:r>
        <w:rPr>
          <w:rFonts w:hint="eastAsia" w:ascii="宋体" w:hAnsi="宋体" w:cs="宋体"/>
          <w:b/>
          <w:bCs/>
          <w:color w:val="auto"/>
          <w:highlight w:val="none"/>
        </w:rPr>
        <w:t>。</w:t>
      </w:r>
    </w:p>
    <w:p w14:paraId="5555F211">
      <w:pPr>
        <w:pStyle w:val="104"/>
        <w:adjustRightInd w:val="0"/>
        <w:snapToGrid w:val="0"/>
        <w:spacing w:line="360" w:lineRule="exact"/>
        <w:jc w:val="left"/>
        <w:rPr>
          <w:rFonts w:ascii="宋体" w:hAnsi="宋体" w:cs="宋体"/>
          <w:b/>
          <w:bCs/>
          <w:color w:val="auto"/>
          <w:highlight w:val="none"/>
          <w:u w:val="single"/>
        </w:rPr>
      </w:pPr>
      <w:r>
        <w:rPr>
          <w:rFonts w:hint="eastAsia" w:ascii="宋体" w:hAnsi="宋体" w:cs="宋体"/>
          <w:color w:val="auto"/>
          <w:highlight w:val="none"/>
        </w:rPr>
        <w:t xml:space="preserve">    承包人未按时移交工程的，违约金的计算方法为：</w:t>
      </w:r>
      <w:r>
        <w:rPr>
          <w:rFonts w:hint="eastAsia" w:ascii="宋体" w:hAnsi="宋体" w:cs="宋体"/>
          <w:b/>
          <w:bCs/>
          <w:color w:val="auto"/>
          <w:highlight w:val="none"/>
          <w:u w:val="single"/>
        </w:rPr>
        <w:t xml:space="preserve">承担违约责任，每延期一天按合同总价的万分之五向发包人支付违约金，在工程结算审定款中扣除。  </w:t>
      </w:r>
    </w:p>
    <w:p w14:paraId="5D344FCA">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13.3 工程试车</w:t>
      </w:r>
    </w:p>
    <w:p w14:paraId="3AE5DB83">
      <w:pPr>
        <w:pStyle w:val="104"/>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13.3.1 试车程序</w:t>
      </w:r>
    </w:p>
    <w:p w14:paraId="1F231658">
      <w:pPr>
        <w:pStyle w:val="104"/>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工程试车内容：</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试车内容应与承包人承包范围相一致，试车费用由承包人承担。  </w:t>
      </w:r>
    </w:p>
    <w:p w14:paraId="201CFB12">
      <w:pPr>
        <w:pStyle w:val="104"/>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（1）单机无负荷试车费用由</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 承包人 </w:t>
      </w:r>
      <w:r>
        <w:rPr>
          <w:rFonts w:hint="eastAsia" w:ascii="宋体" w:hAnsi="宋体" w:cs="宋体"/>
          <w:color w:val="auto"/>
          <w:highlight w:val="none"/>
          <w:u w:val="single"/>
        </w:rPr>
        <w:t xml:space="preserve">   </w:t>
      </w:r>
      <w:r>
        <w:rPr>
          <w:rFonts w:hint="eastAsia" w:ascii="宋体" w:hAnsi="宋体" w:cs="宋体"/>
          <w:color w:val="auto"/>
          <w:kern w:val="0"/>
          <w:highlight w:val="none"/>
        </w:rPr>
        <w:t>承担；</w:t>
      </w:r>
    </w:p>
    <w:p w14:paraId="12D8B7DC">
      <w:pPr>
        <w:pStyle w:val="104"/>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（2）无负荷联动试车费用由</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 承包人 </w:t>
      </w:r>
      <w:r>
        <w:rPr>
          <w:rFonts w:hint="eastAsia" w:ascii="宋体" w:hAnsi="宋体" w:cs="宋体"/>
          <w:color w:val="auto"/>
          <w:highlight w:val="none"/>
          <w:u w:val="single"/>
        </w:rPr>
        <w:t xml:space="preserve">   </w:t>
      </w:r>
      <w:r>
        <w:rPr>
          <w:rFonts w:hint="eastAsia" w:ascii="宋体" w:hAnsi="宋体" w:cs="宋体"/>
          <w:color w:val="auto"/>
          <w:kern w:val="0"/>
          <w:highlight w:val="none"/>
        </w:rPr>
        <w:t>承担。</w:t>
      </w:r>
    </w:p>
    <w:p w14:paraId="1F122FFE">
      <w:pPr>
        <w:pStyle w:val="104"/>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13.3.2 投料试车</w:t>
      </w:r>
    </w:p>
    <w:p w14:paraId="17C7D82D">
      <w:pPr>
        <w:pStyle w:val="104"/>
        <w:adjustRightInd w:val="0"/>
        <w:snapToGrid w:val="0"/>
        <w:spacing w:line="360" w:lineRule="exact"/>
        <w:ind w:firstLine="420" w:firstLineChars="200"/>
        <w:jc w:val="left"/>
        <w:rPr>
          <w:rFonts w:ascii="宋体" w:hAnsi="宋体" w:cs="宋体"/>
          <w:b/>
          <w:bCs/>
          <w:color w:val="auto"/>
          <w:highlight w:val="none"/>
          <w:u w:val="single"/>
        </w:rPr>
      </w:pPr>
      <w:r>
        <w:rPr>
          <w:rFonts w:hint="eastAsia" w:ascii="宋体" w:hAnsi="宋体" w:cs="宋体"/>
          <w:color w:val="auto"/>
          <w:kern w:val="0"/>
          <w:highlight w:val="none"/>
        </w:rPr>
        <w:t>关于投料试车相关事项的约定：</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按通用合同条款第13.3.3条规定执行。</w:t>
      </w:r>
    </w:p>
    <w:p w14:paraId="68BCF2F6">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13.4 竣工退场</w:t>
      </w:r>
    </w:p>
    <w:p w14:paraId="33C1C58C">
      <w:pPr>
        <w:pStyle w:val="104"/>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13.4.1 竣工退场</w:t>
      </w:r>
    </w:p>
    <w:p w14:paraId="2BC46134">
      <w:pPr>
        <w:pStyle w:val="104"/>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承包人完成竣工退场的期限：</w:t>
      </w:r>
      <w:r>
        <w:rPr>
          <w:rFonts w:hint="eastAsia" w:ascii="宋体" w:hAnsi="宋体" w:cs="宋体"/>
          <w:b/>
          <w:bCs/>
          <w:color w:val="auto"/>
          <w:highlight w:val="none"/>
          <w:u w:val="single"/>
        </w:rPr>
        <w:t xml:space="preserve"> 竣工验收合格后15天内清退全部临时设施、建筑材料、机械设备及建筑垃圾等</w:t>
      </w:r>
      <w:r>
        <w:rPr>
          <w:rFonts w:hint="eastAsia" w:ascii="宋体" w:hAnsi="宋体" w:cs="宋体"/>
          <w:b/>
          <w:bCs/>
          <w:color w:val="auto"/>
          <w:kern w:val="0"/>
          <w:highlight w:val="none"/>
        </w:rPr>
        <w:t>。</w:t>
      </w:r>
    </w:p>
    <w:p w14:paraId="27D1DD76">
      <w:pPr>
        <w:pStyle w:val="127"/>
        <w:adjustRightInd w:val="0"/>
        <w:snapToGrid w:val="0"/>
        <w:spacing w:before="0" w:after="0" w:line="360" w:lineRule="exact"/>
        <w:ind w:firstLine="42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14. 竣工结算</w:t>
      </w:r>
    </w:p>
    <w:p w14:paraId="3929BBFA">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14.1 竣工付款申请</w:t>
      </w:r>
    </w:p>
    <w:p w14:paraId="111D43EF">
      <w:pPr>
        <w:pStyle w:val="104"/>
        <w:autoSpaceDE w:val="0"/>
        <w:autoSpaceDN w:val="0"/>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承包人提交竣工付款申请单的期限：</w:t>
      </w:r>
      <w:r>
        <w:rPr>
          <w:rFonts w:hint="eastAsia" w:ascii="宋体" w:hAnsi="宋体" w:cs="宋体"/>
          <w:b/>
          <w:bCs/>
          <w:color w:val="auto"/>
          <w:highlight w:val="none"/>
          <w:u w:val="single"/>
        </w:rPr>
        <w:t>在工程竣工验收合格并提交以下资料后30日历天内。</w:t>
      </w:r>
    </w:p>
    <w:p w14:paraId="2AC3E0B2">
      <w:pPr>
        <w:pStyle w:val="104"/>
        <w:autoSpaceDE w:val="0"/>
        <w:autoSpaceDN w:val="0"/>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竣工付款申请单应包括的内容：</w:t>
      </w:r>
    </w:p>
    <w:p w14:paraId="378FE155">
      <w:pPr>
        <w:pStyle w:val="104"/>
        <w:autoSpaceDE w:val="0"/>
        <w:autoSpaceDN w:val="0"/>
        <w:adjustRightInd w:val="0"/>
        <w:snapToGrid w:val="0"/>
        <w:spacing w:line="360" w:lineRule="exact"/>
        <w:ind w:firstLine="422" w:firstLineChars="200"/>
        <w:jc w:val="left"/>
        <w:rPr>
          <w:rFonts w:ascii="宋体" w:hAnsi="宋体" w:cs="宋体"/>
          <w:b/>
          <w:bCs/>
          <w:color w:val="auto"/>
          <w:highlight w:val="none"/>
          <w:u w:val="single"/>
        </w:rPr>
      </w:pPr>
      <w:r>
        <w:rPr>
          <w:rFonts w:hint="eastAsia" w:ascii="宋体" w:hAnsi="宋体" w:cs="宋体"/>
          <w:b/>
          <w:bCs/>
          <w:color w:val="auto"/>
          <w:highlight w:val="none"/>
          <w:u w:val="single"/>
        </w:rPr>
        <w:t>（1）工程结算书；</w:t>
      </w:r>
    </w:p>
    <w:p w14:paraId="25C45D76">
      <w:pPr>
        <w:pStyle w:val="104"/>
        <w:autoSpaceDE w:val="0"/>
        <w:autoSpaceDN w:val="0"/>
        <w:adjustRightInd w:val="0"/>
        <w:snapToGrid w:val="0"/>
        <w:spacing w:line="360" w:lineRule="exact"/>
        <w:ind w:firstLine="422" w:firstLineChars="200"/>
        <w:jc w:val="left"/>
        <w:rPr>
          <w:rFonts w:ascii="宋体" w:hAnsi="宋体" w:cs="宋体"/>
          <w:b/>
          <w:bCs/>
          <w:color w:val="auto"/>
          <w:highlight w:val="none"/>
          <w:u w:val="single"/>
        </w:rPr>
      </w:pPr>
      <w:r>
        <w:rPr>
          <w:rFonts w:hint="eastAsia" w:ascii="宋体" w:hAnsi="宋体" w:cs="宋体"/>
          <w:b/>
          <w:bCs/>
          <w:color w:val="auto"/>
          <w:highlight w:val="none"/>
          <w:u w:val="single"/>
        </w:rPr>
        <w:t>（2）纸质竣工图纸、技术资料各3套及电子版(光盘)竣工图2套等相关资料</w:t>
      </w:r>
      <w:r>
        <w:rPr>
          <w:rFonts w:hint="eastAsia"/>
          <w:b/>
          <w:bCs/>
          <w:color w:val="auto"/>
          <w:highlight w:val="none"/>
        </w:rPr>
        <w:t>（该项目如有施工设计图纸，则需要提供）</w:t>
      </w:r>
    </w:p>
    <w:p w14:paraId="79423AB3">
      <w:pPr>
        <w:pStyle w:val="104"/>
        <w:autoSpaceDE w:val="0"/>
        <w:autoSpaceDN w:val="0"/>
        <w:adjustRightInd w:val="0"/>
        <w:snapToGrid w:val="0"/>
        <w:spacing w:line="360" w:lineRule="exact"/>
        <w:ind w:firstLine="422" w:firstLineChars="200"/>
        <w:jc w:val="left"/>
        <w:rPr>
          <w:rFonts w:ascii="宋体" w:hAnsi="宋体" w:cs="宋体"/>
          <w:b/>
          <w:bCs/>
          <w:color w:val="auto"/>
          <w:highlight w:val="none"/>
          <w:u w:val="single"/>
        </w:rPr>
      </w:pPr>
      <w:r>
        <w:rPr>
          <w:rFonts w:hint="eastAsia" w:ascii="宋体" w:hAnsi="宋体" w:cs="宋体"/>
          <w:b/>
          <w:bCs/>
          <w:color w:val="auto"/>
          <w:highlight w:val="none"/>
          <w:u w:val="single"/>
        </w:rPr>
        <w:t>（3）发包人应支付承包人的价款。</w:t>
      </w:r>
    </w:p>
    <w:p w14:paraId="7CD2E620">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14.2 竣工结算审核</w:t>
      </w:r>
    </w:p>
    <w:p w14:paraId="41D358A1">
      <w:pPr>
        <w:pStyle w:val="104"/>
        <w:adjustRightInd w:val="0"/>
        <w:snapToGrid w:val="0"/>
        <w:spacing w:line="360" w:lineRule="exact"/>
        <w:ind w:firstLine="420" w:firstLineChars="200"/>
        <w:jc w:val="left"/>
        <w:rPr>
          <w:rFonts w:ascii="宋体" w:hAnsi="宋体" w:cs="宋体"/>
          <w:b/>
          <w:bCs/>
          <w:color w:val="auto"/>
          <w:highlight w:val="none"/>
          <w:u w:val="single"/>
        </w:rPr>
      </w:pPr>
      <w:r>
        <w:rPr>
          <w:rFonts w:hint="eastAsia" w:ascii="宋体" w:hAnsi="宋体" w:cs="宋体"/>
          <w:color w:val="auto"/>
          <w:highlight w:val="none"/>
        </w:rPr>
        <w:t>发包人审批竣工付款申请单的期限：</w:t>
      </w:r>
      <w:r>
        <w:rPr>
          <w:rFonts w:hint="eastAsia" w:ascii="宋体" w:hAnsi="宋体" w:cs="宋体"/>
          <w:b/>
          <w:bCs/>
          <w:color w:val="auto"/>
          <w:highlight w:val="none"/>
          <w:u w:val="single"/>
        </w:rPr>
        <w:t>在收到承包人提交的全部资料后14天内。</w:t>
      </w:r>
    </w:p>
    <w:p w14:paraId="63FBEDD4">
      <w:pPr>
        <w:spacing w:line="360" w:lineRule="exact"/>
        <w:ind w:firstLine="420" w:firstLineChars="200"/>
        <w:rPr>
          <w:color w:val="auto"/>
          <w:sz w:val="21"/>
          <w:szCs w:val="21"/>
          <w:highlight w:val="none"/>
        </w:rPr>
      </w:pPr>
      <w:r>
        <w:rPr>
          <w:rFonts w:hint="eastAsia"/>
          <w:color w:val="auto"/>
          <w:sz w:val="21"/>
          <w:highlight w:val="none"/>
        </w:rPr>
        <w:t>发包人完成竣工付款的期限：</w:t>
      </w:r>
      <w:r>
        <w:rPr>
          <w:rFonts w:hint="eastAsia"/>
          <w:b/>
          <w:bCs/>
          <w:color w:val="auto"/>
          <w:sz w:val="21"/>
          <w:szCs w:val="21"/>
          <w:highlight w:val="none"/>
          <w:u w:val="single"/>
        </w:rPr>
        <w:t>在签发竣工付款证书后的14天内。</w:t>
      </w:r>
    </w:p>
    <w:p w14:paraId="52DFD9F2">
      <w:pPr>
        <w:spacing w:line="360" w:lineRule="exact"/>
        <w:ind w:firstLine="420" w:firstLineChars="200"/>
        <w:rPr>
          <w:color w:val="auto"/>
          <w:sz w:val="21"/>
          <w:highlight w:val="none"/>
        </w:rPr>
      </w:pPr>
      <w:r>
        <w:rPr>
          <w:rFonts w:hint="eastAsia"/>
          <w:color w:val="auto"/>
          <w:sz w:val="21"/>
          <w:highlight w:val="none"/>
        </w:rPr>
        <w:t>关于竣工付款证书异议部分复核的方式和程序：</w:t>
      </w:r>
      <w:r>
        <w:rPr>
          <w:rFonts w:hint="eastAsia"/>
          <w:color w:val="auto"/>
          <w:highlight w:val="none"/>
          <w:u w:val="single"/>
        </w:rPr>
        <w:t>/。</w:t>
      </w:r>
    </w:p>
    <w:p w14:paraId="70B90362">
      <w:pPr>
        <w:pStyle w:val="127"/>
        <w:adjustRightInd w:val="0"/>
        <w:snapToGrid w:val="0"/>
        <w:spacing w:before="0" w:after="0" w:line="360" w:lineRule="exact"/>
        <w:ind w:firstLine="42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15. 缺陷责任期与保修</w:t>
      </w:r>
    </w:p>
    <w:p w14:paraId="04C3CB14">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15.1缺陷责任期</w:t>
      </w:r>
    </w:p>
    <w:p w14:paraId="66527722">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缺陷责任期的具体期限：</w:t>
      </w:r>
      <w:r>
        <w:rPr>
          <w:rFonts w:hint="eastAsia" w:ascii="宋体" w:hAnsi="宋体" w:cs="宋体"/>
          <w:b/>
          <w:bCs/>
          <w:color w:val="auto"/>
          <w:highlight w:val="none"/>
          <w:u w:val="single"/>
        </w:rPr>
        <w:t xml:space="preserve"> 24个月</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4B14E63">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15.2 质量保证金</w:t>
      </w:r>
    </w:p>
    <w:p w14:paraId="2118E92F">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关于是否扣留质量保证金的约定：</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是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3B672E9">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在工程项目竣工前，承包人按专用合同条款第3.7条提供履约担保的，发包人不得同时预留工程质量保证金</w:t>
      </w:r>
    </w:p>
    <w:p w14:paraId="19632F63">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15.2.1 承包人提供质量保证金的方式</w:t>
      </w:r>
    </w:p>
    <w:p w14:paraId="0D1D9B2C">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质量保证金采用以下第</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（3）</w:t>
      </w:r>
      <w:r>
        <w:rPr>
          <w:rFonts w:hint="eastAsia" w:ascii="宋体" w:hAnsi="宋体" w:cs="宋体"/>
          <w:color w:val="auto"/>
          <w:highlight w:val="none"/>
          <w:u w:val="single"/>
        </w:rPr>
        <w:t xml:space="preserve">   </w:t>
      </w:r>
      <w:r>
        <w:rPr>
          <w:rFonts w:hint="eastAsia" w:ascii="宋体" w:hAnsi="宋体" w:cs="宋体"/>
          <w:color w:val="auto"/>
          <w:highlight w:val="none"/>
        </w:rPr>
        <w:t>种方式：</w:t>
      </w:r>
    </w:p>
    <w:p w14:paraId="43D68EEC">
      <w:pPr>
        <w:pStyle w:val="104"/>
        <w:autoSpaceDE w:val="0"/>
        <w:autoSpaceDN w:val="0"/>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（1）质量保证金保函，保证金额为：</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 xml:space="preserve">； </w:t>
      </w:r>
    </w:p>
    <w:p w14:paraId="1935C675">
      <w:pPr>
        <w:pStyle w:val="104"/>
        <w:autoSpaceDE w:val="0"/>
        <w:autoSpaceDN w:val="0"/>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（2）</w:t>
      </w:r>
      <w:r>
        <w:rPr>
          <w:rFonts w:hint="eastAsia" w:ascii="宋体" w:hAnsi="宋体" w:cs="宋体"/>
          <w:color w:val="auto"/>
          <w:kern w:val="0"/>
          <w:highlight w:val="none"/>
          <w:u w:val="single"/>
        </w:rPr>
        <w:t xml:space="preserve">  </w:t>
      </w:r>
      <w:r>
        <w:rPr>
          <w:rFonts w:hint="eastAsia" w:ascii="宋体" w:hAnsi="宋体" w:cs="宋体"/>
          <w:b/>
          <w:bCs/>
          <w:color w:val="auto"/>
          <w:kern w:val="0"/>
          <w:highlight w:val="none"/>
          <w:u w:val="single"/>
        </w:rPr>
        <w:t xml:space="preserve"> </w:t>
      </w:r>
      <w:r>
        <w:rPr>
          <w:rFonts w:hint="eastAsia" w:ascii="宋体" w:hAnsi="宋体" w:cs="宋体"/>
          <w:color w:val="auto"/>
          <w:kern w:val="0"/>
          <w:highlight w:val="none"/>
          <w:u w:val="single"/>
        </w:rPr>
        <w:t>/</w:t>
      </w:r>
      <w:r>
        <w:rPr>
          <w:rFonts w:hint="eastAsia" w:ascii="宋体" w:hAnsi="宋体" w:cs="宋体"/>
          <w:b/>
          <w:bCs/>
          <w:color w:val="auto"/>
          <w:kern w:val="0"/>
          <w:highlight w:val="none"/>
          <w:u w:val="single"/>
        </w:rPr>
        <w:t xml:space="preserve"> </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%的工程款；</w:t>
      </w:r>
    </w:p>
    <w:p w14:paraId="3F0B3E5C">
      <w:pPr>
        <w:pStyle w:val="104"/>
        <w:autoSpaceDE w:val="0"/>
        <w:autoSpaceDN w:val="0"/>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 xml:space="preserve">（3）其他方式: </w:t>
      </w:r>
      <w:r>
        <w:rPr>
          <w:rFonts w:hint="eastAsia" w:ascii="宋体" w:hAnsi="宋体" w:cs="宋体"/>
          <w:color w:val="auto"/>
          <w:kern w:val="0"/>
          <w:highlight w:val="none"/>
          <w:u w:val="single"/>
        </w:rPr>
        <w:t>履约保证金自动转为质保金</w:t>
      </w:r>
      <w:r>
        <w:rPr>
          <w:rFonts w:hint="eastAsia" w:ascii="宋体" w:hAnsi="宋体" w:cs="宋体"/>
          <w:color w:val="auto"/>
          <w:kern w:val="0"/>
          <w:highlight w:val="none"/>
        </w:rPr>
        <w:t xml:space="preserve"> 。</w:t>
      </w:r>
    </w:p>
    <w:p w14:paraId="2D6430AE">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15.3保修</w:t>
      </w:r>
    </w:p>
    <w:p w14:paraId="77AC5435">
      <w:pPr>
        <w:pStyle w:val="104"/>
        <w:adjustRightInd w:val="0"/>
        <w:snapToGrid w:val="0"/>
        <w:spacing w:line="360" w:lineRule="exact"/>
        <w:ind w:firstLine="409" w:firstLineChars="195"/>
        <w:jc w:val="left"/>
        <w:rPr>
          <w:rFonts w:ascii="宋体" w:hAnsi="宋体" w:cs="宋体"/>
          <w:color w:val="auto"/>
          <w:highlight w:val="none"/>
        </w:rPr>
      </w:pPr>
      <w:r>
        <w:rPr>
          <w:rFonts w:hint="eastAsia" w:ascii="宋体" w:hAnsi="宋体" w:cs="宋体"/>
          <w:color w:val="auto"/>
          <w:highlight w:val="none"/>
        </w:rPr>
        <w:t>15.3.1 保修责任</w:t>
      </w:r>
    </w:p>
    <w:p w14:paraId="29275CA8">
      <w:pPr>
        <w:pStyle w:val="104"/>
        <w:adjustRightInd w:val="0"/>
        <w:snapToGrid w:val="0"/>
        <w:spacing w:line="360" w:lineRule="exact"/>
        <w:jc w:val="left"/>
        <w:rPr>
          <w:rFonts w:ascii="宋体" w:hAnsi="宋体" w:cs="宋体"/>
          <w:color w:val="auto"/>
          <w:kern w:val="0"/>
          <w:highlight w:val="none"/>
        </w:rPr>
      </w:pPr>
      <w:r>
        <w:rPr>
          <w:rFonts w:hint="eastAsia" w:ascii="宋体" w:hAnsi="宋体" w:cs="宋体"/>
          <w:color w:val="auto"/>
          <w:highlight w:val="none"/>
        </w:rPr>
        <w:t xml:space="preserve">    工程保修期为：</w:t>
      </w:r>
      <w:r>
        <w:rPr>
          <w:rFonts w:hint="eastAsia" w:ascii="宋体" w:hAnsi="宋体" w:cs="宋体"/>
          <w:b/>
          <w:bCs/>
          <w:color w:val="auto"/>
          <w:highlight w:val="none"/>
          <w:u w:val="single"/>
        </w:rPr>
        <w:t>按工程质量保修书规定执行。</w:t>
      </w:r>
    </w:p>
    <w:p w14:paraId="661A65FB">
      <w:pPr>
        <w:pStyle w:val="104"/>
        <w:adjustRightInd w:val="0"/>
        <w:snapToGrid w:val="0"/>
        <w:spacing w:line="360" w:lineRule="exact"/>
        <w:ind w:firstLine="409" w:firstLineChars="195"/>
        <w:jc w:val="left"/>
        <w:rPr>
          <w:rFonts w:ascii="宋体" w:hAnsi="宋体" w:cs="宋体"/>
          <w:color w:val="auto"/>
          <w:highlight w:val="none"/>
        </w:rPr>
      </w:pPr>
      <w:r>
        <w:rPr>
          <w:rFonts w:hint="eastAsia" w:ascii="宋体" w:hAnsi="宋体" w:cs="宋体"/>
          <w:color w:val="auto"/>
          <w:highlight w:val="none"/>
        </w:rPr>
        <w:t>15.3.2 修复通知</w:t>
      </w:r>
    </w:p>
    <w:p w14:paraId="1DC73CEE">
      <w:pPr>
        <w:pStyle w:val="104"/>
        <w:adjustRightInd w:val="0"/>
        <w:snapToGrid w:val="0"/>
        <w:spacing w:line="360" w:lineRule="exact"/>
        <w:jc w:val="left"/>
        <w:rPr>
          <w:rFonts w:ascii="宋体" w:hAnsi="宋体" w:cs="宋体"/>
          <w:color w:val="auto"/>
          <w:kern w:val="0"/>
          <w:highlight w:val="none"/>
        </w:rPr>
      </w:pPr>
      <w:r>
        <w:rPr>
          <w:rFonts w:hint="eastAsia" w:ascii="宋体" w:hAnsi="宋体" w:cs="宋体"/>
          <w:color w:val="auto"/>
          <w:kern w:val="0"/>
          <w:highlight w:val="none"/>
        </w:rPr>
        <w:t xml:space="preserve">    承包人收到保修通知并到达工程现场的合理时间：</w:t>
      </w:r>
      <w:r>
        <w:rPr>
          <w:rFonts w:hint="eastAsia" w:ascii="宋体" w:hAnsi="宋体" w:cs="宋体"/>
          <w:color w:val="auto"/>
          <w:kern w:val="0"/>
          <w:highlight w:val="none"/>
          <w:u w:val="single"/>
        </w:rPr>
        <w:t xml:space="preserve"> </w:t>
      </w:r>
      <w:r>
        <w:rPr>
          <w:rFonts w:hint="eastAsia" w:ascii="宋体" w:hAnsi="宋体" w:cs="宋体"/>
          <w:b/>
          <w:bCs/>
          <w:color w:val="auto"/>
          <w:highlight w:val="none"/>
          <w:u w:val="single"/>
        </w:rPr>
        <w:t xml:space="preserve"> 2日内。</w:t>
      </w:r>
    </w:p>
    <w:p w14:paraId="7F793BC4">
      <w:pPr>
        <w:pStyle w:val="127"/>
        <w:adjustRightInd w:val="0"/>
        <w:snapToGrid w:val="0"/>
        <w:spacing w:before="0" w:after="0" w:line="360" w:lineRule="exact"/>
        <w:ind w:firstLine="420"/>
        <w:jc w:val="center"/>
        <w:rPr>
          <w:rFonts w:ascii="宋体" w:hAnsi="宋体" w:eastAsia="宋体" w:cs="宋体"/>
          <w:color w:val="auto"/>
          <w:sz w:val="21"/>
          <w:szCs w:val="21"/>
          <w:highlight w:val="none"/>
        </w:rPr>
      </w:pPr>
      <w:r>
        <w:rPr>
          <w:rFonts w:hint="eastAsia" w:ascii="宋体" w:hAnsi="宋体" w:eastAsia="宋体" w:cs="宋体"/>
          <w:b/>
          <w:bCs/>
          <w:color w:val="auto"/>
          <w:sz w:val="24"/>
          <w:highlight w:val="none"/>
        </w:rPr>
        <w:t>16. 违约</w:t>
      </w:r>
    </w:p>
    <w:p w14:paraId="68F6CF14">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16.1 发包人违约</w:t>
      </w:r>
    </w:p>
    <w:p w14:paraId="5F731C4A">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16.1.1发包人违约的情形</w:t>
      </w:r>
    </w:p>
    <w:p w14:paraId="5E111D8B">
      <w:pPr>
        <w:pStyle w:val="104"/>
        <w:autoSpaceDE w:val="0"/>
        <w:autoSpaceDN w:val="0"/>
        <w:adjustRightInd w:val="0"/>
        <w:snapToGrid w:val="0"/>
        <w:spacing w:line="360" w:lineRule="exact"/>
        <w:ind w:firstLine="420" w:firstLineChars="200"/>
        <w:jc w:val="left"/>
        <w:rPr>
          <w:rFonts w:ascii="宋体" w:hAnsi="宋体" w:cs="宋体"/>
          <w:b/>
          <w:bCs/>
          <w:color w:val="auto"/>
          <w:highlight w:val="none"/>
          <w:u w:val="single"/>
        </w:rPr>
      </w:pPr>
      <w:r>
        <w:rPr>
          <w:rFonts w:hint="eastAsia" w:ascii="宋体" w:hAnsi="宋体" w:cs="宋体"/>
          <w:color w:val="auto"/>
          <w:kern w:val="0"/>
          <w:highlight w:val="none"/>
        </w:rPr>
        <w:t>发包人违约的其他情形：</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w:t>
      </w:r>
    </w:p>
    <w:p w14:paraId="51A75575">
      <w:pPr>
        <w:pStyle w:val="104"/>
        <w:adjustRightInd w:val="0"/>
        <w:snapToGrid w:val="0"/>
        <w:spacing w:line="360" w:lineRule="exact"/>
        <w:ind w:left="1050" w:hanging="1050" w:hangingChars="500"/>
        <w:jc w:val="left"/>
        <w:rPr>
          <w:rFonts w:ascii="宋体" w:hAnsi="宋体" w:cs="宋体"/>
          <w:color w:val="auto"/>
          <w:kern w:val="0"/>
          <w:highlight w:val="none"/>
        </w:rPr>
      </w:pPr>
      <w:r>
        <w:rPr>
          <w:rFonts w:hint="eastAsia" w:ascii="宋体" w:hAnsi="宋体" w:cs="宋体"/>
          <w:color w:val="auto"/>
          <w:kern w:val="0"/>
          <w:highlight w:val="none"/>
        </w:rPr>
        <w:t xml:space="preserve">    16.1.2 发包人违约的责任</w:t>
      </w:r>
    </w:p>
    <w:p w14:paraId="1B863BED">
      <w:pPr>
        <w:pStyle w:val="104"/>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发包人违约责任的承担方式和计算方法：</w:t>
      </w:r>
    </w:p>
    <w:p w14:paraId="07B5C573">
      <w:pPr>
        <w:pStyle w:val="104"/>
        <w:adjustRightInd w:val="0"/>
        <w:snapToGrid w:val="0"/>
        <w:spacing w:line="360" w:lineRule="exact"/>
        <w:ind w:firstLine="420" w:firstLineChars="200"/>
        <w:jc w:val="left"/>
        <w:rPr>
          <w:rFonts w:ascii="宋体" w:hAnsi="宋体" w:cs="宋体"/>
          <w:color w:val="auto"/>
          <w:highlight w:val="none"/>
          <w:u w:val="single"/>
        </w:rPr>
      </w:pPr>
      <w:r>
        <w:rPr>
          <w:rFonts w:hint="eastAsia" w:ascii="宋体" w:hAnsi="宋体" w:cs="宋体"/>
          <w:color w:val="auto"/>
          <w:kern w:val="0"/>
          <w:highlight w:val="none"/>
        </w:rPr>
        <w:t>（1）因发包人原因未能在计划开工日期前7天内下达开工通知的违约责任：</w:t>
      </w:r>
      <w:r>
        <w:rPr>
          <w:rFonts w:hint="eastAsia" w:ascii="宋体" w:hAnsi="宋体" w:cs="宋体"/>
          <w:color w:val="auto"/>
          <w:kern w:val="0"/>
          <w:highlight w:val="none"/>
          <w:u w:val="single"/>
        </w:rPr>
        <w:t xml:space="preserve"> </w:t>
      </w:r>
      <w:r>
        <w:rPr>
          <w:rFonts w:hint="eastAsia" w:ascii="宋体" w:hAnsi="宋体" w:cs="宋体"/>
          <w:color w:val="auto"/>
          <w:highlight w:val="none"/>
          <w:u w:val="single"/>
        </w:rPr>
        <w:t>/</w:t>
      </w: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p>
    <w:p w14:paraId="636471CA">
      <w:pPr>
        <w:pStyle w:val="104"/>
        <w:adjustRightInd w:val="0"/>
        <w:snapToGrid w:val="0"/>
        <w:spacing w:line="360" w:lineRule="exact"/>
        <w:ind w:firstLine="420" w:firstLineChars="200"/>
        <w:jc w:val="left"/>
        <w:rPr>
          <w:rFonts w:ascii="宋体" w:hAnsi="宋体" w:cs="宋体"/>
          <w:color w:val="auto"/>
          <w:highlight w:val="none"/>
          <w:u w:val="single"/>
        </w:rPr>
      </w:pPr>
      <w:r>
        <w:rPr>
          <w:rFonts w:hint="eastAsia" w:ascii="宋体" w:hAnsi="宋体" w:cs="宋体"/>
          <w:color w:val="auto"/>
          <w:kern w:val="0"/>
          <w:highlight w:val="none"/>
        </w:rPr>
        <w:t>（2）因发包人原因未能按合同约定支付合同价款的违约责任：</w:t>
      </w:r>
      <w:r>
        <w:rPr>
          <w:rFonts w:hint="eastAsia" w:ascii="宋体" w:hAnsi="宋体" w:cs="宋体"/>
          <w:color w:val="auto"/>
          <w:kern w:val="0"/>
          <w:highlight w:val="none"/>
          <w:u w:val="single"/>
        </w:rPr>
        <w:t xml:space="preserve"> </w:t>
      </w:r>
      <w:r>
        <w:rPr>
          <w:rFonts w:hint="eastAsia" w:ascii="宋体" w:hAnsi="宋体" w:cs="宋体"/>
          <w:color w:val="auto"/>
          <w:highlight w:val="none"/>
          <w:u w:val="single"/>
        </w:rPr>
        <w:t xml:space="preserve">/ </w:t>
      </w:r>
    </w:p>
    <w:p w14:paraId="1F6E483F">
      <w:pPr>
        <w:pStyle w:val="104"/>
        <w:autoSpaceDE w:val="0"/>
        <w:autoSpaceDN w:val="0"/>
        <w:adjustRightInd w:val="0"/>
        <w:snapToGrid w:val="0"/>
        <w:spacing w:line="360" w:lineRule="exact"/>
        <w:ind w:firstLine="420" w:firstLineChars="200"/>
        <w:jc w:val="left"/>
        <w:rPr>
          <w:rFonts w:ascii="宋体" w:hAnsi="宋体" w:cs="宋体"/>
          <w:color w:val="auto"/>
          <w:kern w:val="0"/>
          <w:highlight w:val="none"/>
          <w:u w:val="single"/>
        </w:rPr>
      </w:pPr>
      <w:r>
        <w:rPr>
          <w:rFonts w:hint="eastAsia" w:ascii="宋体" w:hAnsi="宋体" w:cs="宋体"/>
          <w:color w:val="auto"/>
          <w:kern w:val="0"/>
          <w:highlight w:val="none"/>
        </w:rPr>
        <w:t>（3）发包人违反第10.1款〔变更的范围〕第（2）项约定，自行实施被取消的工作或转由他人实施的违约责任：</w:t>
      </w:r>
      <w:r>
        <w:rPr>
          <w:rFonts w:hint="eastAsia" w:ascii="宋体" w:hAnsi="宋体" w:cs="宋体"/>
          <w:color w:val="auto"/>
          <w:kern w:val="0"/>
          <w:highlight w:val="none"/>
          <w:u w:val="single"/>
        </w:rPr>
        <w:t xml:space="preserve"> </w:t>
      </w:r>
      <w:r>
        <w:rPr>
          <w:rFonts w:hint="eastAsia" w:ascii="宋体" w:hAnsi="宋体" w:cs="宋体"/>
          <w:color w:val="auto"/>
          <w:highlight w:val="none"/>
          <w:u w:val="single"/>
        </w:rPr>
        <w:t xml:space="preserve">/  </w:t>
      </w:r>
    </w:p>
    <w:p w14:paraId="64D66802">
      <w:pPr>
        <w:pStyle w:val="104"/>
        <w:adjustRightInd w:val="0"/>
        <w:snapToGrid w:val="0"/>
        <w:spacing w:line="360" w:lineRule="exact"/>
        <w:ind w:firstLine="420" w:firstLineChars="200"/>
        <w:jc w:val="left"/>
        <w:rPr>
          <w:rFonts w:ascii="宋体" w:hAnsi="宋体" w:cs="宋体"/>
          <w:color w:val="auto"/>
          <w:highlight w:val="none"/>
          <w:u w:val="single"/>
        </w:rPr>
      </w:pPr>
      <w:r>
        <w:rPr>
          <w:rFonts w:hint="eastAsia" w:ascii="宋体" w:hAnsi="宋体" w:cs="宋体"/>
          <w:color w:val="auto"/>
          <w:kern w:val="0"/>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kern w:val="0"/>
          <w:highlight w:val="none"/>
          <w:u w:val="single"/>
        </w:rPr>
        <w:t xml:space="preserve"> </w:t>
      </w:r>
      <w:r>
        <w:rPr>
          <w:rFonts w:hint="eastAsia" w:ascii="宋体" w:hAnsi="宋体" w:cs="宋体"/>
          <w:color w:val="auto"/>
          <w:highlight w:val="none"/>
          <w:u w:val="single"/>
        </w:rPr>
        <w:t xml:space="preserve">/ </w:t>
      </w:r>
    </w:p>
    <w:p w14:paraId="10610DBD">
      <w:pPr>
        <w:pStyle w:val="104"/>
        <w:autoSpaceDE w:val="0"/>
        <w:autoSpaceDN w:val="0"/>
        <w:adjustRightInd w:val="0"/>
        <w:snapToGrid w:val="0"/>
        <w:spacing w:line="360" w:lineRule="exact"/>
        <w:ind w:firstLine="420" w:firstLineChars="200"/>
        <w:jc w:val="left"/>
        <w:rPr>
          <w:rFonts w:ascii="宋体" w:hAnsi="宋体" w:cs="宋体"/>
          <w:color w:val="auto"/>
          <w:highlight w:val="none"/>
          <w:u w:val="single"/>
        </w:rPr>
      </w:pPr>
      <w:r>
        <w:rPr>
          <w:rFonts w:hint="eastAsia" w:ascii="宋体" w:hAnsi="宋体" w:cs="宋体"/>
          <w:color w:val="auto"/>
          <w:kern w:val="0"/>
          <w:highlight w:val="none"/>
        </w:rPr>
        <w:t>（5）因发包人违反合同约定造成暂停施工的违约责任：</w:t>
      </w:r>
      <w:r>
        <w:rPr>
          <w:rFonts w:hint="eastAsia" w:ascii="宋体" w:hAnsi="宋体" w:cs="宋体"/>
          <w:color w:val="auto"/>
          <w:kern w:val="0"/>
          <w:highlight w:val="none"/>
          <w:u w:val="single"/>
        </w:rPr>
        <w:t xml:space="preserve"> </w:t>
      </w:r>
      <w:r>
        <w:rPr>
          <w:rFonts w:hint="eastAsia" w:ascii="宋体" w:hAnsi="宋体" w:cs="宋体"/>
          <w:color w:val="auto"/>
          <w:highlight w:val="none"/>
          <w:u w:val="single"/>
        </w:rPr>
        <w:t xml:space="preserve">/ </w:t>
      </w:r>
    </w:p>
    <w:p w14:paraId="7658CC8C">
      <w:pPr>
        <w:pStyle w:val="104"/>
        <w:autoSpaceDE w:val="0"/>
        <w:autoSpaceDN w:val="0"/>
        <w:adjustRightInd w:val="0"/>
        <w:snapToGrid w:val="0"/>
        <w:spacing w:line="360" w:lineRule="exact"/>
        <w:ind w:firstLine="420" w:firstLineChars="200"/>
        <w:jc w:val="left"/>
        <w:rPr>
          <w:rFonts w:ascii="宋体" w:hAnsi="宋体" w:cs="宋体"/>
          <w:color w:val="auto"/>
          <w:kern w:val="0"/>
          <w:highlight w:val="none"/>
          <w:u w:val="single"/>
        </w:rPr>
      </w:pPr>
      <w:r>
        <w:rPr>
          <w:rFonts w:hint="eastAsia" w:ascii="宋体" w:hAnsi="宋体" w:cs="宋体"/>
          <w:color w:val="auto"/>
          <w:kern w:val="0"/>
          <w:highlight w:val="none"/>
        </w:rPr>
        <w:t>（6）发包人无正当理由没有在约定期限内发出复工指示，导致承包人无法复工的违约责任：</w:t>
      </w:r>
      <w:r>
        <w:rPr>
          <w:rFonts w:hint="eastAsia" w:ascii="宋体" w:hAnsi="宋体" w:cs="宋体"/>
          <w:color w:val="auto"/>
          <w:kern w:val="0"/>
          <w:highlight w:val="none"/>
          <w:u w:val="single"/>
        </w:rPr>
        <w:t xml:space="preserve"> </w:t>
      </w:r>
      <w:r>
        <w:rPr>
          <w:rFonts w:hint="eastAsia" w:ascii="宋体" w:hAnsi="宋体" w:cs="宋体"/>
          <w:color w:val="auto"/>
          <w:highlight w:val="none"/>
          <w:u w:val="single"/>
        </w:rPr>
        <w:t xml:space="preserve">/ </w:t>
      </w:r>
    </w:p>
    <w:p w14:paraId="47ABFC3D">
      <w:pPr>
        <w:pStyle w:val="104"/>
        <w:autoSpaceDE w:val="0"/>
        <w:autoSpaceDN w:val="0"/>
        <w:adjustRightInd w:val="0"/>
        <w:snapToGrid w:val="0"/>
        <w:spacing w:line="360" w:lineRule="exact"/>
        <w:ind w:firstLine="420" w:firstLineChars="200"/>
        <w:jc w:val="left"/>
        <w:rPr>
          <w:rFonts w:ascii="宋体" w:hAnsi="宋体" w:cs="宋体"/>
          <w:color w:val="auto"/>
          <w:highlight w:val="none"/>
          <w:u w:val="single"/>
        </w:rPr>
      </w:pPr>
      <w:r>
        <w:rPr>
          <w:rFonts w:hint="eastAsia" w:ascii="宋体" w:hAnsi="宋体" w:cs="宋体"/>
          <w:color w:val="auto"/>
          <w:kern w:val="0"/>
          <w:highlight w:val="none"/>
        </w:rPr>
        <w:t>（7）其他：</w:t>
      </w:r>
      <w:r>
        <w:rPr>
          <w:rFonts w:hint="eastAsia" w:ascii="宋体" w:hAnsi="宋体" w:cs="宋体"/>
          <w:color w:val="auto"/>
          <w:highlight w:val="none"/>
          <w:u w:val="single"/>
        </w:rPr>
        <w:t xml:space="preserve"> / </w:t>
      </w:r>
    </w:p>
    <w:p w14:paraId="2BF880DC">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16.1.3 因发包人违约解除合同</w:t>
      </w:r>
    </w:p>
    <w:p w14:paraId="77744372">
      <w:pPr>
        <w:pStyle w:val="104"/>
        <w:autoSpaceDE w:val="0"/>
        <w:autoSpaceDN w:val="0"/>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承包人按16.1.1项〔发包人违约的情形〕约定暂停施工满</w:t>
      </w:r>
      <w:r>
        <w:rPr>
          <w:rFonts w:hint="eastAsia" w:ascii="宋体" w:hAnsi="宋体" w:cs="宋体"/>
          <w:color w:val="auto"/>
          <w:kern w:val="0"/>
          <w:highlight w:val="none"/>
          <w:u w:val="single"/>
        </w:rPr>
        <w:t xml:space="preserve"> </w:t>
      </w:r>
      <w:r>
        <w:rPr>
          <w:rFonts w:hint="eastAsia" w:ascii="宋体" w:hAnsi="宋体" w:cs="宋体"/>
          <w:b/>
          <w:bCs/>
          <w:color w:val="auto"/>
          <w:kern w:val="0"/>
          <w:highlight w:val="none"/>
          <w:u w:val="single"/>
        </w:rPr>
        <w:t>60</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天后发包人仍不纠正其违约行为并致使合同目的不能实现的，承包人有权解除合同。</w:t>
      </w:r>
    </w:p>
    <w:p w14:paraId="424C7037">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16.2 承包人违约</w:t>
      </w:r>
    </w:p>
    <w:p w14:paraId="0979B4F1">
      <w:pPr>
        <w:pStyle w:val="104"/>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16.2.1 承包人违约的情形</w:t>
      </w:r>
    </w:p>
    <w:p w14:paraId="1D1F358E">
      <w:pPr>
        <w:pStyle w:val="104"/>
        <w:adjustRightInd w:val="0"/>
        <w:snapToGrid w:val="0"/>
        <w:spacing w:line="360" w:lineRule="exact"/>
        <w:ind w:left="1110" w:leftChars="200" w:hanging="630" w:hangingChars="300"/>
        <w:jc w:val="left"/>
        <w:rPr>
          <w:rFonts w:ascii="宋体" w:hAnsi="宋体" w:cs="宋体"/>
          <w:color w:val="auto"/>
          <w:kern w:val="0"/>
          <w:highlight w:val="none"/>
        </w:rPr>
      </w:pPr>
      <w:r>
        <w:rPr>
          <w:rFonts w:hint="eastAsia" w:ascii="宋体" w:hAnsi="宋体" w:cs="宋体"/>
          <w:color w:val="auto"/>
          <w:kern w:val="0"/>
          <w:highlight w:val="none"/>
        </w:rPr>
        <w:t>承包人违约的其他情形：</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 xml:space="preserve">。   </w:t>
      </w:r>
    </w:p>
    <w:p w14:paraId="51563E4F">
      <w:pPr>
        <w:pStyle w:val="104"/>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16.2.2承包人违约的责任</w:t>
      </w:r>
    </w:p>
    <w:p w14:paraId="74A13F9A">
      <w:pPr>
        <w:pStyle w:val="104"/>
        <w:adjustRightInd w:val="0"/>
        <w:snapToGrid w:val="0"/>
        <w:spacing w:line="360" w:lineRule="exact"/>
        <w:ind w:left="1110" w:leftChars="200" w:hanging="630" w:hangingChars="300"/>
        <w:jc w:val="left"/>
        <w:rPr>
          <w:rFonts w:ascii="宋体" w:hAnsi="宋体" w:cs="宋体"/>
          <w:color w:val="auto"/>
          <w:kern w:val="0"/>
          <w:highlight w:val="none"/>
          <w:u w:val="single"/>
        </w:rPr>
      </w:pPr>
      <w:r>
        <w:rPr>
          <w:rFonts w:hint="eastAsia" w:ascii="宋体" w:hAnsi="宋体" w:cs="宋体"/>
          <w:color w:val="auto"/>
          <w:kern w:val="0"/>
          <w:highlight w:val="none"/>
        </w:rPr>
        <w:t>承包人违约责任的承担方式和计算方法：</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w:t>
      </w:r>
      <w:r>
        <w:rPr>
          <w:rFonts w:hint="eastAsia" w:ascii="宋体" w:hAnsi="宋体" w:cs="宋体"/>
          <w:color w:val="auto"/>
          <w:highlight w:val="none"/>
        </w:rPr>
        <w:t xml:space="preserve">    </w:t>
      </w:r>
    </w:p>
    <w:p w14:paraId="6911EE27">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16.2.3 因承包人违约解除合同</w:t>
      </w:r>
    </w:p>
    <w:p w14:paraId="6FEA4E11">
      <w:pPr>
        <w:pStyle w:val="104"/>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关于承包人违约解除合同的特别约定：</w:t>
      </w:r>
      <w:r>
        <w:rPr>
          <w:rFonts w:hint="eastAsia" w:ascii="宋体" w:hAnsi="宋体" w:cs="宋体"/>
          <w:b/>
          <w:bCs/>
          <w:color w:val="auto"/>
          <w:highlight w:val="none"/>
          <w:u w:val="single"/>
        </w:rPr>
        <w:t>承包人无故中止施工超过30天而导致工程无法完工的，发包人有权解除合同，并要求承包人按合同金额的10%支付违约金，因承包人违约造成发包人损失超过上述违约金数额的，还需要承担相应赔偿责任，包括直接损失和间接损失。</w:t>
      </w:r>
    </w:p>
    <w:p w14:paraId="0AC1E4B4">
      <w:pPr>
        <w:pStyle w:val="104"/>
        <w:adjustRightInd w:val="0"/>
        <w:snapToGrid w:val="0"/>
        <w:spacing w:line="360" w:lineRule="exact"/>
        <w:ind w:firstLine="420" w:firstLineChars="200"/>
        <w:rPr>
          <w:rFonts w:ascii="宋体" w:hAnsi="宋体" w:cs="宋体"/>
          <w:b/>
          <w:bCs/>
          <w:color w:val="auto"/>
          <w:highlight w:val="none"/>
          <w:u w:val="single"/>
        </w:rPr>
      </w:pPr>
      <w:r>
        <w:rPr>
          <w:rFonts w:hint="eastAsia" w:ascii="宋体" w:hAnsi="宋体" w:cs="宋体"/>
          <w:color w:val="auto"/>
          <w:kern w:val="0"/>
          <w:highlight w:val="none"/>
        </w:rPr>
        <w:t>发包人继续使用承包人在施工现场的材料、设备、临时工程、承包人文件和由承包人或以其名义编制的其他文件的费用承担方式：</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w:t>
      </w:r>
    </w:p>
    <w:p w14:paraId="4B6F910D">
      <w:pPr>
        <w:pStyle w:val="127"/>
        <w:adjustRightInd w:val="0"/>
        <w:snapToGrid w:val="0"/>
        <w:spacing w:before="0" w:after="0" w:line="360" w:lineRule="exact"/>
        <w:ind w:firstLine="42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17. 不可抗力</w:t>
      </w:r>
    </w:p>
    <w:p w14:paraId="121C7A64">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17.1 不可抗力的确认</w:t>
      </w:r>
    </w:p>
    <w:p w14:paraId="698FF98F">
      <w:pPr>
        <w:pStyle w:val="104"/>
        <w:adjustRightInd w:val="0"/>
        <w:snapToGrid w:val="0"/>
        <w:spacing w:line="360" w:lineRule="exact"/>
        <w:ind w:firstLine="420" w:firstLineChars="200"/>
        <w:jc w:val="left"/>
        <w:rPr>
          <w:rFonts w:ascii="宋体" w:hAnsi="宋体" w:cs="宋体"/>
          <w:color w:val="auto"/>
          <w:kern w:val="0"/>
          <w:highlight w:val="none"/>
          <w:u w:val="single"/>
        </w:rPr>
      </w:pPr>
      <w:r>
        <w:rPr>
          <w:rFonts w:hint="eastAsia" w:ascii="宋体" w:hAnsi="宋体" w:cs="宋体"/>
          <w:color w:val="auto"/>
          <w:highlight w:val="none"/>
        </w:rPr>
        <w:t>除通用合同条款约定的不可抗力事件之外，视为不可抗力的其他情形：</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w:t>
      </w:r>
    </w:p>
    <w:p w14:paraId="5365DBBC">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17.2 因不可抗力解除合同</w:t>
      </w:r>
    </w:p>
    <w:p w14:paraId="05AB8DA6">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合同解除后，发包人应在商定或确定发包人应支付款项后</w:t>
      </w:r>
      <w:r>
        <w:rPr>
          <w:rFonts w:hint="eastAsia" w:ascii="宋体" w:hAnsi="宋体" w:cs="宋体"/>
          <w:color w:val="auto"/>
          <w:highlight w:val="none"/>
          <w:u w:val="single"/>
        </w:rPr>
        <w:t xml:space="preserve">  / </w:t>
      </w:r>
      <w:r>
        <w:rPr>
          <w:rFonts w:hint="eastAsia" w:ascii="宋体" w:hAnsi="宋体" w:cs="宋体"/>
          <w:color w:val="auto"/>
          <w:highlight w:val="none"/>
        </w:rPr>
        <w:t>天内完成款项的支付。</w:t>
      </w:r>
    </w:p>
    <w:p w14:paraId="2165BE52">
      <w:pPr>
        <w:pStyle w:val="127"/>
        <w:adjustRightInd w:val="0"/>
        <w:snapToGrid w:val="0"/>
        <w:spacing w:before="0" w:after="0" w:line="360" w:lineRule="exact"/>
        <w:ind w:firstLine="42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18. 保险</w:t>
      </w:r>
    </w:p>
    <w:p w14:paraId="57431F49">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18.1 工程保险</w:t>
      </w:r>
    </w:p>
    <w:p w14:paraId="45142902">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关于工程保险的特别约定：</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w:t>
      </w:r>
    </w:p>
    <w:p w14:paraId="31760460">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18.2 其他保险</w:t>
      </w:r>
    </w:p>
    <w:p w14:paraId="179297C4">
      <w:pPr>
        <w:pStyle w:val="104"/>
        <w:adjustRightInd w:val="0"/>
        <w:snapToGrid w:val="0"/>
        <w:spacing w:line="360" w:lineRule="exact"/>
        <w:ind w:firstLine="420" w:firstLineChars="200"/>
        <w:jc w:val="left"/>
        <w:rPr>
          <w:rFonts w:ascii="宋体" w:hAnsi="宋体" w:cs="宋体"/>
          <w:b/>
          <w:bCs/>
          <w:color w:val="auto"/>
          <w:highlight w:val="none"/>
          <w:u w:val="single"/>
        </w:rPr>
      </w:pPr>
      <w:r>
        <w:rPr>
          <w:rFonts w:hint="eastAsia" w:ascii="宋体" w:hAnsi="宋体" w:cs="宋体"/>
          <w:color w:val="auto"/>
          <w:highlight w:val="none"/>
        </w:rPr>
        <w:t>关于其他保险的约定：</w:t>
      </w:r>
      <w:r>
        <w:rPr>
          <w:rFonts w:hint="eastAsia" w:ascii="宋体" w:hAnsi="宋体" w:cs="宋体"/>
          <w:b/>
          <w:bCs/>
          <w:color w:val="auto"/>
          <w:highlight w:val="none"/>
          <w:u w:val="single"/>
        </w:rPr>
        <w:t>承包人投保建筑工人及管理人员意外伤害保险。</w:t>
      </w:r>
    </w:p>
    <w:p w14:paraId="6DD4F937">
      <w:pPr>
        <w:pStyle w:val="104"/>
        <w:adjustRightInd w:val="0"/>
        <w:snapToGrid w:val="0"/>
        <w:spacing w:line="360" w:lineRule="exact"/>
        <w:jc w:val="left"/>
        <w:rPr>
          <w:rFonts w:ascii="宋体" w:hAnsi="宋体" w:cs="宋体"/>
          <w:color w:val="auto"/>
          <w:kern w:val="0"/>
          <w:highlight w:val="none"/>
        </w:rPr>
      </w:pPr>
      <w:r>
        <w:rPr>
          <w:rFonts w:hint="eastAsia" w:ascii="宋体" w:hAnsi="宋体" w:cs="宋体"/>
          <w:color w:val="auto"/>
          <w:highlight w:val="none"/>
        </w:rPr>
        <w:t xml:space="preserve">    承包人是否应为其施工设备等办理财产保险：</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 xml:space="preserve">是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E69A9F8">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18.3 通知义务</w:t>
      </w:r>
    </w:p>
    <w:p w14:paraId="56AA53A7">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kern w:val="0"/>
          <w:highlight w:val="none"/>
        </w:rPr>
        <w:t>关于变更保险合同时的通知义务的约定：</w:t>
      </w:r>
      <w:r>
        <w:rPr>
          <w:rFonts w:hint="eastAsia" w:ascii="宋体" w:hAnsi="宋体" w:cs="宋体"/>
          <w:b/>
          <w:bCs/>
          <w:color w:val="auto"/>
          <w:highlight w:val="none"/>
          <w:u w:val="single"/>
        </w:rPr>
        <w:t>按通用合同条款第18.7条项规定执行。</w:t>
      </w:r>
    </w:p>
    <w:p w14:paraId="5F580F39">
      <w:pPr>
        <w:pStyle w:val="127"/>
        <w:adjustRightInd w:val="0"/>
        <w:snapToGrid w:val="0"/>
        <w:spacing w:before="0" w:after="0" w:line="360" w:lineRule="exact"/>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 争议解决</w:t>
      </w:r>
    </w:p>
    <w:p w14:paraId="504CEA94">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19.1 争议评审</w:t>
      </w:r>
    </w:p>
    <w:p w14:paraId="31D006AF">
      <w:pPr>
        <w:pStyle w:val="104"/>
        <w:adjustRightInd w:val="0"/>
        <w:snapToGrid w:val="0"/>
        <w:spacing w:line="360" w:lineRule="exact"/>
        <w:jc w:val="left"/>
        <w:rPr>
          <w:rFonts w:ascii="宋体" w:hAnsi="宋体" w:cs="宋体"/>
          <w:color w:val="auto"/>
          <w:highlight w:val="none"/>
        </w:rPr>
      </w:pPr>
      <w:r>
        <w:rPr>
          <w:rFonts w:hint="eastAsia" w:ascii="宋体" w:hAnsi="宋体" w:cs="宋体"/>
          <w:color w:val="auto"/>
          <w:highlight w:val="none"/>
        </w:rPr>
        <w:t xml:space="preserve">    合同当事人是否同意将工程争议提交争议评审小组决定：</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w:t>
      </w:r>
    </w:p>
    <w:p w14:paraId="149D3607">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19.1.1 争议评审小组的确定</w:t>
      </w:r>
    </w:p>
    <w:p w14:paraId="6E2E64D6">
      <w:pPr>
        <w:pStyle w:val="104"/>
        <w:adjustRightInd w:val="0"/>
        <w:snapToGrid w:val="0"/>
        <w:spacing w:line="360" w:lineRule="exact"/>
        <w:ind w:firstLine="420" w:firstLineChars="200"/>
        <w:jc w:val="left"/>
        <w:rPr>
          <w:rFonts w:ascii="宋体" w:hAnsi="宋体" w:cs="宋体"/>
          <w:color w:val="auto"/>
          <w:highlight w:val="none"/>
          <w:u w:val="single"/>
        </w:rPr>
      </w:pPr>
      <w:r>
        <w:rPr>
          <w:rFonts w:hint="eastAsia" w:ascii="宋体" w:hAnsi="宋体" w:cs="宋体"/>
          <w:color w:val="auto"/>
          <w:highlight w:val="none"/>
        </w:rPr>
        <w:t>争议评审小组成员的确定：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04DF4BB9">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选定争议评审员的期限：</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0568B3EE">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争议评审小组成员的报酬承担方式：</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1CCB5C06">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其他事项的约定：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40960C40">
      <w:pPr>
        <w:pStyle w:val="104"/>
        <w:autoSpaceDE w:val="0"/>
        <w:autoSpaceDN w:val="0"/>
        <w:adjustRightInd w:val="0"/>
        <w:snapToGrid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19.1.2 争议评审小组的决定</w:t>
      </w:r>
    </w:p>
    <w:p w14:paraId="5760C452">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合同当事人关于本项的约定：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6586C29">
      <w:pPr>
        <w:pStyle w:val="104"/>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19.2仲裁或诉讼</w:t>
      </w:r>
    </w:p>
    <w:p w14:paraId="793A29B9">
      <w:pPr>
        <w:pStyle w:val="104"/>
        <w:adjustRightInd w:val="0"/>
        <w:snapToGrid w:val="0"/>
        <w:spacing w:line="288" w:lineRule="auto"/>
        <w:ind w:firstLine="420" w:firstLineChars="200"/>
        <w:rPr>
          <w:rFonts w:ascii="宋体" w:hAnsi="宋体" w:cs="宋体"/>
          <w:color w:val="auto"/>
          <w:highlight w:val="none"/>
        </w:rPr>
      </w:pPr>
      <w:r>
        <w:rPr>
          <w:rFonts w:hint="eastAsia" w:ascii="宋体" w:hAnsi="宋体" w:cs="宋体"/>
          <w:color w:val="auto"/>
          <w:highlight w:val="none"/>
        </w:rPr>
        <w:t>因合同及合同有关事项发生的争议，双方当事人一致同意提交杭州仲裁委员会申请仲裁；但双方当事人特别约定下列解决方式中第</w:t>
      </w:r>
      <w:r>
        <w:rPr>
          <w:rFonts w:hint="eastAsia" w:ascii="宋体" w:hAnsi="宋体" w:cs="宋体"/>
          <w:color w:val="auto"/>
          <w:highlight w:val="none"/>
          <w:u w:val="single"/>
        </w:rPr>
        <w:t>（2）</w:t>
      </w:r>
      <w:r>
        <w:rPr>
          <w:rFonts w:hint="eastAsia" w:ascii="宋体" w:hAnsi="宋体" w:cs="宋体"/>
          <w:color w:val="auto"/>
          <w:highlight w:val="none"/>
        </w:rPr>
        <w:t>种方式解决争议的除外：</w:t>
      </w:r>
    </w:p>
    <w:p w14:paraId="475F8D53">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（1）向</w:t>
      </w:r>
      <w:r>
        <w:rPr>
          <w:rFonts w:hint="eastAsia" w:ascii="宋体" w:hAnsi="宋体" w:cs="宋体"/>
          <w:color w:val="auto"/>
          <w:highlight w:val="none"/>
          <w:u w:val="single"/>
        </w:rPr>
        <w:t xml:space="preserve">  /   </w:t>
      </w:r>
      <w:r>
        <w:rPr>
          <w:rFonts w:hint="eastAsia" w:ascii="宋体" w:hAnsi="宋体" w:cs="宋体"/>
          <w:color w:val="auto"/>
          <w:highlight w:val="none"/>
        </w:rPr>
        <w:t>仲裁委员会申请仲裁；</w:t>
      </w:r>
    </w:p>
    <w:p w14:paraId="37BD9161">
      <w:pPr>
        <w:pStyle w:val="104"/>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（2）向</w:t>
      </w:r>
      <w:r>
        <w:rPr>
          <w:rFonts w:hint="eastAsia" w:ascii="宋体" w:hAnsi="宋体" w:cs="宋体"/>
          <w:color w:val="auto"/>
          <w:highlight w:val="none"/>
          <w:u w:val="single"/>
        </w:rPr>
        <w:t xml:space="preserve"> 合同履行地（工程所在地） </w:t>
      </w:r>
      <w:r>
        <w:rPr>
          <w:rFonts w:hint="eastAsia" w:ascii="宋体" w:hAnsi="宋体" w:cs="宋体"/>
          <w:color w:val="auto"/>
          <w:highlight w:val="none"/>
        </w:rPr>
        <w:t>人民法院起诉。</w:t>
      </w:r>
    </w:p>
    <w:p w14:paraId="7E7F031C">
      <w:pPr>
        <w:pStyle w:val="104"/>
        <w:adjustRightInd w:val="0"/>
        <w:snapToGrid w:val="0"/>
        <w:spacing w:line="360" w:lineRule="exact"/>
        <w:ind w:firstLine="482" w:firstLineChars="200"/>
        <w:jc w:val="center"/>
        <w:rPr>
          <w:rFonts w:ascii="宋体" w:hAnsi="宋体" w:cs="宋体"/>
          <w:b/>
          <w:bCs/>
          <w:color w:val="auto"/>
          <w:sz w:val="24"/>
          <w:highlight w:val="none"/>
        </w:rPr>
      </w:pPr>
      <w:r>
        <w:rPr>
          <w:rFonts w:hint="eastAsia" w:ascii="宋体" w:hAnsi="宋体" w:cs="宋体"/>
          <w:b/>
          <w:bCs/>
          <w:color w:val="auto"/>
          <w:sz w:val="24"/>
          <w:highlight w:val="none"/>
        </w:rPr>
        <w:t>20.其他补充事项的约定</w:t>
      </w:r>
    </w:p>
    <w:p w14:paraId="69A7574F">
      <w:pPr>
        <w:pStyle w:val="104"/>
        <w:adjustRightInd w:val="0"/>
        <w:snapToGrid w:val="0"/>
        <w:spacing w:line="288" w:lineRule="auto"/>
        <w:ind w:firstLine="420" w:firstLineChars="200"/>
        <w:rPr>
          <w:rFonts w:ascii="宋体" w:hAnsi="宋体" w:cs="宋体"/>
          <w:color w:val="auto"/>
          <w:highlight w:val="none"/>
        </w:rPr>
      </w:pPr>
      <w:r>
        <w:rPr>
          <w:rFonts w:hint="eastAsia" w:ascii="宋体" w:hAnsi="宋体" w:cs="宋体"/>
          <w:color w:val="auto"/>
          <w:highlight w:val="none"/>
        </w:rPr>
        <w:t>20.1承包人逾期开工、逾期竣工或逾期履行其他义务的，每逾期一日，均</w:t>
      </w:r>
      <w:r>
        <w:rPr>
          <w:rFonts w:hint="eastAsia" w:ascii="宋体" w:hAnsi="宋体" w:cs="宋体"/>
          <w:b/>
          <w:bCs/>
          <w:color w:val="auto"/>
          <w:highlight w:val="none"/>
        </w:rPr>
        <w:t>应按每天人民币1500元向发包人支付违约金</w:t>
      </w:r>
      <w:r>
        <w:rPr>
          <w:rFonts w:hint="eastAsia" w:ascii="宋体" w:hAnsi="宋体" w:cs="宋体"/>
          <w:color w:val="auto"/>
          <w:highlight w:val="none"/>
        </w:rPr>
        <w:t>，上限为合同价的10%。如发包人认为工期滞后，经书面提醒后不整改，可能会影响发包人活动进程的，发包人有权终止合同，并将剩余项目由交由其它单位实施。</w:t>
      </w:r>
    </w:p>
    <w:p w14:paraId="53CD6191">
      <w:pPr>
        <w:pStyle w:val="104"/>
        <w:adjustRightInd w:val="0"/>
        <w:snapToGrid w:val="0"/>
        <w:spacing w:line="288" w:lineRule="auto"/>
        <w:ind w:firstLine="420" w:firstLineChars="200"/>
        <w:rPr>
          <w:rFonts w:ascii="宋体" w:hAnsi="宋体" w:cs="宋体"/>
          <w:color w:val="auto"/>
          <w:highlight w:val="none"/>
        </w:rPr>
      </w:pPr>
      <w:r>
        <w:rPr>
          <w:rFonts w:hint="eastAsia" w:ascii="宋体" w:hAnsi="宋体" w:cs="宋体"/>
          <w:color w:val="auto"/>
          <w:highlight w:val="none"/>
        </w:rPr>
        <w:t>20.2承包人工程竣工验收未达到一次性通过，承包人除承担全部返工费用外还须按合同价的1%支付违约金，如发生质量事故，视严重程度处罚。</w:t>
      </w:r>
    </w:p>
    <w:p w14:paraId="0924D8C9">
      <w:pPr>
        <w:pStyle w:val="104"/>
        <w:adjustRightInd w:val="0"/>
        <w:snapToGrid w:val="0"/>
        <w:spacing w:line="288" w:lineRule="auto"/>
        <w:ind w:firstLine="420" w:firstLineChars="200"/>
        <w:rPr>
          <w:rFonts w:ascii="宋体" w:hAnsi="宋体" w:cs="宋体"/>
          <w:color w:val="auto"/>
          <w:highlight w:val="none"/>
        </w:rPr>
      </w:pPr>
      <w:r>
        <w:rPr>
          <w:rFonts w:hint="eastAsia" w:ascii="宋体" w:hAnsi="宋体" w:cs="宋体"/>
          <w:color w:val="auto"/>
          <w:highlight w:val="none"/>
        </w:rPr>
        <w:t>20.3对承包人故意或疏忽导致的材料和施工工艺不符合技术规范及环保要求引起的工程质量问题，或与合同约定不符的，无论工程是否已验收合格、交付使用以及是否超过保修期，均自发包人知道之日起两年内享有对承包人的索赔追偿权利。</w:t>
      </w:r>
    </w:p>
    <w:p w14:paraId="659D5A14">
      <w:pPr>
        <w:pStyle w:val="104"/>
        <w:adjustRightInd w:val="0"/>
        <w:snapToGrid w:val="0"/>
        <w:spacing w:line="288" w:lineRule="auto"/>
        <w:ind w:firstLine="420" w:firstLineChars="200"/>
        <w:rPr>
          <w:rFonts w:ascii="宋体" w:hAnsi="宋体" w:cs="宋体"/>
          <w:color w:val="auto"/>
          <w:highlight w:val="none"/>
        </w:rPr>
      </w:pPr>
      <w:r>
        <w:rPr>
          <w:rFonts w:hint="eastAsia" w:ascii="宋体" w:hAnsi="宋体" w:cs="宋体"/>
          <w:color w:val="auto"/>
          <w:highlight w:val="none"/>
        </w:rPr>
        <w:t>20.4未经发包人书面同意，承包人不得将本合同项下的权利、义务转让他人，否则，发包人有权解除合同。</w:t>
      </w:r>
    </w:p>
    <w:p w14:paraId="6095A0E8">
      <w:pPr>
        <w:pStyle w:val="104"/>
        <w:adjustRightInd w:val="0"/>
        <w:snapToGrid w:val="0"/>
        <w:spacing w:line="288" w:lineRule="auto"/>
        <w:ind w:firstLine="420" w:firstLineChars="200"/>
        <w:rPr>
          <w:rFonts w:ascii="宋体" w:hAnsi="宋体" w:cs="宋体"/>
          <w:color w:val="auto"/>
          <w:highlight w:val="none"/>
        </w:rPr>
      </w:pPr>
      <w:r>
        <w:rPr>
          <w:rFonts w:hint="eastAsia" w:ascii="宋体" w:hAnsi="宋体" w:cs="宋体"/>
          <w:color w:val="auto"/>
          <w:highlight w:val="none"/>
        </w:rPr>
        <w:t>20.5承包人在施工过程中发生的工程质量问题在未解决前，发包人有权拒绝支付任何款项。</w:t>
      </w:r>
    </w:p>
    <w:p w14:paraId="674AD6D8">
      <w:pPr>
        <w:pStyle w:val="104"/>
        <w:adjustRightInd w:val="0"/>
        <w:snapToGrid w:val="0"/>
        <w:spacing w:line="288" w:lineRule="auto"/>
        <w:ind w:firstLine="420" w:firstLineChars="200"/>
        <w:rPr>
          <w:rFonts w:ascii="宋体" w:hAnsi="宋体" w:cs="宋体"/>
          <w:color w:val="auto"/>
          <w:highlight w:val="none"/>
        </w:rPr>
      </w:pPr>
      <w:r>
        <w:rPr>
          <w:rFonts w:hint="eastAsia" w:ascii="宋体" w:hAnsi="宋体" w:cs="宋体"/>
          <w:color w:val="auto"/>
          <w:highlight w:val="none"/>
        </w:rPr>
        <w:t>20.6承包人须在工程竣工验收合格后20日历天内向发包人提交工程结算和相关工程资料，逾期按21.1条处理。</w:t>
      </w:r>
    </w:p>
    <w:p w14:paraId="3D211242">
      <w:pPr>
        <w:pStyle w:val="104"/>
        <w:adjustRightInd w:val="0"/>
        <w:snapToGrid w:val="0"/>
        <w:spacing w:line="288" w:lineRule="auto"/>
        <w:ind w:firstLine="420" w:firstLineChars="200"/>
        <w:rPr>
          <w:rFonts w:ascii="宋体" w:hAnsi="宋体" w:cs="宋体"/>
          <w:color w:val="auto"/>
          <w:highlight w:val="none"/>
        </w:rPr>
      </w:pPr>
      <w:r>
        <w:rPr>
          <w:rFonts w:hint="eastAsia" w:ascii="宋体" w:hAnsi="宋体" w:cs="宋体"/>
          <w:color w:val="auto"/>
          <w:highlight w:val="none"/>
        </w:rPr>
        <w:t>20.7承包人在施工期间应严格遵守</w:t>
      </w:r>
      <w:r>
        <w:rPr>
          <w:rFonts w:hint="eastAsia" w:ascii="宋体" w:hAnsi="宋体" w:cs="宋体"/>
          <w:color w:val="auto"/>
          <w:highlight w:val="none"/>
          <w:lang w:val="en-US" w:eastAsia="zh-CN"/>
        </w:rPr>
        <w:t>发包人</w:t>
      </w:r>
      <w:r>
        <w:rPr>
          <w:rFonts w:hint="eastAsia" w:ascii="宋体" w:hAnsi="宋体" w:cs="宋体"/>
          <w:color w:val="auto"/>
          <w:highlight w:val="none"/>
        </w:rPr>
        <w:t>各项规章制度。</w:t>
      </w:r>
    </w:p>
    <w:p w14:paraId="38C63622">
      <w:pPr>
        <w:pStyle w:val="104"/>
        <w:adjustRightInd w:val="0"/>
        <w:snapToGrid w:val="0"/>
        <w:spacing w:line="288" w:lineRule="auto"/>
        <w:ind w:firstLine="420" w:firstLineChars="200"/>
        <w:rPr>
          <w:rFonts w:ascii="宋体" w:hAnsi="宋体" w:cs="宋体"/>
          <w:color w:val="auto"/>
          <w:highlight w:val="none"/>
        </w:rPr>
      </w:pPr>
      <w:r>
        <w:rPr>
          <w:rFonts w:hint="eastAsia" w:ascii="宋体" w:hAnsi="宋体" w:cs="宋体"/>
          <w:color w:val="auto"/>
          <w:highlight w:val="none"/>
        </w:rPr>
        <w:t>20.8承包人在施工期间应全力配合</w:t>
      </w:r>
      <w:r>
        <w:rPr>
          <w:rFonts w:hint="eastAsia" w:ascii="宋体" w:hAnsi="宋体" w:cs="宋体"/>
          <w:color w:val="auto"/>
          <w:highlight w:val="none"/>
          <w:lang w:val="en-US" w:eastAsia="zh-CN"/>
        </w:rPr>
        <w:t>发包人</w:t>
      </w:r>
      <w:r>
        <w:rPr>
          <w:rFonts w:hint="eastAsia" w:ascii="宋体" w:hAnsi="宋体" w:cs="宋体"/>
          <w:color w:val="auto"/>
          <w:highlight w:val="none"/>
        </w:rPr>
        <w:t>及属地疫情防控要求，做好疫情防护工作，过程中产生的费用由施工单位自行考虑。</w:t>
      </w:r>
    </w:p>
    <w:p w14:paraId="27178D1F">
      <w:pPr>
        <w:pStyle w:val="104"/>
        <w:adjustRightInd w:val="0"/>
        <w:snapToGrid w:val="0"/>
        <w:spacing w:line="288" w:lineRule="auto"/>
        <w:ind w:firstLine="420" w:firstLineChars="200"/>
        <w:rPr>
          <w:rFonts w:ascii="宋体" w:hAnsi="宋体" w:cs="宋体"/>
          <w:color w:val="auto"/>
          <w:highlight w:val="none"/>
        </w:rPr>
      </w:pPr>
      <w:r>
        <w:rPr>
          <w:rFonts w:hint="eastAsia" w:ascii="宋体" w:hAnsi="宋体" w:cs="宋体"/>
          <w:color w:val="auto"/>
          <w:highlight w:val="none"/>
        </w:rPr>
        <w:t>20.9承包人在施工时，项目部必须做好现场规范围护，在醒目位置处竖立施工通告，施工人员需严格做好自身的操作安全，避免安全事故的发生。</w:t>
      </w:r>
    </w:p>
    <w:p w14:paraId="4D8D9EC6">
      <w:pPr>
        <w:autoSpaceDE w:val="0"/>
        <w:autoSpaceDN w:val="0"/>
        <w:adjustRightInd w:val="0"/>
        <w:snapToGrid w:val="0"/>
        <w:spacing w:line="360" w:lineRule="auto"/>
        <w:ind w:firstLine="420"/>
        <w:jc w:val="left"/>
        <w:rPr>
          <w:b/>
          <w:bCs/>
          <w:color w:val="auto"/>
          <w:highlight w:val="none"/>
        </w:rPr>
      </w:pPr>
      <w:r>
        <w:rPr>
          <w:rFonts w:hint="eastAsia"/>
          <w:color w:val="auto"/>
          <w:highlight w:val="none"/>
        </w:rPr>
        <w:t xml:space="preserve"> </w:t>
      </w:r>
    </w:p>
    <w:p w14:paraId="4D10FAD4">
      <w:pPr>
        <w:pStyle w:val="17"/>
        <w:adjustRightInd w:val="0"/>
        <w:snapToGrid w:val="0"/>
        <w:spacing w:line="276" w:lineRule="auto"/>
        <w:rPr>
          <w:rFonts w:ascii="宋体" w:hAnsi="宋体" w:eastAsia="宋体" w:cs="宋体"/>
          <w:b/>
          <w:bCs/>
          <w:color w:val="auto"/>
          <w:highlight w:val="none"/>
        </w:rPr>
      </w:pPr>
    </w:p>
    <w:p w14:paraId="1F737C3F">
      <w:pPr>
        <w:pStyle w:val="17"/>
        <w:adjustRightInd w:val="0"/>
        <w:snapToGrid w:val="0"/>
        <w:spacing w:line="276" w:lineRule="auto"/>
        <w:rPr>
          <w:rFonts w:ascii="宋体" w:hAnsi="宋体" w:eastAsia="宋体" w:cs="宋体"/>
          <w:b/>
          <w:bCs/>
          <w:color w:val="auto"/>
          <w:highlight w:val="none"/>
        </w:rPr>
      </w:pPr>
    </w:p>
    <w:p w14:paraId="2C723F93">
      <w:pPr>
        <w:pStyle w:val="17"/>
        <w:adjustRightInd w:val="0"/>
        <w:snapToGrid w:val="0"/>
        <w:spacing w:line="276" w:lineRule="auto"/>
        <w:rPr>
          <w:rFonts w:ascii="宋体" w:hAnsi="宋体" w:eastAsia="宋体" w:cs="宋体"/>
          <w:color w:val="auto"/>
          <w:highlight w:val="none"/>
        </w:rPr>
      </w:pPr>
      <w:r>
        <w:rPr>
          <w:rFonts w:hint="eastAsia" w:ascii="宋体" w:hAnsi="宋体" w:eastAsia="宋体" w:cs="宋体"/>
          <w:b/>
          <w:bCs/>
          <w:color w:val="auto"/>
          <w:highlight w:val="none"/>
        </w:rPr>
        <w:t>附件：</w:t>
      </w:r>
    </w:p>
    <w:p w14:paraId="35FDB734">
      <w:pPr>
        <w:jc w:val="left"/>
        <w:rPr>
          <w:color w:val="auto"/>
          <w:sz w:val="21"/>
          <w:szCs w:val="21"/>
          <w:highlight w:val="none"/>
        </w:rPr>
      </w:pPr>
      <w:r>
        <w:rPr>
          <w:rFonts w:hint="eastAsia"/>
          <w:color w:val="auto"/>
          <w:sz w:val="21"/>
          <w:szCs w:val="21"/>
          <w:highlight w:val="none"/>
        </w:rPr>
        <w:t>附件1：工程质量保修书</w:t>
      </w:r>
    </w:p>
    <w:p w14:paraId="616A26B2">
      <w:pPr>
        <w:jc w:val="left"/>
        <w:rPr>
          <w:color w:val="auto"/>
          <w:sz w:val="21"/>
          <w:szCs w:val="21"/>
          <w:highlight w:val="none"/>
        </w:rPr>
      </w:pPr>
      <w:r>
        <w:rPr>
          <w:rFonts w:hint="eastAsia"/>
          <w:color w:val="auto"/>
          <w:sz w:val="21"/>
          <w:szCs w:val="21"/>
          <w:highlight w:val="none"/>
        </w:rPr>
        <w:t xml:space="preserve">附件2：廉政协议书 </w:t>
      </w:r>
    </w:p>
    <w:p w14:paraId="405B6E94">
      <w:pPr>
        <w:jc w:val="left"/>
        <w:rPr>
          <w:color w:val="auto"/>
          <w:sz w:val="21"/>
          <w:szCs w:val="21"/>
          <w:highlight w:val="none"/>
        </w:rPr>
      </w:pPr>
      <w:r>
        <w:rPr>
          <w:rFonts w:hint="eastAsia"/>
          <w:color w:val="auto"/>
          <w:sz w:val="21"/>
          <w:szCs w:val="21"/>
          <w:highlight w:val="none"/>
        </w:rPr>
        <w:t>附件3：安全生产责任协议书</w:t>
      </w:r>
    </w:p>
    <w:p w14:paraId="0EADFD88">
      <w:pPr>
        <w:jc w:val="left"/>
        <w:rPr>
          <w:color w:val="auto"/>
          <w:sz w:val="21"/>
          <w:szCs w:val="21"/>
          <w:highlight w:val="none"/>
        </w:rPr>
      </w:pPr>
      <w:r>
        <w:rPr>
          <w:rFonts w:hint="eastAsia"/>
          <w:color w:val="auto"/>
          <w:sz w:val="21"/>
          <w:szCs w:val="21"/>
          <w:highlight w:val="none"/>
        </w:rPr>
        <w:t>附件4：承诺书</w:t>
      </w:r>
    </w:p>
    <w:p w14:paraId="43E4151C">
      <w:pPr>
        <w:ind w:firstLine="424" w:firstLineChars="177"/>
        <w:jc w:val="left"/>
        <w:rPr>
          <w:color w:val="auto"/>
          <w:highlight w:val="none"/>
        </w:rPr>
      </w:pPr>
      <w:r>
        <w:rPr>
          <w:rFonts w:hint="eastAsia"/>
          <w:color w:val="auto"/>
          <w:highlight w:val="none"/>
        </w:rPr>
        <w:t xml:space="preserve"> </w:t>
      </w:r>
    </w:p>
    <w:p w14:paraId="200AB0AF">
      <w:pPr>
        <w:pStyle w:val="17"/>
        <w:spacing w:line="440" w:lineRule="exact"/>
        <w:rPr>
          <w:rFonts w:ascii="宋体" w:hAnsi="宋体" w:eastAsia="宋体" w:cs="宋体"/>
          <w:b/>
          <w:bCs/>
          <w:color w:val="auto"/>
          <w:sz w:val="28"/>
          <w:szCs w:val="28"/>
          <w:highlight w:val="none"/>
        </w:rPr>
      </w:pPr>
      <w:r>
        <w:rPr>
          <w:rFonts w:hint="eastAsia" w:ascii="宋体" w:hAnsi="宋体" w:eastAsia="宋体" w:cs="宋体"/>
          <w:color w:val="auto"/>
          <w:highlight w:val="none"/>
          <w:u w:val="single"/>
        </w:rPr>
        <w:br w:type="page"/>
      </w:r>
      <w:r>
        <w:rPr>
          <w:rFonts w:hint="eastAsia" w:ascii="宋体" w:hAnsi="宋体" w:eastAsia="宋体" w:cs="宋体"/>
          <w:b/>
          <w:bCs/>
          <w:color w:val="auto"/>
          <w:highlight w:val="none"/>
        </w:rPr>
        <w:t>附件1:</w:t>
      </w:r>
    </w:p>
    <w:p w14:paraId="5528F76C">
      <w:pPr>
        <w:pStyle w:val="104"/>
        <w:spacing w:before="194" w:beforeLines="50" w:after="194" w:afterLines="50" w:line="440" w:lineRule="exact"/>
        <w:ind w:firstLine="602"/>
        <w:jc w:val="center"/>
        <w:rPr>
          <w:rFonts w:ascii="宋体" w:hAnsi="宋体" w:cs="宋体"/>
          <w:color w:val="auto"/>
          <w:sz w:val="24"/>
          <w:highlight w:val="none"/>
        </w:rPr>
      </w:pPr>
      <w:r>
        <w:rPr>
          <w:rFonts w:hint="eastAsia" w:ascii="宋体" w:hAnsi="宋体" w:cs="宋体"/>
          <w:b/>
          <w:bCs/>
          <w:color w:val="auto"/>
          <w:sz w:val="24"/>
          <w:highlight w:val="none"/>
        </w:rPr>
        <w:t>工程质量保修书</w:t>
      </w:r>
    </w:p>
    <w:p w14:paraId="1FA8DFE0">
      <w:pPr>
        <w:pStyle w:val="104"/>
        <w:spacing w:line="300" w:lineRule="auto"/>
        <w:ind w:firstLine="422"/>
        <w:rPr>
          <w:rFonts w:ascii="宋体" w:hAnsi="宋体" w:cs="宋体"/>
          <w:color w:val="auto"/>
          <w:sz w:val="22"/>
          <w:szCs w:val="22"/>
          <w:highlight w:val="none"/>
        </w:rPr>
      </w:pPr>
      <w:r>
        <w:rPr>
          <w:rFonts w:hint="eastAsia" w:ascii="宋体" w:hAnsi="宋体" w:cs="宋体"/>
          <w:color w:val="auto"/>
          <w:sz w:val="22"/>
          <w:szCs w:val="22"/>
          <w:highlight w:val="none"/>
        </w:rPr>
        <w:t>发包人（全称）：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eastAsia="zh-CN"/>
        </w:rPr>
        <w:t>浙江省文化馆</w:t>
      </w:r>
      <w:r>
        <w:rPr>
          <w:rFonts w:hint="eastAsia" w:ascii="宋体" w:hAnsi="宋体" w:cs="宋体"/>
          <w:color w:val="auto"/>
          <w:sz w:val="22"/>
          <w:szCs w:val="22"/>
          <w:highlight w:val="none"/>
          <w:u w:val="single"/>
        </w:rPr>
        <w:t xml:space="preserve">             </w:t>
      </w:r>
    </w:p>
    <w:p w14:paraId="2CA14E99">
      <w:pPr>
        <w:pStyle w:val="104"/>
        <w:spacing w:line="300" w:lineRule="auto"/>
        <w:ind w:firstLine="422"/>
        <w:rPr>
          <w:rFonts w:ascii="宋体" w:hAnsi="宋体" w:cs="宋体"/>
          <w:color w:val="auto"/>
          <w:sz w:val="22"/>
          <w:szCs w:val="22"/>
          <w:highlight w:val="none"/>
        </w:rPr>
      </w:pPr>
      <w:r>
        <w:rPr>
          <w:rFonts w:hint="eastAsia" w:ascii="宋体" w:hAnsi="宋体" w:cs="宋体"/>
          <w:color w:val="auto"/>
          <w:sz w:val="22"/>
          <w:szCs w:val="22"/>
          <w:highlight w:val="none"/>
        </w:rPr>
        <w:t>承包人（全称）：</w:t>
      </w:r>
      <w:r>
        <w:rPr>
          <w:rFonts w:hint="eastAsia" w:ascii="宋体" w:hAnsi="宋体" w:cs="宋体"/>
          <w:color w:val="auto"/>
          <w:sz w:val="22"/>
          <w:szCs w:val="22"/>
          <w:highlight w:val="none"/>
          <w:u w:val="single"/>
        </w:rPr>
        <w:t xml:space="preserve">                                  </w:t>
      </w:r>
    </w:p>
    <w:p w14:paraId="4350FC3A">
      <w:pPr>
        <w:pStyle w:val="104"/>
        <w:spacing w:line="30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发包人和承包人根据《中华人民共和国建筑法》和《建设工程质量管理条例》，经协商一致就</w:t>
      </w:r>
      <w:r>
        <w:rPr>
          <w:rFonts w:hint="eastAsia" w:ascii="宋体" w:hAnsi="宋体" w:cs="宋体"/>
          <w:color w:val="auto"/>
          <w:sz w:val="22"/>
          <w:szCs w:val="22"/>
          <w:highlight w:val="none"/>
          <w:u w:val="single"/>
        </w:rPr>
        <w:t xml:space="preserve">  </w:t>
      </w:r>
      <w:r>
        <w:rPr>
          <w:rFonts w:hint="eastAsia" w:ascii="宋体" w:hAnsi="宋体" w:cs="宋体"/>
          <w:b/>
          <w:bCs/>
          <w:color w:val="auto"/>
          <w:sz w:val="22"/>
          <w:szCs w:val="22"/>
          <w:highlight w:val="none"/>
          <w:u w:val="single"/>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（工程全称）签订工程质量保修书。</w:t>
      </w:r>
    </w:p>
    <w:p w14:paraId="14E92333">
      <w:pPr>
        <w:pStyle w:val="104"/>
        <w:spacing w:line="30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一、工程质量保修范围和内容</w:t>
      </w:r>
    </w:p>
    <w:p w14:paraId="4EF8251B">
      <w:pPr>
        <w:pStyle w:val="104"/>
        <w:spacing w:line="30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承包人在质量保修期内，按照有关法律规定和合同约定，承担工程质量保修责任。</w:t>
      </w:r>
    </w:p>
    <w:p w14:paraId="20B464E3">
      <w:pPr>
        <w:pStyle w:val="104"/>
        <w:spacing w:line="300" w:lineRule="auto"/>
        <w:ind w:firstLine="440" w:firstLineChars="200"/>
        <w:rPr>
          <w:rFonts w:ascii="宋体" w:hAnsi="宋体" w:cs="宋体"/>
          <w:b/>
          <w:bCs/>
          <w:color w:val="auto"/>
          <w:sz w:val="22"/>
          <w:szCs w:val="22"/>
          <w:highlight w:val="none"/>
          <w:u w:val="single"/>
        </w:rPr>
      </w:pPr>
      <w:r>
        <w:rPr>
          <w:rFonts w:hint="eastAsia" w:ascii="宋体" w:hAnsi="宋体" w:cs="宋体"/>
          <w:color w:val="auto"/>
          <w:sz w:val="22"/>
          <w:szCs w:val="22"/>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b/>
          <w:bCs/>
          <w:color w:val="auto"/>
          <w:sz w:val="22"/>
          <w:szCs w:val="22"/>
          <w:highlight w:val="none"/>
          <w:u w:val="single"/>
        </w:rPr>
        <w:t>承包范围内所有工程。</w:t>
      </w:r>
    </w:p>
    <w:p w14:paraId="438F1768">
      <w:pPr>
        <w:pStyle w:val="104"/>
        <w:spacing w:line="30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二、质量保修期</w:t>
      </w:r>
    </w:p>
    <w:p w14:paraId="6381BA6F">
      <w:pPr>
        <w:pStyle w:val="104"/>
        <w:spacing w:line="30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根据《建设工程质量管理条例》及有关规定，工程的质量保修期如下：</w:t>
      </w:r>
    </w:p>
    <w:p w14:paraId="02DA235F">
      <w:pPr>
        <w:pStyle w:val="104"/>
        <w:spacing w:line="30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1、地基基础工程和主体结构工程为设计文件规定的该工程合理使用年限；</w:t>
      </w:r>
    </w:p>
    <w:p w14:paraId="058BAE56">
      <w:pPr>
        <w:pStyle w:val="104"/>
        <w:spacing w:line="30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2、屋面防水工程、有防水要求的卫生间、房间和外墙的防渗漏为</w:t>
      </w:r>
      <w:r>
        <w:rPr>
          <w:rFonts w:hint="eastAsia" w:ascii="宋体" w:hAnsi="宋体" w:cs="宋体"/>
          <w:color w:val="auto"/>
          <w:sz w:val="22"/>
          <w:szCs w:val="22"/>
          <w:highlight w:val="none"/>
          <w:u w:val="single"/>
        </w:rPr>
        <w:t xml:space="preserve"> 5 </w:t>
      </w:r>
      <w:r>
        <w:rPr>
          <w:rFonts w:hint="eastAsia" w:ascii="宋体" w:hAnsi="宋体" w:cs="宋体"/>
          <w:color w:val="auto"/>
          <w:sz w:val="22"/>
          <w:szCs w:val="22"/>
          <w:highlight w:val="none"/>
        </w:rPr>
        <w:t>年；</w:t>
      </w:r>
    </w:p>
    <w:p w14:paraId="5AABBCE9">
      <w:pPr>
        <w:pStyle w:val="104"/>
        <w:spacing w:line="30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3、装修工程为</w:t>
      </w:r>
      <w:r>
        <w:rPr>
          <w:rFonts w:hint="eastAsia" w:ascii="宋体" w:hAnsi="宋体" w:cs="宋体"/>
          <w:color w:val="auto"/>
          <w:sz w:val="22"/>
          <w:szCs w:val="22"/>
          <w:highlight w:val="none"/>
          <w:u w:val="single"/>
        </w:rPr>
        <w:t xml:space="preserve"> 2 </w:t>
      </w:r>
      <w:r>
        <w:rPr>
          <w:rFonts w:hint="eastAsia" w:ascii="宋体" w:hAnsi="宋体" w:cs="宋体"/>
          <w:color w:val="auto"/>
          <w:sz w:val="22"/>
          <w:szCs w:val="22"/>
          <w:highlight w:val="none"/>
        </w:rPr>
        <w:t>年；</w:t>
      </w:r>
    </w:p>
    <w:p w14:paraId="097B12CD">
      <w:pPr>
        <w:pStyle w:val="104"/>
        <w:spacing w:line="30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4、电气管线、给排水管道、设备安装工程为</w:t>
      </w:r>
      <w:r>
        <w:rPr>
          <w:rFonts w:hint="eastAsia" w:ascii="宋体" w:hAnsi="宋体" w:cs="宋体"/>
          <w:color w:val="auto"/>
          <w:sz w:val="22"/>
          <w:szCs w:val="22"/>
          <w:highlight w:val="none"/>
          <w:u w:val="single"/>
        </w:rPr>
        <w:t>2</w:t>
      </w:r>
      <w:r>
        <w:rPr>
          <w:rFonts w:hint="eastAsia" w:ascii="宋体" w:hAnsi="宋体" w:cs="宋体"/>
          <w:color w:val="auto"/>
          <w:sz w:val="22"/>
          <w:szCs w:val="22"/>
          <w:highlight w:val="none"/>
        </w:rPr>
        <w:t>年；</w:t>
      </w:r>
    </w:p>
    <w:p w14:paraId="518CF6B2">
      <w:pPr>
        <w:pStyle w:val="104"/>
        <w:spacing w:line="30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5、供热与供冷系统为</w:t>
      </w:r>
      <w:r>
        <w:rPr>
          <w:rFonts w:hint="eastAsia" w:ascii="宋体" w:hAnsi="宋体" w:cs="宋体"/>
          <w:color w:val="auto"/>
          <w:sz w:val="22"/>
          <w:szCs w:val="22"/>
          <w:highlight w:val="none"/>
          <w:u w:val="single"/>
        </w:rPr>
        <w:t xml:space="preserve">  / </w:t>
      </w:r>
      <w:r>
        <w:rPr>
          <w:rFonts w:hint="eastAsia" w:ascii="宋体" w:hAnsi="宋体" w:cs="宋体"/>
          <w:color w:val="auto"/>
          <w:sz w:val="22"/>
          <w:szCs w:val="22"/>
          <w:highlight w:val="none"/>
        </w:rPr>
        <w:t>个采暖期、供冷期；</w:t>
      </w:r>
    </w:p>
    <w:p w14:paraId="27E0FBA8">
      <w:pPr>
        <w:pStyle w:val="104"/>
        <w:spacing w:line="30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6、住宅小区内的给排水设施、道路等配套工程为</w:t>
      </w:r>
      <w:r>
        <w:rPr>
          <w:rFonts w:hint="eastAsia" w:ascii="宋体" w:hAnsi="宋体" w:cs="宋体"/>
          <w:color w:val="auto"/>
          <w:sz w:val="22"/>
          <w:szCs w:val="22"/>
          <w:highlight w:val="none"/>
          <w:u w:val="single"/>
        </w:rPr>
        <w:t xml:space="preserve">  /  </w:t>
      </w:r>
      <w:r>
        <w:rPr>
          <w:rFonts w:hint="eastAsia" w:ascii="宋体" w:hAnsi="宋体" w:cs="宋体"/>
          <w:color w:val="auto"/>
          <w:sz w:val="22"/>
          <w:szCs w:val="22"/>
          <w:highlight w:val="none"/>
        </w:rPr>
        <w:t>年；</w:t>
      </w:r>
    </w:p>
    <w:p w14:paraId="7D233292">
      <w:pPr>
        <w:pStyle w:val="104"/>
        <w:spacing w:line="300" w:lineRule="auto"/>
        <w:ind w:firstLine="440" w:firstLineChars="200"/>
        <w:rPr>
          <w:rFonts w:ascii="宋体" w:hAnsi="宋体" w:cs="宋体"/>
          <w:color w:val="auto"/>
          <w:sz w:val="22"/>
          <w:szCs w:val="22"/>
          <w:highlight w:val="none"/>
          <w:u w:val="single"/>
        </w:rPr>
      </w:pPr>
      <w:r>
        <w:rPr>
          <w:rFonts w:hint="eastAsia" w:ascii="宋体" w:hAnsi="宋体" w:cs="宋体"/>
          <w:color w:val="auto"/>
          <w:sz w:val="22"/>
          <w:szCs w:val="22"/>
          <w:highlight w:val="none"/>
        </w:rPr>
        <w:t>7、其他项目保修期限约定如下：</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4A580360">
      <w:pPr>
        <w:pStyle w:val="104"/>
        <w:spacing w:line="30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本项目保修期【</w:t>
      </w:r>
      <w:r>
        <w:rPr>
          <w:rFonts w:ascii="宋体" w:hAnsi="宋体" w:cs="宋体"/>
          <w:color w:val="auto"/>
          <w:sz w:val="22"/>
          <w:szCs w:val="22"/>
          <w:highlight w:val="none"/>
        </w:rPr>
        <w:t>2</w:t>
      </w:r>
      <w:r>
        <w:rPr>
          <w:rFonts w:hint="eastAsia" w:ascii="宋体" w:hAnsi="宋体" w:cs="宋体"/>
          <w:color w:val="auto"/>
          <w:sz w:val="22"/>
          <w:szCs w:val="22"/>
          <w:highlight w:val="none"/>
        </w:rPr>
        <w:t>】年，质量保修期自工程竣工验收合格之日，质量保修期自工程竣工验收合格之日起计算，具体期限以承包人承诺的延长质保期为准。</w:t>
      </w:r>
    </w:p>
    <w:p w14:paraId="2D8648ED">
      <w:pPr>
        <w:pStyle w:val="104"/>
        <w:spacing w:line="30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三、缺陷责任期</w:t>
      </w:r>
    </w:p>
    <w:p w14:paraId="13A877C7">
      <w:pPr>
        <w:pStyle w:val="104"/>
        <w:spacing w:line="30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工程缺陷责任期为</w:t>
      </w:r>
      <w:r>
        <w:rPr>
          <w:rFonts w:hint="eastAsia" w:ascii="宋体" w:hAnsi="宋体" w:cs="宋体"/>
          <w:color w:val="auto"/>
          <w:sz w:val="22"/>
          <w:szCs w:val="22"/>
          <w:highlight w:val="none"/>
          <w:u w:val="single"/>
        </w:rPr>
        <w:t xml:space="preserve"> </w:t>
      </w:r>
      <w:r>
        <w:rPr>
          <w:rFonts w:ascii="宋体" w:hAnsi="宋体" w:cs="宋体"/>
          <w:color w:val="auto"/>
          <w:sz w:val="22"/>
          <w:szCs w:val="22"/>
          <w:highlight w:val="none"/>
          <w:u w:val="single"/>
        </w:rPr>
        <w:t>24</w:t>
      </w:r>
      <w:r>
        <w:rPr>
          <w:rFonts w:hint="eastAsia" w:ascii="宋体" w:hAnsi="宋体" w:cs="宋体"/>
          <w:color w:val="auto"/>
          <w:sz w:val="22"/>
          <w:szCs w:val="22"/>
          <w:highlight w:val="none"/>
        </w:rPr>
        <w:t>个月，缺陷责任期自工程通过竣工验收之日起计算。单位工程先于全部工程进行验收，单位工程缺陷责任期自单位工程验收合格之日起算。</w:t>
      </w:r>
    </w:p>
    <w:p w14:paraId="4107D24D">
      <w:pPr>
        <w:pStyle w:val="104"/>
        <w:spacing w:line="30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四、质量保修责任</w:t>
      </w:r>
    </w:p>
    <w:p w14:paraId="641BB8F9">
      <w:pPr>
        <w:pStyle w:val="104"/>
        <w:spacing w:line="300" w:lineRule="auto"/>
        <w:ind w:left="120" w:leftChars="50" w:firstLine="450" w:firstLineChars="205"/>
        <w:rPr>
          <w:rFonts w:ascii="宋体" w:hAnsi="宋体" w:cs="宋体"/>
          <w:color w:val="auto"/>
          <w:sz w:val="22"/>
          <w:szCs w:val="22"/>
          <w:highlight w:val="none"/>
        </w:rPr>
      </w:pPr>
      <w:r>
        <w:rPr>
          <w:rFonts w:hint="eastAsia" w:ascii="宋体" w:hAnsi="宋体" w:cs="宋体"/>
          <w:color w:val="auto"/>
          <w:sz w:val="22"/>
          <w:szCs w:val="22"/>
          <w:highlight w:val="none"/>
        </w:rPr>
        <w:t>1．属于保修范围、内容的项目，承包人应当在接到保修通知之日起7天内派人保修。承包人不在约定期限内派人保修的，发包人可以委托他人修理。</w:t>
      </w:r>
    </w:p>
    <w:p w14:paraId="169422F8">
      <w:pPr>
        <w:pStyle w:val="104"/>
        <w:spacing w:line="300" w:lineRule="auto"/>
        <w:ind w:left="120" w:leftChars="50" w:firstLine="450" w:firstLineChars="205"/>
        <w:rPr>
          <w:rFonts w:ascii="宋体" w:hAnsi="宋体" w:cs="宋体"/>
          <w:color w:val="auto"/>
          <w:sz w:val="22"/>
          <w:szCs w:val="22"/>
          <w:highlight w:val="none"/>
        </w:rPr>
      </w:pPr>
      <w:r>
        <w:rPr>
          <w:rFonts w:hint="eastAsia" w:ascii="宋体" w:hAnsi="宋体" w:cs="宋体"/>
          <w:color w:val="auto"/>
          <w:sz w:val="22"/>
          <w:szCs w:val="22"/>
          <w:highlight w:val="none"/>
        </w:rPr>
        <w:t>2. 发生紧急抢修事故的，承包人在接到事故通知后，应当立即到达事故现场抢修。</w:t>
      </w:r>
    </w:p>
    <w:p w14:paraId="4C0E36E5">
      <w:pPr>
        <w:pStyle w:val="104"/>
        <w:spacing w:line="300" w:lineRule="auto"/>
        <w:ind w:left="120" w:leftChars="50" w:firstLine="450" w:firstLineChars="205"/>
        <w:rPr>
          <w:rFonts w:ascii="宋体" w:hAnsi="宋体" w:cs="宋体"/>
          <w:color w:val="auto"/>
          <w:sz w:val="22"/>
          <w:szCs w:val="22"/>
          <w:highlight w:val="none"/>
        </w:rPr>
      </w:pPr>
      <w:r>
        <w:rPr>
          <w:rFonts w:hint="eastAsia" w:ascii="宋体" w:hAnsi="宋体" w:cs="宋体"/>
          <w:color w:val="auto"/>
          <w:sz w:val="22"/>
          <w:szCs w:val="22"/>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85CCEE0">
      <w:pPr>
        <w:pStyle w:val="104"/>
        <w:spacing w:line="300" w:lineRule="auto"/>
        <w:ind w:left="120" w:leftChars="50" w:firstLine="450" w:firstLineChars="205"/>
        <w:rPr>
          <w:rFonts w:ascii="宋体" w:hAnsi="宋体" w:cs="宋体"/>
          <w:color w:val="auto"/>
          <w:sz w:val="22"/>
          <w:szCs w:val="22"/>
          <w:highlight w:val="none"/>
        </w:rPr>
      </w:pPr>
      <w:r>
        <w:rPr>
          <w:rFonts w:hint="eastAsia" w:ascii="宋体" w:hAnsi="宋体" w:cs="宋体"/>
          <w:color w:val="auto"/>
          <w:sz w:val="22"/>
          <w:szCs w:val="22"/>
          <w:highlight w:val="none"/>
        </w:rPr>
        <w:t>4．质量保修完成后，由发包人组织验收。</w:t>
      </w:r>
    </w:p>
    <w:p w14:paraId="7B793F7D">
      <w:pPr>
        <w:spacing w:line="300" w:lineRule="auto"/>
        <w:ind w:left="120" w:leftChars="50" w:firstLine="450" w:firstLineChars="205"/>
        <w:rPr>
          <w:color w:val="auto"/>
          <w:sz w:val="22"/>
          <w:szCs w:val="22"/>
          <w:highlight w:val="none"/>
        </w:rPr>
      </w:pPr>
      <w:r>
        <w:rPr>
          <w:rFonts w:hint="eastAsia"/>
          <w:color w:val="auto"/>
          <w:sz w:val="22"/>
          <w:szCs w:val="22"/>
          <w:highlight w:val="none"/>
        </w:rPr>
        <w:t>5．承包人未在指定期限派人维修或发生其他视为承包人未履行维修义务情形的，发包人或管理单位有权委托第三方进行维修，所产生相关费用包括维修费、补偿金等均由承包人承担，并在工程保修金中扣除。</w:t>
      </w:r>
    </w:p>
    <w:p w14:paraId="75858FA0">
      <w:pPr>
        <w:pStyle w:val="104"/>
        <w:spacing w:line="30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五、保修费用</w:t>
      </w:r>
    </w:p>
    <w:p w14:paraId="1FE3D8A6">
      <w:pPr>
        <w:pStyle w:val="104"/>
        <w:spacing w:line="30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1.保修费用由造成质量缺陷的责任方承担。</w:t>
      </w:r>
    </w:p>
    <w:p w14:paraId="02FB24F6">
      <w:pPr>
        <w:adjustRightInd w:val="0"/>
        <w:snapToGrid w:val="0"/>
        <w:spacing w:line="300" w:lineRule="auto"/>
        <w:ind w:firstLine="426" w:firstLineChars="194"/>
        <w:rPr>
          <w:b/>
          <w:bCs/>
          <w:color w:val="auto"/>
          <w:sz w:val="22"/>
          <w:szCs w:val="22"/>
          <w:highlight w:val="none"/>
          <w:u w:val="single"/>
        </w:rPr>
      </w:pPr>
      <w:r>
        <w:rPr>
          <w:rFonts w:hint="eastAsia"/>
          <w:color w:val="auto"/>
          <w:sz w:val="22"/>
          <w:szCs w:val="22"/>
          <w:highlight w:val="none"/>
        </w:rPr>
        <w:t>2.工程质量保证金的退还：</w:t>
      </w:r>
      <w:r>
        <w:rPr>
          <w:rFonts w:hint="eastAsia"/>
          <w:b/>
          <w:bCs/>
          <w:color w:val="auto"/>
          <w:sz w:val="22"/>
          <w:szCs w:val="22"/>
          <w:highlight w:val="none"/>
          <w:u w:val="single"/>
        </w:rPr>
        <w:t>工程质量保修期满且回访质量符合要求后一次性付清（无息），如保修期间产生维修费、赔偿金等则扣除相应的维修费、赔偿金等款项后退还。</w:t>
      </w:r>
    </w:p>
    <w:p w14:paraId="77C59DDF">
      <w:pPr>
        <w:pStyle w:val="104"/>
        <w:spacing w:line="300" w:lineRule="auto"/>
        <w:ind w:left="120" w:leftChars="50" w:firstLine="391" w:firstLineChars="178"/>
        <w:rPr>
          <w:rFonts w:ascii="宋体" w:hAnsi="宋体" w:cs="宋体"/>
          <w:color w:val="auto"/>
          <w:sz w:val="22"/>
          <w:szCs w:val="22"/>
          <w:highlight w:val="none"/>
        </w:rPr>
      </w:pPr>
      <w:r>
        <w:rPr>
          <w:rFonts w:hint="eastAsia" w:ascii="宋体" w:hAnsi="宋体" w:cs="宋体"/>
          <w:color w:val="auto"/>
          <w:sz w:val="22"/>
          <w:szCs w:val="22"/>
          <w:highlight w:val="none"/>
        </w:rPr>
        <w:t>六、双方约定的其他工程质量保修事项：</w:t>
      </w:r>
      <w:r>
        <w:rPr>
          <w:rFonts w:hint="eastAsia" w:ascii="宋体" w:hAnsi="宋体" w:cs="宋体"/>
          <w:color w:val="auto"/>
          <w:sz w:val="22"/>
          <w:szCs w:val="22"/>
          <w:highlight w:val="none"/>
          <w:u w:val="single"/>
        </w:rPr>
        <w:t xml:space="preserve">   无     。</w:t>
      </w:r>
    </w:p>
    <w:p w14:paraId="7346702B">
      <w:pPr>
        <w:pStyle w:val="104"/>
        <w:spacing w:line="300" w:lineRule="auto"/>
        <w:ind w:left="120" w:leftChars="50"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工程质量保修书由发包人、承包人在工程竣工验收前共同签署，作为施工合同附件，其有效期限至保修期满。</w:t>
      </w:r>
    </w:p>
    <w:p w14:paraId="704A11A3">
      <w:pPr>
        <w:pStyle w:val="104"/>
        <w:spacing w:line="300" w:lineRule="auto"/>
        <w:ind w:firstLine="418" w:firstLineChars="190"/>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14:paraId="64938955">
      <w:pPr>
        <w:pStyle w:val="104"/>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发包人(公章)：</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承包人(公章)：</w:t>
      </w:r>
      <w:r>
        <w:rPr>
          <w:rFonts w:hint="eastAsia" w:ascii="宋体" w:hAnsi="宋体" w:cs="宋体"/>
          <w:color w:val="auto"/>
          <w:sz w:val="22"/>
          <w:szCs w:val="22"/>
          <w:highlight w:val="none"/>
          <w:u w:val="single"/>
        </w:rPr>
        <w:t xml:space="preserve">            </w:t>
      </w:r>
    </w:p>
    <w:p w14:paraId="0B086A1C">
      <w:pPr>
        <w:pStyle w:val="104"/>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地  址：</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地  址：</w:t>
      </w:r>
      <w:r>
        <w:rPr>
          <w:rFonts w:hint="eastAsia" w:ascii="宋体" w:hAnsi="宋体" w:cs="宋体"/>
          <w:color w:val="auto"/>
          <w:sz w:val="22"/>
          <w:szCs w:val="22"/>
          <w:highlight w:val="none"/>
          <w:u w:val="single"/>
        </w:rPr>
        <w:t xml:space="preserve">                   </w:t>
      </w:r>
    </w:p>
    <w:p w14:paraId="5CDB5AAF">
      <w:pPr>
        <w:pStyle w:val="104"/>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法定代表人(签字)：</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法定代表人(签字)：</w:t>
      </w:r>
      <w:r>
        <w:rPr>
          <w:rFonts w:hint="eastAsia" w:ascii="宋体" w:hAnsi="宋体" w:cs="宋体"/>
          <w:color w:val="auto"/>
          <w:sz w:val="22"/>
          <w:szCs w:val="22"/>
          <w:highlight w:val="none"/>
          <w:u w:val="single"/>
        </w:rPr>
        <w:t xml:space="preserve">       </w:t>
      </w:r>
    </w:p>
    <w:p w14:paraId="6632D359">
      <w:pPr>
        <w:pStyle w:val="104"/>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委托代理人(签字)：</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 xml:space="preserve">                   委托代理人(签字)：</w:t>
      </w:r>
      <w:r>
        <w:rPr>
          <w:rFonts w:hint="eastAsia" w:ascii="宋体" w:hAnsi="宋体" w:cs="宋体"/>
          <w:color w:val="auto"/>
          <w:sz w:val="22"/>
          <w:szCs w:val="22"/>
          <w:highlight w:val="none"/>
          <w:u w:val="single"/>
        </w:rPr>
        <w:t xml:space="preserve">       </w:t>
      </w:r>
    </w:p>
    <w:p w14:paraId="46E2ED20">
      <w:pPr>
        <w:pStyle w:val="17"/>
        <w:spacing w:line="440" w:lineRule="exact"/>
        <w:rPr>
          <w:rFonts w:ascii="宋体" w:hAnsi="宋体" w:eastAsia="宋体" w:cs="宋体"/>
          <w:b/>
          <w:bCs/>
          <w:color w:val="auto"/>
          <w:sz w:val="22"/>
          <w:szCs w:val="22"/>
          <w:highlight w:val="none"/>
        </w:rPr>
      </w:pPr>
      <w:r>
        <w:rPr>
          <w:rFonts w:hint="eastAsia" w:ascii="宋体" w:hAnsi="宋体" w:eastAsia="宋体" w:cs="宋体"/>
          <w:color w:val="auto"/>
          <w:sz w:val="22"/>
          <w:szCs w:val="22"/>
          <w:highlight w:val="none"/>
        </w:rPr>
        <w:br w:type="page"/>
      </w:r>
      <w:r>
        <w:rPr>
          <w:rFonts w:hint="eastAsia" w:ascii="宋体" w:hAnsi="宋体" w:eastAsia="宋体" w:cs="宋体"/>
          <w:b/>
          <w:bCs/>
          <w:color w:val="auto"/>
          <w:highlight w:val="none"/>
        </w:rPr>
        <w:t xml:space="preserve">附件2： </w:t>
      </w:r>
    </w:p>
    <w:p w14:paraId="0AAFBEC4">
      <w:pPr>
        <w:topLinePunct/>
        <w:jc w:val="center"/>
        <w:rPr>
          <w:b/>
          <w:bCs/>
          <w:color w:val="auto"/>
          <w:highlight w:val="none"/>
        </w:rPr>
      </w:pPr>
      <w:r>
        <w:rPr>
          <w:rFonts w:hint="eastAsia"/>
          <w:b/>
          <w:bCs/>
          <w:color w:val="auto"/>
          <w:highlight w:val="none"/>
        </w:rPr>
        <w:t>廉政责任合同</w:t>
      </w:r>
    </w:p>
    <w:p w14:paraId="13362C63">
      <w:pPr>
        <w:topLinePunct/>
        <w:ind w:firstLine="643"/>
        <w:jc w:val="center"/>
        <w:rPr>
          <w:b/>
          <w:bCs/>
          <w:color w:val="auto"/>
          <w:sz w:val="22"/>
          <w:szCs w:val="22"/>
          <w:highlight w:val="none"/>
        </w:rPr>
      </w:pPr>
      <w:r>
        <w:rPr>
          <w:rFonts w:hint="eastAsia"/>
          <w:b/>
          <w:bCs/>
          <w:color w:val="auto"/>
          <w:sz w:val="22"/>
          <w:szCs w:val="22"/>
          <w:highlight w:val="none"/>
        </w:rPr>
        <w:t xml:space="preserve"> </w:t>
      </w:r>
    </w:p>
    <w:p w14:paraId="20519ADF">
      <w:pPr>
        <w:pStyle w:val="129"/>
        <w:spacing w:line="360" w:lineRule="auto"/>
        <w:ind w:firstLine="442"/>
        <w:rPr>
          <w:rFonts w:ascii="宋体" w:hAnsi="宋体" w:cs="宋体"/>
          <w:color w:val="auto"/>
          <w:sz w:val="22"/>
          <w:szCs w:val="22"/>
          <w:highlight w:val="none"/>
        </w:rPr>
      </w:pPr>
      <w:r>
        <w:rPr>
          <w:rFonts w:hint="eastAsia" w:ascii="宋体" w:hAnsi="宋体" w:cs="宋体"/>
          <w:b/>
          <w:bCs/>
          <w:color w:val="auto"/>
          <w:sz w:val="22"/>
          <w:szCs w:val="22"/>
          <w:highlight w:val="none"/>
        </w:rPr>
        <w:t>第一条</w:t>
      </w:r>
      <w:r>
        <w:rPr>
          <w:rFonts w:hint="eastAsia" w:ascii="宋体" w:hAnsi="宋体" w:cs="宋体"/>
          <w:color w:val="auto"/>
          <w:sz w:val="22"/>
          <w:szCs w:val="22"/>
          <w:highlight w:val="none"/>
        </w:rPr>
        <w:t>：根据国家建设部、监察部《关于在工程建设中深入开展反对腐败和反不正当竞争的通知》精神和党风廉政建设的有关规定，为进一步规范工程建设中的经济活动管理，经双方协商一致，制订以下廉政责任合同。</w:t>
      </w:r>
    </w:p>
    <w:p w14:paraId="75AF2CBC">
      <w:pPr>
        <w:pStyle w:val="129"/>
        <w:spacing w:line="360" w:lineRule="auto"/>
        <w:ind w:firstLine="442"/>
        <w:rPr>
          <w:rFonts w:ascii="宋体" w:hAnsi="宋体" w:cs="宋体"/>
          <w:color w:val="auto"/>
          <w:sz w:val="22"/>
          <w:szCs w:val="22"/>
          <w:highlight w:val="none"/>
        </w:rPr>
      </w:pPr>
      <w:r>
        <w:rPr>
          <w:rFonts w:hint="eastAsia" w:ascii="宋体" w:hAnsi="宋体" w:cs="宋体"/>
          <w:b/>
          <w:bCs/>
          <w:color w:val="auto"/>
          <w:sz w:val="22"/>
          <w:szCs w:val="22"/>
          <w:highlight w:val="none"/>
        </w:rPr>
        <w:t>第二条</w:t>
      </w:r>
      <w:r>
        <w:rPr>
          <w:rFonts w:hint="eastAsia" w:ascii="宋体" w:hAnsi="宋体" w:cs="宋体"/>
          <w:color w:val="auto"/>
          <w:sz w:val="22"/>
          <w:szCs w:val="22"/>
          <w:highlight w:val="none"/>
        </w:rPr>
        <w:t>：廉政责任合同（以下简称本合同）由</w:t>
      </w:r>
      <w:r>
        <w:rPr>
          <w:rFonts w:hint="eastAsia" w:ascii="宋体" w:hAnsi="宋体" w:cs="宋体"/>
          <w:color w:val="auto"/>
          <w:sz w:val="22"/>
          <w:szCs w:val="22"/>
          <w:highlight w:val="none"/>
          <w:lang w:eastAsia="zh-CN"/>
        </w:rPr>
        <w:t>浙江省文化馆</w:t>
      </w:r>
      <w:r>
        <w:rPr>
          <w:rFonts w:hint="eastAsia" w:ascii="宋体" w:hAnsi="宋体" w:cs="宋体"/>
          <w:color w:val="auto"/>
          <w:sz w:val="22"/>
          <w:szCs w:val="22"/>
          <w:highlight w:val="none"/>
        </w:rPr>
        <w:t>与承包方</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（以下简称承包人）共同签订。</w:t>
      </w:r>
    </w:p>
    <w:p w14:paraId="5C540C53">
      <w:pPr>
        <w:pStyle w:val="129"/>
        <w:spacing w:line="360" w:lineRule="auto"/>
        <w:ind w:firstLine="442"/>
        <w:rPr>
          <w:rFonts w:ascii="宋体" w:hAnsi="宋体" w:cs="宋体"/>
          <w:color w:val="auto"/>
          <w:sz w:val="22"/>
          <w:szCs w:val="22"/>
          <w:highlight w:val="none"/>
        </w:rPr>
      </w:pPr>
      <w:r>
        <w:rPr>
          <w:rFonts w:hint="eastAsia" w:ascii="宋体" w:hAnsi="宋体" w:cs="宋体"/>
          <w:b/>
          <w:bCs/>
          <w:color w:val="auto"/>
          <w:sz w:val="22"/>
          <w:szCs w:val="22"/>
          <w:highlight w:val="none"/>
        </w:rPr>
        <w:t>第三条</w:t>
      </w:r>
      <w:r>
        <w:rPr>
          <w:rFonts w:hint="eastAsia" w:ascii="宋体" w:hAnsi="宋体" w:cs="宋体"/>
          <w:color w:val="auto"/>
          <w:sz w:val="22"/>
          <w:szCs w:val="22"/>
          <w:highlight w:val="none"/>
        </w:rPr>
        <w:t>：纪检监察部门负责履行本合同的监督管理工作。</w:t>
      </w:r>
    </w:p>
    <w:p w14:paraId="1F69B8E0">
      <w:pPr>
        <w:pStyle w:val="129"/>
        <w:spacing w:line="360" w:lineRule="auto"/>
        <w:ind w:firstLine="442"/>
        <w:rPr>
          <w:rFonts w:ascii="宋体" w:hAnsi="宋体" w:cs="宋体"/>
          <w:color w:val="auto"/>
          <w:sz w:val="22"/>
          <w:szCs w:val="22"/>
          <w:highlight w:val="none"/>
        </w:rPr>
      </w:pPr>
      <w:r>
        <w:rPr>
          <w:rFonts w:hint="eastAsia" w:ascii="宋体" w:hAnsi="宋体" w:cs="宋体"/>
          <w:b/>
          <w:bCs/>
          <w:color w:val="auto"/>
          <w:sz w:val="22"/>
          <w:szCs w:val="22"/>
          <w:highlight w:val="none"/>
        </w:rPr>
        <w:t>第四条</w:t>
      </w:r>
      <w:r>
        <w:rPr>
          <w:rFonts w:hint="eastAsia" w:ascii="宋体" w:hAnsi="宋体" w:cs="宋体"/>
          <w:color w:val="auto"/>
          <w:sz w:val="22"/>
          <w:szCs w:val="22"/>
          <w:highlight w:val="none"/>
        </w:rPr>
        <w:t>：双方的权利和义务</w:t>
      </w:r>
    </w:p>
    <w:p w14:paraId="35E6325B">
      <w:pPr>
        <w:pStyle w:val="129"/>
        <w:spacing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一、双方应严格遵守党和国家法规、党风廉政建设及《反不正当竞争法》的各项规定。</w:t>
      </w:r>
    </w:p>
    <w:p w14:paraId="5B26A3C0">
      <w:pPr>
        <w:pStyle w:val="129"/>
        <w:spacing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二、双方严格执行所签订的经济合同各项条款，自觉按合同办事，严禁因违法违纪、违反工程建设管理的各项规章制度而损害国家和集体利益。</w:t>
      </w:r>
    </w:p>
    <w:p w14:paraId="7464DCA8">
      <w:pPr>
        <w:pStyle w:val="129"/>
        <w:spacing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三、双方人员洽谈业务时，必须选择在办公场所或发包人确定的其它公共场所由二人以上共同进行，严禁私下商谈串通。</w:t>
      </w:r>
    </w:p>
    <w:p w14:paraId="5C72060D">
      <w:pPr>
        <w:pStyle w:val="129"/>
        <w:spacing w:line="360" w:lineRule="auto"/>
        <w:ind w:firstLine="442"/>
        <w:rPr>
          <w:rFonts w:ascii="宋体" w:hAnsi="宋体" w:cs="宋体"/>
          <w:color w:val="auto"/>
          <w:sz w:val="22"/>
          <w:szCs w:val="22"/>
          <w:highlight w:val="none"/>
        </w:rPr>
      </w:pPr>
      <w:r>
        <w:rPr>
          <w:rFonts w:hint="eastAsia" w:ascii="宋体" w:hAnsi="宋体" w:cs="宋体"/>
          <w:b/>
          <w:bCs/>
          <w:color w:val="auto"/>
          <w:sz w:val="22"/>
          <w:szCs w:val="22"/>
          <w:highlight w:val="none"/>
        </w:rPr>
        <w:t xml:space="preserve">第五条  </w:t>
      </w:r>
      <w:r>
        <w:rPr>
          <w:rFonts w:hint="eastAsia" w:ascii="宋体" w:hAnsi="宋体" w:cs="宋体"/>
          <w:color w:val="auto"/>
          <w:sz w:val="22"/>
          <w:szCs w:val="22"/>
          <w:highlight w:val="none"/>
        </w:rPr>
        <w:t>发包人的权利和义务</w:t>
      </w:r>
    </w:p>
    <w:p w14:paraId="1D5F05A7">
      <w:pPr>
        <w:pStyle w:val="129"/>
        <w:spacing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一、发包人人员不得以任何形式向承包人索要回扣；对无法拒收的，应及时上交纪检部门。</w:t>
      </w:r>
    </w:p>
    <w:p w14:paraId="6168A4D8">
      <w:pPr>
        <w:pStyle w:val="129"/>
        <w:spacing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二、发包人人员在业务交往中或项目结束后，不得接受承包人以任何形式给予的礼金、礼品和有价证券，不得在承包人报销应由个人支付的任何费用。</w:t>
      </w:r>
    </w:p>
    <w:p w14:paraId="0688CFC2">
      <w:pPr>
        <w:pStyle w:val="129"/>
        <w:spacing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三、发包人人员不得参加可能对公正执行公务有影响的宴请、旅游和娱乐活动。</w:t>
      </w:r>
    </w:p>
    <w:p w14:paraId="4996FE6C">
      <w:pPr>
        <w:pStyle w:val="129"/>
        <w:spacing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四、发包人人员不得向承包人介绍家属或亲友从事与发包人工程有关的材料设备供应、工程分包等经济活动。</w:t>
      </w:r>
    </w:p>
    <w:p w14:paraId="40AB50DF">
      <w:pPr>
        <w:pStyle w:val="129"/>
        <w:spacing w:line="360" w:lineRule="auto"/>
        <w:ind w:firstLine="442"/>
        <w:rPr>
          <w:rFonts w:ascii="宋体" w:hAnsi="宋体" w:cs="宋体"/>
          <w:color w:val="auto"/>
          <w:sz w:val="22"/>
          <w:szCs w:val="22"/>
          <w:highlight w:val="none"/>
        </w:rPr>
      </w:pPr>
      <w:r>
        <w:rPr>
          <w:rFonts w:hint="eastAsia" w:ascii="宋体" w:hAnsi="宋体" w:cs="宋体"/>
          <w:b/>
          <w:bCs/>
          <w:color w:val="auto"/>
          <w:sz w:val="22"/>
          <w:szCs w:val="22"/>
          <w:highlight w:val="none"/>
        </w:rPr>
        <w:t>第六条</w:t>
      </w:r>
      <w:r>
        <w:rPr>
          <w:rFonts w:hint="eastAsia" w:ascii="宋体" w:hAnsi="宋体" w:cs="宋体"/>
          <w:color w:val="auto"/>
          <w:sz w:val="22"/>
          <w:szCs w:val="22"/>
          <w:highlight w:val="none"/>
        </w:rPr>
        <w:t>：承包人的权利和义务</w:t>
      </w:r>
    </w:p>
    <w:p w14:paraId="074A5A79">
      <w:pPr>
        <w:pStyle w:val="129"/>
        <w:spacing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一、承包人人员不得以任何形式向发包人人员赠送礼金、礼品和有价证券。项目结束后，也不得进行上述赠送。</w:t>
      </w:r>
    </w:p>
    <w:p w14:paraId="4A7D972B">
      <w:pPr>
        <w:pStyle w:val="129"/>
        <w:spacing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二、承包人不准以任何名义为发包人人员报销应由发包人人员个人支付的费用。</w:t>
      </w:r>
    </w:p>
    <w:p w14:paraId="4F1D23D6">
      <w:pPr>
        <w:pStyle w:val="129"/>
        <w:spacing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三、承包人人员不得以洽谈业务、签订经济合同为借口，邀请发包人人员参加宴会、旅游和娱乐活动等。</w:t>
      </w:r>
    </w:p>
    <w:p w14:paraId="2BF4B311">
      <w:pPr>
        <w:pStyle w:val="129"/>
        <w:spacing w:line="360" w:lineRule="auto"/>
        <w:ind w:firstLine="442"/>
        <w:rPr>
          <w:rFonts w:ascii="宋体" w:hAnsi="宋体" w:cs="宋体"/>
          <w:color w:val="auto"/>
          <w:sz w:val="22"/>
          <w:szCs w:val="22"/>
          <w:highlight w:val="none"/>
        </w:rPr>
      </w:pPr>
      <w:r>
        <w:rPr>
          <w:rFonts w:hint="eastAsia" w:ascii="宋体" w:hAnsi="宋体" w:cs="宋体"/>
          <w:b/>
          <w:bCs/>
          <w:color w:val="auto"/>
          <w:sz w:val="22"/>
          <w:szCs w:val="22"/>
          <w:highlight w:val="none"/>
        </w:rPr>
        <w:t>第七条</w:t>
      </w:r>
      <w:r>
        <w:rPr>
          <w:rFonts w:hint="eastAsia" w:ascii="宋体" w:hAnsi="宋体" w:cs="宋体"/>
          <w:color w:val="auto"/>
          <w:sz w:val="22"/>
          <w:szCs w:val="22"/>
          <w:highlight w:val="none"/>
        </w:rPr>
        <w:t>：违约责任</w:t>
      </w:r>
    </w:p>
    <w:p w14:paraId="65866359">
      <w:pPr>
        <w:pStyle w:val="129"/>
        <w:spacing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一、发包人人员若违反本合同，其主管部门将对违法、违纪、违规人员严肃查处。因此而给承包人造成的损失，发包人按有关规定予以赔偿。</w:t>
      </w:r>
    </w:p>
    <w:p w14:paraId="6F9E34CE">
      <w:pPr>
        <w:pStyle w:val="129"/>
        <w:spacing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二、发包人主管部门如发现承包人人员违反本合同规定，一经查实，有权终止其经济合同，由此而造成的损失由承包人负责赔偿；并将承包人列入不良行为名单登记入册，取消其在该工程任何经济项目的投标活动。同时，有义务向政府主管部门提供其不良记录情况。</w:t>
      </w:r>
    </w:p>
    <w:p w14:paraId="235CBD1F">
      <w:pPr>
        <w:pStyle w:val="129"/>
        <w:spacing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三、承包人人员若违反本合同，其主管部门应对违法违纪人员严肃查处，因此而给发包人造成的损失，承包人按有关规定予以赔偿。</w:t>
      </w:r>
    </w:p>
    <w:p w14:paraId="37D01286">
      <w:pPr>
        <w:pStyle w:val="129"/>
        <w:spacing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四、如承包人发现发包人人员有违反本合同的行为，应及时向发包人纪检监察部门举报。发包人不得以任何借口报复承包人。</w:t>
      </w:r>
    </w:p>
    <w:p w14:paraId="4463645D">
      <w:pPr>
        <w:pStyle w:val="129"/>
        <w:spacing w:line="360" w:lineRule="auto"/>
        <w:ind w:firstLine="442"/>
        <w:rPr>
          <w:rFonts w:ascii="宋体" w:hAnsi="宋体" w:cs="宋体"/>
          <w:color w:val="auto"/>
          <w:sz w:val="22"/>
          <w:szCs w:val="22"/>
          <w:highlight w:val="none"/>
        </w:rPr>
      </w:pPr>
      <w:r>
        <w:rPr>
          <w:rFonts w:hint="eastAsia" w:ascii="宋体" w:hAnsi="宋体" w:cs="宋体"/>
          <w:b/>
          <w:bCs/>
          <w:color w:val="auto"/>
          <w:sz w:val="22"/>
          <w:szCs w:val="22"/>
          <w:highlight w:val="none"/>
        </w:rPr>
        <w:t>第八条</w:t>
      </w:r>
      <w:r>
        <w:rPr>
          <w:rFonts w:hint="eastAsia" w:ascii="宋体" w:hAnsi="宋体" w:cs="宋体"/>
          <w:color w:val="auto"/>
          <w:sz w:val="22"/>
          <w:szCs w:val="22"/>
          <w:highlight w:val="none"/>
        </w:rPr>
        <w:t>：双方必须将“廉政责任合同”贯穿于所签订的经济合同实施的全过程，及时布置、认真检查、严格考核。</w:t>
      </w:r>
    </w:p>
    <w:p w14:paraId="340E1AC7">
      <w:pPr>
        <w:pStyle w:val="129"/>
        <w:spacing w:line="360" w:lineRule="auto"/>
        <w:ind w:firstLine="442"/>
        <w:rPr>
          <w:rFonts w:ascii="宋体" w:hAnsi="宋体" w:cs="宋体"/>
          <w:color w:val="auto"/>
          <w:sz w:val="22"/>
          <w:szCs w:val="22"/>
          <w:highlight w:val="none"/>
        </w:rPr>
      </w:pPr>
      <w:r>
        <w:rPr>
          <w:rFonts w:hint="eastAsia" w:ascii="宋体" w:hAnsi="宋体" w:cs="宋体"/>
          <w:b/>
          <w:bCs/>
          <w:color w:val="auto"/>
          <w:sz w:val="22"/>
          <w:szCs w:val="22"/>
          <w:highlight w:val="none"/>
        </w:rPr>
        <w:t>第九条</w:t>
      </w:r>
      <w:r>
        <w:rPr>
          <w:rFonts w:hint="eastAsia" w:ascii="宋体" w:hAnsi="宋体" w:cs="宋体"/>
          <w:color w:val="auto"/>
          <w:sz w:val="22"/>
          <w:szCs w:val="22"/>
          <w:highlight w:val="none"/>
        </w:rPr>
        <w:t>：本合同在双方签订重大经济合同的同时签订。</w:t>
      </w:r>
    </w:p>
    <w:p w14:paraId="1C2619B7">
      <w:pPr>
        <w:pStyle w:val="129"/>
        <w:spacing w:line="360" w:lineRule="auto"/>
        <w:ind w:firstLine="442"/>
        <w:rPr>
          <w:rFonts w:ascii="宋体" w:hAnsi="宋体" w:cs="宋体"/>
          <w:color w:val="auto"/>
          <w:sz w:val="22"/>
          <w:szCs w:val="22"/>
          <w:highlight w:val="none"/>
        </w:rPr>
      </w:pPr>
      <w:r>
        <w:rPr>
          <w:rFonts w:hint="eastAsia" w:ascii="宋体" w:hAnsi="宋体" w:cs="宋体"/>
          <w:b/>
          <w:bCs/>
          <w:color w:val="auto"/>
          <w:sz w:val="22"/>
          <w:szCs w:val="22"/>
          <w:highlight w:val="none"/>
        </w:rPr>
        <w:t>第十条</w:t>
      </w:r>
      <w:r>
        <w:rPr>
          <w:rFonts w:hint="eastAsia" w:ascii="宋体" w:hAnsi="宋体" w:cs="宋体"/>
          <w:color w:val="auto"/>
          <w:sz w:val="22"/>
          <w:szCs w:val="22"/>
          <w:highlight w:val="none"/>
        </w:rPr>
        <w:t>：本合同作为本次所签订的</w:t>
      </w:r>
      <w:r>
        <w:rPr>
          <w:rFonts w:hint="eastAsia" w:ascii="宋体" w:hAnsi="宋体" w:cs="宋体"/>
          <w:color w:val="auto"/>
          <w:sz w:val="22"/>
          <w:szCs w:val="22"/>
          <w:highlight w:val="none"/>
          <w:u w:val="single"/>
        </w:rPr>
        <w:t>《                             》</w:t>
      </w:r>
      <w:r>
        <w:rPr>
          <w:rFonts w:hint="eastAsia" w:ascii="宋体" w:hAnsi="宋体" w:cs="宋体"/>
          <w:color w:val="auto"/>
          <w:sz w:val="22"/>
          <w:szCs w:val="22"/>
          <w:highlight w:val="none"/>
        </w:rPr>
        <w:t>的附件，经合同双方共同签署后立即生效。</w:t>
      </w:r>
    </w:p>
    <w:p w14:paraId="7CB537A6">
      <w:pPr>
        <w:pStyle w:val="129"/>
        <w:spacing w:line="360" w:lineRule="auto"/>
        <w:ind w:firstLine="442"/>
        <w:rPr>
          <w:rFonts w:ascii="宋体" w:hAnsi="宋体" w:cs="宋体"/>
          <w:color w:val="auto"/>
          <w:sz w:val="22"/>
          <w:szCs w:val="22"/>
          <w:highlight w:val="none"/>
        </w:rPr>
      </w:pPr>
      <w:r>
        <w:rPr>
          <w:rFonts w:hint="eastAsia" w:ascii="宋体" w:hAnsi="宋体" w:cs="宋体"/>
          <w:b/>
          <w:bCs/>
          <w:color w:val="auto"/>
          <w:sz w:val="22"/>
          <w:szCs w:val="22"/>
          <w:highlight w:val="none"/>
        </w:rPr>
        <w:t>第十一条：</w:t>
      </w:r>
      <w:r>
        <w:rPr>
          <w:rFonts w:hint="eastAsia" w:ascii="宋体" w:hAnsi="宋体" w:cs="宋体"/>
          <w:color w:val="auto"/>
          <w:sz w:val="22"/>
          <w:szCs w:val="22"/>
          <w:highlight w:val="none"/>
        </w:rPr>
        <w:t>本合同一式贰份，由双方各执一份。</w:t>
      </w:r>
    </w:p>
    <w:p w14:paraId="4F24E805">
      <w:pPr>
        <w:topLinePunct/>
        <w:spacing w:line="360" w:lineRule="auto"/>
        <w:ind w:firstLine="640"/>
        <w:rPr>
          <w:color w:val="auto"/>
          <w:sz w:val="22"/>
          <w:szCs w:val="22"/>
          <w:highlight w:val="none"/>
        </w:rPr>
      </w:pPr>
      <w:r>
        <w:rPr>
          <w:rFonts w:hint="eastAsia"/>
          <w:color w:val="auto"/>
          <w:sz w:val="22"/>
          <w:szCs w:val="22"/>
          <w:highlight w:val="none"/>
        </w:rPr>
        <w:t xml:space="preserve"> </w:t>
      </w:r>
    </w:p>
    <w:p w14:paraId="55E5E673">
      <w:pPr>
        <w:topLinePunct/>
        <w:spacing w:line="360" w:lineRule="auto"/>
        <w:ind w:firstLine="640"/>
        <w:rPr>
          <w:color w:val="auto"/>
          <w:sz w:val="22"/>
          <w:szCs w:val="22"/>
          <w:highlight w:val="none"/>
        </w:rPr>
      </w:pPr>
      <w:r>
        <w:rPr>
          <w:rFonts w:hint="eastAsia"/>
          <w:color w:val="auto"/>
          <w:sz w:val="22"/>
          <w:szCs w:val="22"/>
          <w:highlight w:val="none"/>
        </w:rPr>
        <w:t xml:space="preserve"> </w:t>
      </w:r>
    </w:p>
    <w:p w14:paraId="6FC6B36C">
      <w:pPr>
        <w:topLinePunct/>
        <w:spacing w:line="360" w:lineRule="auto"/>
        <w:ind w:firstLine="640"/>
        <w:rPr>
          <w:color w:val="auto"/>
          <w:sz w:val="22"/>
          <w:szCs w:val="22"/>
          <w:highlight w:val="none"/>
        </w:rPr>
      </w:pPr>
      <w:r>
        <w:rPr>
          <w:rFonts w:hint="eastAsia"/>
          <w:color w:val="auto"/>
          <w:sz w:val="22"/>
          <w:szCs w:val="22"/>
          <w:highlight w:val="none"/>
        </w:rPr>
        <w:t xml:space="preserve"> </w:t>
      </w:r>
    </w:p>
    <w:p w14:paraId="34DE3AC9">
      <w:pPr>
        <w:pStyle w:val="129"/>
        <w:spacing w:line="360" w:lineRule="auto"/>
        <w:ind w:firstLine="442"/>
        <w:rPr>
          <w:rFonts w:ascii="宋体" w:hAnsi="宋体" w:cs="宋体"/>
          <w:b/>
          <w:bCs/>
          <w:color w:val="auto"/>
          <w:sz w:val="22"/>
          <w:szCs w:val="22"/>
          <w:highlight w:val="none"/>
        </w:rPr>
      </w:pPr>
      <w:r>
        <w:rPr>
          <w:rFonts w:hint="eastAsia" w:ascii="宋体" w:hAnsi="宋体" w:cs="宋体"/>
          <w:b/>
          <w:bCs/>
          <w:color w:val="auto"/>
          <w:sz w:val="22"/>
          <w:szCs w:val="22"/>
          <w:highlight w:val="none"/>
        </w:rPr>
        <w:t>发包人（盖章）                              承包人（盖章）</w:t>
      </w:r>
    </w:p>
    <w:p w14:paraId="4C81F0EF">
      <w:pPr>
        <w:pStyle w:val="129"/>
        <w:spacing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14:paraId="3004D857">
      <w:pPr>
        <w:pStyle w:val="129"/>
        <w:spacing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发包人法定代表人 ：                         承包人法定代表人：</w:t>
      </w:r>
    </w:p>
    <w:p w14:paraId="44EC6170">
      <w:pPr>
        <w:pStyle w:val="129"/>
        <w:spacing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或                                          或</w:t>
      </w:r>
    </w:p>
    <w:p w14:paraId="3B62EBBE">
      <w:pPr>
        <w:pStyle w:val="129"/>
        <w:spacing w:line="360" w:lineRule="auto"/>
        <w:ind w:firstLine="440"/>
        <w:rPr>
          <w:rFonts w:ascii="宋体" w:hAnsi="宋体" w:cs="宋体"/>
          <w:color w:val="auto"/>
          <w:sz w:val="22"/>
          <w:szCs w:val="22"/>
          <w:highlight w:val="none"/>
        </w:rPr>
      </w:pPr>
      <w:r>
        <w:rPr>
          <w:rFonts w:hint="eastAsia" w:ascii="宋体" w:hAnsi="宋体" w:cs="宋体"/>
          <w:color w:val="auto"/>
          <w:sz w:val="22"/>
          <w:szCs w:val="22"/>
          <w:highlight w:val="none"/>
        </w:rPr>
        <w:t>发包人委托代理人：                          承包人委托代理人：</w:t>
      </w:r>
    </w:p>
    <w:p w14:paraId="5CFA9AA2">
      <w:pPr>
        <w:pStyle w:val="129"/>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 xml:space="preserve"> </w:t>
      </w:r>
    </w:p>
    <w:p w14:paraId="150B250D">
      <w:pPr>
        <w:rPr>
          <w:color w:val="auto"/>
          <w:highlight w:val="none"/>
        </w:rPr>
      </w:pPr>
      <w:r>
        <w:rPr>
          <w:rFonts w:hint="eastAsia"/>
          <w:color w:val="auto"/>
          <w:highlight w:val="none"/>
        </w:rPr>
        <w:t xml:space="preserve"> </w:t>
      </w:r>
    </w:p>
    <w:p w14:paraId="67992249">
      <w:pPr>
        <w:rPr>
          <w:b/>
          <w:bCs/>
          <w:color w:val="auto"/>
          <w:highlight w:val="none"/>
        </w:rPr>
      </w:pPr>
      <w:r>
        <w:rPr>
          <w:rFonts w:hint="eastAsia"/>
          <w:b/>
          <w:bCs/>
          <w:color w:val="auto"/>
          <w:highlight w:val="none"/>
        </w:rPr>
        <w:br w:type="page"/>
      </w:r>
    </w:p>
    <w:p w14:paraId="78C53E0E">
      <w:pPr>
        <w:spacing w:line="360" w:lineRule="auto"/>
        <w:rPr>
          <w:b/>
          <w:bCs/>
          <w:color w:val="auto"/>
          <w:highlight w:val="none"/>
        </w:rPr>
      </w:pPr>
      <w:r>
        <w:rPr>
          <w:rFonts w:hint="eastAsia"/>
          <w:b/>
          <w:bCs/>
          <w:color w:val="auto"/>
          <w:highlight w:val="none"/>
        </w:rPr>
        <w:t xml:space="preserve">附件3： </w:t>
      </w:r>
    </w:p>
    <w:p w14:paraId="41EAA2BC">
      <w:pPr>
        <w:spacing w:line="360" w:lineRule="auto"/>
        <w:jc w:val="center"/>
        <w:rPr>
          <w:b/>
          <w:color w:val="auto"/>
          <w:highlight w:val="none"/>
        </w:rPr>
      </w:pPr>
      <w:r>
        <w:rPr>
          <w:b/>
          <w:color w:val="auto"/>
          <w:highlight w:val="none"/>
        </w:rPr>
        <w:t>安全生产责任协议书</w:t>
      </w:r>
    </w:p>
    <w:p w14:paraId="6171E5AE">
      <w:pPr>
        <w:snapToGrid w:val="0"/>
        <w:spacing w:line="360" w:lineRule="auto"/>
        <w:rPr>
          <w:b/>
          <w:color w:val="auto"/>
          <w:sz w:val="22"/>
          <w:szCs w:val="22"/>
          <w:highlight w:val="none"/>
        </w:rPr>
      </w:pPr>
      <w:r>
        <w:rPr>
          <w:b/>
          <w:color w:val="auto"/>
          <w:sz w:val="22"/>
          <w:szCs w:val="22"/>
          <w:highlight w:val="none"/>
        </w:rPr>
        <w:t>甲方（发包人）：</w:t>
      </w:r>
      <w:r>
        <w:rPr>
          <w:rFonts w:hint="eastAsia"/>
          <w:b/>
          <w:color w:val="auto"/>
          <w:sz w:val="22"/>
          <w:szCs w:val="22"/>
          <w:highlight w:val="none"/>
          <w:u w:val="single"/>
          <w:lang w:eastAsia="zh-CN"/>
        </w:rPr>
        <w:t>浙江省文化馆</w:t>
      </w:r>
      <w:r>
        <w:rPr>
          <w:rFonts w:hint="eastAsia"/>
          <w:b/>
          <w:color w:val="auto"/>
          <w:sz w:val="22"/>
          <w:szCs w:val="22"/>
          <w:highlight w:val="none"/>
          <w:u w:val="single"/>
        </w:rPr>
        <w:t xml:space="preserve">       </w:t>
      </w:r>
    </w:p>
    <w:p w14:paraId="698526D0">
      <w:pPr>
        <w:snapToGrid w:val="0"/>
        <w:spacing w:line="360" w:lineRule="auto"/>
        <w:rPr>
          <w:b/>
          <w:color w:val="auto"/>
          <w:sz w:val="22"/>
          <w:szCs w:val="22"/>
          <w:highlight w:val="none"/>
        </w:rPr>
      </w:pPr>
      <w:r>
        <w:rPr>
          <w:b/>
          <w:color w:val="auto"/>
          <w:sz w:val="22"/>
          <w:szCs w:val="22"/>
          <w:highlight w:val="none"/>
        </w:rPr>
        <w:t>乙方（承包人）：</w:t>
      </w:r>
      <w:r>
        <w:rPr>
          <w:b/>
          <w:color w:val="auto"/>
          <w:sz w:val="22"/>
          <w:szCs w:val="22"/>
          <w:highlight w:val="none"/>
          <w:u w:val="single"/>
        </w:rPr>
        <w:t xml:space="preserve">                           </w:t>
      </w:r>
    </w:p>
    <w:p w14:paraId="342EFB44">
      <w:pPr>
        <w:snapToGrid w:val="0"/>
        <w:spacing w:line="360" w:lineRule="auto"/>
        <w:ind w:firstLine="440" w:firstLineChars="200"/>
        <w:rPr>
          <w:color w:val="auto"/>
          <w:kern w:val="0"/>
          <w:sz w:val="22"/>
          <w:szCs w:val="22"/>
          <w:highlight w:val="none"/>
          <w:u w:val="single"/>
        </w:rPr>
      </w:pPr>
      <w:r>
        <w:rPr>
          <w:color w:val="auto"/>
          <w:sz w:val="22"/>
          <w:szCs w:val="22"/>
          <w:highlight w:val="none"/>
        </w:rPr>
        <w:t>工程项目名称：</w:t>
      </w:r>
      <w:r>
        <w:rPr>
          <w:color w:val="auto"/>
          <w:kern w:val="0"/>
          <w:sz w:val="22"/>
          <w:szCs w:val="22"/>
          <w:highlight w:val="none"/>
          <w:u w:val="single"/>
        </w:rPr>
        <w:t xml:space="preserve">                            </w:t>
      </w:r>
    </w:p>
    <w:p w14:paraId="096A234B">
      <w:pPr>
        <w:snapToGrid w:val="0"/>
        <w:spacing w:line="360" w:lineRule="auto"/>
        <w:ind w:firstLine="440" w:firstLineChars="200"/>
        <w:rPr>
          <w:color w:val="auto"/>
          <w:sz w:val="22"/>
          <w:szCs w:val="22"/>
          <w:highlight w:val="none"/>
        </w:rPr>
      </w:pPr>
      <w:r>
        <w:rPr>
          <w:color w:val="auto"/>
          <w:sz w:val="22"/>
          <w:szCs w:val="22"/>
          <w:highlight w:val="none"/>
        </w:rPr>
        <w:t>为落实安全生产的管理要求，</w:t>
      </w:r>
      <w:r>
        <w:rPr>
          <w:rFonts w:hint="eastAsia"/>
          <w:color w:val="auto"/>
          <w:sz w:val="22"/>
          <w:szCs w:val="22"/>
          <w:highlight w:val="none"/>
        </w:rPr>
        <w:t>坚决</w:t>
      </w:r>
      <w:r>
        <w:rPr>
          <w:color w:val="auto"/>
          <w:sz w:val="22"/>
          <w:szCs w:val="22"/>
          <w:highlight w:val="none"/>
        </w:rPr>
        <w:t>贯彻"安全第一，预防为主、综合治理"的方针，确保工程建设的顺利进行，按《浙江省建筑安全文明施工标准化工地管理办法》（浙建建[2005]41号)规定，甲乙双方共同协商，一致同意如下：</w:t>
      </w:r>
    </w:p>
    <w:p w14:paraId="47D8A194">
      <w:pPr>
        <w:snapToGrid w:val="0"/>
        <w:spacing w:line="360" w:lineRule="auto"/>
        <w:ind w:firstLine="440" w:firstLineChars="200"/>
        <w:rPr>
          <w:color w:val="auto"/>
          <w:sz w:val="22"/>
          <w:szCs w:val="22"/>
          <w:highlight w:val="none"/>
        </w:rPr>
      </w:pPr>
      <w:r>
        <w:rPr>
          <w:color w:val="auto"/>
          <w:sz w:val="22"/>
          <w:szCs w:val="22"/>
          <w:highlight w:val="none"/>
        </w:rPr>
        <w:t>一、发包人在施工开始前向承包人提交必要的施工场地，明确承包人安全生产管理的责任区域和要求，承包人负责施工现场的安全管理工作，是施工现场的安全管理的责任单位。承包人必须建立健全安全生产保证体系，建立健全应急救援体系其相关文件报发包人备案。</w:t>
      </w:r>
    </w:p>
    <w:p w14:paraId="5CBB807B">
      <w:pPr>
        <w:snapToGrid w:val="0"/>
        <w:spacing w:line="360" w:lineRule="auto"/>
        <w:ind w:firstLine="440" w:firstLineChars="200"/>
        <w:rPr>
          <w:color w:val="auto"/>
          <w:sz w:val="22"/>
          <w:szCs w:val="22"/>
          <w:highlight w:val="none"/>
        </w:rPr>
      </w:pPr>
      <w:r>
        <w:rPr>
          <w:color w:val="auto"/>
          <w:sz w:val="22"/>
          <w:szCs w:val="22"/>
          <w:highlight w:val="none"/>
        </w:rPr>
        <w:t>二、发包人应积极组织和督促承包人开展安全达标活动，及时传达和部署上级的有关安全生产精神和要求，定期听取承包人的意见和要求。加强安全生产的指导和协调。</w:t>
      </w:r>
    </w:p>
    <w:p w14:paraId="203CE718">
      <w:pPr>
        <w:snapToGrid w:val="0"/>
        <w:spacing w:line="360" w:lineRule="auto"/>
        <w:ind w:firstLine="440" w:firstLineChars="200"/>
        <w:rPr>
          <w:color w:val="auto"/>
          <w:sz w:val="22"/>
          <w:szCs w:val="22"/>
          <w:highlight w:val="none"/>
        </w:rPr>
      </w:pPr>
      <w:r>
        <w:rPr>
          <w:color w:val="auto"/>
          <w:sz w:val="22"/>
          <w:szCs w:val="22"/>
          <w:highlight w:val="none"/>
        </w:rPr>
        <w:t>三、</w:t>
      </w:r>
      <w:r>
        <w:rPr>
          <w:rFonts w:hint="eastAsia"/>
          <w:color w:val="auto"/>
          <w:sz w:val="22"/>
          <w:szCs w:val="22"/>
          <w:highlight w:val="none"/>
        </w:rPr>
        <w:t>发包人负责组织对承包人安全规范作业、文明施工情况的检查；对承包人及有关人员发生的违章、违规、违法行为和存在安全隐患以及安全生产活动中不积极配合的发包人有权制止、教育并责成其限期整改，必要时每次按违约责任给予经济处罚。</w:t>
      </w:r>
    </w:p>
    <w:p w14:paraId="5B7A5996">
      <w:pPr>
        <w:snapToGrid w:val="0"/>
        <w:spacing w:line="360" w:lineRule="auto"/>
        <w:ind w:firstLine="440" w:firstLineChars="200"/>
        <w:rPr>
          <w:color w:val="auto"/>
          <w:spacing w:val="40"/>
          <w:sz w:val="22"/>
          <w:szCs w:val="22"/>
          <w:highlight w:val="none"/>
        </w:rPr>
      </w:pPr>
      <w:r>
        <w:rPr>
          <w:color w:val="auto"/>
          <w:sz w:val="22"/>
          <w:szCs w:val="22"/>
          <w:highlight w:val="none"/>
        </w:rPr>
        <w:t>四、</w:t>
      </w:r>
      <w:r>
        <w:rPr>
          <w:rFonts w:hint="eastAsia"/>
          <w:color w:val="auto"/>
          <w:sz w:val="22"/>
          <w:szCs w:val="22"/>
          <w:highlight w:val="none"/>
        </w:rPr>
        <w:t>凡在工地内发生的安全生产或人员伤亡事故，发包人有权派人员参与劳动行政部门、司法机关的调查处理；甲方可按其造成的后果及影响，对乙方单位及其安全负责人按责任违约造成的损失给予乙方单位一次性经济的处罚（从乙方工程款中扣除）。事故造成的经济损失及因乙方责任给甲方造成的连带经济损失全部由乙方承担。</w:t>
      </w:r>
    </w:p>
    <w:p w14:paraId="7FCBAF79">
      <w:pPr>
        <w:snapToGrid w:val="0"/>
        <w:spacing w:line="360" w:lineRule="auto"/>
        <w:ind w:firstLine="440" w:firstLineChars="200"/>
        <w:rPr>
          <w:color w:val="auto"/>
          <w:sz w:val="22"/>
          <w:szCs w:val="22"/>
          <w:highlight w:val="none"/>
        </w:rPr>
      </w:pPr>
      <w:r>
        <w:rPr>
          <w:color w:val="auto"/>
          <w:sz w:val="22"/>
          <w:szCs w:val="22"/>
          <w:highlight w:val="none"/>
        </w:rPr>
        <w:t>其他处理</w:t>
      </w:r>
      <w:r>
        <w:rPr>
          <w:rFonts w:hint="eastAsia"/>
          <w:color w:val="auto"/>
          <w:sz w:val="22"/>
          <w:szCs w:val="22"/>
          <w:highlight w:val="none"/>
        </w:rPr>
        <w:t>，</w:t>
      </w:r>
      <w:r>
        <w:rPr>
          <w:color w:val="auto"/>
          <w:sz w:val="22"/>
          <w:szCs w:val="22"/>
          <w:highlight w:val="none"/>
        </w:rPr>
        <w:t>依据国家和地方相关法律法规、政策、规定、制度执行。</w:t>
      </w:r>
    </w:p>
    <w:p w14:paraId="4417A8F2">
      <w:pPr>
        <w:snapToGrid w:val="0"/>
        <w:spacing w:line="360" w:lineRule="auto"/>
        <w:rPr>
          <w:color w:val="auto"/>
          <w:sz w:val="22"/>
          <w:szCs w:val="22"/>
          <w:highlight w:val="none"/>
        </w:rPr>
      </w:pPr>
      <w:r>
        <w:rPr>
          <w:color w:val="auto"/>
          <w:sz w:val="22"/>
          <w:szCs w:val="22"/>
          <w:highlight w:val="none"/>
        </w:rPr>
        <w:t>五、承包人应严格贯彻执行国家和市颁布的有关安全生产的法律、法规，严格按照中华人民共和国建设部建标（99）79号“关于发布行业标准《建筑施工安全检查标准》的通知”（编号JGJ59—99）的要求加强内部安全管理，落实各项安全防护措施，确保工程建设中不发生人员死亡事故。</w:t>
      </w:r>
    </w:p>
    <w:p w14:paraId="5AB92CA5">
      <w:pPr>
        <w:snapToGrid w:val="0"/>
        <w:spacing w:line="360" w:lineRule="auto"/>
        <w:ind w:firstLine="440" w:firstLineChars="200"/>
        <w:rPr>
          <w:color w:val="auto"/>
          <w:sz w:val="22"/>
          <w:szCs w:val="22"/>
          <w:highlight w:val="none"/>
        </w:rPr>
      </w:pPr>
      <w:r>
        <w:rPr>
          <w:color w:val="auto"/>
          <w:sz w:val="22"/>
          <w:szCs w:val="22"/>
          <w:highlight w:val="none"/>
        </w:rPr>
        <w:t>六、承包人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w:t>
      </w:r>
    </w:p>
    <w:p w14:paraId="0CF2A2E4">
      <w:pPr>
        <w:snapToGrid w:val="0"/>
        <w:spacing w:line="360" w:lineRule="auto"/>
        <w:ind w:firstLine="440" w:firstLineChars="200"/>
        <w:rPr>
          <w:color w:val="auto"/>
          <w:sz w:val="22"/>
          <w:szCs w:val="22"/>
          <w:highlight w:val="none"/>
        </w:rPr>
      </w:pPr>
      <w:r>
        <w:rPr>
          <w:color w:val="auto"/>
          <w:sz w:val="22"/>
          <w:szCs w:val="22"/>
          <w:highlight w:val="none"/>
        </w:rPr>
        <w:t>七、</w:t>
      </w:r>
      <w:r>
        <w:rPr>
          <w:rFonts w:hint="eastAsia"/>
          <w:color w:val="auto"/>
          <w:sz w:val="22"/>
          <w:szCs w:val="22"/>
          <w:highlight w:val="none"/>
        </w:rPr>
        <w:t>承包人进场后应建立健全的安全生产保障体系，落实各级安全责任制，完善各项安全生产制度，按照“谁施工，谁负责”原则，负责单位内部和施工责任区域的安全生产管理工作。</w:t>
      </w:r>
    </w:p>
    <w:p w14:paraId="535FBC59">
      <w:pPr>
        <w:snapToGrid w:val="0"/>
        <w:spacing w:line="360" w:lineRule="auto"/>
        <w:ind w:firstLine="440" w:firstLineChars="200"/>
        <w:rPr>
          <w:color w:val="auto"/>
          <w:sz w:val="22"/>
          <w:szCs w:val="22"/>
          <w:highlight w:val="none"/>
        </w:rPr>
      </w:pPr>
      <w:r>
        <w:rPr>
          <w:color w:val="auto"/>
          <w:sz w:val="22"/>
          <w:szCs w:val="22"/>
          <w:highlight w:val="none"/>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市特殊作业人员，还必须经本市有关特种作业考核站进审证教育，禁止实习、学习人员现场作业。严格执行各种安全操作规程，确保施工安全。</w:t>
      </w:r>
    </w:p>
    <w:p w14:paraId="1AC99307">
      <w:pPr>
        <w:snapToGrid w:val="0"/>
        <w:spacing w:line="360" w:lineRule="auto"/>
        <w:ind w:firstLine="440" w:firstLineChars="200"/>
        <w:rPr>
          <w:color w:val="auto"/>
          <w:sz w:val="22"/>
          <w:szCs w:val="22"/>
          <w:highlight w:val="none"/>
        </w:rPr>
      </w:pPr>
      <w:r>
        <w:rPr>
          <w:color w:val="auto"/>
          <w:sz w:val="22"/>
          <w:szCs w:val="22"/>
          <w:highlight w:val="none"/>
        </w:rPr>
        <w:t>九、承包人要按照“安全自查，隐患自改、责任自负”的原则加强对施工责任区的日常安全检查。</w:t>
      </w:r>
      <w:r>
        <w:rPr>
          <w:rFonts w:hint="eastAsia"/>
          <w:color w:val="auto"/>
          <w:sz w:val="22"/>
          <w:szCs w:val="22"/>
          <w:highlight w:val="none"/>
        </w:rPr>
        <w:t>及时制止</w:t>
      </w:r>
      <w:r>
        <w:rPr>
          <w:color w:val="auto"/>
          <w:sz w:val="22"/>
          <w:szCs w:val="22"/>
          <w:highlight w:val="none"/>
        </w:rPr>
        <w:t>和处理各类违章违法行为。对查获的隐患要及时落实整改措施，消除隐患。</w:t>
      </w:r>
    </w:p>
    <w:p w14:paraId="421A2E36">
      <w:pPr>
        <w:snapToGrid w:val="0"/>
        <w:spacing w:line="360" w:lineRule="auto"/>
        <w:ind w:firstLine="440" w:firstLineChars="200"/>
        <w:rPr>
          <w:color w:val="auto"/>
          <w:sz w:val="22"/>
          <w:szCs w:val="22"/>
          <w:highlight w:val="none"/>
        </w:rPr>
      </w:pPr>
      <w:r>
        <w:rPr>
          <w:color w:val="auto"/>
          <w:sz w:val="22"/>
          <w:szCs w:val="22"/>
          <w:highlight w:val="none"/>
        </w:rPr>
        <w:t>十、承包人应主动接受发包人在安全生产工作上的业务指导，检查和督促，服从管理；对发包人的工作布置和组织的活动要积极贯彻实施和参加。对发包人给予因责任违约的经济处理如有异议可要求复核。对发包人工作人员利用职权营私舞弊、有意刁难的违法行为，有权检举揭发，要求处理。</w:t>
      </w:r>
    </w:p>
    <w:p w14:paraId="016BB014">
      <w:pPr>
        <w:snapToGrid w:val="0"/>
        <w:spacing w:line="360" w:lineRule="auto"/>
        <w:ind w:firstLine="440" w:firstLineChars="200"/>
        <w:rPr>
          <w:color w:val="auto"/>
          <w:sz w:val="22"/>
          <w:szCs w:val="22"/>
          <w:highlight w:val="none"/>
        </w:rPr>
      </w:pPr>
      <w:r>
        <w:rPr>
          <w:color w:val="auto"/>
          <w:sz w:val="22"/>
          <w:szCs w:val="22"/>
          <w:highlight w:val="none"/>
        </w:rPr>
        <w:t>十一、在施工现场或施工作业过程中，因承包人原因发生安全事故或造成人员伤亡的，由承包人承担处理和所有的经济赔偿责任。承包人须妥善处理事故，积极抢救受伤人员、保护现场，同时视事故</w:t>
      </w:r>
      <w:r>
        <w:rPr>
          <w:rFonts w:hint="eastAsia"/>
          <w:color w:val="auto"/>
          <w:sz w:val="22"/>
          <w:szCs w:val="22"/>
          <w:highlight w:val="none"/>
        </w:rPr>
        <w:t>程度</w:t>
      </w:r>
      <w:r>
        <w:rPr>
          <w:color w:val="auto"/>
          <w:sz w:val="22"/>
          <w:szCs w:val="22"/>
          <w:highlight w:val="none"/>
        </w:rPr>
        <w:t>按规定时限向当地安监等相关政府部门报告，并立即报告发包人，不得迟报瞒报。发包人应积极配合处理。</w:t>
      </w:r>
    </w:p>
    <w:p w14:paraId="1B4E964E">
      <w:pPr>
        <w:snapToGrid w:val="0"/>
        <w:spacing w:line="360" w:lineRule="auto"/>
        <w:ind w:firstLine="440" w:firstLineChars="200"/>
        <w:rPr>
          <w:color w:val="auto"/>
          <w:sz w:val="22"/>
          <w:szCs w:val="22"/>
          <w:highlight w:val="none"/>
          <w:u w:val="single"/>
        </w:rPr>
      </w:pPr>
      <w:r>
        <w:rPr>
          <w:color w:val="auto"/>
          <w:sz w:val="22"/>
          <w:szCs w:val="22"/>
          <w:highlight w:val="none"/>
          <w:u w:val="single"/>
        </w:rPr>
        <w:t>十二、承包人须参加由发包人召集的工程工作列会，对工程进度、工程质量、安全施工等情况向会议进行汇报，并接受发包人的安全检查。</w:t>
      </w:r>
    </w:p>
    <w:p w14:paraId="30E8FA2A">
      <w:pPr>
        <w:snapToGrid w:val="0"/>
        <w:spacing w:line="360" w:lineRule="auto"/>
        <w:ind w:firstLine="440" w:firstLineChars="200"/>
        <w:rPr>
          <w:color w:val="auto"/>
          <w:sz w:val="22"/>
          <w:szCs w:val="22"/>
          <w:highlight w:val="none"/>
          <w:u w:val="single"/>
        </w:rPr>
      </w:pPr>
      <w:r>
        <w:rPr>
          <w:color w:val="auto"/>
          <w:sz w:val="22"/>
          <w:szCs w:val="22"/>
          <w:highlight w:val="none"/>
          <w:u w:val="single"/>
        </w:rPr>
        <w:t>十三、承包人不准将工程项目进行整体转包。</w:t>
      </w:r>
    </w:p>
    <w:p w14:paraId="74D1FBB4">
      <w:pPr>
        <w:snapToGrid w:val="0"/>
        <w:spacing w:line="360" w:lineRule="auto"/>
        <w:ind w:firstLine="440" w:firstLineChars="200"/>
        <w:rPr>
          <w:color w:val="auto"/>
          <w:sz w:val="22"/>
          <w:szCs w:val="22"/>
          <w:highlight w:val="none"/>
          <w:u w:val="single"/>
        </w:rPr>
      </w:pPr>
      <w:r>
        <w:rPr>
          <w:color w:val="auto"/>
          <w:sz w:val="22"/>
          <w:szCs w:val="22"/>
          <w:highlight w:val="none"/>
          <w:u w:val="single"/>
        </w:rPr>
        <w:t>十四、承包人对施工现场的安全负责。在施工过程中或施工现场，因承包人原因造成的安全事故，由承包人承担处理和所有的经济赔偿责任，承包人须根据事故</w:t>
      </w:r>
      <w:r>
        <w:rPr>
          <w:rFonts w:hint="eastAsia"/>
          <w:color w:val="auto"/>
          <w:sz w:val="22"/>
          <w:szCs w:val="22"/>
          <w:highlight w:val="none"/>
          <w:u w:val="single"/>
        </w:rPr>
        <w:t>程度</w:t>
      </w:r>
      <w:r>
        <w:rPr>
          <w:color w:val="auto"/>
          <w:sz w:val="22"/>
          <w:szCs w:val="22"/>
          <w:highlight w:val="none"/>
          <w:u w:val="single"/>
        </w:rPr>
        <w:t>按规定将事故发生情况向当地政府相关部门报告，并立即报告发包人。发包人积极协助处理。</w:t>
      </w:r>
    </w:p>
    <w:p w14:paraId="36B213CD">
      <w:pPr>
        <w:snapToGrid w:val="0"/>
        <w:spacing w:line="360" w:lineRule="auto"/>
        <w:ind w:firstLine="440" w:firstLineChars="200"/>
        <w:rPr>
          <w:color w:val="auto"/>
          <w:sz w:val="22"/>
          <w:szCs w:val="22"/>
          <w:highlight w:val="none"/>
          <w:u w:val="single"/>
        </w:rPr>
      </w:pPr>
      <w:r>
        <w:rPr>
          <w:color w:val="auto"/>
          <w:sz w:val="22"/>
          <w:szCs w:val="22"/>
          <w:highlight w:val="none"/>
          <w:u w:val="single"/>
        </w:rPr>
        <w:t>十五、承包人须将施工作业人员名册报发包人备案，承包人的施工作业人员必须接受发包人组织的安全培训，方可进场施工作业。</w:t>
      </w:r>
    </w:p>
    <w:p w14:paraId="68AE74D0">
      <w:pPr>
        <w:snapToGrid w:val="0"/>
        <w:spacing w:line="360" w:lineRule="auto"/>
        <w:ind w:firstLine="442" w:firstLineChars="200"/>
        <w:rPr>
          <w:b/>
          <w:bCs/>
          <w:color w:val="auto"/>
          <w:sz w:val="22"/>
          <w:szCs w:val="22"/>
          <w:highlight w:val="none"/>
          <w:u w:val="single"/>
        </w:rPr>
      </w:pPr>
      <w:r>
        <w:rPr>
          <w:b/>
          <w:bCs/>
          <w:color w:val="auto"/>
          <w:sz w:val="22"/>
          <w:szCs w:val="22"/>
          <w:highlight w:val="none"/>
          <w:u w:val="single"/>
        </w:rPr>
        <w:t>十六、承包人须为施工作业人员缴纳相关保险，并在合同签订之日起的10个工作日内将缴纳保险凭证复印件交发包人。</w:t>
      </w:r>
    </w:p>
    <w:p w14:paraId="07C44B7F">
      <w:pPr>
        <w:snapToGrid w:val="0"/>
        <w:spacing w:line="360" w:lineRule="auto"/>
        <w:ind w:firstLine="442" w:firstLineChars="200"/>
        <w:rPr>
          <w:b/>
          <w:color w:val="auto"/>
          <w:sz w:val="22"/>
          <w:szCs w:val="22"/>
          <w:highlight w:val="none"/>
          <w:u w:val="single"/>
        </w:rPr>
      </w:pPr>
      <w:r>
        <w:rPr>
          <w:b/>
          <w:color w:val="auto"/>
          <w:sz w:val="22"/>
          <w:szCs w:val="22"/>
          <w:highlight w:val="none"/>
          <w:u w:val="single"/>
        </w:rPr>
        <w:t>十七、承包人必须严格按发包人管理规范要求进场施工：必须报后勤处、</w:t>
      </w:r>
      <w:r>
        <w:rPr>
          <w:rFonts w:hint="eastAsia"/>
          <w:b/>
          <w:color w:val="auto"/>
          <w:sz w:val="22"/>
          <w:szCs w:val="22"/>
          <w:highlight w:val="none"/>
          <w:u w:val="single"/>
        </w:rPr>
        <w:t>校安处</w:t>
      </w:r>
      <w:r>
        <w:rPr>
          <w:b/>
          <w:color w:val="auto"/>
          <w:sz w:val="22"/>
          <w:szCs w:val="22"/>
          <w:highlight w:val="none"/>
          <w:u w:val="single"/>
        </w:rPr>
        <w:t>备案，并接受</w:t>
      </w:r>
      <w:r>
        <w:rPr>
          <w:rFonts w:hint="eastAsia"/>
          <w:b/>
          <w:color w:val="auto"/>
          <w:sz w:val="22"/>
          <w:szCs w:val="22"/>
          <w:highlight w:val="none"/>
          <w:u w:val="single"/>
        </w:rPr>
        <w:t>校安处</w:t>
      </w:r>
      <w:r>
        <w:rPr>
          <w:b/>
          <w:color w:val="auto"/>
          <w:sz w:val="22"/>
          <w:szCs w:val="22"/>
          <w:highlight w:val="none"/>
          <w:u w:val="single"/>
        </w:rPr>
        <w:t>的安全教育；进场施工必须佩戴</w:t>
      </w:r>
      <w:r>
        <w:rPr>
          <w:rFonts w:hint="eastAsia"/>
          <w:b/>
          <w:color w:val="auto"/>
          <w:sz w:val="22"/>
          <w:szCs w:val="22"/>
          <w:highlight w:val="none"/>
          <w:u w:val="single"/>
        </w:rPr>
        <w:t>安全帽</w:t>
      </w:r>
      <w:r>
        <w:rPr>
          <w:b/>
          <w:color w:val="auto"/>
          <w:sz w:val="22"/>
          <w:szCs w:val="22"/>
          <w:highlight w:val="none"/>
          <w:u w:val="single"/>
        </w:rPr>
        <w:t>，统一着装；施工垃圾及时清运，垃圾密闭包装，不得裸露在外。</w:t>
      </w:r>
    </w:p>
    <w:p w14:paraId="10910B40">
      <w:pPr>
        <w:snapToGrid w:val="0"/>
        <w:spacing w:line="360" w:lineRule="auto"/>
        <w:ind w:firstLine="440" w:firstLineChars="200"/>
        <w:rPr>
          <w:color w:val="auto"/>
          <w:sz w:val="22"/>
          <w:szCs w:val="22"/>
          <w:highlight w:val="none"/>
        </w:rPr>
      </w:pPr>
      <w:r>
        <w:rPr>
          <w:color w:val="auto"/>
          <w:sz w:val="22"/>
          <w:szCs w:val="22"/>
          <w:highlight w:val="none"/>
        </w:rPr>
        <w:t>十八、本协议中</w:t>
      </w:r>
      <w:r>
        <w:rPr>
          <w:rFonts w:hint="eastAsia"/>
          <w:color w:val="auto"/>
          <w:sz w:val="22"/>
          <w:szCs w:val="22"/>
          <w:highlight w:val="none"/>
        </w:rPr>
        <w:t>未</w:t>
      </w:r>
      <w:r>
        <w:rPr>
          <w:color w:val="auto"/>
          <w:sz w:val="22"/>
          <w:szCs w:val="22"/>
          <w:highlight w:val="none"/>
        </w:rPr>
        <w:t>涉及的有关条款，甲乙双方可根据需要协商补充修改。</w:t>
      </w:r>
    </w:p>
    <w:p w14:paraId="27694E00">
      <w:pPr>
        <w:snapToGrid w:val="0"/>
        <w:spacing w:line="360" w:lineRule="auto"/>
        <w:ind w:firstLine="440" w:firstLineChars="200"/>
        <w:rPr>
          <w:color w:val="auto"/>
          <w:sz w:val="22"/>
          <w:szCs w:val="22"/>
          <w:highlight w:val="none"/>
        </w:rPr>
      </w:pPr>
      <w:r>
        <w:rPr>
          <w:color w:val="auto"/>
          <w:sz w:val="22"/>
          <w:szCs w:val="22"/>
          <w:highlight w:val="none"/>
        </w:rPr>
        <w:t>如遇有国家和本市的有关法规不符的，应按国家和本市的有关法规执行。</w:t>
      </w:r>
    </w:p>
    <w:p w14:paraId="0DE20EE0">
      <w:pPr>
        <w:snapToGrid w:val="0"/>
        <w:spacing w:line="360" w:lineRule="auto"/>
        <w:ind w:firstLine="440" w:firstLineChars="200"/>
        <w:rPr>
          <w:color w:val="auto"/>
          <w:sz w:val="22"/>
          <w:szCs w:val="22"/>
          <w:highlight w:val="none"/>
        </w:rPr>
      </w:pPr>
      <w:r>
        <w:rPr>
          <w:color w:val="auto"/>
          <w:sz w:val="22"/>
          <w:szCs w:val="22"/>
          <w:highlight w:val="none"/>
        </w:rPr>
        <w:t>十九、本协议作为甲乙双方工程承包合同的附件，在工程承包合同签约后生效，与工程承包合同具有同等法律效力。工程承包合同期满，本协议终上。</w:t>
      </w:r>
    </w:p>
    <w:p w14:paraId="346155AF">
      <w:pPr>
        <w:snapToGrid w:val="0"/>
        <w:spacing w:line="360" w:lineRule="auto"/>
        <w:ind w:firstLine="440" w:firstLineChars="200"/>
        <w:rPr>
          <w:color w:val="auto"/>
          <w:sz w:val="22"/>
          <w:szCs w:val="22"/>
          <w:highlight w:val="none"/>
        </w:rPr>
      </w:pPr>
      <w:r>
        <w:rPr>
          <w:color w:val="auto"/>
          <w:sz w:val="22"/>
          <w:szCs w:val="22"/>
          <w:highlight w:val="none"/>
        </w:rPr>
        <w:t>发包人（公章）：                                 承包人（公章）：</w:t>
      </w:r>
    </w:p>
    <w:p w14:paraId="1520D7CB">
      <w:pPr>
        <w:snapToGrid w:val="0"/>
        <w:spacing w:line="360" w:lineRule="auto"/>
        <w:ind w:firstLine="440" w:firstLineChars="200"/>
        <w:rPr>
          <w:color w:val="auto"/>
          <w:sz w:val="22"/>
          <w:szCs w:val="22"/>
          <w:highlight w:val="none"/>
        </w:rPr>
      </w:pPr>
      <w:r>
        <w:rPr>
          <w:color w:val="auto"/>
          <w:sz w:val="22"/>
          <w:szCs w:val="22"/>
          <w:highlight w:val="none"/>
        </w:rPr>
        <w:t>法定代表人：                                    法定代表人：</w:t>
      </w:r>
    </w:p>
    <w:p w14:paraId="25C21966">
      <w:pPr>
        <w:snapToGrid w:val="0"/>
        <w:spacing w:line="360" w:lineRule="auto"/>
        <w:ind w:firstLine="440" w:firstLineChars="200"/>
        <w:rPr>
          <w:color w:val="auto"/>
          <w:sz w:val="22"/>
          <w:szCs w:val="22"/>
          <w:highlight w:val="none"/>
        </w:rPr>
        <w:sectPr>
          <w:headerReference r:id="rId5" w:type="default"/>
          <w:footerReference r:id="rId6" w:type="default"/>
          <w:pgSz w:w="11906" w:h="16838"/>
          <w:pgMar w:top="1247" w:right="1247" w:bottom="1247" w:left="1247" w:header="0" w:footer="0" w:gutter="0"/>
          <w:pgNumType w:start="2"/>
          <w:cols w:space="720" w:num="1"/>
          <w:docGrid w:type="lines" w:linePitch="388" w:charSpace="0"/>
        </w:sectPr>
      </w:pPr>
      <w:r>
        <w:rPr>
          <w:color w:val="auto"/>
          <w:sz w:val="22"/>
          <w:szCs w:val="22"/>
          <w:highlight w:val="none"/>
        </w:rPr>
        <w:t>或委托代理人：                                  或委托代理人：</w:t>
      </w:r>
    </w:p>
    <w:p w14:paraId="212AB3DF">
      <w:pPr>
        <w:autoSpaceDE w:val="0"/>
        <w:autoSpaceDN w:val="0"/>
        <w:adjustRightInd w:val="0"/>
        <w:snapToGrid w:val="0"/>
        <w:spacing w:line="360" w:lineRule="auto"/>
        <w:rPr>
          <w:bCs/>
          <w:color w:val="auto"/>
          <w:szCs w:val="21"/>
          <w:highlight w:val="none"/>
        </w:rPr>
      </w:pPr>
      <w:r>
        <w:rPr>
          <w:bCs/>
          <w:color w:val="auto"/>
          <w:szCs w:val="21"/>
          <w:highlight w:val="none"/>
        </w:rPr>
        <w:t>附件</w:t>
      </w:r>
      <w:r>
        <w:rPr>
          <w:rFonts w:hint="eastAsia"/>
          <w:bCs/>
          <w:color w:val="auto"/>
          <w:szCs w:val="21"/>
          <w:highlight w:val="none"/>
        </w:rPr>
        <w:t>四</w:t>
      </w:r>
      <w:r>
        <w:rPr>
          <w:bCs/>
          <w:color w:val="auto"/>
          <w:szCs w:val="21"/>
          <w:highlight w:val="none"/>
        </w:rPr>
        <w:t>：承诺书</w:t>
      </w:r>
    </w:p>
    <w:p w14:paraId="7E432436">
      <w:pPr>
        <w:autoSpaceDE w:val="0"/>
        <w:autoSpaceDN w:val="0"/>
        <w:adjustRightInd w:val="0"/>
        <w:snapToGrid w:val="0"/>
        <w:spacing w:line="360" w:lineRule="auto"/>
        <w:jc w:val="center"/>
        <w:rPr>
          <w:b/>
          <w:bCs/>
          <w:color w:val="auto"/>
          <w:szCs w:val="21"/>
          <w:highlight w:val="none"/>
        </w:rPr>
      </w:pPr>
      <w:r>
        <w:rPr>
          <w:b/>
          <w:bCs/>
          <w:color w:val="auto"/>
          <w:szCs w:val="21"/>
          <w:highlight w:val="none"/>
        </w:rPr>
        <w:t>承 诺 书</w:t>
      </w:r>
    </w:p>
    <w:p w14:paraId="70D12047">
      <w:pPr>
        <w:adjustRightInd w:val="0"/>
        <w:snapToGrid w:val="0"/>
        <w:spacing w:line="360" w:lineRule="auto"/>
        <w:rPr>
          <w:bCs/>
          <w:color w:val="auto"/>
          <w:szCs w:val="21"/>
          <w:highlight w:val="none"/>
          <w:u w:val="single"/>
        </w:rPr>
      </w:pPr>
    </w:p>
    <w:p w14:paraId="21D03CF4">
      <w:pPr>
        <w:adjustRightInd w:val="0"/>
        <w:snapToGrid w:val="0"/>
        <w:spacing w:line="360" w:lineRule="auto"/>
        <w:rPr>
          <w:bCs/>
          <w:color w:val="auto"/>
          <w:szCs w:val="21"/>
          <w:highlight w:val="none"/>
          <w:u w:val="single"/>
        </w:rPr>
      </w:pPr>
      <w:r>
        <w:rPr>
          <w:rFonts w:hint="eastAsia"/>
          <w:bCs/>
          <w:color w:val="auto"/>
          <w:szCs w:val="21"/>
          <w:highlight w:val="none"/>
          <w:u w:val="single"/>
          <w:lang w:eastAsia="zh-CN"/>
        </w:rPr>
        <w:t>浙江省文化馆</w:t>
      </w:r>
      <w:r>
        <w:rPr>
          <w:bCs/>
          <w:color w:val="auto"/>
          <w:szCs w:val="21"/>
          <w:highlight w:val="none"/>
          <w:u w:val="single"/>
        </w:rPr>
        <w:t>：</w:t>
      </w:r>
    </w:p>
    <w:p w14:paraId="4CBF2B8A">
      <w:pPr>
        <w:adjustRightInd w:val="0"/>
        <w:snapToGrid w:val="0"/>
        <w:spacing w:line="360" w:lineRule="auto"/>
        <w:ind w:firstLine="480" w:firstLineChars="200"/>
        <w:rPr>
          <w:bCs/>
          <w:color w:val="auto"/>
          <w:szCs w:val="21"/>
          <w:highlight w:val="none"/>
        </w:rPr>
      </w:pPr>
      <w:r>
        <w:rPr>
          <w:bCs/>
          <w:color w:val="auto"/>
          <w:szCs w:val="21"/>
          <w:highlight w:val="none"/>
        </w:rPr>
        <w:t>本公司对</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r>
        <w:rPr>
          <w:bCs/>
          <w:color w:val="auto"/>
          <w:szCs w:val="21"/>
          <w:highlight w:val="none"/>
        </w:rPr>
        <w:t>工程质量安全责任制，承诺所提供设备、材料等均为符合国家或者行业规范的优质产品，工程施工按照国家、地方有关施工、验收规范和标准以及设计文件（施工图及设计联系单）进行，并以优异的施工工艺完成该工程的施工，确保工程安全使用。</w:t>
      </w:r>
    </w:p>
    <w:p w14:paraId="5CF6313C">
      <w:pPr>
        <w:adjustRightInd w:val="0"/>
        <w:snapToGrid w:val="0"/>
        <w:spacing w:line="360" w:lineRule="auto"/>
        <w:rPr>
          <w:bCs/>
          <w:color w:val="auto"/>
          <w:szCs w:val="21"/>
          <w:highlight w:val="none"/>
        </w:rPr>
      </w:pPr>
    </w:p>
    <w:p w14:paraId="6BCBBE69">
      <w:pPr>
        <w:adjustRightInd w:val="0"/>
        <w:snapToGrid w:val="0"/>
        <w:spacing w:line="360" w:lineRule="auto"/>
        <w:rPr>
          <w:bCs/>
          <w:color w:val="auto"/>
          <w:szCs w:val="21"/>
          <w:highlight w:val="none"/>
        </w:rPr>
      </w:pPr>
    </w:p>
    <w:p w14:paraId="0254A667">
      <w:pPr>
        <w:adjustRightInd w:val="0"/>
        <w:snapToGrid w:val="0"/>
        <w:spacing w:line="360" w:lineRule="auto"/>
        <w:rPr>
          <w:bCs/>
          <w:color w:val="auto"/>
          <w:szCs w:val="21"/>
          <w:highlight w:val="none"/>
        </w:rPr>
      </w:pPr>
    </w:p>
    <w:p w14:paraId="04807265">
      <w:pPr>
        <w:adjustRightInd w:val="0"/>
        <w:snapToGrid w:val="0"/>
        <w:spacing w:line="360" w:lineRule="auto"/>
        <w:ind w:firstLine="4055" w:firstLineChars="1690"/>
        <w:jc w:val="left"/>
        <w:rPr>
          <w:bCs/>
          <w:color w:val="auto"/>
          <w:szCs w:val="21"/>
          <w:highlight w:val="none"/>
        </w:rPr>
      </w:pPr>
      <w:r>
        <w:rPr>
          <w:bCs/>
          <w:color w:val="auto"/>
          <w:szCs w:val="21"/>
          <w:highlight w:val="none"/>
        </w:rPr>
        <w:t xml:space="preserve">供应商（单位公章）：            </w:t>
      </w:r>
    </w:p>
    <w:p w14:paraId="4EB15047">
      <w:pPr>
        <w:adjustRightInd w:val="0"/>
        <w:snapToGrid w:val="0"/>
        <w:spacing w:line="360" w:lineRule="auto"/>
        <w:jc w:val="left"/>
        <w:rPr>
          <w:bCs/>
          <w:color w:val="auto"/>
          <w:szCs w:val="21"/>
          <w:highlight w:val="none"/>
        </w:rPr>
      </w:pPr>
    </w:p>
    <w:p w14:paraId="03619E7C">
      <w:pPr>
        <w:adjustRightInd w:val="0"/>
        <w:snapToGrid w:val="0"/>
        <w:spacing w:line="360" w:lineRule="auto"/>
        <w:ind w:firstLine="4055" w:firstLineChars="1690"/>
        <w:rPr>
          <w:bCs/>
          <w:color w:val="auto"/>
          <w:szCs w:val="21"/>
          <w:highlight w:val="none"/>
        </w:rPr>
      </w:pPr>
      <w:r>
        <w:rPr>
          <w:bCs/>
          <w:color w:val="auto"/>
          <w:szCs w:val="21"/>
          <w:highlight w:val="none"/>
        </w:rPr>
        <w:t>法定代表人或委托代理人（签字或盖章）：</w:t>
      </w:r>
    </w:p>
    <w:p w14:paraId="5309B86A">
      <w:pPr>
        <w:adjustRightInd w:val="0"/>
        <w:snapToGrid w:val="0"/>
        <w:spacing w:line="360" w:lineRule="auto"/>
        <w:rPr>
          <w:bCs/>
          <w:color w:val="auto"/>
          <w:szCs w:val="21"/>
          <w:highlight w:val="none"/>
        </w:rPr>
      </w:pPr>
    </w:p>
    <w:p w14:paraId="36F48B48">
      <w:pPr>
        <w:spacing w:line="360" w:lineRule="auto"/>
        <w:rPr>
          <w:color w:val="auto"/>
          <w:szCs w:val="21"/>
          <w:highlight w:val="none"/>
        </w:rPr>
      </w:pPr>
      <w:r>
        <w:rPr>
          <w:bCs/>
          <w:color w:val="auto"/>
          <w:szCs w:val="21"/>
          <w:highlight w:val="none"/>
        </w:rPr>
        <w:t xml:space="preserve">                                 日期：</w:t>
      </w:r>
      <w:r>
        <w:rPr>
          <w:bCs/>
          <w:color w:val="auto"/>
          <w:szCs w:val="21"/>
          <w:highlight w:val="none"/>
          <w:u w:val="single"/>
        </w:rPr>
        <w:t xml:space="preserve">      </w:t>
      </w:r>
      <w:r>
        <w:rPr>
          <w:bCs/>
          <w:color w:val="auto"/>
          <w:szCs w:val="21"/>
          <w:highlight w:val="none"/>
        </w:rPr>
        <w:t>年</w:t>
      </w:r>
      <w:r>
        <w:rPr>
          <w:bCs/>
          <w:color w:val="auto"/>
          <w:szCs w:val="21"/>
          <w:highlight w:val="none"/>
          <w:u w:val="single"/>
        </w:rPr>
        <w:t xml:space="preserve">    </w:t>
      </w:r>
      <w:r>
        <w:rPr>
          <w:bCs/>
          <w:color w:val="auto"/>
          <w:szCs w:val="21"/>
          <w:highlight w:val="none"/>
        </w:rPr>
        <w:t>月</w:t>
      </w:r>
      <w:r>
        <w:rPr>
          <w:bCs/>
          <w:color w:val="auto"/>
          <w:szCs w:val="21"/>
          <w:highlight w:val="none"/>
          <w:u w:val="single"/>
        </w:rPr>
        <w:t xml:space="preserve">    </w:t>
      </w:r>
      <w:r>
        <w:rPr>
          <w:bCs/>
          <w:color w:val="auto"/>
          <w:szCs w:val="21"/>
          <w:highlight w:val="none"/>
        </w:rPr>
        <w:t>日</w:t>
      </w:r>
    </w:p>
    <w:p w14:paraId="5E901BA7">
      <w:pPr>
        <w:rPr>
          <w:color w:val="auto"/>
          <w:highlight w:val="none"/>
        </w:rPr>
      </w:pPr>
    </w:p>
    <w:p w14:paraId="02C5EF8C">
      <w:pPr>
        <w:snapToGrid w:val="0"/>
        <w:spacing w:line="360" w:lineRule="auto"/>
        <w:ind w:firstLine="440" w:firstLineChars="200"/>
        <w:rPr>
          <w:color w:val="auto"/>
          <w:sz w:val="22"/>
          <w:szCs w:val="22"/>
          <w:highlight w:val="none"/>
        </w:rPr>
        <w:sectPr>
          <w:pgSz w:w="11906" w:h="16838"/>
          <w:pgMar w:top="1247" w:right="1247" w:bottom="1247" w:left="1247" w:header="0" w:footer="0" w:gutter="0"/>
          <w:pgNumType w:start="2"/>
          <w:cols w:space="720" w:num="1"/>
          <w:docGrid w:type="lines" w:linePitch="388" w:charSpace="0"/>
        </w:sectPr>
      </w:pPr>
    </w:p>
    <w:p w14:paraId="5F22C0CD">
      <w:pPr>
        <w:snapToGrid w:val="0"/>
        <w:spacing w:line="360" w:lineRule="auto"/>
        <w:ind w:firstLine="440" w:firstLineChars="200"/>
        <w:rPr>
          <w:color w:val="auto"/>
          <w:sz w:val="22"/>
          <w:szCs w:val="22"/>
          <w:highlight w:val="none"/>
        </w:rPr>
      </w:pPr>
    </w:p>
    <w:p w14:paraId="534B6EB5">
      <w:pPr>
        <w:adjustRightInd w:val="0"/>
        <w:snapToGrid w:val="0"/>
        <w:spacing w:line="288" w:lineRule="auto"/>
        <w:jc w:val="center"/>
        <w:outlineLvl w:val="0"/>
        <w:rPr>
          <w:b/>
          <w:bCs/>
          <w:color w:val="auto"/>
          <w:sz w:val="32"/>
          <w:szCs w:val="32"/>
          <w:highlight w:val="none"/>
        </w:rPr>
      </w:pPr>
    </w:p>
    <w:p w14:paraId="0FE307B9">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第六章  响应文件格式</w:t>
      </w:r>
    </w:p>
    <w:p w14:paraId="13AC0240">
      <w:pPr>
        <w:adjustRightInd w:val="0"/>
        <w:snapToGrid w:val="0"/>
        <w:spacing w:line="288" w:lineRule="auto"/>
        <w:rPr>
          <w:color w:val="auto"/>
          <w:sz w:val="21"/>
          <w:szCs w:val="21"/>
          <w:highlight w:val="none"/>
        </w:rPr>
      </w:pPr>
    </w:p>
    <w:p w14:paraId="48DF1403">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 xml:space="preserve">目 </w:t>
      </w:r>
      <w:r>
        <w:rPr>
          <w:b/>
          <w:bCs/>
          <w:color w:val="auto"/>
          <w:sz w:val="21"/>
          <w:szCs w:val="21"/>
          <w:highlight w:val="none"/>
        </w:rPr>
        <w:t xml:space="preserve"> </w:t>
      </w:r>
      <w:r>
        <w:rPr>
          <w:rFonts w:hint="eastAsia"/>
          <w:b/>
          <w:bCs/>
          <w:color w:val="auto"/>
          <w:sz w:val="21"/>
          <w:szCs w:val="21"/>
          <w:highlight w:val="none"/>
        </w:rPr>
        <w:t>录</w:t>
      </w:r>
    </w:p>
    <w:p w14:paraId="310F8ADC">
      <w:pPr>
        <w:adjustRightInd w:val="0"/>
        <w:snapToGrid w:val="0"/>
        <w:spacing w:line="276" w:lineRule="auto"/>
        <w:rPr>
          <w:color w:val="auto"/>
          <w:sz w:val="21"/>
          <w:szCs w:val="21"/>
          <w:highlight w:val="none"/>
        </w:rPr>
      </w:pPr>
    </w:p>
    <w:p w14:paraId="3C4EF69C">
      <w:pPr>
        <w:adjustRightInd w:val="0"/>
        <w:snapToGrid w:val="0"/>
        <w:spacing w:line="288" w:lineRule="auto"/>
        <w:ind w:firstLine="422" w:firstLineChars="200"/>
        <w:rPr>
          <w:b/>
          <w:bCs/>
          <w:color w:val="auto"/>
          <w:sz w:val="21"/>
          <w:szCs w:val="21"/>
          <w:highlight w:val="none"/>
        </w:rPr>
      </w:pPr>
      <w:bookmarkStart w:id="49" w:name="_Hlk71884160"/>
      <w:r>
        <w:rPr>
          <w:rFonts w:hint="eastAsia"/>
          <w:b/>
          <w:bCs/>
          <w:color w:val="auto"/>
          <w:sz w:val="21"/>
          <w:szCs w:val="21"/>
          <w:highlight w:val="none"/>
        </w:rPr>
        <w:t>▲1.资格文件（单独上传）</w:t>
      </w:r>
    </w:p>
    <w:p w14:paraId="3C578C99">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资格审查要求的资格证明材料(均需加盖公章)：</w:t>
      </w:r>
    </w:p>
    <w:bookmarkEnd w:id="49"/>
    <w:p w14:paraId="05B99FD4">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（1）有效的法人或者其他组织的营业执照等证明文件，自然人的身份证明</w:t>
      </w:r>
    </w:p>
    <w:p w14:paraId="3D353E1D">
      <w:pPr>
        <w:adjustRightInd w:val="0"/>
        <w:snapToGrid w:val="0"/>
        <w:spacing w:line="288" w:lineRule="auto"/>
        <w:ind w:firstLine="422" w:firstLineChars="200"/>
        <w:rPr>
          <w:b/>
          <w:bCs/>
          <w:color w:val="auto"/>
          <w:sz w:val="21"/>
          <w:szCs w:val="21"/>
          <w:highlight w:val="none"/>
        </w:rPr>
      </w:pPr>
      <w:bookmarkStart w:id="50" w:name="_Hlk71884127"/>
      <w:r>
        <w:rPr>
          <w:rFonts w:hint="eastAsia"/>
          <w:b/>
          <w:bCs/>
          <w:color w:val="auto"/>
          <w:sz w:val="21"/>
          <w:szCs w:val="21"/>
          <w:highlight w:val="none"/>
        </w:rPr>
        <w:t>（</w:t>
      </w:r>
      <w:r>
        <w:rPr>
          <w:b/>
          <w:bCs/>
          <w:color w:val="auto"/>
          <w:sz w:val="21"/>
          <w:szCs w:val="21"/>
          <w:highlight w:val="none"/>
        </w:rPr>
        <w:t>2）符合参加政府采购活动应当具备的一般条件的承诺函</w:t>
      </w:r>
    </w:p>
    <w:p w14:paraId="3E9CBDEB">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w:t>
      </w:r>
      <w:r>
        <w:rPr>
          <w:b/>
          <w:bCs/>
          <w:color w:val="auto"/>
          <w:sz w:val="21"/>
          <w:szCs w:val="21"/>
          <w:highlight w:val="none"/>
        </w:rPr>
        <w:t>3）落实政府采购政策需满足的资格要求</w:t>
      </w:r>
    </w:p>
    <w:p w14:paraId="1E2EC2FB">
      <w:pPr>
        <w:adjustRightInd w:val="0"/>
        <w:snapToGrid w:val="0"/>
        <w:spacing w:line="288" w:lineRule="auto"/>
        <w:ind w:left="480" w:leftChars="200" w:firstLine="422" w:firstLineChars="200"/>
        <w:rPr>
          <w:b/>
          <w:bCs/>
          <w:color w:val="auto"/>
          <w:sz w:val="21"/>
          <w:szCs w:val="21"/>
          <w:highlight w:val="none"/>
        </w:rPr>
      </w:pPr>
      <w:r>
        <w:rPr>
          <w:rFonts w:hint="eastAsia"/>
          <w:b/>
          <w:bCs/>
          <w:color w:val="auto"/>
          <w:sz w:val="21"/>
          <w:szCs w:val="21"/>
          <w:highlight w:val="none"/>
        </w:rPr>
        <w:t>中小企业声明函（若属于中小企业）</w:t>
      </w:r>
    </w:p>
    <w:p w14:paraId="02FACC29">
      <w:pPr>
        <w:adjustRightInd w:val="0"/>
        <w:snapToGrid w:val="0"/>
        <w:spacing w:line="288" w:lineRule="auto"/>
        <w:ind w:left="480" w:leftChars="200" w:firstLine="422" w:firstLineChars="200"/>
        <w:rPr>
          <w:b/>
          <w:bCs/>
          <w:color w:val="auto"/>
          <w:sz w:val="21"/>
          <w:szCs w:val="21"/>
          <w:highlight w:val="none"/>
        </w:rPr>
      </w:pPr>
      <w:r>
        <w:rPr>
          <w:rFonts w:hint="eastAsia"/>
          <w:b/>
          <w:bCs/>
          <w:color w:val="auto"/>
          <w:sz w:val="21"/>
          <w:szCs w:val="21"/>
          <w:highlight w:val="none"/>
        </w:rPr>
        <w:t>属于监狱企业的证明文件（若属于监狱企业）</w:t>
      </w:r>
    </w:p>
    <w:p w14:paraId="6A77047A">
      <w:pPr>
        <w:adjustRightInd w:val="0"/>
        <w:snapToGrid w:val="0"/>
        <w:spacing w:line="288" w:lineRule="auto"/>
        <w:ind w:left="480" w:leftChars="200" w:firstLine="422" w:firstLineChars="200"/>
        <w:rPr>
          <w:b/>
          <w:bCs/>
          <w:color w:val="auto"/>
          <w:sz w:val="21"/>
          <w:szCs w:val="21"/>
          <w:highlight w:val="none"/>
        </w:rPr>
      </w:pPr>
      <w:r>
        <w:rPr>
          <w:rFonts w:hint="eastAsia"/>
          <w:b/>
          <w:bCs/>
          <w:color w:val="auto"/>
          <w:sz w:val="21"/>
          <w:szCs w:val="21"/>
          <w:highlight w:val="none"/>
        </w:rPr>
        <w:t>残疾人福利性单位声明函（若属于残疾人福利性单位）</w:t>
      </w:r>
    </w:p>
    <w:p w14:paraId="72F3B661">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w:t>
      </w:r>
      <w:r>
        <w:rPr>
          <w:b/>
          <w:bCs/>
          <w:color w:val="auto"/>
          <w:sz w:val="21"/>
          <w:szCs w:val="21"/>
          <w:highlight w:val="none"/>
        </w:rPr>
        <w:t>4）</w:t>
      </w:r>
      <w:r>
        <w:rPr>
          <w:rFonts w:hint="eastAsia"/>
          <w:b/>
          <w:bCs/>
          <w:color w:val="auto"/>
          <w:sz w:val="21"/>
          <w:szCs w:val="21"/>
          <w:highlight w:val="none"/>
        </w:rPr>
        <w:t>本项目的特定资格要求</w:t>
      </w:r>
      <w:r>
        <w:rPr>
          <w:b/>
          <w:bCs/>
          <w:color w:val="auto"/>
          <w:sz w:val="21"/>
          <w:szCs w:val="21"/>
          <w:highlight w:val="none"/>
        </w:rPr>
        <w:t>证明材料：</w:t>
      </w:r>
    </w:p>
    <w:p w14:paraId="0AA893F6">
      <w:pPr>
        <w:adjustRightInd w:val="0"/>
        <w:snapToGrid w:val="0"/>
        <w:spacing w:line="288" w:lineRule="auto"/>
        <w:ind w:left="480" w:leftChars="200" w:firstLine="422" w:firstLineChars="200"/>
        <w:rPr>
          <w:b/>
          <w:bCs/>
          <w:color w:val="auto"/>
          <w:sz w:val="21"/>
          <w:szCs w:val="21"/>
          <w:highlight w:val="none"/>
        </w:rPr>
      </w:pPr>
      <w:r>
        <w:rPr>
          <w:b/>
          <w:bCs/>
          <w:color w:val="auto"/>
          <w:sz w:val="21"/>
          <w:szCs w:val="21"/>
          <w:highlight w:val="none"/>
        </w:rPr>
        <w:t>1）</w:t>
      </w:r>
      <w:r>
        <w:rPr>
          <w:rFonts w:hint="eastAsia"/>
          <w:b/>
          <w:bCs/>
          <w:color w:val="auto"/>
          <w:sz w:val="21"/>
          <w:szCs w:val="21"/>
          <w:highlight w:val="none"/>
        </w:rPr>
        <w:t>具有</w:t>
      </w:r>
      <w:r>
        <w:rPr>
          <w:rFonts w:hint="eastAsia"/>
          <w:b/>
          <w:bCs/>
          <w:color w:val="auto"/>
          <w:sz w:val="21"/>
          <w:szCs w:val="21"/>
          <w:highlight w:val="none"/>
          <w:lang w:eastAsia="zh-CN"/>
        </w:rPr>
        <w:t>建筑装修装饰工程专业承包二级及以上资质</w:t>
      </w:r>
      <w:r>
        <w:rPr>
          <w:rFonts w:hint="eastAsia"/>
          <w:color w:val="auto"/>
          <w:sz w:val="21"/>
          <w:szCs w:val="21"/>
          <w:highlight w:val="none"/>
          <w:lang w:val="en-US" w:eastAsia="zh-CN"/>
        </w:rPr>
        <w:t>或防水防腐保温工程专业承包二级资质</w:t>
      </w:r>
      <w:r>
        <w:rPr>
          <w:b/>
          <w:bCs/>
          <w:color w:val="auto"/>
          <w:sz w:val="21"/>
          <w:szCs w:val="21"/>
          <w:highlight w:val="none"/>
        </w:rPr>
        <w:t>；</w:t>
      </w:r>
    </w:p>
    <w:p w14:paraId="027B5E7B">
      <w:pPr>
        <w:adjustRightInd w:val="0"/>
        <w:snapToGrid w:val="0"/>
        <w:spacing w:line="288" w:lineRule="auto"/>
        <w:ind w:left="480" w:leftChars="200" w:firstLine="422" w:firstLineChars="200"/>
        <w:rPr>
          <w:rFonts w:hint="eastAsia"/>
          <w:b/>
          <w:bCs/>
          <w:color w:val="auto"/>
          <w:sz w:val="21"/>
          <w:szCs w:val="21"/>
          <w:highlight w:val="none"/>
          <w:lang w:eastAsia="zh-CN"/>
        </w:rPr>
      </w:pPr>
      <w:r>
        <w:rPr>
          <w:b/>
          <w:bCs/>
          <w:color w:val="auto"/>
          <w:sz w:val="21"/>
          <w:szCs w:val="21"/>
          <w:highlight w:val="none"/>
        </w:rPr>
        <w:t>2）</w:t>
      </w:r>
      <w:r>
        <w:rPr>
          <w:rFonts w:hint="eastAsia"/>
          <w:b/>
          <w:bCs/>
          <w:color w:val="auto"/>
          <w:sz w:val="21"/>
          <w:szCs w:val="21"/>
          <w:highlight w:val="none"/>
          <w:lang w:eastAsia="zh-CN"/>
        </w:rPr>
        <w:t>供应商具有在有效期内的企业安全生产许可证；</w:t>
      </w:r>
    </w:p>
    <w:p w14:paraId="00410D6D">
      <w:pPr>
        <w:adjustRightInd w:val="0"/>
        <w:snapToGrid w:val="0"/>
        <w:spacing w:line="288" w:lineRule="auto"/>
        <w:ind w:left="480" w:leftChars="200" w:firstLine="422" w:firstLineChars="200"/>
        <w:rPr>
          <w:b/>
          <w:bCs/>
          <w:color w:val="auto"/>
          <w:sz w:val="21"/>
          <w:szCs w:val="21"/>
          <w:highlight w:val="none"/>
        </w:rPr>
      </w:pPr>
      <w:r>
        <w:rPr>
          <w:rFonts w:hint="eastAsia"/>
          <w:b/>
          <w:bCs/>
          <w:color w:val="auto"/>
          <w:sz w:val="21"/>
          <w:szCs w:val="21"/>
          <w:highlight w:val="none"/>
          <w:lang w:val="en-US" w:eastAsia="zh-CN"/>
        </w:rPr>
        <w:t>3）拟派项目负责人具有注册在投标人单位的建筑工程专业二级及以上建造师执业资格，同时具有“三类人员”B类证书。</w:t>
      </w:r>
    </w:p>
    <w:p w14:paraId="5AACC5E5">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（5）联合协议（以联合体形式响应的，提供联合协议，格式详见附件2）</w:t>
      </w:r>
    </w:p>
    <w:p w14:paraId="3130BDFB">
      <w:pPr>
        <w:adjustRightInd w:val="0"/>
        <w:snapToGrid w:val="0"/>
        <w:spacing w:line="288" w:lineRule="auto"/>
        <w:ind w:firstLine="398" w:firstLineChars="200"/>
        <w:rPr>
          <w:b/>
          <w:bCs/>
          <w:color w:val="auto"/>
          <w:sz w:val="21"/>
          <w:szCs w:val="21"/>
          <w:highlight w:val="none"/>
        </w:rPr>
      </w:pPr>
      <w:r>
        <w:rPr>
          <w:rFonts w:hint="eastAsia"/>
          <w:b/>
          <w:color w:val="auto"/>
          <w:spacing w:val="-6"/>
          <w:sz w:val="21"/>
          <w:szCs w:val="21"/>
          <w:highlight w:val="none"/>
        </w:rPr>
        <w:t>▲联合体响应的，联合体各方均应提供资格文件（</w:t>
      </w:r>
      <w:r>
        <w:rPr>
          <w:b/>
          <w:color w:val="auto"/>
          <w:spacing w:val="-6"/>
          <w:sz w:val="21"/>
          <w:szCs w:val="21"/>
          <w:highlight w:val="none"/>
        </w:rPr>
        <w:t>1）、（2）</w:t>
      </w:r>
      <w:r>
        <w:rPr>
          <w:rFonts w:hint="eastAsia"/>
          <w:b/>
          <w:color w:val="auto"/>
          <w:spacing w:val="-6"/>
          <w:sz w:val="21"/>
          <w:szCs w:val="21"/>
          <w:highlight w:val="none"/>
        </w:rPr>
        <w:t>材料</w:t>
      </w:r>
      <w:r>
        <w:rPr>
          <w:b/>
          <w:color w:val="auto"/>
          <w:spacing w:val="-6"/>
          <w:sz w:val="21"/>
          <w:szCs w:val="21"/>
          <w:highlight w:val="none"/>
        </w:rPr>
        <w:t>。</w:t>
      </w:r>
    </w:p>
    <w:p w14:paraId="35F51B9A">
      <w:pPr>
        <w:adjustRightInd w:val="0"/>
        <w:snapToGrid w:val="0"/>
        <w:spacing w:line="288" w:lineRule="auto"/>
        <w:ind w:firstLine="422" w:firstLineChars="200"/>
        <w:rPr>
          <w:b/>
          <w:bCs/>
          <w:color w:val="auto"/>
          <w:sz w:val="21"/>
          <w:szCs w:val="21"/>
          <w:highlight w:val="none"/>
        </w:rPr>
      </w:pPr>
    </w:p>
    <w:bookmarkEnd w:id="50"/>
    <w:p w14:paraId="1730BF7C">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2.报价文件</w:t>
      </w:r>
    </w:p>
    <w:p w14:paraId="442EB80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（1）初次报价一览表</w:t>
      </w:r>
    </w:p>
    <w:p w14:paraId="4F570FC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（2）招标工程量清单编制及工程量清单报价所采用的表格格式如下（供参考，实际以工程量清单为准）</w:t>
      </w:r>
    </w:p>
    <w:p w14:paraId="5A043AD3">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3.商务和技术文件</w:t>
      </w:r>
    </w:p>
    <w:p w14:paraId="6F51971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（1）响应函</w:t>
      </w:r>
    </w:p>
    <w:p w14:paraId="281DBFB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2）授权委托书/法定代表人（单位负责人、自然人本人）身份证明</w:t>
      </w:r>
    </w:p>
    <w:p w14:paraId="1850CD9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附：授权代表社保缴纳证明（</w:t>
      </w:r>
      <w:r>
        <w:rPr>
          <w:rFonts w:hint="eastAsia"/>
          <w:color w:val="auto"/>
          <w:sz w:val="21"/>
          <w:szCs w:val="21"/>
          <w:highlight w:val="none"/>
          <w:lang w:eastAsia="zh-CN"/>
        </w:rPr>
        <w:t>2023年1月（含）以后任意一月</w:t>
      </w:r>
      <w:r>
        <w:rPr>
          <w:color w:val="auto"/>
          <w:sz w:val="21"/>
          <w:szCs w:val="21"/>
          <w:highlight w:val="none"/>
        </w:rPr>
        <w:t>）</w:t>
      </w:r>
    </w:p>
    <w:p w14:paraId="6EEBC1D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color w:val="auto"/>
          <w:sz w:val="21"/>
          <w:szCs w:val="21"/>
          <w:highlight w:val="none"/>
        </w:rPr>
        <w:t>）项目经理无在建工程声明函</w:t>
      </w:r>
    </w:p>
    <w:p w14:paraId="65793B5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4</w:t>
      </w:r>
      <w:r>
        <w:rPr>
          <w:rFonts w:hint="eastAsia"/>
          <w:color w:val="auto"/>
          <w:sz w:val="21"/>
          <w:szCs w:val="21"/>
          <w:highlight w:val="none"/>
        </w:rPr>
        <w:t>）分包意向协议（如有）</w:t>
      </w:r>
    </w:p>
    <w:p w14:paraId="76E63C6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5</w:t>
      </w:r>
      <w:r>
        <w:rPr>
          <w:rFonts w:hint="eastAsia"/>
          <w:color w:val="auto"/>
          <w:sz w:val="21"/>
          <w:szCs w:val="21"/>
          <w:highlight w:val="none"/>
        </w:rPr>
        <w:t>）供应商同类合同一览表</w:t>
      </w:r>
    </w:p>
    <w:p w14:paraId="79A8971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6</w:t>
      </w:r>
      <w:r>
        <w:rPr>
          <w:rFonts w:hint="eastAsia"/>
          <w:color w:val="auto"/>
          <w:sz w:val="21"/>
          <w:szCs w:val="21"/>
          <w:highlight w:val="none"/>
        </w:rPr>
        <w:t>）商务分相关证明材料（如有）</w:t>
      </w:r>
    </w:p>
    <w:p w14:paraId="53B9D68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7）采购需求偏离表</w:t>
      </w:r>
    </w:p>
    <w:p w14:paraId="1B67CC4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8）</w:t>
      </w:r>
      <w:bookmarkStart w:id="51" w:name="_Hlk71884196"/>
      <w:r>
        <w:rPr>
          <w:rFonts w:hint="eastAsia"/>
          <w:color w:val="auto"/>
          <w:sz w:val="21"/>
          <w:szCs w:val="21"/>
          <w:highlight w:val="none"/>
        </w:rPr>
        <w:t>技术方案【可根据评分细则结合自身情况提供】</w:t>
      </w:r>
    </w:p>
    <w:p w14:paraId="7815052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9）</w:t>
      </w:r>
      <w:r>
        <w:rPr>
          <w:rFonts w:hint="eastAsia"/>
          <w:color w:val="auto"/>
          <w:sz w:val="21"/>
          <w:szCs w:val="21"/>
          <w:highlight w:val="none"/>
        </w:rPr>
        <w:t>拟派人员【可根据评分细则结合自身情况提供】</w:t>
      </w:r>
    </w:p>
    <w:p w14:paraId="597393F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10）</w:t>
      </w:r>
      <w:r>
        <w:rPr>
          <w:rFonts w:hint="eastAsia"/>
          <w:color w:val="auto"/>
          <w:sz w:val="21"/>
          <w:szCs w:val="21"/>
          <w:highlight w:val="none"/>
        </w:rPr>
        <w:t>其它服务承诺【可根据评分细则结合自身情况提供】</w:t>
      </w:r>
    </w:p>
    <w:p w14:paraId="41FF583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w:t>
      </w:r>
      <w:r>
        <w:rPr>
          <w:color w:val="auto"/>
          <w:sz w:val="21"/>
          <w:szCs w:val="21"/>
          <w:highlight w:val="none"/>
        </w:rPr>
        <w:t>1</w:t>
      </w:r>
      <w:r>
        <w:rPr>
          <w:rFonts w:hint="eastAsia"/>
          <w:color w:val="auto"/>
          <w:sz w:val="21"/>
          <w:szCs w:val="21"/>
          <w:highlight w:val="none"/>
        </w:rPr>
        <w:t>）</w:t>
      </w:r>
      <w:r>
        <w:rPr>
          <w:color w:val="auto"/>
          <w:sz w:val="21"/>
          <w:szCs w:val="21"/>
          <w:highlight w:val="none"/>
        </w:rPr>
        <w:t>节能环保产品证明材料</w:t>
      </w:r>
    </w:p>
    <w:p w14:paraId="7BE93E9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12）</w:t>
      </w:r>
      <w:r>
        <w:rPr>
          <w:rFonts w:hint="eastAsia"/>
          <w:color w:val="auto"/>
          <w:sz w:val="21"/>
          <w:szCs w:val="21"/>
          <w:highlight w:val="none"/>
        </w:rPr>
        <w:t>供应商</w:t>
      </w:r>
      <w:r>
        <w:rPr>
          <w:color w:val="auto"/>
          <w:sz w:val="21"/>
          <w:szCs w:val="21"/>
          <w:highlight w:val="none"/>
        </w:rPr>
        <w:t>需要说明的其他文件和材料</w:t>
      </w:r>
      <w:bookmarkEnd w:id="51"/>
    </w:p>
    <w:p w14:paraId="3E13925B">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0FE28301">
      <w:pPr>
        <w:adjustRightInd w:val="0"/>
        <w:snapToGrid w:val="0"/>
        <w:spacing w:line="288" w:lineRule="auto"/>
        <w:rPr>
          <w:color w:val="auto"/>
          <w:highlight w:val="none"/>
        </w:rPr>
      </w:pPr>
    </w:p>
    <w:p w14:paraId="7FC87DF3">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资格文件</w:t>
      </w:r>
    </w:p>
    <w:p w14:paraId="4994C325">
      <w:pPr>
        <w:adjustRightInd w:val="0"/>
        <w:snapToGrid w:val="0"/>
        <w:spacing w:line="288" w:lineRule="auto"/>
        <w:jc w:val="center"/>
        <w:rPr>
          <w:b/>
          <w:bCs/>
          <w:color w:val="auto"/>
          <w:sz w:val="21"/>
          <w:szCs w:val="21"/>
          <w:highlight w:val="none"/>
        </w:rPr>
      </w:pPr>
    </w:p>
    <w:p w14:paraId="6B0F439F">
      <w:pPr>
        <w:adjustRightInd w:val="0"/>
        <w:snapToGrid w:val="0"/>
        <w:spacing w:line="288" w:lineRule="auto"/>
        <w:jc w:val="center"/>
        <w:rPr>
          <w:b/>
          <w:bCs/>
          <w:color w:val="auto"/>
          <w:sz w:val="21"/>
          <w:szCs w:val="21"/>
          <w:highlight w:val="none"/>
        </w:rPr>
      </w:pPr>
    </w:p>
    <w:p w14:paraId="43A21B27">
      <w:pPr>
        <w:adjustRightInd w:val="0"/>
        <w:snapToGrid w:val="0"/>
        <w:spacing w:line="288" w:lineRule="auto"/>
        <w:jc w:val="center"/>
        <w:rPr>
          <w:b/>
          <w:bCs/>
          <w:color w:val="auto"/>
          <w:sz w:val="21"/>
          <w:szCs w:val="21"/>
          <w:highlight w:val="none"/>
        </w:rPr>
      </w:pPr>
      <w:bookmarkStart w:id="52" w:name="_Hlk94097338"/>
      <w:r>
        <w:rPr>
          <w:rFonts w:hint="eastAsia"/>
          <w:b/>
          <w:bCs/>
          <w:color w:val="auto"/>
          <w:sz w:val="21"/>
          <w:szCs w:val="21"/>
          <w:highlight w:val="none"/>
        </w:rPr>
        <w:t>资格审查要求的资格证明材料(均需加盖公章)</w:t>
      </w:r>
    </w:p>
    <w:bookmarkEnd w:id="52"/>
    <w:p w14:paraId="3CF892B1">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27205CE1">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（1）有效的法人或者其他组织的营业执照等证明文件，自然人的身份证明（扫描件）</w:t>
      </w:r>
    </w:p>
    <w:p w14:paraId="1F97EFA5">
      <w:pPr>
        <w:adjustRightInd w:val="0"/>
        <w:snapToGrid w:val="0"/>
        <w:spacing w:line="288" w:lineRule="auto"/>
        <w:rPr>
          <w:color w:val="auto"/>
          <w:sz w:val="21"/>
          <w:szCs w:val="21"/>
          <w:highlight w:val="none"/>
        </w:rPr>
      </w:pPr>
    </w:p>
    <w:p w14:paraId="22D1407F">
      <w:pPr>
        <w:adjustRightInd w:val="0"/>
        <w:snapToGrid w:val="0"/>
        <w:spacing w:line="288" w:lineRule="auto"/>
        <w:rPr>
          <w:color w:val="auto"/>
          <w:sz w:val="21"/>
          <w:szCs w:val="21"/>
          <w:highlight w:val="none"/>
        </w:rPr>
      </w:pPr>
      <w:r>
        <w:rPr>
          <w:rFonts w:hint="eastAsia"/>
          <w:color w:val="auto"/>
          <w:sz w:val="21"/>
          <w:szCs w:val="21"/>
          <w:highlight w:val="none"/>
        </w:rPr>
        <w:t>说明：</w:t>
      </w:r>
    </w:p>
    <w:p w14:paraId="50A3FA6A">
      <w:pPr>
        <w:adjustRightInd w:val="0"/>
        <w:snapToGrid w:val="0"/>
        <w:spacing w:line="288" w:lineRule="auto"/>
        <w:rPr>
          <w:color w:val="auto"/>
          <w:sz w:val="21"/>
          <w:szCs w:val="21"/>
          <w:highlight w:val="none"/>
        </w:rPr>
      </w:pPr>
      <w:r>
        <w:rPr>
          <w:rFonts w:hint="eastAsia"/>
          <w:color w:val="auto"/>
          <w:sz w:val="21"/>
          <w:szCs w:val="21"/>
          <w:highlight w:val="none"/>
        </w:rPr>
        <w:t>1.如供应商是企业（包括合伙企业），提供在工商部门注册的有效“企业法人营业执照”或“营业执照”；</w:t>
      </w:r>
    </w:p>
    <w:p w14:paraId="3DCA89C7">
      <w:pPr>
        <w:adjustRightInd w:val="0"/>
        <w:snapToGrid w:val="0"/>
        <w:spacing w:line="288" w:lineRule="auto"/>
        <w:rPr>
          <w:color w:val="auto"/>
          <w:sz w:val="21"/>
          <w:szCs w:val="21"/>
          <w:highlight w:val="none"/>
        </w:rPr>
      </w:pPr>
      <w:r>
        <w:rPr>
          <w:rFonts w:hint="eastAsia"/>
          <w:color w:val="auto"/>
          <w:sz w:val="21"/>
          <w:szCs w:val="21"/>
          <w:highlight w:val="none"/>
        </w:rPr>
        <w:t>2.如供应商是事业单位，提供有效的“事业单位法人证书”；</w:t>
      </w:r>
    </w:p>
    <w:p w14:paraId="1E1465E5">
      <w:pPr>
        <w:adjustRightInd w:val="0"/>
        <w:snapToGrid w:val="0"/>
        <w:spacing w:line="288" w:lineRule="auto"/>
        <w:rPr>
          <w:color w:val="auto"/>
          <w:sz w:val="21"/>
          <w:szCs w:val="21"/>
          <w:highlight w:val="none"/>
        </w:rPr>
      </w:pPr>
      <w:r>
        <w:rPr>
          <w:rFonts w:hint="eastAsia"/>
          <w:color w:val="auto"/>
          <w:sz w:val="21"/>
          <w:szCs w:val="21"/>
          <w:highlight w:val="none"/>
        </w:rPr>
        <w:t>3.如供应商是非企业专业服务机构的，提供执业许可证等证明文件；</w:t>
      </w:r>
    </w:p>
    <w:p w14:paraId="0F95CA6D">
      <w:pPr>
        <w:adjustRightInd w:val="0"/>
        <w:snapToGrid w:val="0"/>
        <w:spacing w:line="288" w:lineRule="auto"/>
        <w:rPr>
          <w:color w:val="auto"/>
          <w:sz w:val="21"/>
          <w:szCs w:val="21"/>
          <w:highlight w:val="none"/>
        </w:rPr>
      </w:pPr>
      <w:r>
        <w:rPr>
          <w:rFonts w:hint="eastAsia"/>
          <w:color w:val="auto"/>
          <w:sz w:val="21"/>
          <w:szCs w:val="21"/>
          <w:highlight w:val="none"/>
        </w:rPr>
        <w:t>4.如供应商是个体工商户，提供有效的“个体工商户营业执照”；</w:t>
      </w:r>
    </w:p>
    <w:p w14:paraId="00836EF9">
      <w:pPr>
        <w:adjustRightInd w:val="0"/>
        <w:snapToGrid w:val="0"/>
        <w:spacing w:line="288" w:lineRule="auto"/>
        <w:rPr>
          <w:color w:val="auto"/>
          <w:sz w:val="21"/>
          <w:szCs w:val="21"/>
          <w:highlight w:val="none"/>
        </w:rPr>
      </w:pPr>
      <w:r>
        <w:rPr>
          <w:rFonts w:hint="eastAsia"/>
          <w:color w:val="auto"/>
          <w:sz w:val="21"/>
          <w:szCs w:val="21"/>
          <w:highlight w:val="none"/>
        </w:rPr>
        <w:t>5.如供应商是自然人，提供有效的自然人身份证明。</w:t>
      </w:r>
    </w:p>
    <w:p w14:paraId="4D4502D9">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6B8B281B">
      <w:pPr>
        <w:adjustRightInd w:val="0"/>
        <w:snapToGrid w:val="0"/>
        <w:spacing w:line="288" w:lineRule="auto"/>
        <w:jc w:val="center"/>
        <w:outlineLvl w:val="2"/>
        <w:rPr>
          <w:rFonts w:cs="Times New Roman"/>
          <w:b/>
          <w:bCs/>
          <w:color w:val="auto"/>
          <w:sz w:val="21"/>
          <w:szCs w:val="21"/>
          <w:highlight w:val="none"/>
          <w:shd w:val="clear" w:color="auto" w:fill="FFFFFF"/>
        </w:rPr>
      </w:pPr>
      <w:r>
        <w:rPr>
          <w:rFonts w:hint="eastAsia" w:cs="Times New Roman"/>
          <w:b/>
          <w:color w:val="auto"/>
          <w:spacing w:val="-6"/>
          <w:sz w:val="21"/>
          <w:szCs w:val="21"/>
          <w:highlight w:val="none"/>
        </w:rPr>
        <w:t>（2）</w:t>
      </w:r>
      <w:r>
        <w:rPr>
          <w:rFonts w:hint="eastAsia" w:cs="Times New Roman"/>
          <w:b/>
          <w:bCs/>
          <w:color w:val="auto"/>
          <w:sz w:val="21"/>
          <w:szCs w:val="21"/>
          <w:highlight w:val="none"/>
        </w:rPr>
        <w:t>符合参加政府采购活动应当具备的一般条件的承诺函</w:t>
      </w:r>
    </w:p>
    <w:p w14:paraId="548E80FA">
      <w:pPr>
        <w:adjustRightInd w:val="0"/>
        <w:snapToGrid w:val="0"/>
        <w:spacing w:line="288" w:lineRule="auto"/>
        <w:rPr>
          <w:rFonts w:cs="Times New Roman"/>
          <w:color w:val="auto"/>
          <w:sz w:val="21"/>
          <w:szCs w:val="21"/>
          <w:highlight w:val="none"/>
          <w:shd w:val="clear" w:color="auto" w:fill="FFFFFF"/>
        </w:rPr>
      </w:pPr>
    </w:p>
    <w:p w14:paraId="79F6E9AF">
      <w:pPr>
        <w:adjustRightInd w:val="0"/>
        <w:snapToGrid w:val="0"/>
        <w:spacing w:line="288" w:lineRule="auto"/>
        <w:rPr>
          <w:rFonts w:hint="eastAsia" w:eastAsia="宋体" w:cs="Times New Roman"/>
          <w:b/>
          <w:bCs/>
          <w:color w:val="auto"/>
          <w:spacing w:val="-6"/>
          <w:sz w:val="21"/>
          <w:szCs w:val="21"/>
          <w:highlight w:val="none"/>
          <w:lang w:eastAsia="zh-CN"/>
        </w:rPr>
      </w:pPr>
      <w:r>
        <w:rPr>
          <w:rFonts w:hint="eastAsia" w:cs="Times New Roman"/>
          <w:b/>
          <w:bCs/>
          <w:color w:val="auto"/>
          <w:spacing w:val="-6"/>
          <w:sz w:val="21"/>
          <w:szCs w:val="21"/>
          <w:highlight w:val="none"/>
        </w:rPr>
        <w:t>致：</w:t>
      </w:r>
      <w:r>
        <w:rPr>
          <w:rFonts w:hint="eastAsia" w:cs="Times New Roman"/>
          <w:b/>
          <w:bCs/>
          <w:color w:val="auto"/>
          <w:spacing w:val="-6"/>
          <w:sz w:val="21"/>
          <w:szCs w:val="21"/>
          <w:highlight w:val="none"/>
          <w:lang w:eastAsia="zh-CN"/>
        </w:rPr>
        <w:t>浙江省文化馆</w:t>
      </w:r>
      <w:r>
        <w:rPr>
          <w:rFonts w:hint="eastAsia" w:cs="Times New Roman"/>
          <w:b/>
          <w:bCs/>
          <w:color w:val="auto"/>
          <w:spacing w:val="-6"/>
          <w:sz w:val="21"/>
          <w:szCs w:val="21"/>
          <w:highlight w:val="none"/>
        </w:rPr>
        <w:t>、</w:t>
      </w:r>
      <w:r>
        <w:rPr>
          <w:rFonts w:hint="eastAsia" w:cs="Times New Roman"/>
          <w:b/>
          <w:bCs/>
          <w:color w:val="auto"/>
          <w:spacing w:val="-6"/>
          <w:sz w:val="21"/>
          <w:szCs w:val="21"/>
          <w:highlight w:val="none"/>
          <w:lang w:eastAsia="zh-CN"/>
        </w:rPr>
        <w:t>建经投资咨询有限公司</w:t>
      </w:r>
    </w:p>
    <w:p w14:paraId="106FC9E0">
      <w:pPr>
        <w:adjustRightInd w:val="0"/>
        <w:snapToGrid w:val="0"/>
        <w:spacing w:line="288" w:lineRule="auto"/>
        <w:rPr>
          <w:rFonts w:cs="Times New Roman"/>
          <w:color w:val="auto"/>
          <w:spacing w:val="-6"/>
          <w:sz w:val="21"/>
          <w:szCs w:val="21"/>
          <w:highlight w:val="none"/>
        </w:rPr>
      </w:pPr>
    </w:p>
    <w:p w14:paraId="2BA04E0C">
      <w:pPr>
        <w:adjustRightInd w:val="0"/>
        <w:snapToGrid w:val="0"/>
        <w:spacing w:line="288" w:lineRule="auto"/>
        <w:ind w:firstLine="396" w:firstLineChars="200"/>
        <w:rPr>
          <w:rFonts w:cs="Times New Roman"/>
          <w:color w:val="auto"/>
          <w:spacing w:val="-6"/>
          <w:sz w:val="21"/>
          <w:szCs w:val="21"/>
          <w:highlight w:val="none"/>
        </w:rPr>
      </w:pPr>
      <w:bookmarkStart w:id="53" w:name="_Hlk97040025"/>
      <w:r>
        <w:rPr>
          <w:rFonts w:hint="eastAsia" w:cs="Times New Roman"/>
          <w:color w:val="auto"/>
          <w:spacing w:val="-6"/>
          <w:sz w:val="21"/>
          <w:szCs w:val="21"/>
          <w:highlight w:val="none"/>
        </w:rPr>
        <w:t>我方</w:t>
      </w:r>
      <w:r>
        <w:rPr>
          <w:rFonts w:hint="eastAsia" w:cs="Times New Roman"/>
          <w:color w:val="auto"/>
          <w:spacing w:val="-6"/>
          <w:sz w:val="21"/>
          <w:szCs w:val="21"/>
          <w:highlight w:val="none"/>
          <w:u w:val="single"/>
        </w:rPr>
        <w:t xml:space="preserve">（供应商名称）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 xml:space="preserve">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参加</w:t>
      </w:r>
      <w:r>
        <w:rPr>
          <w:rFonts w:hint="eastAsia" w:cs="Times New Roman"/>
          <w:color w:val="auto"/>
          <w:spacing w:val="-6"/>
          <w:sz w:val="21"/>
          <w:szCs w:val="21"/>
          <w:highlight w:val="none"/>
          <w:u w:val="single"/>
        </w:rPr>
        <w:t xml:space="preserve">（项目名称）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 xml:space="preserve"> </w:t>
      </w:r>
      <w:r>
        <w:rPr>
          <w:rFonts w:hint="eastAsia" w:cs="Times New Roman"/>
          <w:color w:val="auto"/>
          <w:spacing w:val="-6"/>
          <w:sz w:val="21"/>
          <w:szCs w:val="21"/>
          <w:highlight w:val="none"/>
        </w:rPr>
        <w:t>项目的采购活动并承诺如下：</w:t>
      </w:r>
    </w:p>
    <w:p w14:paraId="3FDEFAA0">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一、我方满足《中华人民共和国政府采购法》第二十二条规定：</w:t>
      </w:r>
    </w:p>
    <w:p w14:paraId="6841A4EA">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（一）具有独立承担民事责任的能力；</w:t>
      </w:r>
    </w:p>
    <w:p w14:paraId="39608837">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（二）具有良好的商业信誉和健全的财务会计制度；</w:t>
      </w:r>
    </w:p>
    <w:p w14:paraId="47566C57">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（三）具有履行合同所必需的设备和专业技术能力；</w:t>
      </w:r>
    </w:p>
    <w:p w14:paraId="59870E96">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（四）有依法缴纳税收和社会保障资金的良好记录；</w:t>
      </w:r>
    </w:p>
    <w:p w14:paraId="2D476730">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（五）参加本项目政府采购活动前三年内，在经营活动中</w:t>
      </w:r>
      <w:r>
        <w:rPr>
          <w:rFonts w:hint="eastAsia" w:cs="Times New Roman"/>
          <w:b/>
          <w:color w:val="auto"/>
          <w:spacing w:val="-6"/>
          <w:sz w:val="21"/>
          <w:szCs w:val="21"/>
          <w:highlight w:val="none"/>
          <w:u w:val="single"/>
        </w:rPr>
        <w:t xml:space="preserve">  没有  </w:t>
      </w:r>
      <w:r>
        <w:rPr>
          <w:rFonts w:hint="eastAsia" w:cs="Times New Roman"/>
          <w:color w:val="auto"/>
          <w:spacing w:val="-6"/>
          <w:sz w:val="21"/>
          <w:szCs w:val="21"/>
          <w:highlight w:val="none"/>
        </w:rPr>
        <w:t>重大违法记录。（重大违法记录是指供应商因违法经营受到刑事处罚或者责令停产停业、吊销许可证或者执照、较大数额罚款等行政处罚）</w:t>
      </w:r>
    </w:p>
    <w:p w14:paraId="274E55FC">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（六）法律、行政法规规定的其他条件。</w:t>
      </w:r>
    </w:p>
    <w:p w14:paraId="03456B35">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二、未被信用中国（</w:t>
      </w:r>
      <w:r>
        <w:rPr>
          <w:rFonts w:cs="Times New Roman"/>
          <w:color w:val="auto"/>
          <w:spacing w:val="-6"/>
          <w:sz w:val="21"/>
          <w:szCs w:val="21"/>
          <w:highlight w:val="none"/>
        </w:rPr>
        <w:t>www.creditchina.gov.cn)、中国政府采购网（www.ccgp.gov.cn）列入失信被执行人、重大税收违法案件当事人名单、政府采购严重违法失信行为记录名单。</w:t>
      </w:r>
    </w:p>
    <w:p w14:paraId="192E8EBF">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三、不存在以下情况：</w:t>
      </w:r>
    </w:p>
    <w:p w14:paraId="2A26FB99">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w:t>
      </w:r>
      <w:r>
        <w:rPr>
          <w:rFonts w:cs="Times New Roman"/>
          <w:color w:val="auto"/>
          <w:spacing w:val="-6"/>
          <w:sz w:val="21"/>
          <w:szCs w:val="21"/>
          <w:highlight w:val="none"/>
        </w:rPr>
        <w:t>单位负责人为同一人或者存在直接控股、管理关系的不同供应商参加同一合同项下的政府采购活动的；</w:t>
      </w:r>
    </w:p>
    <w:p w14:paraId="348EEEA1">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w:t>
      </w:r>
      <w:r>
        <w:rPr>
          <w:rFonts w:cs="Times New Roman"/>
          <w:color w:val="auto"/>
          <w:spacing w:val="-6"/>
          <w:sz w:val="21"/>
          <w:szCs w:val="21"/>
          <w:highlight w:val="none"/>
        </w:rPr>
        <w:t>为采购项目提供整体设计、规范编制或者项目管理、监理、检测等服务后再参加该采购项目的其他采购活动的。</w:t>
      </w:r>
    </w:p>
    <w:p w14:paraId="6A656C5B">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四、</w:t>
      </w:r>
      <w:r>
        <w:rPr>
          <w:rFonts w:cs="Times New Roman"/>
          <w:color w:val="auto"/>
          <w:spacing w:val="-6"/>
          <w:sz w:val="21"/>
          <w:szCs w:val="21"/>
          <w:highlight w:val="none"/>
        </w:rPr>
        <w:t>以上事项如有虚假或隐瞒，我方愿意承担一切后果和责任。</w:t>
      </w:r>
    </w:p>
    <w:p w14:paraId="4FFABF0B">
      <w:pPr>
        <w:adjustRightInd w:val="0"/>
        <w:snapToGrid w:val="0"/>
        <w:spacing w:line="288" w:lineRule="auto"/>
        <w:rPr>
          <w:rFonts w:cs="Times New Roman"/>
          <w:color w:val="auto"/>
          <w:sz w:val="21"/>
          <w:szCs w:val="21"/>
          <w:highlight w:val="none"/>
        </w:rPr>
      </w:pPr>
    </w:p>
    <w:p w14:paraId="617FD69F">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00597280">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bookmarkEnd w:id="53"/>
    <w:p w14:paraId="028A38B9">
      <w:pPr>
        <w:widowControl/>
        <w:adjustRightInd w:val="0"/>
        <w:snapToGrid w:val="0"/>
        <w:spacing w:line="288" w:lineRule="auto"/>
        <w:jc w:val="left"/>
        <w:rPr>
          <w:color w:val="auto"/>
          <w:sz w:val="21"/>
          <w:szCs w:val="21"/>
          <w:highlight w:val="none"/>
        </w:rPr>
      </w:pPr>
      <w:r>
        <w:rPr>
          <w:color w:val="auto"/>
          <w:sz w:val="21"/>
          <w:szCs w:val="21"/>
          <w:highlight w:val="none"/>
        </w:rPr>
        <w:br w:type="page"/>
      </w:r>
    </w:p>
    <w:p w14:paraId="0BAEC8BC">
      <w:pPr>
        <w:adjustRightInd w:val="0"/>
        <w:snapToGrid w:val="0"/>
        <w:spacing w:line="288" w:lineRule="auto"/>
        <w:jc w:val="left"/>
        <w:outlineLvl w:val="2"/>
        <w:rPr>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3）落实政府采购政策需满足的资格要求</w:t>
      </w:r>
    </w:p>
    <w:p w14:paraId="4B5786A3">
      <w:pPr>
        <w:adjustRightInd w:val="0"/>
        <w:snapToGrid w:val="0"/>
        <w:spacing w:line="288" w:lineRule="auto"/>
        <w:ind w:firstLine="498" w:firstLineChars="236"/>
        <w:jc w:val="center"/>
        <w:outlineLvl w:val="2"/>
        <w:rPr>
          <w:b/>
          <w:bCs/>
          <w:color w:val="auto"/>
          <w:sz w:val="21"/>
          <w:szCs w:val="21"/>
          <w:highlight w:val="none"/>
        </w:rPr>
      </w:pPr>
      <w:r>
        <w:rPr>
          <w:rFonts w:hint="eastAsia"/>
          <w:b/>
          <w:bCs/>
          <w:color w:val="auto"/>
          <w:sz w:val="21"/>
          <w:szCs w:val="21"/>
          <w:highlight w:val="none"/>
        </w:rPr>
        <w:t>1）</w:t>
      </w:r>
      <w:r>
        <w:rPr>
          <w:b/>
          <w:bCs/>
          <w:color w:val="auto"/>
          <w:sz w:val="21"/>
          <w:szCs w:val="21"/>
          <w:highlight w:val="none"/>
        </w:rPr>
        <w:t>中小企业声明函（工程、服务）</w:t>
      </w:r>
      <w:r>
        <w:rPr>
          <w:rFonts w:hint="eastAsia"/>
          <w:b/>
          <w:bCs/>
          <w:color w:val="auto"/>
          <w:sz w:val="21"/>
          <w:szCs w:val="21"/>
          <w:highlight w:val="none"/>
        </w:rPr>
        <w:t>（若属于中小企业）</w:t>
      </w:r>
    </w:p>
    <w:p w14:paraId="77D4F790">
      <w:pPr>
        <w:adjustRightInd w:val="0"/>
        <w:snapToGrid w:val="0"/>
        <w:spacing w:line="288" w:lineRule="auto"/>
        <w:ind w:firstLine="498" w:firstLineChars="236"/>
        <w:rPr>
          <w:b/>
          <w:color w:val="auto"/>
          <w:sz w:val="21"/>
          <w:szCs w:val="21"/>
          <w:highlight w:val="none"/>
        </w:rPr>
      </w:pPr>
    </w:p>
    <w:p w14:paraId="402A3777">
      <w:pPr>
        <w:adjustRightInd w:val="0"/>
        <w:snapToGrid w:val="0"/>
        <w:spacing w:line="288" w:lineRule="auto"/>
        <w:ind w:firstLine="495" w:firstLineChars="236"/>
        <w:rPr>
          <w:color w:val="auto"/>
          <w:sz w:val="21"/>
          <w:szCs w:val="21"/>
          <w:highlight w:val="none"/>
        </w:rPr>
      </w:pPr>
      <w:r>
        <w:rPr>
          <w:color w:val="auto"/>
          <w:sz w:val="21"/>
          <w:szCs w:val="21"/>
          <w:highlight w:val="none"/>
        </w:rPr>
        <w:t>本公司（联合体）郑重声明，根据《政府采购促进中小企业发展管理办法》（财库</w:t>
      </w:r>
      <w:r>
        <w:rPr>
          <w:rFonts w:hint="eastAsia"/>
          <w:color w:val="auto"/>
          <w:sz w:val="21"/>
          <w:szCs w:val="21"/>
          <w:highlight w:val="none"/>
        </w:rPr>
        <w:t>﹝</w:t>
      </w:r>
      <w:r>
        <w:rPr>
          <w:color w:val="auto"/>
          <w:sz w:val="21"/>
          <w:szCs w:val="21"/>
          <w:highlight w:val="none"/>
        </w:rPr>
        <w:t>2020</w:t>
      </w:r>
      <w:r>
        <w:rPr>
          <w:rFonts w:hint="eastAsia"/>
          <w:color w:val="auto"/>
          <w:sz w:val="21"/>
          <w:szCs w:val="21"/>
          <w:highlight w:val="none"/>
        </w:rPr>
        <w:t>﹞</w:t>
      </w:r>
      <w:r>
        <w:rPr>
          <w:color w:val="auto"/>
          <w:sz w:val="21"/>
          <w:szCs w:val="21"/>
          <w:highlight w:val="none"/>
        </w:rPr>
        <w:t>46 号）的规定，本公司（联合体）参加</w:t>
      </w:r>
      <w:r>
        <w:rPr>
          <w:rFonts w:hint="eastAsia"/>
          <w:color w:val="auto"/>
          <w:sz w:val="21"/>
          <w:szCs w:val="21"/>
          <w:highlight w:val="none"/>
          <w:u w:val="single"/>
        </w:rPr>
        <w:t xml:space="preserve"> </w:t>
      </w:r>
      <w:r>
        <w:rPr>
          <w:color w:val="auto"/>
          <w:sz w:val="21"/>
          <w:szCs w:val="21"/>
          <w:highlight w:val="none"/>
          <w:u w:val="single"/>
        </w:rPr>
        <w:t xml:space="preserve">      </w:t>
      </w:r>
      <w:r>
        <w:rPr>
          <w:i/>
          <w:color w:val="auto"/>
          <w:sz w:val="21"/>
          <w:szCs w:val="21"/>
          <w:highlight w:val="none"/>
          <w:u w:val="single"/>
        </w:rPr>
        <w:t>（单位名称）</w:t>
      </w:r>
      <w:r>
        <w:rPr>
          <w:color w:val="auto"/>
          <w:sz w:val="21"/>
          <w:szCs w:val="21"/>
          <w:highlight w:val="none"/>
        </w:rPr>
        <w:t>的</w:t>
      </w:r>
      <w:r>
        <w:rPr>
          <w:rFonts w:hint="eastAsia"/>
          <w:color w:val="auto"/>
          <w:sz w:val="21"/>
          <w:szCs w:val="21"/>
          <w:highlight w:val="none"/>
          <w:u w:val="single"/>
        </w:rPr>
        <w:t xml:space="preserve"> </w:t>
      </w:r>
      <w:r>
        <w:rPr>
          <w:color w:val="auto"/>
          <w:sz w:val="21"/>
          <w:szCs w:val="21"/>
          <w:highlight w:val="none"/>
          <w:u w:val="single"/>
        </w:rPr>
        <w:t xml:space="preserve">      </w:t>
      </w:r>
      <w:r>
        <w:rPr>
          <w:i/>
          <w:color w:val="auto"/>
          <w:sz w:val="21"/>
          <w:szCs w:val="21"/>
          <w:highlight w:val="none"/>
          <w:u w:val="single"/>
        </w:rPr>
        <w:t>（项目名称）</w:t>
      </w:r>
      <w:r>
        <w:rPr>
          <w:color w:val="auto"/>
          <w:sz w:val="21"/>
          <w:szCs w:val="21"/>
          <w:highlight w:val="none"/>
        </w:rPr>
        <w:t>采购活动，工程的施工单位全部为符合政策要求的中小企业。相关企业（含联合体中的中小企业、签订分包意向协议的中小企业）的具体情况如下：</w:t>
      </w:r>
    </w:p>
    <w:p w14:paraId="2E9E964A">
      <w:pPr>
        <w:adjustRightInd w:val="0"/>
        <w:snapToGrid w:val="0"/>
        <w:spacing w:line="288" w:lineRule="auto"/>
        <w:ind w:firstLine="495" w:firstLineChars="236"/>
        <w:rPr>
          <w:i/>
          <w:color w:val="auto"/>
          <w:sz w:val="21"/>
          <w:szCs w:val="21"/>
          <w:highlight w:val="none"/>
          <w:u w:val="single"/>
        </w:rPr>
      </w:pPr>
      <w:r>
        <w:rPr>
          <w:rFonts w:hint="eastAsia"/>
          <w:i/>
          <w:color w:val="auto"/>
          <w:sz w:val="21"/>
          <w:szCs w:val="21"/>
          <w:highlight w:val="none"/>
          <w:u w:val="single"/>
        </w:rPr>
        <w:t>1</w:t>
      </w:r>
      <w:r>
        <w:rPr>
          <w:i/>
          <w:color w:val="auto"/>
          <w:sz w:val="21"/>
          <w:szCs w:val="21"/>
          <w:highlight w:val="none"/>
          <w:u w:val="single"/>
        </w:rPr>
        <w:t>.</w:t>
      </w:r>
      <w:r>
        <w:rPr>
          <w:rFonts w:hint="eastAsia"/>
          <w:color w:val="auto"/>
          <w:sz w:val="21"/>
          <w:szCs w:val="21"/>
          <w:highlight w:val="none"/>
          <w:u w:val="single"/>
        </w:rPr>
        <w:t xml:space="preserve"> </w:t>
      </w:r>
      <w:r>
        <w:rPr>
          <w:color w:val="auto"/>
          <w:sz w:val="21"/>
          <w:szCs w:val="21"/>
          <w:highlight w:val="none"/>
          <w:u w:val="single"/>
        </w:rPr>
        <w:t xml:space="preserve">      </w:t>
      </w:r>
      <w:r>
        <w:rPr>
          <w:i/>
          <w:color w:val="auto"/>
          <w:sz w:val="21"/>
          <w:szCs w:val="21"/>
          <w:highlight w:val="none"/>
          <w:u w:val="single"/>
        </w:rPr>
        <w:t>（标的名称），属于</w:t>
      </w:r>
      <w:r>
        <w:rPr>
          <w:rFonts w:hint="eastAsia"/>
          <w:color w:val="auto"/>
          <w:sz w:val="21"/>
          <w:szCs w:val="21"/>
          <w:highlight w:val="none"/>
          <w:u w:val="single"/>
        </w:rPr>
        <w:t xml:space="preserve"> </w:t>
      </w:r>
      <w:r>
        <w:rPr>
          <w:color w:val="auto"/>
          <w:sz w:val="21"/>
          <w:szCs w:val="21"/>
          <w:highlight w:val="none"/>
          <w:u w:val="single"/>
        </w:rPr>
        <w:t xml:space="preserve">      </w:t>
      </w:r>
      <w:r>
        <w:rPr>
          <w:i/>
          <w:color w:val="auto"/>
          <w:sz w:val="21"/>
          <w:szCs w:val="21"/>
          <w:highlight w:val="none"/>
          <w:u w:val="single"/>
        </w:rPr>
        <w:t>（采购文件中明确的所属行业）；</w:t>
      </w:r>
      <w:r>
        <w:rPr>
          <w:color w:val="auto"/>
          <w:sz w:val="21"/>
          <w:szCs w:val="21"/>
          <w:highlight w:val="none"/>
        </w:rPr>
        <w:t>承建（承接）企业为</w:t>
      </w:r>
      <w:r>
        <w:rPr>
          <w:i/>
          <w:color w:val="auto"/>
          <w:sz w:val="21"/>
          <w:szCs w:val="21"/>
          <w:highlight w:val="none"/>
          <w:u w:val="single"/>
        </w:rPr>
        <w:t>（企业名称）</w:t>
      </w:r>
      <w:r>
        <w:rPr>
          <w:color w:val="auto"/>
          <w:sz w:val="21"/>
          <w:szCs w:val="21"/>
          <w:highlight w:val="none"/>
        </w:rPr>
        <w:t>，从业人员</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人，营业收入为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万元，资产总额为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万元，属于</w:t>
      </w:r>
      <w:r>
        <w:rPr>
          <w:i/>
          <w:color w:val="auto"/>
          <w:sz w:val="21"/>
          <w:szCs w:val="21"/>
          <w:highlight w:val="none"/>
          <w:u w:val="single"/>
        </w:rPr>
        <w:t>（中型企业、小型企业、微型企业）</w:t>
      </w:r>
      <w:r>
        <w:rPr>
          <w:color w:val="auto"/>
          <w:sz w:val="21"/>
          <w:szCs w:val="21"/>
          <w:highlight w:val="none"/>
        </w:rPr>
        <w:t>；</w:t>
      </w:r>
    </w:p>
    <w:p w14:paraId="14F8685B">
      <w:pPr>
        <w:adjustRightInd w:val="0"/>
        <w:snapToGrid w:val="0"/>
        <w:spacing w:line="288" w:lineRule="auto"/>
        <w:ind w:firstLine="495" w:firstLineChars="236"/>
        <w:rPr>
          <w:color w:val="auto"/>
          <w:sz w:val="21"/>
          <w:szCs w:val="21"/>
          <w:highlight w:val="none"/>
        </w:rPr>
      </w:pPr>
      <w:r>
        <w:rPr>
          <w:rFonts w:hint="eastAsia"/>
          <w:i/>
          <w:color w:val="auto"/>
          <w:sz w:val="21"/>
          <w:szCs w:val="21"/>
          <w:highlight w:val="none"/>
          <w:u w:val="single"/>
        </w:rPr>
        <w:t>2</w:t>
      </w:r>
      <w:r>
        <w:rPr>
          <w:i/>
          <w:color w:val="auto"/>
          <w:sz w:val="21"/>
          <w:szCs w:val="21"/>
          <w:highlight w:val="none"/>
          <w:u w:val="single"/>
        </w:rPr>
        <w:t>.</w:t>
      </w:r>
      <w:r>
        <w:rPr>
          <w:rFonts w:hint="eastAsia"/>
          <w:color w:val="auto"/>
          <w:sz w:val="21"/>
          <w:szCs w:val="21"/>
          <w:highlight w:val="none"/>
          <w:u w:val="single"/>
        </w:rPr>
        <w:t xml:space="preserve"> </w:t>
      </w:r>
      <w:r>
        <w:rPr>
          <w:color w:val="auto"/>
          <w:sz w:val="21"/>
          <w:szCs w:val="21"/>
          <w:highlight w:val="none"/>
          <w:u w:val="single"/>
        </w:rPr>
        <w:t xml:space="preserve">      </w:t>
      </w:r>
      <w:r>
        <w:rPr>
          <w:i/>
          <w:color w:val="auto"/>
          <w:sz w:val="21"/>
          <w:szCs w:val="21"/>
          <w:highlight w:val="none"/>
          <w:u w:val="single"/>
        </w:rPr>
        <w:t>（标的名称）</w:t>
      </w:r>
      <w:r>
        <w:rPr>
          <w:color w:val="auto"/>
          <w:sz w:val="21"/>
          <w:szCs w:val="21"/>
          <w:highlight w:val="none"/>
        </w:rPr>
        <w:t>，属于</w:t>
      </w:r>
      <w:r>
        <w:rPr>
          <w:rFonts w:hint="eastAsia"/>
          <w:color w:val="auto"/>
          <w:sz w:val="21"/>
          <w:szCs w:val="21"/>
          <w:highlight w:val="none"/>
          <w:u w:val="single"/>
        </w:rPr>
        <w:t xml:space="preserve"> </w:t>
      </w:r>
      <w:r>
        <w:rPr>
          <w:color w:val="auto"/>
          <w:sz w:val="21"/>
          <w:szCs w:val="21"/>
          <w:highlight w:val="none"/>
          <w:u w:val="single"/>
        </w:rPr>
        <w:t xml:space="preserve">      </w:t>
      </w:r>
      <w:r>
        <w:rPr>
          <w:i/>
          <w:color w:val="auto"/>
          <w:sz w:val="21"/>
          <w:szCs w:val="21"/>
          <w:highlight w:val="none"/>
          <w:u w:val="single"/>
        </w:rPr>
        <w:t>（采购文件中明确的所属行业）</w:t>
      </w:r>
      <w:r>
        <w:rPr>
          <w:color w:val="auto"/>
          <w:sz w:val="21"/>
          <w:szCs w:val="21"/>
          <w:highlight w:val="none"/>
        </w:rPr>
        <w:t>；承建（承接）企业为</w:t>
      </w:r>
      <w:r>
        <w:rPr>
          <w:i/>
          <w:color w:val="auto"/>
          <w:sz w:val="21"/>
          <w:szCs w:val="21"/>
          <w:highlight w:val="none"/>
          <w:u w:val="single"/>
        </w:rPr>
        <w:t>（企业名称）</w:t>
      </w:r>
      <w:r>
        <w:rPr>
          <w:color w:val="auto"/>
          <w:sz w:val="21"/>
          <w:szCs w:val="21"/>
          <w:highlight w:val="none"/>
        </w:rPr>
        <w:t>，从业人员</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人，营业收入为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万元，资产总额为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万元，属于</w:t>
      </w:r>
      <w:r>
        <w:rPr>
          <w:i/>
          <w:color w:val="auto"/>
          <w:sz w:val="21"/>
          <w:szCs w:val="21"/>
          <w:highlight w:val="none"/>
          <w:u w:val="single"/>
        </w:rPr>
        <w:t>（中型企业、小型企业、微型企业）</w:t>
      </w:r>
      <w:r>
        <w:rPr>
          <w:color w:val="auto"/>
          <w:sz w:val="21"/>
          <w:szCs w:val="21"/>
          <w:highlight w:val="none"/>
        </w:rPr>
        <w:t>；</w:t>
      </w:r>
    </w:p>
    <w:p w14:paraId="18C82BE0">
      <w:pPr>
        <w:adjustRightInd w:val="0"/>
        <w:snapToGrid w:val="0"/>
        <w:spacing w:line="288" w:lineRule="auto"/>
        <w:ind w:firstLine="495" w:firstLineChars="236"/>
        <w:rPr>
          <w:color w:val="auto"/>
          <w:sz w:val="21"/>
          <w:szCs w:val="21"/>
          <w:highlight w:val="none"/>
        </w:rPr>
      </w:pPr>
      <w:r>
        <w:rPr>
          <w:color w:val="auto"/>
          <w:sz w:val="21"/>
          <w:szCs w:val="21"/>
          <w:highlight w:val="none"/>
        </w:rPr>
        <w:t>……</w:t>
      </w:r>
    </w:p>
    <w:p w14:paraId="5247E86C">
      <w:pPr>
        <w:adjustRightInd w:val="0"/>
        <w:snapToGrid w:val="0"/>
        <w:spacing w:line="288" w:lineRule="auto"/>
        <w:ind w:firstLine="495" w:firstLineChars="236"/>
        <w:rPr>
          <w:color w:val="auto"/>
          <w:sz w:val="21"/>
          <w:szCs w:val="21"/>
          <w:highlight w:val="none"/>
        </w:rPr>
      </w:pPr>
      <w:r>
        <w:rPr>
          <w:color w:val="auto"/>
          <w:sz w:val="21"/>
          <w:szCs w:val="21"/>
          <w:highlight w:val="none"/>
        </w:rPr>
        <w:t>以上企业，不属于大企业的分支机构，不存在控股股东为大企业的情形，也不存在与大企业的负责人为同一人的情形。</w:t>
      </w:r>
    </w:p>
    <w:p w14:paraId="2BAC4BFB">
      <w:pPr>
        <w:adjustRightInd w:val="0"/>
        <w:snapToGrid w:val="0"/>
        <w:spacing w:line="288" w:lineRule="auto"/>
        <w:ind w:firstLine="495" w:firstLineChars="236"/>
        <w:rPr>
          <w:color w:val="auto"/>
          <w:sz w:val="21"/>
          <w:szCs w:val="21"/>
          <w:highlight w:val="none"/>
        </w:rPr>
      </w:pPr>
      <w:r>
        <w:rPr>
          <w:color w:val="auto"/>
          <w:sz w:val="21"/>
          <w:szCs w:val="21"/>
          <w:highlight w:val="none"/>
        </w:rPr>
        <w:t>本企业对上述声明内容的真实性负责。如有虚假，将依法承担相应责任。</w:t>
      </w:r>
    </w:p>
    <w:p w14:paraId="0BEBA05F">
      <w:pPr>
        <w:adjustRightInd w:val="0"/>
        <w:snapToGrid w:val="0"/>
        <w:spacing w:line="288" w:lineRule="auto"/>
        <w:ind w:firstLine="495" w:firstLineChars="236"/>
        <w:rPr>
          <w:color w:val="auto"/>
          <w:sz w:val="21"/>
          <w:szCs w:val="21"/>
          <w:highlight w:val="none"/>
        </w:rPr>
      </w:pPr>
      <w:r>
        <w:rPr>
          <w:color w:val="auto"/>
          <w:sz w:val="21"/>
          <w:szCs w:val="21"/>
          <w:highlight w:val="none"/>
        </w:rPr>
        <w:t>企业名称（盖章）：</w:t>
      </w:r>
    </w:p>
    <w:p w14:paraId="69741B39">
      <w:pPr>
        <w:adjustRightInd w:val="0"/>
        <w:snapToGrid w:val="0"/>
        <w:spacing w:line="288" w:lineRule="auto"/>
        <w:ind w:firstLine="495" w:firstLineChars="236"/>
        <w:rPr>
          <w:color w:val="auto"/>
          <w:sz w:val="21"/>
          <w:szCs w:val="21"/>
          <w:highlight w:val="none"/>
        </w:rPr>
      </w:pPr>
      <w:r>
        <w:rPr>
          <w:color w:val="auto"/>
          <w:sz w:val="21"/>
          <w:szCs w:val="21"/>
          <w:highlight w:val="none"/>
        </w:rPr>
        <w:t>日期：</w:t>
      </w:r>
    </w:p>
    <w:p w14:paraId="26455B2F">
      <w:pPr>
        <w:adjustRightInd w:val="0"/>
        <w:snapToGrid w:val="0"/>
        <w:spacing w:line="288" w:lineRule="auto"/>
        <w:ind w:firstLine="495" w:firstLineChars="236"/>
        <w:rPr>
          <w:color w:val="auto"/>
          <w:sz w:val="21"/>
          <w:szCs w:val="21"/>
          <w:highlight w:val="none"/>
        </w:rPr>
      </w:pPr>
    </w:p>
    <w:p w14:paraId="4DC7EF1E">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注：</w:t>
      </w:r>
    </w:p>
    <w:p w14:paraId="0A2D31F6">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1.</w:t>
      </w:r>
      <w:r>
        <w:rPr>
          <w:rFonts w:hint="eastAsia" w:cs="Times New Roman"/>
          <w:color w:val="auto"/>
          <w:sz w:val="21"/>
          <w:szCs w:val="21"/>
          <w:highlight w:val="none"/>
        </w:rPr>
        <w:t>从业人员、营业收入、资产总额填报上一年度数据，无上一年度数据的新成立企业可不填报。</w:t>
      </w:r>
    </w:p>
    <w:p w14:paraId="02E2589A">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2.</w:t>
      </w:r>
      <w:r>
        <w:rPr>
          <w:rFonts w:hint="eastAsia" w:cs="Times New Roman"/>
          <w:color w:val="auto"/>
          <w:sz w:val="21"/>
          <w:szCs w:val="21"/>
          <w:highlight w:val="none"/>
        </w:rPr>
        <w:t>中小企业参加政府采购活动，应当出具财库〔2020〕46号文件规定的《中小企业声明函》，否则不得享受相关中小企业扶持政策。</w:t>
      </w:r>
    </w:p>
    <w:p w14:paraId="406DC232">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3</w:t>
      </w:r>
      <w:r>
        <w:rPr>
          <w:rFonts w:hint="eastAsia" w:cs="Times New Roman"/>
          <w:color w:val="auto"/>
          <w:sz w:val="21"/>
          <w:szCs w:val="21"/>
          <w:highlight w:val="none"/>
        </w:rPr>
        <w:t>.本项目仅以《中小企业声明函》作为评判供应商是否属于中小企业的唯一依据。</w:t>
      </w:r>
    </w:p>
    <w:p w14:paraId="4DBFBF1F">
      <w:pPr>
        <w:adjustRightInd w:val="0"/>
        <w:snapToGrid w:val="0"/>
        <w:spacing w:line="288" w:lineRule="auto"/>
        <w:ind w:firstLine="495" w:firstLineChars="236"/>
        <w:rPr>
          <w:rFonts w:cs="Times New Roman"/>
          <w:color w:val="auto"/>
          <w:sz w:val="21"/>
          <w:szCs w:val="21"/>
          <w:highlight w:val="none"/>
        </w:rPr>
      </w:pPr>
      <w:r>
        <w:rPr>
          <w:rFonts w:cs="Times New Roman"/>
          <w:color w:val="auto"/>
          <w:sz w:val="21"/>
          <w:szCs w:val="21"/>
          <w:highlight w:val="none"/>
        </w:rPr>
        <w:t>4</w:t>
      </w:r>
      <w:r>
        <w:rPr>
          <w:rFonts w:hint="eastAsia" w:cs="Times New Roman"/>
          <w:color w:val="auto"/>
          <w:sz w:val="21"/>
          <w:szCs w:val="21"/>
          <w:highlight w:val="none"/>
        </w:rPr>
        <w:t>.供应商提供《中小企业声明函》内容不实的，属于提供虚假材料谋取中标、成交，依照《中华人民共和国政府采购法》等国家有关规定追究相应责任。</w:t>
      </w:r>
    </w:p>
    <w:p w14:paraId="5013F9A1">
      <w:pPr>
        <w:adjustRightInd w:val="0"/>
        <w:snapToGrid w:val="0"/>
        <w:spacing w:line="288" w:lineRule="auto"/>
        <w:ind w:firstLine="495" w:firstLineChars="236"/>
        <w:rPr>
          <w:rFonts w:cstheme="minorBidi"/>
          <w:color w:val="auto"/>
          <w:sz w:val="21"/>
          <w:szCs w:val="22"/>
          <w:highlight w:val="none"/>
          <w:u w:val="single"/>
        </w:rPr>
      </w:pPr>
      <w:r>
        <w:rPr>
          <w:rFonts w:cs="Times New Roman"/>
          <w:color w:val="auto"/>
          <w:sz w:val="21"/>
          <w:szCs w:val="21"/>
          <w:highlight w:val="none"/>
          <w:u w:val="single"/>
        </w:rPr>
        <w:t>5.</w:t>
      </w:r>
      <w:r>
        <w:rPr>
          <w:rFonts w:hint="eastAsia" w:cs="Times New Roman"/>
          <w:color w:val="auto"/>
          <w:sz w:val="21"/>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cstheme="minorBidi"/>
          <w:color w:val="auto"/>
          <w:sz w:val="21"/>
          <w:szCs w:val="22"/>
          <w:highlight w:val="none"/>
          <w:u w:val="single"/>
        </w:rPr>
        <w:t>不享受中小企业扶持政策。</w:t>
      </w:r>
    </w:p>
    <w:p w14:paraId="295C6883">
      <w:pPr>
        <w:adjustRightInd w:val="0"/>
        <w:snapToGrid w:val="0"/>
        <w:spacing w:line="288" w:lineRule="auto"/>
        <w:ind w:firstLine="495" w:firstLineChars="236"/>
        <w:rPr>
          <w:rFonts w:cs="Times New Roman"/>
          <w:color w:val="auto"/>
          <w:sz w:val="21"/>
          <w:szCs w:val="21"/>
          <w:highlight w:val="none"/>
          <w:u w:val="single"/>
        </w:rPr>
      </w:pPr>
      <w:r>
        <w:rPr>
          <w:rFonts w:hint="eastAsia" w:cs="Times New Roman"/>
          <w:color w:val="auto"/>
          <w:sz w:val="21"/>
          <w:szCs w:val="21"/>
          <w:highlight w:val="none"/>
          <w:u w:val="single"/>
        </w:rPr>
        <w:t>6</w:t>
      </w:r>
      <w:r>
        <w:rPr>
          <w:rFonts w:cs="Times New Roman"/>
          <w:color w:val="auto"/>
          <w:sz w:val="21"/>
          <w:szCs w:val="21"/>
          <w:highlight w:val="none"/>
          <w:u w:val="single"/>
        </w:rPr>
        <w:t>.如项目包含“多件”标的物的，需按标的物项数逐项填写。</w:t>
      </w:r>
    </w:p>
    <w:p w14:paraId="592226F4">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br w:type="page"/>
      </w:r>
    </w:p>
    <w:p w14:paraId="0E3D55C8">
      <w:pPr>
        <w:adjustRightInd w:val="0"/>
        <w:snapToGrid w:val="0"/>
        <w:spacing w:line="288" w:lineRule="auto"/>
        <w:jc w:val="center"/>
        <w:outlineLvl w:val="2"/>
        <w:rPr>
          <w:color w:val="auto"/>
          <w:kern w:val="0"/>
          <w:sz w:val="21"/>
          <w:szCs w:val="21"/>
          <w:highlight w:val="none"/>
        </w:rPr>
      </w:pPr>
      <w:r>
        <w:rPr>
          <w:rFonts w:hint="eastAsia"/>
          <w:b/>
          <w:color w:val="auto"/>
          <w:spacing w:val="-6"/>
          <w:sz w:val="21"/>
          <w:szCs w:val="21"/>
          <w:highlight w:val="none"/>
        </w:rPr>
        <w:t>2）属于监狱企业的证明文件（若属于监狱企业）</w:t>
      </w:r>
    </w:p>
    <w:p w14:paraId="621085CA">
      <w:pPr>
        <w:adjustRightInd w:val="0"/>
        <w:snapToGrid w:val="0"/>
        <w:spacing w:line="288" w:lineRule="auto"/>
        <w:rPr>
          <w:color w:val="auto"/>
          <w:kern w:val="0"/>
          <w:sz w:val="21"/>
          <w:szCs w:val="21"/>
          <w:highlight w:val="none"/>
        </w:rPr>
      </w:pPr>
    </w:p>
    <w:p w14:paraId="2EE96FB3">
      <w:pPr>
        <w:adjustRightInd w:val="0"/>
        <w:snapToGrid w:val="0"/>
        <w:spacing w:line="288" w:lineRule="auto"/>
        <w:ind w:firstLine="373" w:firstLineChars="177"/>
        <w:rPr>
          <w:b/>
          <w:bCs/>
          <w:color w:val="auto"/>
          <w:sz w:val="21"/>
          <w:szCs w:val="21"/>
          <w:highlight w:val="none"/>
        </w:rPr>
      </w:pPr>
      <w:r>
        <w:rPr>
          <w:rFonts w:hint="eastAsia"/>
          <w:b/>
          <w:bCs/>
          <w:color w:val="auto"/>
          <w:kern w:val="0"/>
          <w:sz w:val="21"/>
          <w:szCs w:val="21"/>
          <w:highlight w:val="none"/>
        </w:rPr>
        <w:t>监狱企业参加政府采购活动时，应当提供由省级以上监狱管理局、戒毒管理局（含新疆生产建设兵团）出具的属于监狱企业的证明文件。</w:t>
      </w:r>
    </w:p>
    <w:p w14:paraId="4C6EED49">
      <w:pPr>
        <w:adjustRightInd w:val="0"/>
        <w:snapToGrid w:val="0"/>
        <w:spacing w:line="288" w:lineRule="auto"/>
        <w:rPr>
          <w:color w:val="auto"/>
          <w:sz w:val="21"/>
          <w:szCs w:val="21"/>
          <w:highlight w:val="none"/>
        </w:rPr>
      </w:pPr>
    </w:p>
    <w:p w14:paraId="5691D964">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344DC34C">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649F8A7">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二、在政府采购活动中，监狱企业视同小型、微型企业，享受预留份额、评审中价格扣除等政府采购促进中小企业发展的政府采购政策。</w:t>
      </w:r>
    </w:p>
    <w:p w14:paraId="7ED4E16D">
      <w:pPr>
        <w:widowControl/>
        <w:adjustRightInd w:val="0"/>
        <w:snapToGrid w:val="0"/>
        <w:spacing w:line="288" w:lineRule="auto"/>
        <w:jc w:val="left"/>
        <w:rPr>
          <w:b/>
          <w:color w:val="auto"/>
          <w:spacing w:val="-6"/>
          <w:sz w:val="21"/>
          <w:szCs w:val="21"/>
          <w:highlight w:val="none"/>
        </w:rPr>
      </w:pPr>
      <w:r>
        <w:rPr>
          <w:b/>
          <w:color w:val="auto"/>
          <w:spacing w:val="-6"/>
          <w:sz w:val="21"/>
          <w:szCs w:val="21"/>
          <w:highlight w:val="none"/>
        </w:rPr>
        <w:br w:type="page"/>
      </w:r>
    </w:p>
    <w:p w14:paraId="47D90CBB">
      <w:pPr>
        <w:adjustRightInd w:val="0"/>
        <w:snapToGrid w:val="0"/>
        <w:spacing w:line="288" w:lineRule="auto"/>
        <w:jc w:val="center"/>
        <w:outlineLvl w:val="2"/>
        <w:rPr>
          <w:b/>
          <w:color w:val="auto"/>
          <w:spacing w:val="-6"/>
          <w:sz w:val="21"/>
          <w:szCs w:val="21"/>
          <w:highlight w:val="none"/>
        </w:rPr>
      </w:pPr>
      <w:r>
        <w:rPr>
          <w:rFonts w:hint="eastAsia"/>
          <w:b/>
          <w:color w:val="auto"/>
          <w:spacing w:val="-6"/>
          <w:sz w:val="21"/>
          <w:szCs w:val="21"/>
          <w:highlight w:val="none"/>
        </w:rPr>
        <w:t>3）残疾人福利性单位声明函（若属于残疾人福利性单位）</w:t>
      </w:r>
    </w:p>
    <w:p w14:paraId="6CCA3EC4">
      <w:pPr>
        <w:adjustRightInd w:val="0"/>
        <w:snapToGrid w:val="0"/>
        <w:spacing w:line="288" w:lineRule="auto"/>
        <w:rPr>
          <w:rFonts w:cs="Times New Roman"/>
          <w:b/>
          <w:color w:val="auto"/>
          <w:spacing w:val="6"/>
          <w:sz w:val="21"/>
          <w:szCs w:val="21"/>
          <w:highlight w:val="none"/>
        </w:rPr>
      </w:pPr>
    </w:p>
    <w:p w14:paraId="25D6E76E">
      <w:pPr>
        <w:adjustRightInd w:val="0"/>
        <w:snapToGrid w:val="0"/>
        <w:spacing w:line="288" w:lineRule="auto"/>
        <w:ind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本单位郑重声明，根据《财政部 民政部 中国残疾人联合会关于促进残疾人就业政府采购政策的通知》（财库</w:t>
      </w:r>
      <w:r>
        <w:rPr>
          <w:rFonts w:hint="eastAsia" w:cs="Times New Roman"/>
          <w:color w:val="auto"/>
          <w:sz w:val="21"/>
          <w:szCs w:val="21"/>
          <w:highlight w:val="none"/>
        </w:rPr>
        <w:t>〔2017〕 141</w:t>
      </w:r>
      <w:r>
        <w:rPr>
          <w:rFonts w:hint="eastAsia" w:cs="Times New Roman"/>
          <w:color w:val="auto"/>
          <w:spacing w:val="6"/>
          <w:sz w:val="21"/>
          <w:szCs w:val="21"/>
          <w:highlight w:val="none"/>
        </w:rPr>
        <w:t>号）的规定，</w:t>
      </w:r>
      <w:r>
        <w:rPr>
          <w:rFonts w:hint="eastAsia" w:cs="Times New Roman"/>
          <w:b/>
          <w:bCs/>
          <w:color w:val="auto"/>
          <w:spacing w:val="6"/>
          <w:sz w:val="21"/>
          <w:szCs w:val="21"/>
          <w:highlight w:val="none"/>
        </w:rPr>
        <w:t>本单位为符合条件的残疾人福利性单位</w:t>
      </w:r>
      <w:r>
        <w:rPr>
          <w:rFonts w:hint="eastAsia" w:cs="Times New Roman"/>
          <w:color w:val="auto"/>
          <w:spacing w:val="6"/>
          <w:sz w:val="21"/>
          <w:szCs w:val="21"/>
          <w:highlight w:val="none"/>
        </w:rPr>
        <w:t>，且本单位参加______（采购人）单位的______（项目名称）项目采购活动由本单位承担工程。</w:t>
      </w:r>
    </w:p>
    <w:p w14:paraId="4079351D">
      <w:pPr>
        <w:adjustRightInd w:val="0"/>
        <w:snapToGrid w:val="0"/>
        <w:spacing w:line="288" w:lineRule="auto"/>
        <w:ind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本单位对上述声明的真实性负责。如有虚假，将依法承担相应责任。</w:t>
      </w:r>
    </w:p>
    <w:p w14:paraId="04F75E53">
      <w:pPr>
        <w:tabs>
          <w:tab w:val="left" w:pos="4860"/>
        </w:tabs>
        <w:adjustRightInd w:val="0"/>
        <w:snapToGrid w:val="0"/>
        <w:spacing w:line="288" w:lineRule="auto"/>
        <w:ind w:right="1560"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单位名称（盖章）：</w:t>
      </w:r>
    </w:p>
    <w:p w14:paraId="20EA3FE4">
      <w:pPr>
        <w:tabs>
          <w:tab w:val="left" w:pos="4860"/>
        </w:tabs>
        <w:adjustRightInd w:val="0"/>
        <w:snapToGrid w:val="0"/>
        <w:spacing w:line="288" w:lineRule="auto"/>
        <w:ind w:right="1560"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日  期：</w:t>
      </w:r>
    </w:p>
    <w:p w14:paraId="55A1C7F9">
      <w:pPr>
        <w:adjustRightInd w:val="0"/>
        <w:snapToGrid w:val="0"/>
        <w:spacing w:line="288" w:lineRule="auto"/>
        <w:rPr>
          <w:color w:val="auto"/>
          <w:sz w:val="21"/>
          <w:szCs w:val="21"/>
          <w:highlight w:val="none"/>
        </w:rPr>
      </w:pPr>
    </w:p>
    <w:p w14:paraId="3A817380">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1338B963">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一、享受政府采购支持政策的残疾人福利性单位应当同时满足以下条件：</w:t>
      </w:r>
    </w:p>
    <w:p w14:paraId="022CD42D">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（一）安置的残疾人占本单位在职职工人数的比例不低于25%（含25%），并且安置的残疾人人数不少于10人（含10人）；</w:t>
      </w:r>
    </w:p>
    <w:p w14:paraId="0CD46139">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（二）依法与安置的每位残疾人签订了一年以上（含一年）的劳动合同或服务协议；</w:t>
      </w:r>
    </w:p>
    <w:p w14:paraId="4AA274E4">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（三）为安置的每位残疾人按月足额缴纳了基本养老保险、基本医疗保险、失业保险、工伤保险和生育保险等社会保险费；</w:t>
      </w:r>
    </w:p>
    <w:p w14:paraId="556B2D9A">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（四）通过银行等金融机构向安置的每位残疾人，按月支付了不低于单位所在区县适用的经省级人民政府批准的月最低工资标准的工资；</w:t>
      </w:r>
    </w:p>
    <w:p w14:paraId="0BC15540">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（五）提供本单位制造的货物、承担的工程或者服务（以下简称产品），或者提供其他残疾人福利性单位制造的货物（不包括使用非残疾人福利性单位注册商标的货物）。</w:t>
      </w:r>
    </w:p>
    <w:p w14:paraId="12F025BC">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1E45A97">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二、符合条件的残疾人福利性单位在参加政府采购活动时，应当提供财库</w:t>
      </w:r>
      <w:r>
        <w:rPr>
          <w:color w:val="auto"/>
          <w:kern w:val="0"/>
          <w:sz w:val="21"/>
          <w:szCs w:val="21"/>
          <w:highlight w:val="none"/>
        </w:rPr>
        <w:t>[2017]141号</w:t>
      </w:r>
      <w:r>
        <w:rPr>
          <w:rFonts w:hint="eastAsia"/>
          <w:color w:val="auto"/>
          <w:kern w:val="0"/>
          <w:sz w:val="21"/>
          <w:szCs w:val="21"/>
          <w:highlight w:val="none"/>
        </w:rPr>
        <w:t>文件规定的《残疾人福利性单位声明函》，并对声明的真实性负责。</w:t>
      </w:r>
    </w:p>
    <w:p w14:paraId="50741CA9">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三、在政府采购活动中，残疾人福利性单位视同小型、微型企业，享受预留份额、评审中价格扣除等促进中小企业发展的政府采购政策。</w:t>
      </w:r>
    </w:p>
    <w:p w14:paraId="117C5604">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残疾人福利性单位属于小型、微型企业的，不重复享受政策。</w:t>
      </w:r>
    </w:p>
    <w:p w14:paraId="69FC8A07">
      <w:pPr>
        <w:widowControl/>
        <w:adjustRightInd w:val="0"/>
        <w:snapToGrid w:val="0"/>
        <w:spacing w:line="288" w:lineRule="auto"/>
        <w:jc w:val="left"/>
        <w:rPr>
          <w:rFonts w:cs="Times New Roman"/>
          <w:b/>
          <w:bCs/>
          <w:color w:val="auto"/>
          <w:spacing w:val="-6"/>
          <w:sz w:val="21"/>
          <w:szCs w:val="21"/>
          <w:highlight w:val="none"/>
        </w:rPr>
      </w:pPr>
      <w:r>
        <w:rPr>
          <w:rFonts w:cs="Times New Roman"/>
          <w:b/>
          <w:bCs/>
          <w:color w:val="auto"/>
          <w:spacing w:val="-6"/>
          <w:sz w:val="21"/>
          <w:szCs w:val="21"/>
          <w:highlight w:val="none"/>
        </w:rPr>
        <w:br w:type="page"/>
      </w:r>
    </w:p>
    <w:p w14:paraId="18481FB0">
      <w:pPr>
        <w:adjustRightInd w:val="0"/>
        <w:snapToGrid w:val="0"/>
        <w:spacing w:line="288" w:lineRule="auto"/>
        <w:jc w:val="left"/>
        <w:outlineLvl w:val="2"/>
        <w:rPr>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4</w:t>
      </w:r>
      <w:r>
        <w:rPr>
          <w:rFonts w:hint="eastAsia"/>
          <w:b/>
          <w:color w:val="auto"/>
          <w:spacing w:val="-6"/>
          <w:sz w:val="21"/>
          <w:szCs w:val="21"/>
          <w:highlight w:val="none"/>
        </w:rPr>
        <w:t>）本项目的特定资格要求证明材料：</w:t>
      </w:r>
    </w:p>
    <w:p w14:paraId="21F4610E">
      <w:pPr>
        <w:adjustRightInd w:val="0"/>
        <w:snapToGrid w:val="0"/>
        <w:spacing w:line="288" w:lineRule="auto"/>
        <w:jc w:val="left"/>
        <w:outlineLvl w:val="2"/>
        <w:rPr>
          <w:b/>
          <w:color w:val="auto"/>
          <w:spacing w:val="-6"/>
          <w:sz w:val="21"/>
          <w:szCs w:val="21"/>
          <w:highlight w:val="none"/>
        </w:rPr>
      </w:pPr>
      <w:r>
        <w:rPr>
          <w:b/>
          <w:color w:val="auto"/>
          <w:spacing w:val="-6"/>
          <w:sz w:val="21"/>
          <w:szCs w:val="21"/>
          <w:highlight w:val="none"/>
        </w:rPr>
        <w:t>1）</w:t>
      </w:r>
      <w:r>
        <w:rPr>
          <w:rFonts w:hint="eastAsia"/>
          <w:b/>
          <w:color w:val="auto"/>
          <w:spacing w:val="-6"/>
          <w:sz w:val="21"/>
          <w:szCs w:val="21"/>
          <w:highlight w:val="none"/>
        </w:rPr>
        <w:t>具有</w:t>
      </w:r>
      <w:r>
        <w:rPr>
          <w:rFonts w:hint="eastAsia"/>
          <w:b/>
          <w:color w:val="auto"/>
          <w:spacing w:val="-6"/>
          <w:sz w:val="21"/>
          <w:szCs w:val="21"/>
          <w:highlight w:val="none"/>
          <w:lang w:eastAsia="zh-CN"/>
        </w:rPr>
        <w:t>建筑装修装饰工程专业承包二级及以上资质</w:t>
      </w:r>
      <w:r>
        <w:rPr>
          <w:rFonts w:hint="eastAsia"/>
          <w:b/>
          <w:color w:val="auto"/>
          <w:spacing w:val="-6"/>
          <w:sz w:val="21"/>
          <w:szCs w:val="21"/>
          <w:highlight w:val="none"/>
          <w:lang w:val="en-US" w:eastAsia="zh-CN"/>
        </w:rPr>
        <w:t>或防水防腐保温工程专业承包二级资质</w:t>
      </w:r>
      <w:r>
        <w:rPr>
          <w:rFonts w:hint="eastAsia"/>
          <w:b/>
          <w:color w:val="auto"/>
          <w:spacing w:val="-6"/>
          <w:sz w:val="21"/>
          <w:szCs w:val="21"/>
          <w:highlight w:val="none"/>
        </w:rPr>
        <w:t>；</w:t>
      </w:r>
    </w:p>
    <w:p w14:paraId="2F5A91CB">
      <w:pPr>
        <w:adjustRightInd w:val="0"/>
        <w:snapToGrid w:val="0"/>
        <w:spacing w:line="288" w:lineRule="auto"/>
        <w:jc w:val="left"/>
        <w:outlineLvl w:val="2"/>
        <w:rPr>
          <w:rFonts w:hint="eastAsia"/>
          <w:b/>
          <w:color w:val="auto"/>
          <w:spacing w:val="-6"/>
          <w:sz w:val="21"/>
          <w:szCs w:val="21"/>
          <w:highlight w:val="none"/>
          <w:lang w:eastAsia="zh-CN"/>
        </w:rPr>
      </w:pPr>
      <w:r>
        <w:rPr>
          <w:b/>
          <w:color w:val="auto"/>
          <w:spacing w:val="-6"/>
          <w:sz w:val="21"/>
          <w:szCs w:val="21"/>
          <w:highlight w:val="none"/>
        </w:rPr>
        <w:t>2）</w:t>
      </w:r>
      <w:r>
        <w:rPr>
          <w:rFonts w:hint="eastAsia"/>
          <w:b/>
          <w:color w:val="auto"/>
          <w:spacing w:val="-6"/>
          <w:sz w:val="21"/>
          <w:szCs w:val="21"/>
          <w:highlight w:val="none"/>
          <w:lang w:eastAsia="zh-CN"/>
        </w:rPr>
        <w:t>供应商具有在有效期内的企业安全生产许可证；</w:t>
      </w:r>
    </w:p>
    <w:p w14:paraId="373C1FD1">
      <w:pPr>
        <w:adjustRightInd w:val="0"/>
        <w:snapToGrid w:val="0"/>
        <w:spacing w:line="288" w:lineRule="auto"/>
        <w:jc w:val="left"/>
        <w:outlineLvl w:val="2"/>
        <w:rPr>
          <w:b/>
          <w:color w:val="auto"/>
          <w:spacing w:val="-6"/>
          <w:sz w:val="21"/>
          <w:szCs w:val="21"/>
          <w:highlight w:val="none"/>
        </w:rPr>
      </w:pPr>
      <w:r>
        <w:rPr>
          <w:rFonts w:hint="eastAsia"/>
          <w:b/>
          <w:color w:val="auto"/>
          <w:spacing w:val="-6"/>
          <w:sz w:val="21"/>
          <w:szCs w:val="21"/>
          <w:highlight w:val="none"/>
          <w:lang w:val="en-US" w:eastAsia="zh-CN"/>
        </w:rPr>
        <w:t>3）拟派项目负责人具有注册在投标人单位的建筑工程专业二级及以上建造师执业资格，同时具有“三类人员”B类证书。</w:t>
      </w:r>
    </w:p>
    <w:p w14:paraId="189D6494">
      <w:pPr>
        <w:pStyle w:val="118"/>
        <w:rPr>
          <w:color w:val="auto"/>
          <w:highlight w:val="none"/>
        </w:rPr>
      </w:pPr>
    </w:p>
    <w:p w14:paraId="69283876">
      <w:pPr>
        <w:pStyle w:val="118"/>
        <w:rPr>
          <w:color w:val="auto"/>
          <w:highlight w:val="none"/>
        </w:rPr>
      </w:pPr>
    </w:p>
    <w:p w14:paraId="470AF7A2">
      <w:pPr>
        <w:pStyle w:val="118"/>
        <w:rPr>
          <w:color w:val="auto"/>
          <w:highlight w:val="none"/>
        </w:rPr>
      </w:pPr>
    </w:p>
    <w:p w14:paraId="0ACAE9DB">
      <w:pPr>
        <w:pStyle w:val="118"/>
        <w:rPr>
          <w:color w:val="auto"/>
          <w:highlight w:val="none"/>
        </w:rPr>
      </w:pPr>
    </w:p>
    <w:p w14:paraId="257A2E88">
      <w:pPr>
        <w:adjustRightInd w:val="0"/>
        <w:snapToGrid w:val="0"/>
        <w:spacing w:line="288" w:lineRule="auto"/>
        <w:jc w:val="left"/>
        <w:outlineLvl w:val="2"/>
        <w:rPr>
          <w:color w:val="auto"/>
          <w:sz w:val="21"/>
          <w:szCs w:val="21"/>
          <w:highlight w:val="none"/>
        </w:rPr>
      </w:pPr>
      <w:r>
        <w:rPr>
          <w:rFonts w:hint="eastAsia"/>
          <w:b/>
          <w:color w:val="auto"/>
          <w:spacing w:val="-6"/>
          <w:sz w:val="21"/>
          <w:szCs w:val="21"/>
          <w:highlight w:val="none"/>
        </w:rPr>
        <w:t>（</w:t>
      </w:r>
      <w:r>
        <w:rPr>
          <w:b/>
          <w:color w:val="auto"/>
          <w:spacing w:val="-6"/>
          <w:sz w:val="21"/>
          <w:szCs w:val="21"/>
          <w:highlight w:val="none"/>
        </w:rPr>
        <w:t>5）联合协议（以联合体形式响应的，提供联合协议，格式详见附件2）</w:t>
      </w:r>
    </w:p>
    <w:p w14:paraId="5B57E52E">
      <w:pPr>
        <w:widowControl/>
        <w:jc w:val="left"/>
        <w:rPr>
          <w:color w:val="auto"/>
          <w:sz w:val="21"/>
          <w:szCs w:val="21"/>
          <w:highlight w:val="none"/>
        </w:rPr>
      </w:pPr>
      <w:r>
        <w:rPr>
          <w:color w:val="auto"/>
          <w:sz w:val="21"/>
          <w:szCs w:val="21"/>
          <w:highlight w:val="none"/>
        </w:rPr>
        <w:br w:type="page"/>
      </w:r>
    </w:p>
    <w:p w14:paraId="56000461">
      <w:pPr>
        <w:adjustRightInd w:val="0"/>
        <w:snapToGrid w:val="0"/>
        <w:spacing w:line="288" w:lineRule="auto"/>
        <w:rPr>
          <w:color w:val="auto"/>
          <w:highlight w:val="none"/>
        </w:rPr>
      </w:pPr>
    </w:p>
    <w:p w14:paraId="59B4E1F1">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报价文件</w:t>
      </w:r>
    </w:p>
    <w:p w14:paraId="0B4CB930">
      <w:pPr>
        <w:adjustRightInd w:val="0"/>
        <w:snapToGrid w:val="0"/>
        <w:spacing w:line="288" w:lineRule="auto"/>
        <w:rPr>
          <w:color w:val="auto"/>
          <w:highlight w:val="none"/>
        </w:rPr>
      </w:pPr>
      <w:r>
        <w:rPr>
          <w:rFonts w:hint="eastAsia"/>
          <w:color w:val="auto"/>
          <w:highlight w:val="none"/>
        </w:rPr>
        <w:br w:type="page"/>
      </w:r>
    </w:p>
    <w:p w14:paraId="10919EE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hint="eastAsia" w:ascii="仿宋" w:hAnsi="仿宋" w:eastAsia="仿宋" w:cs="仿宋"/>
          <w:b/>
          <w:color w:val="auto"/>
          <w:spacing w:val="-6"/>
          <w:sz w:val="24"/>
          <w:szCs w:val="22"/>
          <w:highlight w:val="none"/>
        </w:rPr>
      </w:pPr>
      <w:r>
        <w:rPr>
          <w:rFonts w:hint="eastAsia" w:ascii="仿宋" w:hAnsi="仿宋" w:eastAsia="仿宋" w:cs="仿宋"/>
          <w:b/>
          <w:color w:val="auto"/>
          <w:spacing w:val="-6"/>
          <w:sz w:val="24"/>
          <w:szCs w:val="22"/>
          <w:highlight w:val="none"/>
        </w:rPr>
        <w:t>初次报价</w:t>
      </w:r>
      <w:r>
        <w:rPr>
          <w:rFonts w:hint="eastAsia" w:ascii="仿宋" w:hAnsi="仿宋" w:eastAsia="仿宋" w:cs="仿宋"/>
          <w:b/>
          <w:color w:val="auto"/>
          <w:spacing w:val="-6"/>
          <w:sz w:val="24"/>
          <w:szCs w:val="22"/>
          <w:highlight w:val="none"/>
          <w:lang w:val="en-US" w:eastAsia="zh-CN"/>
        </w:rPr>
        <w:t>一览表</w:t>
      </w:r>
    </w:p>
    <w:p w14:paraId="2E33852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 w:hAnsi="仿宋" w:eastAsia="仿宋" w:cs="仿宋"/>
          <w:b w:val="0"/>
          <w:bCs/>
          <w:color w:val="auto"/>
          <w:spacing w:val="-6"/>
          <w:sz w:val="21"/>
          <w:szCs w:val="21"/>
          <w:highlight w:val="none"/>
        </w:rPr>
      </w:pPr>
      <w:r>
        <w:rPr>
          <w:rFonts w:hint="eastAsia" w:ascii="仿宋" w:hAnsi="仿宋" w:eastAsia="仿宋" w:cs="仿宋"/>
          <w:b w:val="0"/>
          <w:bCs/>
          <w:color w:val="auto"/>
          <w:spacing w:val="-6"/>
          <w:sz w:val="21"/>
          <w:szCs w:val="21"/>
          <w:highlight w:val="none"/>
        </w:rPr>
        <w:t>采 购 人：</w:t>
      </w:r>
      <w:r>
        <w:rPr>
          <w:rFonts w:hint="eastAsia" w:ascii="仿宋" w:hAnsi="仿宋" w:eastAsia="仿宋" w:cs="仿宋"/>
          <w:b w:val="0"/>
          <w:bCs/>
          <w:color w:val="auto"/>
          <w:spacing w:val="-6"/>
          <w:sz w:val="21"/>
          <w:szCs w:val="21"/>
          <w:highlight w:val="none"/>
          <w:lang w:eastAsia="zh-CN"/>
        </w:rPr>
        <w:t>浙江省文化馆</w:t>
      </w:r>
    </w:p>
    <w:p w14:paraId="60C9773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 w:hAnsi="仿宋" w:eastAsia="仿宋" w:cs="仿宋"/>
          <w:color w:val="auto"/>
          <w:spacing w:val="-6"/>
          <w:sz w:val="21"/>
          <w:szCs w:val="21"/>
          <w:highlight w:val="none"/>
        </w:rPr>
      </w:pPr>
      <w:r>
        <w:rPr>
          <w:rFonts w:hint="eastAsia" w:ascii="仿宋" w:hAnsi="仿宋" w:eastAsia="仿宋" w:cs="仿宋"/>
          <w:b w:val="0"/>
          <w:bCs/>
          <w:color w:val="auto"/>
          <w:spacing w:val="-6"/>
          <w:sz w:val="21"/>
          <w:szCs w:val="21"/>
          <w:highlight w:val="none"/>
        </w:rPr>
        <w:t>项目名称：</w:t>
      </w:r>
      <w:r>
        <w:rPr>
          <w:rFonts w:hint="eastAsia" w:ascii="仿宋" w:hAnsi="仿宋" w:eastAsia="仿宋" w:cs="仿宋"/>
          <w:b w:val="0"/>
          <w:bCs/>
          <w:color w:val="auto"/>
          <w:spacing w:val="-6"/>
          <w:sz w:val="21"/>
          <w:szCs w:val="21"/>
          <w:highlight w:val="none"/>
          <w:lang w:eastAsia="zh-CN"/>
        </w:rPr>
        <w:t>小剧场楼层防水舞台墙体改造项目</w:t>
      </w:r>
    </w:p>
    <w:p w14:paraId="7553A3C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仿宋" w:hAnsi="仿宋" w:eastAsia="仿宋" w:cs="仿宋"/>
          <w:color w:val="auto"/>
          <w:spacing w:val="-6"/>
          <w:sz w:val="21"/>
          <w:szCs w:val="21"/>
          <w:highlight w:val="none"/>
          <w:lang w:eastAsia="zh-CN"/>
        </w:rPr>
      </w:pPr>
      <w:r>
        <w:rPr>
          <w:rFonts w:hint="eastAsia" w:ascii="仿宋" w:hAnsi="仿宋" w:eastAsia="仿宋" w:cs="仿宋"/>
          <w:color w:val="auto"/>
          <w:spacing w:val="-6"/>
          <w:sz w:val="21"/>
          <w:szCs w:val="21"/>
          <w:highlight w:val="none"/>
        </w:rPr>
        <w:t>项目编号：</w:t>
      </w:r>
      <w:r>
        <w:rPr>
          <w:rFonts w:hint="eastAsia" w:ascii="仿宋" w:hAnsi="仿宋" w:eastAsia="仿宋" w:cs="仿宋"/>
          <w:color w:val="auto"/>
          <w:spacing w:val="-6"/>
          <w:sz w:val="21"/>
          <w:szCs w:val="21"/>
          <w:highlight w:val="none"/>
          <w:lang w:eastAsia="zh-CN"/>
        </w:rPr>
        <w:t>JJHZ240923598</w:t>
      </w:r>
    </w:p>
    <w:tbl>
      <w:tblPr>
        <w:tblStyle w:val="33"/>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6"/>
        <w:gridCol w:w="4206"/>
        <w:gridCol w:w="756"/>
        <w:gridCol w:w="756"/>
        <w:gridCol w:w="2964"/>
      </w:tblGrid>
      <w:tr w14:paraId="226C4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14:paraId="352CAC3C">
            <w:pPr>
              <w:ind w:left="0" w:leftChars="0" w:right="0" w:rightChars="0" w:firstLine="0" w:firstLineChars="0"/>
              <w:jc w:val="center"/>
              <w:rPr>
                <w:rFonts w:hint="eastAsia" w:ascii="仿宋" w:hAnsi="仿宋" w:eastAsia="仿宋" w:cs="仿宋"/>
                <w:b/>
                <w:bCs/>
                <w:color w:val="auto"/>
                <w:sz w:val="21"/>
                <w:szCs w:val="22"/>
                <w:highlight w:val="none"/>
                <w:lang w:val="en-US" w:eastAsia="zh-CN"/>
              </w:rPr>
            </w:pPr>
            <w:r>
              <w:rPr>
                <w:rFonts w:hint="eastAsia" w:ascii="仿宋" w:hAnsi="仿宋" w:eastAsia="仿宋" w:cs="仿宋"/>
                <w:b/>
                <w:bCs/>
                <w:color w:val="auto"/>
                <w:sz w:val="21"/>
                <w:szCs w:val="22"/>
                <w:highlight w:val="none"/>
                <w:lang w:val="en-US" w:eastAsia="zh-CN"/>
              </w:rPr>
              <w:t>序号</w:t>
            </w:r>
          </w:p>
        </w:tc>
        <w:tc>
          <w:tcPr>
            <w:tcW w:w="4206" w:type="dxa"/>
            <w:tcBorders>
              <w:top w:val="single" w:color="auto" w:sz="4" w:space="0"/>
              <w:left w:val="single" w:color="auto" w:sz="4" w:space="0"/>
              <w:bottom w:val="single" w:color="auto" w:sz="4" w:space="0"/>
              <w:right w:val="single" w:color="auto" w:sz="4" w:space="0"/>
            </w:tcBorders>
            <w:vAlign w:val="center"/>
          </w:tcPr>
          <w:p w14:paraId="5C6F414A">
            <w:pPr>
              <w:ind w:left="0" w:leftChars="0" w:right="0" w:rightChars="0" w:firstLine="0" w:firstLineChars="0"/>
              <w:jc w:val="center"/>
              <w:rPr>
                <w:rFonts w:hint="default" w:ascii="仿宋" w:hAnsi="仿宋" w:eastAsia="仿宋" w:cs="仿宋"/>
                <w:b/>
                <w:bCs/>
                <w:color w:val="auto"/>
                <w:sz w:val="21"/>
                <w:szCs w:val="22"/>
                <w:highlight w:val="none"/>
                <w:lang w:val="en-US" w:eastAsia="zh-CN"/>
              </w:rPr>
            </w:pPr>
            <w:r>
              <w:rPr>
                <w:rFonts w:hint="eastAsia" w:ascii="仿宋" w:hAnsi="仿宋" w:eastAsia="仿宋" w:cs="仿宋"/>
                <w:b/>
                <w:bCs/>
                <w:color w:val="auto"/>
                <w:sz w:val="21"/>
                <w:szCs w:val="22"/>
                <w:highlight w:val="none"/>
                <w:lang w:val="en-US" w:eastAsia="zh-CN"/>
              </w:rPr>
              <w:t>项目内容</w:t>
            </w:r>
          </w:p>
        </w:tc>
        <w:tc>
          <w:tcPr>
            <w:tcW w:w="756" w:type="dxa"/>
            <w:tcBorders>
              <w:top w:val="single" w:color="auto" w:sz="4" w:space="0"/>
              <w:left w:val="single" w:color="auto" w:sz="4" w:space="0"/>
              <w:bottom w:val="single" w:color="auto" w:sz="4" w:space="0"/>
              <w:right w:val="single" w:color="auto" w:sz="4" w:space="0"/>
            </w:tcBorders>
            <w:vAlign w:val="center"/>
          </w:tcPr>
          <w:p w14:paraId="1CB425BF">
            <w:pPr>
              <w:jc w:val="center"/>
              <w:rPr>
                <w:rFonts w:hint="eastAsia" w:ascii="仿宋" w:hAnsi="仿宋" w:eastAsia="仿宋" w:cs="仿宋"/>
                <w:b/>
                <w:bCs/>
                <w:color w:val="auto"/>
                <w:sz w:val="21"/>
                <w:szCs w:val="22"/>
                <w:highlight w:val="none"/>
              </w:rPr>
            </w:pPr>
            <w:r>
              <w:rPr>
                <w:rFonts w:hint="eastAsia" w:ascii="仿宋" w:hAnsi="仿宋" w:eastAsia="仿宋" w:cs="仿宋"/>
                <w:b/>
                <w:bCs/>
                <w:color w:val="auto"/>
                <w:sz w:val="21"/>
                <w:szCs w:val="21"/>
                <w:highlight w:val="none"/>
              </w:rPr>
              <w:t>单位</w:t>
            </w:r>
          </w:p>
        </w:tc>
        <w:tc>
          <w:tcPr>
            <w:tcW w:w="756" w:type="dxa"/>
            <w:tcBorders>
              <w:top w:val="single" w:color="auto" w:sz="4" w:space="0"/>
              <w:left w:val="single" w:color="auto" w:sz="4" w:space="0"/>
              <w:bottom w:val="single" w:color="auto" w:sz="4" w:space="0"/>
              <w:right w:val="single" w:color="auto" w:sz="4" w:space="0"/>
            </w:tcBorders>
            <w:vAlign w:val="center"/>
          </w:tcPr>
          <w:p w14:paraId="6ECC3F34">
            <w:pPr>
              <w:jc w:val="center"/>
              <w:rPr>
                <w:rFonts w:hint="eastAsia" w:ascii="仿宋" w:hAnsi="仿宋" w:eastAsia="仿宋" w:cs="仿宋"/>
                <w:b/>
                <w:bCs/>
                <w:color w:val="auto"/>
                <w:sz w:val="21"/>
                <w:szCs w:val="22"/>
                <w:highlight w:val="none"/>
              </w:rPr>
            </w:pPr>
            <w:r>
              <w:rPr>
                <w:rFonts w:hint="eastAsia" w:ascii="仿宋" w:hAnsi="仿宋" w:eastAsia="仿宋" w:cs="仿宋"/>
                <w:b/>
                <w:bCs/>
                <w:color w:val="auto"/>
                <w:sz w:val="21"/>
                <w:szCs w:val="21"/>
                <w:highlight w:val="none"/>
              </w:rPr>
              <w:t>数量</w:t>
            </w:r>
          </w:p>
        </w:tc>
        <w:tc>
          <w:tcPr>
            <w:tcW w:w="2964" w:type="dxa"/>
            <w:tcBorders>
              <w:top w:val="single" w:color="auto" w:sz="4" w:space="0"/>
              <w:left w:val="single" w:color="auto" w:sz="4" w:space="0"/>
              <w:bottom w:val="single" w:color="auto" w:sz="4" w:space="0"/>
              <w:right w:val="single" w:color="auto" w:sz="4" w:space="0"/>
            </w:tcBorders>
            <w:vAlign w:val="center"/>
          </w:tcPr>
          <w:p w14:paraId="06CAD5B7">
            <w:pPr>
              <w:jc w:val="center"/>
              <w:rPr>
                <w:rFonts w:hint="eastAsia" w:ascii="仿宋" w:hAnsi="仿宋" w:eastAsia="仿宋" w:cs="仿宋"/>
                <w:b/>
                <w:bCs/>
                <w:color w:val="auto"/>
                <w:sz w:val="21"/>
                <w:szCs w:val="22"/>
                <w:highlight w:val="none"/>
              </w:rPr>
            </w:pPr>
            <w:r>
              <w:rPr>
                <w:rFonts w:hint="eastAsia" w:ascii="仿宋" w:hAnsi="仿宋" w:eastAsia="仿宋" w:cs="仿宋"/>
                <w:b/>
                <w:bCs/>
                <w:color w:val="auto"/>
                <w:sz w:val="21"/>
                <w:szCs w:val="21"/>
                <w:highlight w:val="none"/>
              </w:rPr>
              <w:t>金额</w:t>
            </w:r>
          </w:p>
        </w:tc>
      </w:tr>
      <w:tr w14:paraId="0A6370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14:paraId="444296BD">
            <w:pPr>
              <w:jc w:val="center"/>
              <w:rPr>
                <w:rFonts w:hint="eastAsia" w:ascii="仿宋" w:hAnsi="仿宋" w:eastAsia="仿宋" w:cs="仿宋"/>
                <w:color w:val="auto"/>
                <w:sz w:val="21"/>
                <w:szCs w:val="22"/>
                <w:highlight w:val="none"/>
              </w:rPr>
            </w:pPr>
            <w:r>
              <w:rPr>
                <w:rFonts w:hint="eastAsia" w:ascii="仿宋" w:hAnsi="仿宋" w:eastAsia="仿宋" w:cs="仿宋"/>
                <w:color w:val="auto"/>
                <w:sz w:val="21"/>
                <w:szCs w:val="21"/>
                <w:highlight w:val="none"/>
                <w:lang w:val="en-US" w:eastAsia="zh-CN"/>
              </w:rPr>
              <w:t>1</w:t>
            </w:r>
          </w:p>
        </w:tc>
        <w:tc>
          <w:tcPr>
            <w:tcW w:w="4206" w:type="dxa"/>
            <w:tcBorders>
              <w:top w:val="single" w:color="auto" w:sz="4" w:space="0"/>
              <w:left w:val="single" w:color="auto" w:sz="4" w:space="0"/>
              <w:bottom w:val="single" w:color="auto" w:sz="4" w:space="0"/>
              <w:right w:val="single" w:color="auto" w:sz="4" w:space="0"/>
            </w:tcBorders>
            <w:vAlign w:val="center"/>
          </w:tcPr>
          <w:p w14:paraId="2EE7A431">
            <w:pPr>
              <w:jc w:val="center"/>
              <w:rPr>
                <w:rFonts w:hint="eastAsia" w:ascii="仿宋" w:hAnsi="仿宋" w:eastAsia="仿宋" w:cs="仿宋"/>
                <w:color w:val="auto"/>
                <w:sz w:val="21"/>
                <w:szCs w:val="22"/>
                <w:highlight w:val="none"/>
              </w:rPr>
            </w:pPr>
            <w:r>
              <w:rPr>
                <w:rFonts w:hint="eastAsia" w:ascii="仿宋" w:hAnsi="仿宋" w:eastAsia="仿宋" w:cs="仿宋"/>
                <w:color w:val="auto"/>
                <w:sz w:val="21"/>
                <w:szCs w:val="21"/>
                <w:highlight w:val="none"/>
                <w:lang w:val="en-US" w:eastAsia="zh-CN"/>
              </w:rPr>
              <w:t>小剧场楼层防水舞台墙体改造项目-建安工程费</w:t>
            </w:r>
          </w:p>
        </w:tc>
        <w:tc>
          <w:tcPr>
            <w:tcW w:w="756" w:type="dxa"/>
            <w:tcBorders>
              <w:top w:val="single" w:color="auto" w:sz="4" w:space="0"/>
              <w:left w:val="single" w:color="auto" w:sz="4" w:space="0"/>
              <w:bottom w:val="single" w:color="auto" w:sz="4" w:space="0"/>
              <w:right w:val="single" w:color="auto" w:sz="4" w:space="0"/>
            </w:tcBorders>
            <w:vAlign w:val="center"/>
          </w:tcPr>
          <w:p w14:paraId="7C16A7F7">
            <w:pPr>
              <w:jc w:val="center"/>
              <w:rPr>
                <w:rFonts w:hint="eastAsia" w:ascii="仿宋" w:hAnsi="仿宋" w:eastAsia="仿宋" w:cs="仿宋"/>
                <w:color w:val="auto"/>
                <w:sz w:val="21"/>
                <w:szCs w:val="22"/>
                <w:highlight w:val="none"/>
              </w:rPr>
            </w:pPr>
            <w:r>
              <w:rPr>
                <w:rFonts w:hint="eastAsia" w:ascii="仿宋" w:hAnsi="仿宋" w:eastAsia="仿宋" w:cs="仿宋"/>
                <w:color w:val="auto"/>
                <w:sz w:val="21"/>
                <w:szCs w:val="21"/>
                <w:highlight w:val="none"/>
                <w:lang w:val="en-US" w:eastAsia="zh-CN"/>
              </w:rPr>
              <w:t>项</w:t>
            </w:r>
          </w:p>
        </w:tc>
        <w:tc>
          <w:tcPr>
            <w:tcW w:w="756" w:type="dxa"/>
            <w:tcBorders>
              <w:top w:val="single" w:color="auto" w:sz="4" w:space="0"/>
              <w:left w:val="single" w:color="auto" w:sz="4" w:space="0"/>
              <w:bottom w:val="single" w:color="auto" w:sz="4" w:space="0"/>
              <w:right w:val="single" w:color="auto" w:sz="4" w:space="0"/>
            </w:tcBorders>
            <w:vAlign w:val="center"/>
          </w:tcPr>
          <w:p w14:paraId="675CE78D">
            <w:pPr>
              <w:jc w:val="center"/>
              <w:rPr>
                <w:rFonts w:hint="eastAsia" w:ascii="仿宋" w:hAnsi="仿宋" w:eastAsia="仿宋" w:cs="仿宋"/>
                <w:color w:val="auto"/>
                <w:sz w:val="21"/>
                <w:szCs w:val="22"/>
                <w:highlight w:val="none"/>
              </w:rPr>
            </w:pPr>
            <w:r>
              <w:rPr>
                <w:rFonts w:hint="eastAsia" w:ascii="仿宋" w:hAnsi="仿宋" w:eastAsia="仿宋" w:cs="仿宋"/>
                <w:color w:val="auto"/>
                <w:sz w:val="21"/>
                <w:szCs w:val="21"/>
                <w:highlight w:val="none"/>
                <w:lang w:val="en-US" w:eastAsia="zh-CN"/>
              </w:rPr>
              <w:t>1</w:t>
            </w:r>
          </w:p>
        </w:tc>
        <w:tc>
          <w:tcPr>
            <w:tcW w:w="2964" w:type="dxa"/>
            <w:tcBorders>
              <w:top w:val="single" w:color="auto" w:sz="4" w:space="0"/>
              <w:left w:val="single" w:color="auto" w:sz="4" w:space="0"/>
              <w:bottom w:val="single" w:color="auto" w:sz="4" w:space="0"/>
              <w:right w:val="single" w:color="auto" w:sz="4" w:space="0"/>
            </w:tcBorders>
            <w:vAlign w:val="center"/>
          </w:tcPr>
          <w:p w14:paraId="2F422963">
            <w:pPr>
              <w:jc w:val="center"/>
              <w:rPr>
                <w:rFonts w:hint="eastAsia" w:ascii="仿宋" w:hAnsi="仿宋" w:eastAsia="仿宋" w:cs="仿宋"/>
                <w:color w:val="auto"/>
                <w:sz w:val="21"/>
                <w:szCs w:val="22"/>
                <w:highlight w:val="none"/>
              </w:rPr>
            </w:pPr>
          </w:p>
        </w:tc>
      </w:tr>
      <w:tr w14:paraId="520100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14:paraId="29E57F6E">
            <w:pPr>
              <w:jc w:val="center"/>
              <w:rPr>
                <w:rFonts w:hint="eastAsia" w:ascii="仿宋" w:hAnsi="仿宋" w:eastAsia="仿宋" w:cs="仿宋"/>
                <w:color w:val="auto"/>
                <w:sz w:val="21"/>
                <w:szCs w:val="22"/>
                <w:highlight w:val="none"/>
                <w:lang w:val="en-US" w:eastAsia="zh-CN"/>
              </w:rPr>
            </w:pPr>
          </w:p>
        </w:tc>
        <w:tc>
          <w:tcPr>
            <w:tcW w:w="4206" w:type="dxa"/>
            <w:tcBorders>
              <w:top w:val="single" w:color="auto" w:sz="4" w:space="0"/>
              <w:left w:val="single" w:color="auto" w:sz="4" w:space="0"/>
              <w:bottom w:val="single" w:color="auto" w:sz="4" w:space="0"/>
              <w:right w:val="single" w:color="auto" w:sz="4" w:space="0"/>
            </w:tcBorders>
            <w:vAlign w:val="center"/>
          </w:tcPr>
          <w:p w14:paraId="2565D926">
            <w:pPr>
              <w:jc w:val="center"/>
              <w:rPr>
                <w:rFonts w:hint="eastAsia" w:ascii="仿宋" w:hAnsi="仿宋" w:eastAsia="仿宋" w:cs="仿宋"/>
                <w:color w:val="auto"/>
                <w:sz w:val="21"/>
                <w:szCs w:val="22"/>
                <w:highlight w:val="none"/>
              </w:rPr>
            </w:pPr>
          </w:p>
        </w:tc>
        <w:tc>
          <w:tcPr>
            <w:tcW w:w="756" w:type="dxa"/>
            <w:tcBorders>
              <w:top w:val="single" w:color="auto" w:sz="4" w:space="0"/>
              <w:left w:val="single" w:color="auto" w:sz="4" w:space="0"/>
              <w:bottom w:val="single" w:color="auto" w:sz="4" w:space="0"/>
              <w:right w:val="single" w:color="auto" w:sz="4" w:space="0"/>
            </w:tcBorders>
            <w:vAlign w:val="center"/>
          </w:tcPr>
          <w:p w14:paraId="7C67E2BB">
            <w:pPr>
              <w:jc w:val="center"/>
              <w:rPr>
                <w:rFonts w:hint="eastAsia" w:ascii="仿宋" w:hAnsi="仿宋" w:eastAsia="仿宋" w:cs="仿宋"/>
                <w:color w:val="auto"/>
                <w:sz w:val="21"/>
                <w:szCs w:val="22"/>
                <w:highlight w:val="none"/>
              </w:rPr>
            </w:pPr>
          </w:p>
        </w:tc>
        <w:tc>
          <w:tcPr>
            <w:tcW w:w="756" w:type="dxa"/>
            <w:tcBorders>
              <w:top w:val="single" w:color="auto" w:sz="4" w:space="0"/>
              <w:left w:val="single" w:color="auto" w:sz="4" w:space="0"/>
              <w:bottom w:val="single" w:color="auto" w:sz="4" w:space="0"/>
              <w:right w:val="single" w:color="auto" w:sz="4" w:space="0"/>
            </w:tcBorders>
            <w:vAlign w:val="center"/>
          </w:tcPr>
          <w:p w14:paraId="1DFCA4B2">
            <w:pPr>
              <w:jc w:val="center"/>
              <w:rPr>
                <w:rFonts w:hint="eastAsia" w:ascii="仿宋" w:hAnsi="仿宋" w:eastAsia="仿宋" w:cs="仿宋"/>
                <w:color w:val="auto"/>
                <w:sz w:val="21"/>
                <w:szCs w:val="22"/>
                <w:highlight w:val="none"/>
              </w:rPr>
            </w:pPr>
          </w:p>
        </w:tc>
        <w:tc>
          <w:tcPr>
            <w:tcW w:w="2964" w:type="dxa"/>
            <w:tcBorders>
              <w:top w:val="single" w:color="auto" w:sz="4" w:space="0"/>
              <w:left w:val="single" w:color="auto" w:sz="4" w:space="0"/>
              <w:bottom w:val="single" w:color="auto" w:sz="4" w:space="0"/>
              <w:right w:val="single" w:color="auto" w:sz="4" w:space="0"/>
            </w:tcBorders>
            <w:vAlign w:val="center"/>
          </w:tcPr>
          <w:p w14:paraId="097551DA">
            <w:pPr>
              <w:jc w:val="center"/>
              <w:rPr>
                <w:rFonts w:hint="eastAsia" w:ascii="仿宋" w:hAnsi="仿宋" w:eastAsia="仿宋" w:cs="仿宋"/>
                <w:color w:val="auto"/>
                <w:sz w:val="21"/>
                <w:szCs w:val="22"/>
                <w:highlight w:val="none"/>
              </w:rPr>
            </w:pPr>
          </w:p>
        </w:tc>
      </w:tr>
      <w:tr w14:paraId="3D8C46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8" w:hRule="atLeast"/>
          <w:jc w:val="center"/>
        </w:trPr>
        <w:tc>
          <w:tcPr>
            <w:tcW w:w="9628" w:type="dxa"/>
            <w:gridSpan w:val="5"/>
            <w:tcBorders>
              <w:top w:val="single" w:color="auto" w:sz="4" w:space="0"/>
              <w:left w:val="single" w:color="auto" w:sz="4" w:space="0"/>
              <w:bottom w:val="single" w:color="auto" w:sz="4" w:space="0"/>
              <w:right w:val="single" w:color="auto" w:sz="4" w:space="0"/>
            </w:tcBorders>
            <w:vAlign w:val="center"/>
          </w:tcPr>
          <w:p w14:paraId="3991991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color w:val="auto"/>
                <w:sz w:val="21"/>
                <w:szCs w:val="21"/>
                <w:highlight w:val="none"/>
              </w:rPr>
            </w:pPr>
          </w:p>
          <w:p w14:paraId="5292BCA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响应报价</w:t>
            </w:r>
            <w:r>
              <w:rPr>
                <w:rFonts w:hint="eastAsia" w:ascii="仿宋" w:hAnsi="仿宋" w:eastAsia="仿宋" w:cs="仿宋"/>
                <w:b/>
                <w:bCs/>
                <w:color w:val="auto"/>
                <w:sz w:val="21"/>
                <w:szCs w:val="21"/>
                <w:highlight w:val="none"/>
              </w:rPr>
              <w:t>（人民币元）</w:t>
            </w:r>
          </w:p>
          <w:p w14:paraId="62DA022F">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color w:val="auto"/>
                <w:sz w:val="21"/>
                <w:szCs w:val="21"/>
                <w:highlight w:val="none"/>
              </w:rPr>
            </w:pPr>
          </w:p>
          <w:p w14:paraId="61A88F8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小写：_________________________</w:t>
            </w:r>
          </w:p>
          <w:p w14:paraId="6C20B22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color w:val="auto"/>
                <w:sz w:val="21"/>
                <w:szCs w:val="21"/>
                <w:highlight w:val="none"/>
              </w:rPr>
            </w:pPr>
          </w:p>
          <w:p w14:paraId="20ADE87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大写：_________________________</w:t>
            </w:r>
          </w:p>
          <w:p w14:paraId="3871FB8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color w:val="auto"/>
                <w:kern w:val="2"/>
                <w:sz w:val="21"/>
                <w:szCs w:val="21"/>
                <w:highlight w:val="none"/>
                <w:lang w:val="en-US" w:eastAsia="zh-CN" w:bidi="ar-SA"/>
              </w:rPr>
            </w:pPr>
          </w:p>
        </w:tc>
      </w:tr>
    </w:tbl>
    <w:p w14:paraId="72C69FB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仿宋" w:hAnsi="仿宋" w:eastAsia="仿宋" w:cs="仿宋"/>
          <w:color w:val="auto"/>
          <w:spacing w:val="-6"/>
          <w:sz w:val="21"/>
          <w:szCs w:val="21"/>
          <w:highlight w:val="none"/>
        </w:rPr>
      </w:pPr>
    </w:p>
    <w:p w14:paraId="78A8C1E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说明：</w:t>
      </w:r>
    </w:p>
    <w:p w14:paraId="6D64BEB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仿宋" w:hAnsi="仿宋" w:eastAsia="仿宋" w:cs="仿宋"/>
          <w:b/>
          <w:bCs/>
          <w:color w:val="auto"/>
          <w:spacing w:val="-6"/>
          <w:sz w:val="18"/>
          <w:szCs w:val="18"/>
          <w:highlight w:val="none"/>
          <w:lang w:eastAsia="zh-CN"/>
        </w:rPr>
      </w:pPr>
      <w:r>
        <w:rPr>
          <w:rFonts w:hint="eastAsia" w:ascii="仿宋" w:hAnsi="仿宋" w:eastAsia="仿宋" w:cs="仿宋"/>
          <w:b/>
          <w:bCs/>
          <w:color w:val="auto"/>
          <w:spacing w:val="-6"/>
          <w:sz w:val="18"/>
          <w:szCs w:val="18"/>
          <w:highlight w:val="none"/>
          <w:lang w:val="en-US" w:eastAsia="zh-CN"/>
        </w:rPr>
        <w:t>1.</w:t>
      </w:r>
      <w:r>
        <w:rPr>
          <w:rFonts w:hint="eastAsia" w:ascii="仿宋" w:hAnsi="仿宋" w:eastAsia="仿宋" w:cs="仿宋"/>
          <w:b/>
          <w:bCs/>
          <w:color w:val="auto"/>
          <w:spacing w:val="-6"/>
          <w:sz w:val="18"/>
          <w:szCs w:val="18"/>
          <w:highlight w:val="none"/>
        </w:rPr>
        <w:t>有关本项目实施所涉及的一切费用均计入报价</w:t>
      </w:r>
      <w:r>
        <w:rPr>
          <w:rFonts w:hint="eastAsia" w:ascii="仿宋" w:hAnsi="仿宋" w:eastAsia="仿宋" w:cs="仿宋"/>
          <w:b/>
          <w:bCs/>
          <w:color w:val="auto"/>
          <w:spacing w:val="-6"/>
          <w:sz w:val="18"/>
          <w:szCs w:val="18"/>
          <w:highlight w:val="none"/>
          <w:lang w:eastAsia="zh-CN"/>
        </w:rPr>
        <w:t>，不得出现“0元”“免费赠送”等形式的无偿报价，否则视为响应文件含有采购人不能接受的附加条件；</w:t>
      </w:r>
    </w:p>
    <w:p w14:paraId="4F703E2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b/>
          <w:bCs/>
          <w:color w:val="auto"/>
          <w:spacing w:val="-6"/>
          <w:sz w:val="18"/>
          <w:szCs w:val="18"/>
          <w:highlight w:val="none"/>
        </w:rPr>
        <w:t>▲</w:t>
      </w:r>
      <w:r>
        <w:rPr>
          <w:rFonts w:hint="eastAsia" w:ascii="仿宋" w:hAnsi="仿宋" w:eastAsia="仿宋" w:cs="仿宋"/>
          <w:b/>
          <w:bCs/>
          <w:color w:val="auto"/>
          <w:spacing w:val="-6"/>
          <w:sz w:val="18"/>
          <w:szCs w:val="18"/>
          <w:highlight w:val="none"/>
          <w:lang w:val="en-US" w:eastAsia="zh-CN"/>
        </w:rPr>
        <w:t>2</w:t>
      </w:r>
      <w:r>
        <w:rPr>
          <w:rFonts w:hint="eastAsia" w:ascii="仿宋" w:hAnsi="仿宋" w:eastAsia="仿宋" w:cs="仿宋"/>
          <w:b/>
          <w:bCs/>
          <w:color w:val="auto"/>
          <w:spacing w:val="-6"/>
          <w:sz w:val="18"/>
          <w:szCs w:val="18"/>
          <w:highlight w:val="none"/>
        </w:rPr>
        <w:t>.采购人将以合同形式有偿取得服务，不接受</w:t>
      </w:r>
      <w:r>
        <w:rPr>
          <w:rFonts w:hint="eastAsia" w:ascii="仿宋" w:hAnsi="仿宋" w:eastAsia="仿宋" w:cs="仿宋"/>
          <w:b/>
          <w:bCs/>
          <w:color w:val="auto"/>
          <w:spacing w:val="-6"/>
          <w:sz w:val="18"/>
          <w:szCs w:val="18"/>
          <w:highlight w:val="none"/>
          <w:lang w:eastAsia="zh-CN"/>
        </w:rPr>
        <w:t>供应商</w:t>
      </w:r>
      <w:r>
        <w:rPr>
          <w:rFonts w:hint="eastAsia" w:ascii="仿宋" w:hAnsi="仿宋" w:eastAsia="仿宋" w:cs="仿宋"/>
          <w:b/>
          <w:bCs/>
          <w:color w:val="auto"/>
          <w:spacing w:val="-6"/>
          <w:sz w:val="18"/>
          <w:szCs w:val="18"/>
          <w:highlight w:val="none"/>
        </w:rPr>
        <w:t>给予的回扣或者与采购无关的其他服务。</w:t>
      </w:r>
    </w:p>
    <w:p w14:paraId="2F46245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p>
    <w:p w14:paraId="74A1205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bCs/>
          <w:color w:val="auto"/>
          <w:spacing w:val="-6"/>
          <w:sz w:val="21"/>
          <w:szCs w:val="21"/>
          <w:highlight w:val="none"/>
        </w:rPr>
      </w:pPr>
    </w:p>
    <w:p w14:paraId="5D1535F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bCs/>
          <w:color w:val="auto"/>
          <w:spacing w:val="-6"/>
          <w:sz w:val="21"/>
          <w:szCs w:val="21"/>
          <w:highlight w:val="none"/>
        </w:rPr>
      </w:pPr>
    </w:p>
    <w:p w14:paraId="10DADB2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供应商名称（电子签名/公章）：</w:t>
      </w:r>
    </w:p>
    <w:p w14:paraId="516D20FD">
      <w:pPr>
        <w:adjustRightInd w:val="0"/>
        <w:snapToGrid w:val="0"/>
        <w:spacing w:line="288" w:lineRule="auto"/>
        <w:rPr>
          <w:rFonts w:cs="Times New Roman"/>
          <w:b/>
          <w:bCs/>
          <w:color w:val="auto"/>
          <w:spacing w:val="-6"/>
          <w:sz w:val="21"/>
          <w:szCs w:val="21"/>
          <w:highlight w:val="none"/>
        </w:rPr>
      </w:pPr>
      <w:r>
        <w:rPr>
          <w:rFonts w:hint="eastAsia" w:ascii="仿宋" w:hAnsi="仿宋" w:eastAsia="仿宋" w:cs="仿宋"/>
          <w:b/>
          <w:bCs/>
          <w:color w:val="auto"/>
          <w:spacing w:val="-6"/>
          <w:sz w:val="21"/>
          <w:szCs w:val="21"/>
          <w:highlight w:val="none"/>
        </w:rPr>
        <w:t>日期：     年   月   日</w:t>
      </w:r>
      <w:bookmarkStart w:id="54" w:name="_Hlk97040072"/>
    </w:p>
    <w:bookmarkEnd w:id="54"/>
    <w:p w14:paraId="3F6022C9">
      <w:pPr>
        <w:widowControl/>
        <w:adjustRightInd/>
        <w:snapToGrid/>
        <w:spacing w:line="240" w:lineRule="auto"/>
        <w:jc w:val="left"/>
        <w:rPr>
          <w:rFonts w:hint="eastAsia"/>
          <w:color w:val="auto"/>
          <w:sz w:val="21"/>
          <w:szCs w:val="21"/>
          <w:highlight w:val="none"/>
        </w:rPr>
        <w:sectPr>
          <w:footerReference r:id="rId7" w:type="default"/>
          <w:pgSz w:w="11906" w:h="16838"/>
          <w:pgMar w:top="1247" w:right="1247" w:bottom="1247" w:left="1247" w:header="142" w:footer="725" w:gutter="0"/>
          <w:pgNumType w:start="73"/>
          <w:cols w:space="425" w:num="1"/>
          <w:docGrid w:type="lines" w:linePitch="312" w:charSpace="0"/>
        </w:sectPr>
      </w:pPr>
      <w:r>
        <w:rPr>
          <w:rFonts w:hint="eastAsia"/>
          <w:color w:val="auto"/>
          <w:sz w:val="21"/>
          <w:szCs w:val="21"/>
          <w:highlight w:val="none"/>
        </w:rPr>
        <w:br w:type="page"/>
      </w:r>
    </w:p>
    <w:p w14:paraId="499346DA">
      <w:pPr>
        <w:keepNext w:val="0"/>
        <w:keepLines w:val="0"/>
        <w:pageBreakBefore w:val="0"/>
        <w:kinsoku/>
        <w:wordWrap/>
        <w:overflowPunct/>
        <w:topLinePunct w:val="0"/>
        <w:autoSpaceDE/>
        <w:autoSpaceDN/>
        <w:bidi w:val="0"/>
        <w:spacing w:line="288" w:lineRule="auto"/>
        <w:ind w:firstLine="422" w:firstLineChars="20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浙江省文化馆小剧场楼层防水舞台墙体改造项目</w:t>
      </w:r>
    </w:p>
    <w:p w14:paraId="2D7136AC">
      <w:pPr>
        <w:keepNext w:val="0"/>
        <w:keepLines w:val="0"/>
        <w:pageBreakBefore w:val="0"/>
        <w:kinsoku/>
        <w:wordWrap/>
        <w:overflowPunct/>
        <w:topLinePunct w:val="0"/>
        <w:autoSpaceDE/>
        <w:autoSpaceDN/>
        <w:bidi w:val="0"/>
        <w:spacing w:line="288" w:lineRule="auto"/>
        <w:ind w:firstLine="422" w:firstLineChars="200"/>
        <w:jc w:val="center"/>
        <w:rPr>
          <w:rFonts w:hint="default"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报价明细表</w:t>
      </w:r>
    </w:p>
    <w:tbl>
      <w:tblPr>
        <w:tblStyle w:val="33"/>
        <w:tblW w:w="8217" w:type="dxa"/>
        <w:jc w:val="center"/>
        <w:tblLayout w:type="fixed"/>
        <w:tblCellMar>
          <w:top w:w="0" w:type="dxa"/>
          <w:left w:w="0" w:type="dxa"/>
          <w:bottom w:w="0" w:type="dxa"/>
          <w:right w:w="0" w:type="dxa"/>
        </w:tblCellMar>
      </w:tblPr>
      <w:tblGrid>
        <w:gridCol w:w="827"/>
        <w:gridCol w:w="3097"/>
        <w:gridCol w:w="1317"/>
        <w:gridCol w:w="992"/>
        <w:gridCol w:w="992"/>
        <w:gridCol w:w="992"/>
      </w:tblGrid>
      <w:tr w14:paraId="314F09B1">
        <w:tblPrEx>
          <w:tblCellMar>
            <w:top w:w="0" w:type="dxa"/>
            <w:left w:w="0" w:type="dxa"/>
            <w:bottom w:w="0" w:type="dxa"/>
            <w:right w:w="0" w:type="dxa"/>
          </w:tblCellMar>
        </w:tblPrEx>
        <w:trPr>
          <w:trHeight w:val="360"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638762">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序号</w:t>
            </w:r>
          </w:p>
        </w:tc>
        <w:tc>
          <w:tcPr>
            <w:tcW w:w="30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799089">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工程内容</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6B5CEB">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工程量</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4BC092">
            <w:pPr>
              <w:jc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单位</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F5AEF9">
            <w:pPr>
              <w:jc w:val="center"/>
              <w:rPr>
                <w:rFonts w:hint="eastAsia"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单价</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98FAF4">
            <w:pPr>
              <w:jc w:val="center"/>
              <w:rPr>
                <w:rFonts w:hint="eastAsia"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总价</w:t>
            </w:r>
          </w:p>
        </w:tc>
      </w:tr>
      <w:tr w14:paraId="08657A96">
        <w:tblPrEx>
          <w:tblCellMar>
            <w:top w:w="0" w:type="dxa"/>
            <w:left w:w="0" w:type="dxa"/>
            <w:bottom w:w="0" w:type="dxa"/>
            <w:right w:w="0" w:type="dxa"/>
          </w:tblCellMar>
        </w:tblPrEx>
        <w:trPr>
          <w:trHeight w:val="360" w:hRule="atLeast"/>
          <w:jc w:val="center"/>
        </w:trPr>
        <w:tc>
          <w:tcPr>
            <w:tcW w:w="8217" w:type="dxa"/>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AD959C">
            <w:pPr>
              <w:keepNext w:val="0"/>
              <w:keepLines w:val="0"/>
              <w:widowControl/>
              <w:suppressLineNumbers w:val="0"/>
              <w:jc w:val="left"/>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b/>
                <w:bCs/>
                <w:i w:val="0"/>
                <w:iCs w:val="0"/>
                <w:color w:val="auto"/>
                <w:kern w:val="0"/>
                <w:sz w:val="18"/>
                <w:szCs w:val="18"/>
                <w:highlight w:val="none"/>
                <w:u w:val="none"/>
                <w:lang w:val="en-US" w:eastAsia="zh-CN" w:bidi="ar"/>
              </w:rPr>
              <w:t>一、化妆间改造</w:t>
            </w:r>
          </w:p>
        </w:tc>
      </w:tr>
      <w:tr w14:paraId="42D161B9">
        <w:tblPrEx>
          <w:tblCellMar>
            <w:top w:w="0" w:type="dxa"/>
            <w:left w:w="0" w:type="dxa"/>
            <w:bottom w:w="0" w:type="dxa"/>
            <w:right w:w="0" w:type="dxa"/>
          </w:tblCellMar>
        </w:tblPrEx>
        <w:trPr>
          <w:trHeight w:val="360"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9E13AE">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rPr>
            </w:pPr>
            <w:r>
              <w:rPr>
                <w:rFonts w:hint="eastAsia" w:ascii="仿宋" w:hAnsi="仿宋" w:eastAsia="仿宋" w:cs="仿宋"/>
                <w:b w:val="0"/>
                <w:bCs w:val="0"/>
                <w:i w:val="0"/>
                <w:iCs w:val="0"/>
                <w:color w:val="auto"/>
                <w:kern w:val="0"/>
                <w:sz w:val="18"/>
                <w:szCs w:val="18"/>
                <w:highlight w:val="none"/>
                <w:u w:val="none"/>
                <w:lang w:val="en-US" w:eastAsia="zh-CN" w:bidi="ar"/>
              </w:rPr>
              <w:t>1</w:t>
            </w:r>
          </w:p>
        </w:tc>
        <w:tc>
          <w:tcPr>
            <w:tcW w:w="30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5B3867">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腻子铲除．标准铺砖</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9F5F8E">
            <w:pPr>
              <w:keepNext w:val="0"/>
              <w:keepLines w:val="0"/>
              <w:widowControl/>
              <w:suppressLineNumbers w:val="0"/>
              <w:jc w:val="center"/>
              <w:textAlignment w:val="center"/>
              <w:rPr>
                <w:rFonts w:hint="eastAsia" w:ascii="仿宋" w:hAnsi="仿宋" w:eastAsia="仿宋" w:cs="仿宋"/>
                <w:b w:val="0"/>
                <w:bCs w:val="0"/>
                <w:color w:val="auto"/>
                <w:kern w:val="0"/>
                <w:sz w:val="18"/>
                <w:szCs w:val="18"/>
                <w:highlight w:val="none"/>
                <w:u w:val="none"/>
                <w:lang w:bidi="ar"/>
              </w:rPr>
            </w:pPr>
            <w:r>
              <w:rPr>
                <w:rFonts w:hint="eastAsia" w:ascii="仿宋" w:hAnsi="仿宋" w:eastAsia="仿宋" w:cs="仿宋"/>
                <w:i w:val="0"/>
                <w:iCs w:val="0"/>
                <w:color w:val="auto"/>
                <w:kern w:val="0"/>
                <w:sz w:val="18"/>
                <w:szCs w:val="18"/>
                <w:highlight w:val="none"/>
                <w:u w:val="none"/>
                <w:lang w:val="en-US" w:eastAsia="zh-CN" w:bidi="ar"/>
              </w:rPr>
              <w:t>122.13</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99D4EB">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AA1578">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B8ED9D">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14:paraId="3024AC02">
        <w:tblPrEx>
          <w:tblCellMar>
            <w:top w:w="0" w:type="dxa"/>
            <w:left w:w="0" w:type="dxa"/>
            <w:bottom w:w="0" w:type="dxa"/>
            <w:right w:w="0" w:type="dxa"/>
          </w:tblCellMar>
        </w:tblPrEx>
        <w:trPr>
          <w:trHeight w:val="360"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9361B1">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rPr>
            </w:pPr>
            <w:r>
              <w:rPr>
                <w:rFonts w:hint="eastAsia" w:ascii="仿宋" w:hAnsi="仿宋" w:eastAsia="仿宋" w:cs="仿宋"/>
                <w:b w:val="0"/>
                <w:bCs w:val="0"/>
                <w:i w:val="0"/>
                <w:iCs w:val="0"/>
                <w:color w:val="auto"/>
                <w:kern w:val="0"/>
                <w:sz w:val="18"/>
                <w:szCs w:val="18"/>
                <w:highlight w:val="none"/>
                <w:u w:val="none"/>
                <w:lang w:val="en-US" w:eastAsia="zh-CN" w:bidi="ar"/>
              </w:rPr>
              <w:t>2</w:t>
            </w:r>
          </w:p>
        </w:tc>
        <w:tc>
          <w:tcPr>
            <w:tcW w:w="30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87F401">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腻子基层</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4758E9">
            <w:pPr>
              <w:keepNext w:val="0"/>
              <w:keepLines w:val="0"/>
              <w:widowControl/>
              <w:suppressLineNumbers w:val="0"/>
              <w:jc w:val="center"/>
              <w:textAlignment w:val="center"/>
              <w:rPr>
                <w:rFonts w:hint="eastAsia" w:ascii="仿宋" w:hAnsi="仿宋" w:eastAsia="仿宋" w:cs="仿宋"/>
                <w:b w:val="0"/>
                <w:bCs w:val="0"/>
                <w:color w:val="auto"/>
                <w:kern w:val="0"/>
                <w:sz w:val="18"/>
                <w:szCs w:val="18"/>
                <w:highlight w:val="none"/>
                <w:u w:val="none"/>
                <w:lang w:bidi="ar"/>
              </w:rPr>
            </w:pPr>
            <w:r>
              <w:rPr>
                <w:rFonts w:hint="eastAsia" w:ascii="仿宋" w:hAnsi="仿宋" w:eastAsia="仿宋" w:cs="仿宋"/>
                <w:i w:val="0"/>
                <w:iCs w:val="0"/>
                <w:color w:val="auto"/>
                <w:kern w:val="0"/>
                <w:sz w:val="18"/>
                <w:szCs w:val="18"/>
                <w:highlight w:val="none"/>
                <w:u w:val="none"/>
                <w:lang w:val="en-US" w:eastAsia="zh-CN" w:bidi="ar"/>
              </w:rPr>
              <w:t>122.13</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1247AB">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84A786">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816FFE">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14:paraId="7532C919">
        <w:tblPrEx>
          <w:tblCellMar>
            <w:top w:w="0" w:type="dxa"/>
            <w:left w:w="0" w:type="dxa"/>
            <w:bottom w:w="0" w:type="dxa"/>
            <w:right w:w="0" w:type="dxa"/>
          </w:tblCellMar>
        </w:tblPrEx>
        <w:trPr>
          <w:trHeight w:val="360"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217A4C">
            <w:pPr>
              <w:keepNext w:val="0"/>
              <w:keepLines w:val="0"/>
              <w:widowControl/>
              <w:suppressLineNumbers w:val="0"/>
              <w:jc w:val="center"/>
              <w:textAlignment w:val="center"/>
              <w:rPr>
                <w:rFonts w:hint="default"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3</w:t>
            </w:r>
          </w:p>
        </w:tc>
        <w:tc>
          <w:tcPr>
            <w:tcW w:w="30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DA44E1">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乳胶漆</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D511AF">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122.13</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DD7729">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27778D">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C510F9">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14:paraId="406D2350">
        <w:tblPrEx>
          <w:tblCellMar>
            <w:top w:w="0" w:type="dxa"/>
            <w:left w:w="0" w:type="dxa"/>
            <w:bottom w:w="0" w:type="dxa"/>
            <w:right w:w="0" w:type="dxa"/>
          </w:tblCellMar>
        </w:tblPrEx>
        <w:trPr>
          <w:trHeight w:val="360"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D7E273">
            <w:pPr>
              <w:keepNext w:val="0"/>
              <w:keepLines w:val="0"/>
              <w:widowControl/>
              <w:suppressLineNumbers w:val="0"/>
              <w:jc w:val="center"/>
              <w:textAlignment w:val="center"/>
              <w:rPr>
                <w:rFonts w:hint="default"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4</w:t>
            </w:r>
          </w:p>
        </w:tc>
        <w:tc>
          <w:tcPr>
            <w:tcW w:w="30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78E129">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复合多层实木踢脚线</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63F74D">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33.78</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85119C">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m</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3259D1">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36D9FA">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14:paraId="4988169A">
        <w:tblPrEx>
          <w:tblCellMar>
            <w:top w:w="0" w:type="dxa"/>
            <w:left w:w="0" w:type="dxa"/>
            <w:bottom w:w="0" w:type="dxa"/>
            <w:right w:w="0" w:type="dxa"/>
          </w:tblCellMar>
        </w:tblPrEx>
        <w:trPr>
          <w:trHeight w:val="360"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F2C6A7">
            <w:pPr>
              <w:keepNext w:val="0"/>
              <w:keepLines w:val="0"/>
              <w:widowControl/>
              <w:suppressLineNumbers w:val="0"/>
              <w:jc w:val="center"/>
              <w:textAlignment w:val="center"/>
              <w:rPr>
                <w:rFonts w:hint="default"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5</w:t>
            </w:r>
          </w:p>
        </w:tc>
        <w:tc>
          <w:tcPr>
            <w:tcW w:w="30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8DFE92">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地面木地板</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C338B8">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20.236</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5476CD">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2C608E">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595F6B">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14:paraId="5D2A0D2A">
        <w:tblPrEx>
          <w:tblCellMar>
            <w:top w:w="0" w:type="dxa"/>
            <w:left w:w="0" w:type="dxa"/>
            <w:bottom w:w="0" w:type="dxa"/>
            <w:right w:w="0" w:type="dxa"/>
          </w:tblCellMar>
        </w:tblPrEx>
        <w:trPr>
          <w:trHeight w:val="360"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36315A">
            <w:pPr>
              <w:keepNext w:val="0"/>
              <w:keepLines w:val="0"/>
              <w:widowControl/>
              <w:suppressLineNumbers w:val="0"/>
              <w:jc w:val="center"/>
              <w:textAlignment w:val="center"/>
              <w:rPr>
                <w:rFonts w:hint="default"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6</w:t>
            </w:r>
          </w:p>
        </w:tc>
        <w:tc>
          <w:tcPr>
            <w:tcW w:w="30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DF87A7">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原木地板拆除</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D69AE6">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20.236</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1CA2FA">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4FE8B1">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824AF4">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14:paraId="7492F167">
        <w:tblPrEx>
          <w:tblCellMar>
            <w:top w:w="0" w:type="dxa"/>
            <w:left w:w="0" w:type="dxa"/>
            <w:bottom w:w="0" w:type="dxa"/>
            <w:right w:w="0" w:type="dxa"/>
          </w:tblCellMar>
        </w:tblPrEx>
        <w:trPr>
          <w:trHeight w:val="360"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A62351">
            <w:pPr>
              <w:keepNext w:val="0"/>
              <w:keepLines w:val="0"/>
              <w:widowControl/>
              <w:suppressLineNumbers w:val="0"/>
              <w:jc w:val="center"/>
              <w:textAlignment w:val="center"/>
              <w:rPr>
                <w:rFonts w:hint="default"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7</w:t>
            </w:r>
          </w:p>
        </w:tc>
        <w:tc>
          <w:tcPr>
            <w:tcW w:w="30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D1DDB0">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化妆台（含灯具）</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D18873">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10</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67E6EC">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只</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290214">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360D31">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14:paraId="544FA9DD">
        <w:tblPrEx>
          <w:tblCellMar>
            <w:top w:w="0" w:type="dxa"/>
            <w:left w:w="0" w:type="dxa"/>
            <w:bottom w:w="0" w:type="dxa"/>
            <w:right w:w="0" w:type="dxa"/>
          </w:tblCellMar>
        </w:tblPrEx>
        <w:trPr>
          <w:trHeight w:val="360"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295C27">
            <w:pPr>
              <w:keepNext w:val="0"/>
              <w:keepLines w:val="0"/>
              <w:widowControl/>
              <w:suppressLineNumbers w:val="0"/>
              <w:jc w:val="center"/>
              <w:textAlignment w:val="center"/>
              <w:rPr>
                <w:rFonts w:hint="default"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8</w:t>
            </w:r>
          </w:p>
        </w:tc>
        <w:tc>
          <w:tcPr>
            <w:tcW w:w="30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8312B2">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新增化妆间空调</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821F94">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13D2CC">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台</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E5252F">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860A38">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14:paraId="6E1928E6">
        <w:tblPrEx>
          <w:tblCellMar>
            <w:top w:w="0" w:type="dxa"/>
            <w:left w:w="0" w:type="dxa"/>
            <w:bottom w:w="0" w:type="dxa"/>
            <w:right w:w="0" w:type="dxa"/>
          </w:tblCellMar>
        </w:tblPrEx>
        <w:trPr>
          <w:trHeight w:val="360"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F7853C">
            <w:pPr>
              <w:keepNext w:val="0"/>
              <w:keepLines w:val="0"/>
              <w:widowControl/>
              <w:suppressLineNumbers w:val="0"/>
              <w:jc w:val="center"/>
              <w:textAlignment w:val="center"/>
              <w:rPr>
                <w:rFonts w:hint="default"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9</w:t>
            </w:r>
          </w:p>
        </w:tc>
        <w:tc>
          <w:tcPr>
            <w:tcW w:w="30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9AD30E">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空调室外机安装</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07CCE0">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4AFC39">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项</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A106D6">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13CA5E">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14:paraId="75CE8CA0">
        <w:tblPrEx>
          <w:tblCellMar>
            <w:top w:w="0" w:type="dxa"/>
            <w:left w:w="0" w:type="dxa"/>
            <w:bottom w:w="0" w:type="dxa"/>
            <w:right w:w="0" w:type="dxa"/>
          </w:tblCellMar>
        </w:tblPrEx>
        <w:trPr>
          <w:trHeight w:val="360"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B69231">
            <w:pPr>
              <w:keepNext w:val="0"/>
              <w:keepLines w:val="0"/>
              <w:widowControl/>
              <w:suppressLineNumbers w:val="0"/>
              <w:jc w:val="center"/>
              <w:textAlignment w:val="center"/>
              <w:rPr>
                <w:rFonts w:hint="default"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10</w:t>
            </w:r>
          </w:p>
        </w:tc>
        <w:tc>
          <w:tcPr>
            <w:tcW w:w="30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4EAB45">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原墙体空调调打孔</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FE38F0">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5</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843357">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6BE87C">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F5CDDF">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14:paraId="6452D543">
        <w:tblPrEx>
          <w:tblCellMar>
            <w:top w:w="0" w:type="dxa"/>
            <w:left w:w="0" w:type="dxa"/>
            <w:bottom w:w="0" w:type="dxa"/>
            <w:right w:w="0" w:type="dxa"/>
          </w:tblCellMar>
        </w:tblPrEx>
        <w:trPr>
          <w:trHeight w:val="360"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3FBB7A">
            <w:pPr>
              <w:keepNext w:val="0"/>
              <w:keepLines w:val="0"/>
              <w:widowControl/>
              <w:suppressLineNumbers w:val="0"/>
              <w:jc w:val="center"/>
              <w:textAlignment w:val="center"/>
              <w:rPr>
                <w:rFonts w:hint="default"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11</w:t>
            </w:r>
          </w:p>
        </w:tc>
        <w:tc>
          <w:tcPr>
            <w:tcW w:w="30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51195B">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增加铜管</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0D81FB">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20</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4CBAE0">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m</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113CD8">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D6BE01">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14:paraId="49AB87D9">
        <w:tblPrEx>
          <w:tblCellMar>
            <w:top w:w="0" w:type="dxa"/>
            <w:left w:w="0" w:type="dxa"/>
            <w:bottom w:w="0" w:type="dxa"/>
            <w:right w:w="0" w:type="dxa"/>
          </w:tblCellMar>
        </w:tblPrEx>
        <w:trPr>
          <w:trHeight w:val="360"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07BDE7">
            <w:pPr>
              <w:keepNext w:val="0"/>
              <w:keepLines w:val="0"/>
              <w:widowControl/>
              <w:suppressLineNumbers w:val="0"/>
              <w:jc w:val="center"/>
              <w:textAlignment w:val="center"/>
              <w:rPr>
                <w:rFonts w:hint="default"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12</w:t>
            </w:r>
          </w:p>
        </w:tc>
        <w:tc>
          <w:tcPr>
            <w:tcW w:w="30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76747B">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过道地面开槽</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056C9D">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10</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F95103">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m</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9BB511">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42F7C4">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14:paraId="5BA85691">
        <w:tblPrEx>
          <w:tblCellMar>
            <w:top w:w="0" w:type="dxa"/>
            <w:left w:w="0" w:type="dxa"/>
            <w:bottom w:w="0" w:type="dxa"/>
            <w:right w:w="0" w:type="dxa"/>
          </w:tblCellMar>
        </w:tblPrEx>
        <w:trPr>
          <w:trHeight w:val="360"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AC13DB">
            <w:pPr>
              <w:keepNext w:val="0"/>
              <w:keepLines w:val="0"/>
              <w:widowControl/>
              <w:suppressLineNumbers w:val="0"/>
              <w:jc w:val="center"/>
              <w:textAlignment w:val="center"/>
              <w:rPr>
                <w:rFonts w:hint="default"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13</w:t>
            </w:r>
          </w:p>
        </w:tc>
        <w:tc>
          <w:tcPr>
            <w:tcW w:w="30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DEF777">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墙面顶面腻子粉刷</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2A2A57">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113</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681FD9">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1CA084">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63C1FB">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14:paraId="0E5D7A1F">
        <w:tblPrEx>
          <w:tblCellMar>
            <w:top w:w="0" w:type="dxa"/>
            <w:left w:w="0" w:type="dxa"/>
            <w:bottom w:w="0" w:type="dxa"/>
            <w:right w:w="0" w:type="dxa"/>
          </w:tblCellMar>
        </w:tblPrEx>
        <w:trPr>
          <w:trHeight w:val="360"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774DAF">
            <w:pPr>
              <w:keepNext w:val="0"/>
              <w:keepLines w:val="0"/>
              <w:widowControl/>
              <w:suppressLineNumbers w:val="0"/>
              <w:jc w:val="center"/>
              <w:textAlignment w:val="center"/>
              <w:rPr>
                <w:rFonts w:hint="default"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14</w:t>
            </w:r>
          </w:p>
        </w:tc>
        <w:tc>
          <w:tcPr>
            <w:tcW w:w="30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EFAAF8">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乳胶漆</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E46865">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113</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19C9B1">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F17454">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E3E487">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14:paraId="391A09AF">
        <w:tblPrEx>
          <w:tblCellMar>
            <w:top w:w="0" w:type="dxa"/>
            <w:left w:w="0" w:type="dxa"/>
            <w:bottom w:w="0" w:type="dxa"/>
            <w:right w:w="0" w:type="dxa"/>
          </w:tblCellMar>
        </w:tblPrEx>
        <w:trPr>
          <w:trHeight w:val="360"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D9D170">
            <w:pPr>
              <w:keepNext w:val="0"/>
              <w:keepLines w:val="0"/>
              <w:widowControl/>
              <w:suppressLineNumbers w:val="0"/>
              <w:jc w:val="center"/>
              <w:textAlignment w:val="center"/>
              <w:rPr>
                <w:rFonts w:hint="default"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15</w:t>
            </w:r>
          </w:p>
        </w:tc>
        <w:tc>
          <w:tcPr>
            <w:tcW w:w="30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0AB8A0">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原墙开线管槽</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5F7261">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19</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1BF6CB">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m</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E7B395">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A0076E">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14:paraId="659A87DF">
        <w:tblPrEx>
          <w:tblCellMar>
            <w:top w:w="0" w:type="dxa"/>
            <w:left w:w="0" w:type="dxa"/>
            <w:bottom w:w="0" w:type="dxa"/>
            <w:right w:w="0" w:type="dxa"/>
          </w:tblCellMar>
        </w:tblPrEx>
        <w:trPr>
          <w:trHeight w:val="360"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CBC565">
            <w:pPr>
              <w:keepNext w:val="0"/>
              <w:keepLines w:val="0"/>
              <w:widowControl/>
              <w:suppressLineNumbers w:val="0"/>
              <w:jc w:val="center"/>
              <w:textAlignment w:val="center"/>
              <w:rPr>
                <w:rFonts w:hint="default"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16</w:t>
            </w:r>
          </w:p>
        </w:tc>
        <w:tc>
          <w:tcPr>
            <w:tcW w:w="30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76702E">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更换电线，电线管穿线</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20707E">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35</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5C2EE1">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m</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96D3DB">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B8B4FB">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14:paraId="74EA6004">
        <w:tblPrEx>
          <w:tblCellMar>
            <w:top w:w="0" w:type="dxa"/>
            <w:left w:w="0" w:type="dxa"/>
            <w:bottom w:w="0" w:type="dxa"/>
            <w:right w:w="0" w:type="dxa"/>
          </w:tblCellMar>
        </w:tblPrEx>
        <w:trPr>
          <w:trHeight w:val="360"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7D403F">
            <w:pPr>
              <w:keepNext w:val="0"/>
              <w:keepLines w:val="0"/>
              <w:widowControl/>
              <w:suppressLineNumbers w:val="0"/>
              <w:jc w:val="center"/>
              <w:textAlignment w:val="center"/>
              <w:rPr>
                <w:rFonts w:hint="default"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17</w:t>
            </w:r>
          </w:p>
        </w:tc>
        <w:tc>
          <w:tcPr>
            <w:tcW w:w="30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010AF1">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原木踢脚拆除</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7E3571">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24.75</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24F7FB">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m</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FB9183">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5FEE43">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14:paraId="6D60C331">
        <w:tblPrEx>
          <w:tblCellMar>
            <w:top w:w="0" w:type="dxa"/>
            <w:left w:w="0" w:type="dxa"/>
            <w:bottom w:w="0" w:type="dxa"/>
            <w:right w:w="0" w:type="dxa"/>
          </w:tblCellMar>
        </w:tblPrEx>
        <w:trPr>
          <w:trHeight w:val="360"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A02A33">
            <w:pPr>
              <w:keepNext w:val="0"/>
              <w:keepLines w:val="0"/>
              <w:widowControl/>
              <w:suppressLineNumbers w:val="0"/>
              <w:jc w:val="center"/>
              <w:textAlignment w:val="center"/>
              <w:rPr>
                <w:rFonts w:hint="default"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18</w:t>
            </w:r>
          </w:p>
        </w:tc>
        <w:tc>
          <w:tcPr>
            <w:tcW w:w="30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AFB1C4">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更换木踢脚</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46C9F5">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24.75</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813E8A">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m</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E5FF2B">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0B139D">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14:paraId="1C97B692">
        <w:tblPrEx>
          <w:tblCellMar>
            <w:top w:w="0" w:type="dxa"/>
            <w:left w:w="0" w:type="dxa"/>
            <w:bottom w:w="0" w:type="dxa"/>
            <w:right w:w="0" w:type="dxa"/>
          </w:tblCellMar>
        </w:tblPrEx>
        <w:trPr>
          <w:trHeight w:val="360"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439E84">
            <w:pPr>
              <w:keepNext w:val="0"/>
              <w:keepLines w:val="0"/>
              <w:widowControl/>
              <w:suppressLineNumbers w:val="0"/>
              <w:jc w:val="center"/>
              <w:textAlignment w:val="center"/>
              <w:rPr>
                <w:rFonts w:hint="default"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19</w:t>
            </w:r>
          </w:p>
        </w:tc>
        <w:tc>
          <w:tcPr>
            <w:tcW w:w="30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13191E">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会议室整改漏水及修整</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AA1BB3">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E3BFAE">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项</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CECCDD">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CB5471">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14:paraId="1ABAA769">
        <w:tblPrEx>
          <w:tblCellMar>
            <w:top w:w="0" w:type="dxa"/>
            <w:left w:w="0" w:type="dxa"/>
            <w:bottom w:w="0" w:type="dxa"/>
            <w:right w:w="0" w:type="dxa"/>
          </w:tblCellMar>
        </w:tblPrEx>
        <w:trPr>
          <w:trHeight w:val="360"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6758FE">
            <w:pPr>
              <w:keepNext w:val="0"/>
              <w:keepLines w:val="0"/>
              <w:widowControl/>
              <w:suppressLineNumbers w:val="0"/>
              <w:jc w:val="center"/>
              <w:textAlignment w:val="center"/>
              <w:rPr>
                <w:rFonts w:hint="default"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20</w:t>
            </w:r>
          </w:p>
        </w:tc>
        <w:tc>
          <w:tcPr>
            <w:tcW w:w="30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95A4F3">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强电布线（化妆间、过道）</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9CD307">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48</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7DBE0E">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m2</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EB1223">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EC079D">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14:paraId="217D577F">
        <w:tblPrEx>
          <w:tblCellMar>
            <w:top w:w="0" w:type="dxa"/>
            <w:left w:w="0" w:type="dxa"/>
            <w:bottom w:w="0" w:type="dxa"/>
            <w:right w:w="0" w:type="dxa"/>
          </w:tblCellMar>
        </w:tblPrEx>
        <w:trPr>
          <w:trHeight w:val="360" w:hRule="atLeast"/>
          <w:jc w:val="center"/>
        </w:trPr>
        <w:tc>
          <w:tcPr>
            <w:tcW w:w="8217" w:type="dxa"/>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C7685B">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b/>
                <w:bCs/>
                <w:i w:val="0"/>
                <w:iCs w:val="0"/>
                <w:color w:val="auto"/>
                <w:kern w:val="0"/>
                <w:sz w:val="18"/>
                <w:szCs w:val="18"/>
                <w:highlight w:val="none"/>
                <w:u w:val="none"/>
                <w:lang w:val="en-US" w:eastAsia="zh-CN" w:bidi="ar"/>
              </w:rPr>
              <w:t>二、舞台改造</w:t>
            </w:r>
          </w:p>
        </w:tc>
      </w:tr>
      <w:tr w14:paraId="756D2049">
        <w:tblPrEx>
          <w:tblCellMar>
            <w:top w:w="0" w:type="dxa"/>
            <w:left w:w="0" w:type="dxa"/>
            <w:bottom w:w="0" w:type="dxa"/>
            <w:right w:w="0" w:type="dxa"/>
          </w:tblCellMar>
        </w:tblPrEx>
        <w:trPr>
          <w:trHeight w:val="360"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FBB633">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rPr>
            </w:pPr>
            <w:r>
              <w:rPr>
                <w:rFonts w:hint="eastAsia" w:ascii="仿宋" w:hAnsi="仿宋" w:eastAsia="仿宋" w:cs="仿宋"/>
                <w:b w:val="0"/>
                <w:bCs w:val="0"/>
                <w:i w:val="0"/>
                <w:iCs w:val="0"/>
                <w:color w:val="auto"/>
                <w:kern w:val="0"/>
                <w:sz w:val="18"/>
                <w:szCs w:val="18"/>
                <w:highlight w:val="none"/>
                <w:u w:val="none"/>
                <w:lang w:val="en-US" w:eastAsia="zh-CN" w:bidi="ar"/>
              </w:rPr>
              <w:t>1</w:t>
            </w:r>
          </w:p>
        </w:tc>
        <w:tc>
          <w:tcPr>
            <w:tcW w:w="30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284C2F">
            <w:pPr>
              <w:keepNext w:val="0"/>
              <w:keepLines w:val="0"/>
              <w:widowControl/>
              <w:suppressLineNumbers w:val="0"/>
              <w:jc w:val="center"/>
              <w:textAlignment w:val="center"/>
              <w:rPr>
                <w:rFonts w:hint="eastAsia" w:ascii="仿宋" w:hAnsi="仿宋" w:eastAsia="仿宋" w:cs="仿宋"/>
                <w:b w:val="0"/>
                <w:bCs w:val="0"/>
                <w:color w:val="auto"/>
                <w:kern w:val="0"/>
                <w:sz w:val="18"/>
                <w:szCs w:val="18"/>
                <w:highlight w:val="none"/>
                <w:u w:val="none"/>
                <w:lang w:bidi="ar"/>
              </w:rPr>
            </w:pPr>
            <w:r>
              <w:rPr>
                <w:rFonts w:hint="eastAsia" w:ascii="仿宋" w:hAnsi="仿宋" w:eastAsia="仿宋" w:cs="仿宋"/>
                <w:i w:val="0"/>
                <w:iCs w:val="0"/>
                <w:color w:val="auto"/>
                <w:kern w:val="0"/>
                <w:sz w:val="18"/>
                <w:szCs w:val="18"/>
                <w:highlight w:val="none"/>
                <w:u w:val="none"/>
                <w:lang w:val="en-US" w:eastAsia="zh-CN" w:bidi="ar"/>
              </w:rPr>
              <w:t>实木地板拆除</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981997">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128.474</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30DD6C">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9BCDE1">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E85231">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14:paraId="164EEA70">
        <w:tblPrEx>
          <w:tblCellMar>
            <w:top w:w="0" w:type="dxa"/>
            <w:left w:w="0" w:type="dxa"/>
            <w:bottom w:w="0" w:type="dxa"/>
            <w:right w:w="0" w:type="dxa"/>
          </w:tblCellMar>
        </w:tblPrEx>
        <w:trPr>
          <w:trHeight w:val="360"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D8203B">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rPr>
            </w:pPr>
            <w:r>
              <w:rPr>
                <w:rFonts w:hint="eastAsia" w:ascii="仿宋" w:hAnsi="仿宋" w:eastAsia="仿宋" w:cs="仿宋"/>
                <w:b w:val="0"/>
                <w:bCs w:val="0"/>
                <w:i w:val="0"/>
                <w:iCs w:val="0"/>
                <w:color w:val="auto"/>
                <w:kern w:val="0"/>
                <w:sz w:val="18"/>
                <w:szCs w:val="18"/>
                <w:highlight w:val="none"/>
                <w:u w:val="none"/>
                <w:lang w:val="en-US" w:eastAsia="zh-CN" w:bidi="ar"/>
              </w:rPr>
              <w:t>2</w:t>
            </w:r>
          </w:p>
        </w:tc>
        <w:tc>
          <w:tcPr>
            <w:tcW w:w="30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2724B9">
            <w:pPr>
              <w:keepNext w:val="0"/>
              <w:keepLines w:val="0"/>
              <w:widowControl/>
              <w:suppressLineNumbers w:val="0"/>
              <w:jc w:val="center"/>
              <w:textAlignment w:val="center"/>
              <w:rPr>
                <w:rFonts w:hint="eastAsia" w:ascii="仿宋" w:hAnsi="仿宋" w:eastAsia="仿宋" w:cs="仿宋"/>
                <w:b w:val="0"/>
                <w:bCs w:val="0"/>
                <w:color w:val="auto"/>
                <w:kern w:val="0"/>
                <w:sz w:val="18"/>
                <w:szCs w:val="18"/>
                <w:highlight w:val="none"/>
                <w:u w:val="none"/>
                <w:lang w:bidi="ar"/>
              </w:rPr>
            </w:pPr>
            <w:r>
              <w:rPr>
                <w:rFonts w:hint="eastAsia" w:ascii="仿宋" w:hAnsi="仿宋" w:eastAsia="仿宋" w:cs="仿宋"/>
                <w:i w:val="0"/>
                <w:iCs w:val="0"/>
                <w:color w:val="auto"/>
                <w:kern w:val="0"/>
                <w:sz w:val="18"/>
                <w:szCs w:val="18"/>
                <w:highlight w:val="none"/>
                <w:u w:val="none"/>
                <w:lang w:val="en-US" w:eastAsia="zh-CN" w:bidi="ar"/>
              </w:rPr>
              <w:t>舞台基础拆除</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84BBFA">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128.474</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8915C4">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2D3A78">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2F1D4A">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14:paraId="6B2A893B">
        <w:tblPrEx>
          <w:tblCellMar>
            <w:top w:w="0" w:type="dxa"/>
            <w:left w:w="0" w:type="dxa"/>
            <w:bottom w:w="0" w:type="dxa"/>
            <w:right w:w="0" w:type="dxa"/>
          </w:tblCellMar>
        </w:tblPrEx>
        <w:trPr>
          <w:trHeight w:val="360"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F35224">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rPr>
            </w:pPr>
            <w:r>
              <w:rPr>
                <w:rFonts w:hint="eastAsia" w:ascii="仿宋" w:hAnsi="仿宋" w:eastAsia="仿宋" w:cs="仿宋"/>
                <w:b w:val="0"/>
                <w:bCs w:val="0"/>
                <w:i w:val="0"/>
                <w:iCs w:val="0"/>
                <w:color w:val="auto"/>
                <w:kern w:val="0"/>
                <w:sz w:val="18"/>
                <w:szCs w:val="18"/>
                <w:highlight w:val="none"/>
                <w:u w:val="none"/>
                <w:lang w:val="en-US" w:eastAsia="zh-CN" w:bidi="ar"/>
              </w:rPr>
              <w:t>3</w:t>
            </w:r>
          </w:p>
        </w:tc>
        <w:tc>
          <w:tcPr>
            <w:tcW w:w="30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E256AD">
            <w:pPr>
              <w:keepNext w:val="0"/>
              <w:keepLines w:val="0"/>
              <w:widowControl/>
              <w:suppressLineNumbers w:val="0"/>
              <w:jc w:val="center"/>
              <w:textAlignment w:val="center"/>
              <w:rPr>
                <w:rFonts w:hint="eastAsia" w:ascii="仿宋" w:hAnsi="仿宋" w:eastAsia="仿宋" w:cs="仿宋"/>
                <w:b w:val="0"/>
                <w:bCs w:val="0"/>
                <w:color w:val="auto"/>
                <w:kern w:val="0"/>
                <w:sz w:val="18"/>
                <w:szCs w:val="18"/>
                <w:highlight w:val="none"/>
                <w:u w:val="none"/>
                <w:lang w:bidi="ar"/>
              </w:rPr>
            </w:pPr>
            <w:r>
              <w:rPr>
                <w:rFonts w:hint="eastAsia" w:ascii="仿宋" w:hAnsi="仿宋" w:eastAsia="仿宋" w:cs="仿宋"/>
                <w:i w:val="0"/>
                <w:iCs w:val="0"/>
                <w:color w:val="auto"/>
                <w:kern w:val="0"/>
                <w:sz w:val="18"/>
                <w:szCs w:val="18"/>
                <w:highlight w:val="none"/>
                <w:u w:val="none"/>
                <w:lang w:val="en-US" w:eastAsia="zh-CN" w:bidi="ar"/>
              </w:rPr>
              <w:t>舞台木结构基层</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A0DF2B">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128.474</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B2E1E4">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9B4231">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ED23A7">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14:paraId="39C24DD3">
        <w:tblPrEx>
          <w:tblCellMar>
            <w:top w:w="0" w:type="dxa"/>
            <w:left w:w="0" w:type="dxa"/>
            <w:bottom w:w="0" w:type="dxa"/>
            <w:right w:w="0" w:type="dxa"/>
          </w:tblCellMar>
        </w:tblPrEx>
        <w:trPr>
          <w:trHeight w:val="360"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74435E">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rPr>
            </w:pPr>
            <w:r>
              <w:rPr>
                <w:rFonts w:hint="eastAsia" w:ascii="仿宋" w:hAnsi="仿宋" w:eastAsia="仿宋" w:cs="仿宋"/>
                <w:b w:val="0"/>
                <w:bCs w:val="0"/>
                <w:i w:val="0"/>
                <w:iCs w:val="0"/>
                <w:color w:val="auto"/>
                <w:kern w:val="0"/>
                <w:sz w:val="18"/>
                <w:szCs w:val="18"/>
                <w:highlight w:val="none"/>
                <w:u w:val="none"/>
                <w:lang w:val="en-US" w:eastAsia="zh-CN" w:bidi="ar"/>
              </w:rPr>
              <w:t>4</w:t>
            </w:r>
          </w:p>
        </w:tc>
        <w:tc>
          <w:tcPr>
            <w:tcW w:w="30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955315">
            <w:pPr>
              <w:keepNext w:val="0"/>
              <w:keepLines w:val="0"/>
              <w:widowControl/>
              <w:suppressLineNumbers w:val="0"/>
              <w:jc w:val="center"/>
              <w:textAlignment w:val="center"/>
              <w:rPr>
                <w:rFonts w:hint="eastAsia" w:ascii="仿宋" w:hAnsi="仿宋" w:eastAsia="仿宋" w:cs="仿宋"/>
                <w:b w:val="0"/>
                <w:bCs w:val="0"/>
                <w:color w:val="auto"/>
                <w:kern w:val="0"/>
                <w:sz w:val="18"/>
                <w:szCs w:val="18"/>
                <w:highlight w:val="none"/>
                <w:u w:val="none"/>
                <w:lang w:bidi="ar"/>
              </w:rPr>
            </w:pPr>
            <w:r>
              <w:rPr>
                <w:rFonts w:hint="eastAsia" w:ascii="仿宋" w:hAnsi="仿宋" w:eastAsia="仿宋" w:cs="仿宋"/>
                <w:i w:val="0"/>
                <w:iCs w:val="0"/>
                <w:color w:val="auto"/>
                <w:kern w:val="0"/>
                <w:sz w:val="18"/>
                <w:szCs w:val="18"/>
                <w:highlight w:val="none"/>
                <w:u w:val="none"/>
                <w:lang w:val="en-US" w:eastAsia="zh-CN" w:bidi="ar"/>
              </w:rPr>
              <w:t>多层板基</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1D2827">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128.474</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DC3AF2">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E8AD99">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00C6C5">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14:paraId="4FA75B1F">
        <w:tblPrEx>
          <w:tblCellMar>
            <w:top w:w="0" w:type="dxa"/>
            <w:left w:w="0" w:type="dxa"/>
            <w:bottom w:w="0" w:type="dxa"/>
            <w:right w:w="0" w:type="dxa"/>
          </w:tblCellMar>
        </w:tblPrEx>
        <w:trPr>
          <w:trHeight w:val="360"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72D2A3">
            <w:pPr>
              <w:keepNext w:val="0"/>
              <w:keepLines w:val="0"/>
              <w:widowControl/>
              <w:suppressLineNumbers w:val="0"/>
              <w:jc w:val="center"/>
              <w:textAlignment w:val="center"/>
              <w:rPr>
                <w:rFonts w:hint="default"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5</w:t>
            </w:r>
          </w:p>
        </w:tc>
        <w:tc>
          <w:tcPr>
            <w:tcW w:w="30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5BAEC3">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舞台地板（舞台专用）</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5DBF91">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128.474</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963601">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445F9D">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6361B0">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14:paraId="4E9F26DA">
        <w:tblPrEx>
          <w:tblCellMar>
            <w:top w:w="0" w:type="dxa"/>
            <w:left w:w="0" w:type="dxa"/>
            <w:bottom w:w="0" w:type="dxa"/>
            <w:right w:w="0" w:type="dxa"/>
          </w:tblCellMar>
        </w:tblPrEx>
        <w:trPr>
          <w:trHeight w:val="360"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B216F1">
            <w:pPr>
              <w:keepNext w:val="0"/>
              <w:keepLines w:val="0"/>
              <w:widowControl/>
              <w:suppressLineNumbers w:val="0"/>
              <w:jc w:val="center"/>
              <w:textAlignment w:val="center"/>
              <w:rPr>
                <w:rFonts w:hint="default"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6</w:t>
            </w:r>
          </w:p>
        </w:tc>
        <w:tc>
          <w:tcPr>
            <w:tcW w:w="30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FA954A">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舞台侧边小楼梯基层</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94B886">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86E7CC">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套</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E92898">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14DA93">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14:paraId="02B9FECA">
        <w:tblPrEx>
          <w:tblCellMar>
            <w:top w:w="0" w:type="dxa"/>
            <w:left w:w="0" w:type="dxa"/>
            <w:bottom w:w="0" w:type="dxa"/>
            <w:right w:w="0" w:type="dxa"/>
          </w:tblCellMar>
        </w:tblPrEx>
        <w:trPr>
          <w:trHeight w:val="360"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785C4B">
            <w:pPr>
              <w:keepNext w:val="0"/>
              <w:keepLines w:val="0"/>
              <w:widowControl/>
              <w:suppressLineNumbers w:val="0"/>
              <w:jc w:val="center"/>
              <w:textAlignment w:val="center"/>
              <w:rPr>
                <w:rFonts w:hint="default"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7</w:t>
            </w:r>
          </w:p>
        </w:tc>
        <w:tc>
          <w:tcPr>
            <w:tcW w:w="30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9827EE">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舞台侧边小楼梯木地板面层</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9ADF9D">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692D0D">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项</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9D6214">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FD584D">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14:paraId="1AC6C589">
        <w:tblPrEx>
          <w:tblCellMar>
            <w:top w:w="0" w:type="dxa"/>
            <w:left w:w="0" w:type="dxa"/>
            <w:bottom w:w="0" w:type="dxa"/>
            <w:right w:w="0" w:type="dxa"/>
          </w:tblCellMar>
        </w:tblPrEx>
        <w:trPr>
          <w:trHeight w:val="360"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BCD998">
            <w:pPr>
              <w:keepNext w:val="0"/>
              <w:keepLines w:val="0"/>
              <w:widowControl/>
              <w:suppressLineNumbers w:val="0"/>
              <w:jc w:val="center"/>
              <w:textAlignment w:val="center"/>
              <w:rPr>
                <w:rFonts w:hint="default"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8</w:t>
            </w:r>
          </w:p>
        </w:tc>
        <w:tc>
          <w:tcPr>
            <w:tcW w:w="30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127C55">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舞台幕布（三道）</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4ECC31">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673.2</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704BC3">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48A1E1">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5254A0">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14:paraId="262B3835">
        <w:tblPrEx>
          <w:tblCellMar>
            <w:top w:w="0" w:type="dxa"/>
            <w:left w:w="0" w:type="dxa"/>
            <w:bottom w:w="0" w:type="dxa"/>
            <w:right w:w="0" w:type="dxa"/>
          </w:tblCellMar>
        </w:tblPrEx>
        <w:trPr>
          <w:trHeight w:val="360"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7D19EA">
            <w:pPr>
              <w:keepNext w:val="0"/>
              <w:keepLines w:val="0"/>
              <w:widowControl/>
              <w:suppressLineNumbers w:val="0"/>
              <w:jc w:val="center"/>
              <w:textAlignment w:val="center"/>
              <w:rPr>
                <w:rFonts w:hint="default"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9</w:t>
            </w:r>
          </w:p>
        </w:tc>
        <w:tc>
          <w:tcPr>
            <w:tcW w:w="30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BEB23F">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会议台布</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53F0CC">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80</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F0CF83">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75F373">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6828D0">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14:paraId="6B2B5A53">
        <w:tblPrEx>
          <w:tblCellMar>
            <w:top w:w="0" w:type="dxa"/>
            <w:left w:w="0" w:type="dxa"/>
            <w:bottom w:w="0" w:type="dxa"/>
            <w:right w:w="0" w:type="dxa"/>
          </w:tblCellMar>
        </w:tblPrEx>
        <w:trPr>
          <w:trHeight w:val="360" w:hRule="atLeast"/>
          <w:jc w:val="center"/>
        </w:trPr>
        <w:tc>
          <w:tcPr>
            <w:tcW w:w="8217" w:type="dxa"/>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CEF328">
            <w:pPr>
              <w:keepNext w:val="0"/>
              <w:keepLines w:val="0"/>
              <w:widowControl/>
              <w:suppressLineNumbers w:val="0"/>
              <w:jc w:val="left"/>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b/>
                <w:bCs/>
                <w:i w:val="0"/>
                <w:iCs w:val="0"/>
                <w:color w:val="auto"/>
                <w:kern w:val="0"/>
                <w:sz w:val="18"/>
                <w:szCs w:val="18"/>
                <w:highlight w:val="none"/>
                <w:u w:val="none"/>
                <w:lang w:val="en-US" w:eastAsia="zh-CN" w:bidi="ar"/>
              </w:rPr>
              <w:t>三、防水工程</w:t>
            </w:r>
          </w:p>
        </w:tc>
      </w:tr>
      <w:tr w14:paraId="34986484">
        <w:tblPrEx>
          <w:tblCellMar>
            <w:top w:w="0" w:type="dxa"/>
            <w:left w:w="0" w:type="dxa"/>
            <w:bottom w:w="0" w:type="dxa"/>
            <w:right w:w="0" w:type="dxa"/>
          </w:tblCellMar>
        </w:tblPrEx>
        <w:trPr>
          <w:trHeight w:val="360"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41D099">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lang w:eastAsia="zh-CN"/>
              </w:rPr>
            </w:pPr>
            <w:r>
              <w:rPr>
                <w:rFonts w:hint="eastAsia" w:ascii="仿宋" w:hAnsi="仿宋" w:eastAsia="仿宋" w:cs="仿宋"/>
                <w:b w:val="0"/>
                <w:bCs w:val="0"/>
                <w:i w:val="0"/>
                <w:iCs w:val="0"/>
                <w:color w:val="auto"/>
                <w:kern w:val="0"/>
                <w:sz w:val="18"/>
                <w:szCs w:val="18"/>
                <w:highlight w:val="none"/>
                <w:u w:val="none"/>
                <w:lang w:val="en-US" w:eastAsia="zh-CN" w:bidi="ar"/>
              </w:rPr>
              <w:t>1</w:t>
            </w:r>
          </w:p>
        </w:tc>
        <w:tc>
          <w:tcPr>
            <w:tcW w:w="30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84DB68">
            <w:pPr>
              <w:keepNext w:val="0"/>
              <w:keepLines w:val="0"/>
              <w:widowControl/>
              <w:suppressLineNumbers w:val="0"/>
              <w:jc w:val="center"/>
              <w:textAlignment w:val="center"/>
              <w:rPr>
                <w:rFonts w:hint="eastAsia" w:ascii="仿宋" w:hAnsi="仿宋" w:eastAsia="仿宋" w:cs="仿宋"/>
                <w:b w:val="0"/>
                <w:bCs w:val="0"/>
                <w:color w:val="auto"/>
                <w:kern w:val="0"/>
                <w:sz w:val="18"/>
                <w:szCs w:val="18"/>
                <w:highlight w:val="none"/>
                <w:u w:val="none"/>
                <w:lang w:bidi="ar"/>
              </w:rPr>
            </w:pPr>
            <w:r>
              <w:rPr>
                <w:rFonts w:hint="eastAsia" w:ascii="仿宋" w:hAnsi="仿宋" w:eastAsia="仿宋" w:cs="仿宋"/>
                <w:i w:val="0"/>
                <w:iCs w:val="0"/>
                <w:color w:val="auto"/>
                <w:kern w:val="0"/>
                <w:sz w:val="18"/>
                <w:szCs w:val="18"/>
                <w:highlight w:val="none"/>
                <w:u w:val="none"/>
                <w:lang w:val="en-US" w:eastAsia="zh-CN" w:bidi="ar"/>
              </w:rPr>
              <w:t>空调设备平台清理、修补</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3020F1">
            <w:pPr>
              <w:keepNext w:val="0"/>
              <w:keepLines w:val="0"/>
              <w:widowControl/>
              <w:suppressLineNumbers w:val="0"/>
              <w:jc w:val="center"/>
              <w:textAlignment w:val="center"/>
              <w:rPr>
                <w:rFonts w:hint="eastAsia" w:ascii="仿宋" w:hAnsi="仿宋" w:eastAsia="仿宋" w:cs="仿宋"/>
                <w:b w:val="0"/>
                <w:bCs w:val="0"/>
                <w:color w:val="auto"/>
                <w:kern w:val="0"/>
                <w:sz w:val="18"/>
                <w:szCs w:val="18"/>
                <w:highlight w:val="none"/>
                <w:u w:val="none"/>
                <w:lang w:bidi="ar"/>
              </w:rPr>
            </w:pPr>
            <w:r>
              <w:rPr>
                <w:rFonts w:hint="eastAsia" w:ascii="仿宋" w:hAnsi="仿宋" w:eastAsia="仿宋" w:cs="仿宋"/>
                <w:i w:val="0"/>
                <w:iCs w:val="0"/>
                <w:color w:val="auto"/>
                <w:kern w:val="0"/>
                <w:sz w:val="18"/>
                <w:szCs w:val="18"/>
                <w:highlight w:val="none"/>
                <w:u w:val="none"/>
                <w:lang w:val="en-US" w:eastAsia="zh-CN" w:bidi="ar"/>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536BD8">
            <w:pPr>
              <w:keepNext w:val="0"/>
              <w:keepLines w:val="0"/>
              <w:widowControl/>
              <w:suppressLineNumbers w:val="0"/>
              <w:jc w:val="center"/>
              <w:textAlignment w:val="center"/>
              <w:rPr>
                <w:rFonts w:hint="eastAsia" w:ascii="仿宋" w:hAnsi="仿宋" w:eastAsia="仿宋" w:cs="仿宋"/>
                <w:b w:val="0"/>
                <w:bCs w:val="0"/>
                <w:color w:val="auto"/>
                <w:kern w:val="0"/>
                <w:sz w:val="18"/>
                <w:szCs w:val="18"/>
                <w:highlight w:val="none"/>
                <w:u w:val="none"/>
                <w:lang w:bidi="ar"/>
              </w:rPr>
            </w:pPr>
            <w:r>
              <w:rPr>
                <w:rFonts w:hint="eastAsia" w:ascii="仿宋" w:hAnsi="仿宋" w:eastAsia="仿宋" w:cs="仿宋"/>
                <w:i w:val="0"/>
                <w:iCs w:val="0"/>
                <w:color w:val="auto"/>
                <w:kern w:val="0"/>
                <w:sz w:val="18"/>
                <w:szCs w:val="18"/>
                <w:highlight w:val="none"/>
                <w:u w:val="none"/>
                <w:lang w:val="en-US" w:eastAsia="zh-CN" w:bidi="ar"/>
              </w:rPr>
              <w:t>项</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0D75C9">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D36FCA">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14:paraId="367F770B">
        <w:tblPrEx>
          <w:tblCellMar>
            <w:top w:w="0" w:type="dxa"/>
            <w:left w:w="0" w:type="dxa"/>
            <w:bottom w:w="0" w:type="dxa"/>
            <w:right w:w="0" w:type="dxa"/>
          </w:tblCellMar>
        </w:tblPrEx>
        <w:trPr>
          <w:trHeight w:val="360"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DEFDA8">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rPr>
            </w:pPr>
            <w:r>
              <w:rPr>
                <w:rFonts w:hint="eastAsia" w:ascii="仿宋" w:hAnsi="仿宋" w:eastAsia="仿宋" w:cs="仿宋"/>
                <w:b w:val="0"/>
                <w:bCs w:val="0"/>
                <w:i w:val="0"/>
                <w:iCs w:val="0"/>
                <w:color w:val="auto"/>
                <w:kern w:val="0"/>
                <w:sz w:val="18"/>
                <w:szCs w:val="18"/>
                <w:highlight w:val="none"/>
                <w:u w:val="none"/>
                <w:lang w:val="en-US" w:eastAsia="zh-CN" w:bidi="ar"/>
              </w:rPr>
              <w:t>2</w:t>
            </w:r>
          </w:p>
        </w:tc>
        <w:tc>
          <w:tcPr>
            <w:tcW w:w="30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2FC4DD">
            <w:pPr>
              <w:keepNext w:val="0"/>
              <w:keepLines w:val="0"/>
              <w:widowControl/>
              <w:suppressLineNumbers w:val="0"/>
              <w:jc w:val="center"/>
              <w:textAlignment w:val="center"/>
              <w:rPr>
                <w:rFonts w:hint="eastAsia" w:ascii="仿宋" w:hAnsi="仿宋" w:eastAsia="仿宋" w:cs="仿宋"/>
                <w:b w:val="0"/>
                <w:bCs w:val="0"/>
                <w:color w:val="auto"/>
                <w:kern w:val="0"/>
                <w:sz w:val="18"/>
                <w:szCs w:val="18"/>
                <w:highlight w:val="none"/>
                <w:u w:val="none"/>
                <w:lang w:bidi="ar"/>
              </w:rPr>
            </w:pPr>
            <w:r>
              <w:rPr>
                <w:rFonts w:hint="eastAsia" w:ascii="仿宋" w:hAnsi="仿宋" w:eastAsia="仿宋" w:cs="仿宋"/>
                <w:i w:val="0"/>
                <w:iCs w:val="0"/>
                <w:color w:val="auto"/>
                <w:kern w:val="0"/>
                <w:sz w:val="18"/>
                <w:szCs w:val="18"/>
                <w:highlight w:val="none"/>
                <w:u w:val="none"/>
                <w:lang w:val="en-US" w:eastAsia="zh-CN" w:bidi="ar"/>
              </w:rPr>
              <w:t>平台基面清理（固沙剂）</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9A0137">
            <w:pPr>
              <w:keepNext w:val="0"/>
              <w:keepLines w:val="0"/>
              <w:widowControl/>
              <w:suppressLineNumbers w:val="0"/>
              <w:jc w:val="center"/>
              <w:textAlignment w:val="center"/>
              <w:rPr>
                <w:rFonts w:hint="eastAsia" w:ascii="仿宋" w:hAnsi="仿宋" w:eastAsia="仿宋" w:cs="仿宋"/>
                <w:b w:val="0"/>
                <w:bCs w:val="0"/>
                <w:color w:val="auto"/>
                <w:kern w:val="0"/>
                <w:sz w:val="18"/>
                <w:szCs w:val="18"/>
                <w:highlight w:val="none"/>
                <w:u w:val="none"/>
                <w:lang w:bidi="ar"/>
              </w:rPr>
            </w:pPr>
            <w:r>
              <w:rPr>
                <w:rFonts w:hint="eastAsia" w:ascii="仿宋" w:hAnsi="仿宋" w:eastAsia="仿宋" w:cs="仿宋"/>
                <w:i w:val="0"/>
                <w:iCs w:val="0"/>
                <w:color w:val="auto"/>
                <w:kern w:val="0"/>
                <w:sz w:val="18"/>
                <w:szCs w:val="18"/>
                <w:highlight w:val="none"/>
                <w:u w:val="none"/>
                <w:lang w:val="en-US" w:eastAsia="zh-CN" w:bidi="ar"/>
              </w:rPr>
              <w:t>990.5</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A2F00E">
            <w:pPr>
              <w:keepNext w:val="0"/>
              <w:keepLines w:val="0"/>
              <w:widowControl/>
              <w:suppressLineNumbers w:val="0"/>
              <w:jc w:val="center"/>
              <w:textAlignment w:val="center"/>
              <w:rPr>
                <w:rFonts w:hint="eastAsia" w:ascii="仿宋" w:hAnsi="仿宋" w:eastAsia="仿宋" w:cs="仿宋"/>
                <w:b w:val="0"/>
                <w:bCs w:val="0"/>
                <w:color w:val="auto"/>
                <w:kern w:val="0"/>
                <w:sz w:val="18"/>
                <w:szCs w:val="18"/>
                <w:highlight w:val="none"/>
                <w:u w:val="none"/>
                <w:lang w:bidi="ar"/>
              </w:rPr>
            </w:pPr>
            <w:r>
              <w:rPr>
                <w:rFonts w:hint="eastAsia" w:ascii="仿宋" w:hAnsi="仿宋" w:eastAsia="仿宋" w:cs="仿宋"/>
                <w:i w:val="0"/>
                <w:iCs w:val="0"/>
                <w:color w:val="auto"/>
                <w:kern w:val="0"/>
                <w:sz w:val="18"/>
                <w:szCs w:val="18"/>
                <w:highlight w:val="none"/>
                <w:u w:val="none"/>
                <w:lang w:val="en-US" w:eastAsia="zh-CN" w:bidi="ar"/>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F76327">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C482B0">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14:paraId="0C048F4E">
        <w:tblPrEx>
          <w:tblCellMar>
            <w:top w:w="0" w:type="dxa"/>
            <w:left w:w="0" w:type="dxa"/>
            <w:bottom w:w="0" w:type="dxa"/>
            <w:right w:w="0" w:type="dxa"/>
          </w:tblCellMar>
        </w:tblPrEx>
        <w:trPr>
          <w:trHeight w:val="360"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63E427">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rPr>
            </w:pPr>
            <w:r>
              <w:rPr>
                <w:rFonts w:hint="eastAsia" w:ascii="仿宋" w:hAnsi="仿宋" w:eastAsia="仿宋" w:cs="仿宋"/>
                <w:b w:val="0"/>
                <w:bCs w:val="0"/>
                <w:i w:val="0"/>
                <w:iCs w:val="0"/>
                <w:color w:val="auto"/>
                <w:kern w:val="0"/>
                <w:sz w:val="18"/>
                <w:szCs w:val="18"/>
                <w:highlight w:val="none"/>
                <w:u w:val="none"/>
                <w:lang w:val="en-US" w:eastAsia="zh-CN" w:bidi="ar"/>
              </w:rPr>
              <w:t>3</w:t>
            </w:r>
          </w:p>
        </w:tc>
        <w:tc>
          <w:tcPr>
            <w:tcW w:w="30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2FD081">
            <w:pPr>
              <w:keepNext w:val="0"/>
              <w:keepLines w:val="0"/>
              <w:widowControl/>
              <w:suppressLineNumbers w:val="0"/>
              <w:jc w:val="center"/>
              <w:textAlignment w:val="center"/>
              <w:rPr>
                <w:rFonts w:hint="eastAsia" w:ascii="仿宋" w:hAnsi="仿宋" w:eastAsia="仿宋" w:cs="仿宋"/>
                <w:b w:val="0"/>
                <w:bCs w:val="0"/>
                <w:color w:val="auto"/>
                <w:kern w:val="0"/>
                <w:sz w:val="18"/>
                <w:szCs w:val="18"/>
                <w:highlight w:val="none"/>
                <w:u w:val="none"/>
                <w:lang w:bidi="ar"/>
              </w:rPr>
            </w:pPr>
            <w:r>
              <w:rPr>
                <w:rFonts w:hint="eastAsia" w:ascii="仿宋" w:hAnsi="仿宋" w:eastAsia="仿宋" w:cs="仿宋"/>
                <w:i w:val="0"/>
                <w:iCs w:val="0"/>
                <w:color w:val="auto"/>
                <w:kern w:val="0"/>
                <w:sz w:val="18"/>
                <w:szCs w:val="18"/>
                <w:highlight w:val="none"/>
                <w:u w:val="none"/>
                <w:lang w:val="en-US" w:eastAsia="zh-CN" w:bidi="ar"/>
              </w:rPr>
              <w:t>防水涂料</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2D35C2">
            <w:pPr>
              <w:keepNext w:val="0"/>
              <w:keepLines w:val="0"/>
              <w:widowControl/>
              <w:suppressLineNumbers w:val="0"/>
              <w:jc w:val="center"/>
              <w:textAlignment w:val="center"/>
              <w:rPr>
                <w:rFonts w:hint="eastAsia" w:ascii="仿宋" w:hAnsi="仿宋" w:eastAsia="仿宋" w:cs="仿宋"/>
                <w:b w:val="0"/>
                <w:bCs w:val="0"/>
                <w:color w:val="auto"/>
                <w:kern w:val="0"/>
                <w:sz w:val="18"/>
                <w:szCs w:val="18"/>
                <w:highlight w:val="none"/>
                <w:u w:val="none"/>
                <w:lang w:bidi="ar"/>
              </w:rPr>
            </w:pPr>
            <w:r>
              <w:rPr>
                <w:rFonts w:hint="eastAsia" w:ascii="仿宋" w:hAnsi="仿宋" w:eastAsia="仿宋" w:cs="仿宋"/>
                <w:i w:val="0"/>
                <w:iCs w:val="0"/>
                <w:color w:val="auto"/>
                <w:kern w:val="0"/>
                <w:sz w:val="18"/>
                <w:szCs w:val="18"/>
                <w:highlight w:val="none"/>
                <w:u w:val="none"/>
                <w:lang w:val="en-US" w:eastAsia="zh-CN" w:bidi="ar"/>
              </w:rPr>
              <w:t>990.5</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7EBF51">
            <w:pPr>
              <w:keepNext w:val="0"/>
              <w:keepLines w:val="0"/>
              <w:widowControl/>
              <w:suppressLineNumbers w:val="0"/>
              <w:jc w:val="center"/>
              <w:textAlignment w:val="center"/>
              <w:rPr>
                <w:rFonts w:hint="eastAsia" w:ascii="仿宋" w:hAnsi="仿宋" w:eastAsia="仿宋" w:cs="仿宋"/>
                <w:b w:val="0"/>
                <w:bCs w:val="0"/>
                <w:color w:val="auto"/>
                <w:kern w:val="0"/>
                <w:sz w:val="18"/>
                <w:szCs w:val="18"/>
                <w:highlight w:val="none"/>
                <w:u w:val="none"/>
                <w:lang w:bidi="ar"/>
              </w:rPr>
            </w:pPr>
            <w:r>
              <w:rPr>
                <w:rFonts w:hint="eastAsia" w:ascii="仿宋" w:hAnsi="仿宋" w:eastAsia="仿宋" w:cs="仿宋"/>
                <w:i w:val="0"/>
                <w:iCs w:val="0"/>
                <w:color w:val="auto"/>
                <w:kern w:val="0"/>
                <w:sz w:val="18"/>
                <w:szCs w:val="18"/>
                <w:highlight w:val="none"/>
                <w:u w:val="none"/>
                <w:lang w:val="en-US" w:eastAsia="zh-CN" w:bidi="ar"/>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C887BA">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B9487A">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14:paraId="4DE86E04">
        <w:tblPrEx>
          <w:tblCellMar>
            <w:top w:w="0" w:type="dxa"/>
            <w:left w:w="0" w:type="dxa"/>
            <w:bottom w:w="0" w:type="dxa"/>
            <w:right w:w="0" w:type="dxa"/>
          </w:tblCellMar>
        </w:tblPrEx>
        <w:trPr>
          <w:trHeight w:val="360"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329329">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4</w:t>
            </w:r>
          </w:p>
        </w:tc>
        <w:tc>
          <w:tcPr>
            <w:tcW w:w="30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0FD5BA">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防水注浆清理点位</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1249E7">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14</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A5B35E">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点位</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82CA70">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21A3F7">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14:paraId="07776F16">
        <w:tblPrEx>
          <w:tblCellMar>
            <w:top w:w="0" w:type="dxa"/>
            <w:left w:w="0" w:type="dxa"/>
            <w:bottom w:w="0" w:type="dxa"/>
            <w:right w:w="0" w:type="dxa"/>
          </w:tblCellMar>
        </w:tblPrEx>
        <w:trPr>
          <w:trHeight w:val="360"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724516">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5</w:t>
            </w:r>
          </w:p>
        </w:tc>
        <w:tc>
          <w:tcPr>
            <w:tcW w:w="30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2F25ED">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顶面不锈钢排水沟</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5D609E">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45.5</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52315B">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m</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9AB31A">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FF7C22">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14:paraId="72F512A7">
        <w:tblPrEx>
          <w:tblCellMar>
            <w:top w:w="0" w:type="dxa"/>
            <w:left w:w="0" w:type="dxa"/>
            <w:bottom w:w="0" w:type="dxa"/>
            <w:right w:w="0" w:type="dxa"/>
          </w:tblCellMar>
        </w:tblPrEx>
        <w:trPr>
          <w:trHeight w:val="360"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8CE543">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6</w:t>
            </w:r>
          </w:p>
        </w:tc>
        <w:tc>
          <w:tcPr>
            <w:tcW w:w="30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20CAAA">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PVC排水管</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80D4B1">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238</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30570D">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m</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1C37FB">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8CF828">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14:paraId="7A2F1874">
        <w:tblPrEx>
          <w:tblCellMar>
            <w:top w:w="0" w:type="dxa"/>
            <w:left w:w="0" w:type="dxa"/>
            <w:bottom w:w="0" w:type="dxa"/>
            <w:right w:w="0" w:type="dxa"/>
          </w:tblCellMar>
        </w:tblPrEx>
        <w:trPr>
          <w:trHeight w:val="360"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4F04D0">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7</w:t>
            </w:r>
          </w:p>
        </w:tc>
        <w:tc>
          <w:tcPr>
            <w:tcW w:w="30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763E4F">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钢结构及彩钢顶棚拆除</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3D4D4C">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120.64</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9F323F">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5F0277">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3D936B">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14:paraId="7A1C301F">
        <w:tblPrEx>
          <w:tblCellMar>
            <w:top w:w="0" w:type="dxa"/>
            <w:left w:w="0" w:type="dxa"/>
            <w:bottom w:w="0" w:type="dxa"/>
            <w:right w:w="0" w:type="dxa"/>
          </w:tblCellMar>
        </w:tblPrEx>
        <w:trPr>
          <w:trHeight w:val="360"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142EF7">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8</w:t>
            </w:r>
          </w:p>
        </w:tc>
        <w:tc>
          <w:tcPr>
            <w:tcW w:w="30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7EE1A4">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钢结构及彩钢顶棚</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6DA778">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120.64</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2FD317">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43449E">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A9A1EA">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14:paraId="703BD9ED">
        <w:tblPrEx>
          <w:tblCellMar>
            <w:top w:w="0" w:type="dxa"/>
            <w:left w:w="0" w:type="dxa"/>
            <w:bottom w:w="0" w:type="dxa"/>
            <w:right w:w="0" w:type="dxa"/>
          </w:tblCellMar>
        </w:tblPrEx>
        <w:trPr>
          <w:trHeight w:val="360"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2D1522">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9</w:t>
            </w:r>
          </w:p>
        </w:tc>
        <w:tc>
          <w:tcPr>
            <w:tcW w:w="30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C305AD">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拆除原阳光房天棚</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6A3A18">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96.48</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FDBEFF">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EBD5E5">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BEFE48">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14:paraId="249DF6B5">
        <w:tblPrEx>
          <w:tblCellMar>
            <w:top w:w="0" w:type="dxa"/>
            <w:left w:w="0" w:type="dxa"/>
            <w:bottom w:w="0" w:type="dxa"/>
            <w:right w:w="0" w:type="dxa"/>
          </w:tblCellMar>
        </w:tblPrEx>
        <w:trPr>
          <w:trHeight w:val="360"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3727D0">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10</w:t>
            </w:r>
          </w:p>
        </w:tc>
        <w:tc>
          <w:tcPr>
            <w:tcW w:w="30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B894CE">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原阳光房钢架及天棚安装</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18A920">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96.48</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DB4E9F">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C7AE65">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9D3450">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14:paraId="1CC84155">
        <w:tblPrEx>
          <w:tblCellMar>
            <w:top w:w="0" w:type="dxa"/>
            <w:left w:w="0" w:type="dxa"/>
            <w:bottom w:w="0" w:type="dxa"/>
            <w:right w:w="0" w:type="dxa"/>
          </w:tblCellMar>
        </w:tblPrEx>
        <w:trPr>
          <w:trHeight w:val="360"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C0F083">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11</w:t>
            </w:r>
          </w:p>
        </w:tc>
        <w:tc>
          <w:tcPr>
            <w:tcW w:w="30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26D778">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水槽及龙头</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F29137">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70396F">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套</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64DC18">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BD6A14">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14:paraId="4C3CF217">
        <w:tblPrEx>
          <w:tblCellMar>
            <w:top w:w="0" w:type="dxa"/>
            <w:left w:w="0" w:type="dxa"/>
            <w:bottom w:w="0" w:type="dxa"/>
            <w:right w:w="0" w:type="dxa"/>
          </w:tblCellMar>
        </w:tblPrEx>
        <w:trPr>
          <w:trHeight w:val="360" w:hRule="atLeast"/>
          <w:jc w:val="center"/>
        </w:trPr>
        <w:tc>
          <w:tcPr>
            <w:tcW w:w="8217" w:type="dxa"/>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B915A5">
            <w:pPr>
              <w:keepNext w:val="0"/>
              <w:keepLines w:val="0"/>
              <w:widowControl/>
              <w:suppressLineNumbers w:val="0"/>
              <w:jc w:val="left"/>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b/>
                <w:bCs/>
                <w:i w:val="0"/>
                <w:iCs w:val="0"/>
                <w:color w:val="auto"/>
                <w:kern w:val="0"/>
                <w:sz w:val="18"/>
                <w:szCs w:val="18"/>
                <w:highlight w:val="none"/>
                <w:u w:val="none"/>
                <w:lang w:val="en-US" w:eastAsia="zh-CN" w:bidi="ar"/>
              </w:rPr>
              <w:t>四、防火门及木门</w:t>
            </w:r>
          </w:p>
        </w:tc>
      </w:tr>
      <w:tr w14:paraId="2FAE281F">
        <w:tblPrEx>
          <w:tblCellMar>
            <w:top w:w="0" w:type="dxa"/>
            <w:left w:w="0" w:type="dxa"/>
            <w:bottom w:w="0" w:type="dxa"/>
            <w:right w:w="0" w:type="dxa"/>
          </w:tblCellMar>
        </w:tblPrEx>
        <w:trPr>
          <w:trHeight w:val="360"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192134">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rPr>
            </w:pPr>
            <w:r>
              <w:rPr>
                <w:rFonts w:hint="eastAsia" w:ascii="仿宋" w:hAnsi="仿宋" w:eastAsia="仿宋" w:cs="仿宋"/>
                <w:b w:val="0"/>
                <w:bCs w:val="0"/>
                <w:i w:val="0"/>
                <w:iCs w:val="0"/>
                <w:color w:val="auto"/>
                <w:kern w:val="0"/>
                <w:sz w:val="18"/>
                <w:szCs w:val="18"/>
                <w:highlight w:val="none"/>
                <w:u w:val="none"/>
                <w:lang w:val="en-US" w:eastAsia="zh-CN" w:bidi="ar"/>
              </w:rPr>
              <w:t>1</w:t>
            </w:r>
          </w:p>
        </w:tc>
        <w:tc>
          <w:tcPr>
            <w:tcW w:w="30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8067E1">
            <w:pPr>
              <w:keepNext w:val="0"/>
              <w:keepLines w:val="0"/>
              <w:widowControl/>
              <w:suppressLineNumbers w:val="0"/>
              <w:jc w:val="center"/>
              <w:textAlignment w:val="center"/>
              <w:rPr>
                <w:rFonts w:hint="eastAsia" w:ascii="仿宋" w:hAnsi="仿宋" w:eastAsia="仿宋" w:cs="仿宋"/>
                <w:b w:val="0"/>
                <w:bCs w:val="0"/>
                <w:color w:val="auto"/>
                <w:kern w:val="0"/>
                <w:sz w:val="18"/>
                <w:szCs w:val="18"/>
                <w:highlight w:val="none"/>
                <w:u w:val="none"/>
                <w:lang w:bidi="ar"/>
              </w:rPr>
            </w:pPr>
            <w:r>
              <w:rPr>
                <w:rFonts w:hint="eastAsia" w:ascii="仿宋" w:hAnsi="仿宋" w:eastAsia="仿宋" w:cs="仿宋"/>
                <w:i w:val="0"/>
                <w:iCs w:val="0"/>
                <w:color w:val="auto"/>
                <w:kern w:val="0"/>
                <w:sz w:val="18"/>
                <w:szCs w:val="18"/>
                <w:highlight w:val="none"/>
                <w:u w:val="none"/>
                <w:lang w:val="en-US" w:eastAsia="zh-CN" w:bidi="ar"/>
              </w:rPr>
              <w:t>剧场甲级防火门（含人工）</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6F6095">
            <w:pPr>
              <w:keepNext w:val="0"/>
              <w:keepLines w:val="0"/>
              <w:widowControl/>
              <w:suppressLineNumbers w:val="0"/>
              <w:jc w:val="center"/>
              <w:textAlignment w:val="center"/>
              <w:rPr>
                <w:rFonts w:hint="eastAsia" w:ascii="仿宋" w:hAnsi="仿宋" w:eastAsia="仿宋" w:cs="仿宋"/>
                <w:b w:val="0"/>
                <w:bCs w:val="0"/>
                <w:color w:val="auto"/>
                <w:kern w:val="0"/>
                <w:sz w:val="18"/>
                <w:szCs w:val="18"/>
                <w:highlight w:val="none"/>
                <w:u w:val="none"/>
                <w:lang w:bidi="ar"/>
              </w:rPr>
            </w:pPr>
            <w:r>
              <w:rPr>
                <w:rFonts w:hint="eastAsia" w:ascii="仿宋" w:hAnsi="仿宋" w:eastAsia="仿宋" w:cs="仿宋"/>
                <w:i w:val="0"/>
                <w:iCs w:val="0"/>
                <w:color w:val="auto"/>
                <w:kern w:val="0"/>
                <w:sz w:val="18"/>
                <w:szCs w:val="18"/>
                <w:highlight w:val="none"/>
                <w:u w:val="none"/>
                <w:lang w:val="en-US" w:eastAsia="zh-CN" w:bidi="ar"/>
              </w:rPr>
              <w:t>6</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2F7452">
            <w:pPr>
              <w:keepNext w:val="0"/>
              <w:keepLines w:val="0"/>
              <w:widowControl/>
              <w:suppressLineNumbers w:val="0"/>
              <w:jc w:val="center"/>
              <w:textAlignment w:val="center"/>
              <w:rPr>
                <w:rFonts w:hint="eastAsia" w:ascii="仿宋" w:hAnsi="仿宋" w:eastAsia="仿宋" w:cs="仿宋"/>
                <w:b w:val="0"/>
                <w:bCs w:val="0"/>
                <w:color w:val="auto"/>
                <w:kern w:val="0"/>
                <w:sz w:val="18"/>
                <w:szCs w:val="18"/>
                <w:highlight w:val="none"/>
                <w:u w:val="none"/>
                <w:lang w:bidi="ar"/>
              </w:rPr>
            </w:pPr>
            <w:r>
              <w:rPr>
                <w:rFonts w:hint="eastAsia" w:ascii="仿宋" w:hAnsi="仿宋" w:eastAsia="仿宋" w:cs="仿宋"/>
                <w:i w:val="0"/>
                <w:iCs w:val="0"/>
                <w:color w:val="auto"/>
                <w:kern w:val="0"/>
                <w:sz w:val="18"/>
                <w:szCs w:val="18"/>
                <w:highlight w:val="none"/>
                <w:u w:val="none"/>
                <w:lang w:val="en-US" w:eastAsia="zh-CN" w:bidi="ar"/>
              </w:rPr>
              <w:t>樘</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ACD8BD">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B3D20C">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14:paraId="75A7BA85">
        <w:tblPrEx>
          <w:tblCellMar>
            <w:top w:w="0" w:type="dxa"/>
            <w:left w:w="0" w:type="dxa"/>
            <w:bottom w:w="0" w:type="dxa"/>
            <w:right w:w="0" w:type="dxa"/>
          </w:tblCellMar>
        </w:tblPrEx>
        <w:trPr>
          <w:trHeight w:val="360"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7CC16B">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rPr>
            </w:pPr>
            <w:r>
              <w:rPr>
                <w:rFonts w:hint="eastAsia" w:ascii="仿宋" w:hAnsi="仿宋" w:eastAsia="仿宋" w:cs="仿宋"/>
                <w:b w:val="0"/>
                <w:bCs w:val="0"/>
                <w:i w:val="0"/>
                <w:iCs w:val="0"/>
                <w:color w:val="auto"/>
                <w:kern w:val="0"/>
                <w:sz w:val="18"/>
                <w:szCs w:val="18"/>
                <w:highlight w:val="none"/>
                <w:u w:val="none"/>
                <w:lang w:val="en-US" w:eastAsia="zh-CN" w:bidi="ar"/>
              </w:rPr>
              <w:t>2</w:t>
            </w:r>
          </w:p>
        </w:tc>
        <w:tc>
          <w:tcPr>
            <w:tcW w:w="30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256D23">
            <w:pPr>
              <w:keepNext w:val="0"/>
              <w:keepLines w:val="0"/>
              <w:widowControl/>
              <w:suppressLineNumbers w:val="0"/>
              <w:jc w:val="center"/>
              <w:textAlignment w:val="center"/>
              <w:rPr>
                <w:rFonts w:hint="eastAsia" w:ascii="仿宋" w:hAnsi="仿宋" w:eastAsia="仿宋" w:cs="仿宋"/>
                <w:b w:val="0"/>
                <w:bCs w:val="0"/>
                <w:color w:val="auto"/>
                <w:kern w:val="0"/>
                <w:sz w:val="18"/>
                <w:szCs w:val="18"/>
                <w:highlight w:val="none"/>
                <w:u w:val="none"/>
                <w:lang w:bidi="ar"/>
              </w:rPr>
            </w:pPr>
            <w:r>
              <w:rPr>
                <w:rFonts w:hint="eastAsia" w:ascii="仿宋" w:hAnsi="仿宋" w:eastAsia="仿宋" w:cs="仿宋"/>
                <w:i w:val="0"/>
                <w:iCs w:val="0"/>
                <w:color w:val="auto"/>
                <w:kern w:val="0"/>
                <w:sz w:val="18"/>
                <w:szCs w:val="18"/>
                <w:highlight w:val="none"/>
                <w:u w:val="none"/>
                <w:lang w:val="en-US" w:eastAsia="zh-CN" w:bidi="ar"/>
              </w:rPr>
              <w:t>原防火门拆除</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7FB423">
            <w:pPr>
              <w:keepNext w:val="0"/>
              <w:keepLines w:val="0"/>
              <w:widowControl/>
              <w:suppressLineNumbers w:val="0"/>
              <w:jc w:val="center"/>
              <w:textAlignment w:val="center"/>
              <w:rPr>
                <w:rFonts w:hint="eastAsia" w:ascii="仿宋" w:hAnsi="仿宋" w:eastAsia="仿宋" w:cs="仿宋"/>
                <w:b w:val="0"/>
                <w:bCs w:val="0"/>
                <w:color w:val="auto"/>
                <w:kern w:val="0"/>
                <w:sz w:val="18"/>
                <w:szCs w:val="18"/>
                <w:highlight w:val="none"/>
                <w:u w:val="none"/>
                <w:lang w:bidi="ar"/>
              </w:rPr>
            </w:pPr>
            <w:r>
              <w:rPr>
                <w:rFonts w:hint="eastAsia" w:ascii="仿宋" w:hAnsi="仿宋" w:eastAsia="仿宋" w:cs="仿宋"/>
                <w:i w:val="0"/>
                <w:iCs w:val="0"/>
                <w:color w:val="auto"/>
                <w:kern w:val="0"/>
                <w:sz w:val="18"/>
                <w:szCs w:val="18"/>
                <w:highlight w:val="none"/>
                <w:u w:val="none"/>
                <w:lang w:val="en-US" w:eastAsia="zh-CN" w:bidi="ar"/>
              </w:rPr>
              <w:t>6</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236B14">
            <w:pPr>
              <w:keepNext w:val="0"/>
              <w:keepLines w:val="0"/>
              <w:widowControl/>
              <w:suppressLineNumbers w:val="0"/>
              <w:jc w:val="center"/>
              <w:textAlignment w:val="center"/>
              <w:rPr>
                <w:rFonts w:hint="eastAsia" w:ascii="仿宋" w:hAnsi="仿宋" w:eastAsia="仿宋" w:cs="仿宋"/>
                <w:b w:val="0"/>
                <w:bCs w:val="0"/>
                <w:color w:val="auto"/>
                <w:kern w:val="0"/>
                <w:sz w:val="18"/>
                <w:szCs w:val="18"/>
                <w:highlight w:val="none"/>
                <w:u w:val="none"/>
                <w:lang w:bidi="ar"/>
              </w:rPr>
            </w:pPr>
            <w:r>
              <w:rPr>
                <w:rFonts w:hint="eastAsia" w:ascii="仿宋" w:hAnsi="仿宋" w:eastAsia="仿宋" w:cs="仿宋"/>
                <w:i w:val="0"/>
                <w:iCs w:val="0"/>
                <w:color w:val="auto"/>
                <w:kern w:val="0"/>
                <w:sz w:val="18"/>
                <w:szCs w:val="18"/>
                <w:highlight w:val="none"/>
                <w:u w:val="none"/>
                <w:lang w:val="en-US" w:eastAsia="zh-CN" w:bidi="ar"/>
              </w:rPr>
              <w:t>樘</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1B9A59">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6FD7F8">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14:paraId="469D4C27">
        <w:tblPrEx>
          <w:tblCellMar>
            <w:top w:w="0" w:type="dxa"/>
            <w:left w:w="0" w:type="dxa"/>
            <w:bottom w:w="0" w:type="dxa"/>
            <w:right w:w="0" w:type="dxa"/>
          </w:tblCellMar>
        </w:tblPrEx>
        <w:trPr>
          <w:trHeight w:val="360"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A267FD">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rPr>
            </w:pPr>
            <w:r>
              <w:rPr>
                <w:rFonts w:hint="eastAsia" w:ascii="仿宋" w:hAnsi="仿宋" w:eastAsia="仿宋" w:cs="仿宋"/>
                <w:b w:val="0"/>
                <w:bCs w:val="0"/>
                <w:i w:val="0"/>
                <w:iCs w:val="0"/>
                <w:color w:val="auto"/>
                <w:kern w:val="0"/>
                <w:sz w:val="18"/>
                <w:szCs w:val="18"/>
                <w:highlight w:val="none"/>
                <w:u w:val="none"/>
                <w:lang w:val="en-US" w:eastAsia="zh-CN" w:bidi="ar"/>
              </w:rPr>
              <w:t>3</w:t>
            </w:r>
          </w:p>
        </w:tc>
        <w:tc>
          <w:tcPr>
            <w:tcW w:w="30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A684AE">
            <w:pPr>
              <w:keepNext w:val="0"/>
              <w:keepLines w:val="0"/>
              <w:widowControl/>
              <w:suppressLineNumbers w:val="0"/>
              <w:jc w:val="center"/>
              <w:textAlignment w:val="center"/>
              <w:rPr>
                <w:rFonts w:hint="eastAsia" w:ascii="仿宋" w:hAnsi="仿宋" w:eastAsia="仿宋" w:cs="仿宋"/>
                <w:b w:val="0"/>
                <w:bCs w:val="0"/>
                <w:color w:val="auto"/>
                <w:kern w:val="0"/>
                <w:sz w:val="18"/>
                <w:szCs w:val="18"/>
                <w:highlight w:val="none"/>
                <w:u w:val="none"/>
                <w:lang w:bidi="ar"/>
              </w:rPr>
            </w:pPr>
            <w:r>
              <w:rPr>
                <w:rFonts w:hint="eastAsia" w:ascii="仿宋" w:hAnsi="仿宋" w:eastAsia="仿宋" w:cs="仿宋"/>
                <w:i w:val="0"/>
                <w:iCs w:val="0"/>
                <w:color w:val="auto"/>
                <w:kern w:val="0"/>
                <w:sz w:val="18"/>
                <w:szCs w:val="18"/>
                <w:highlight w:val="none"/>
                <w:u w:val="none"/>
                <w:lang w:val="en-US" w:eastAsia="zh-CN" w:bidi="ar"/>
              </w:rPr>
              <w:t>通道拆除原木门</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BEF30D">
            <w:pPr>
              <w:keepNext w:val="0"/>
              <w:keepLines w:val="0"/>
              <w:widowControl/>
              <w:suppressLineNumbers w:val="0"/>
              <w:jc w:val="center"/>
              <w:textAlignment w:val="center"/>
              <w:rPr>
                <w:rFonts w:hint="eastAsia" w:ascii="仿宋" w:hAnsi="仿宋" w:eastAsia="仿宋" w:cs="仿宋"/>
                <w:b w:val="0"/>
                <w:bCs w:val="0"/>
                <w:color w:val="auto"/>
                <w:kern w:val="0"/>
                <w:sz w:val="18"/>
                <w:szCs w:val="18"/>
                <w:highlight w:val="none"/>
                <w:u w:val="none"/>
                <w:lang w:bidi="ar"/>
              </w:rPr>
            </w:pPr>
            <w:r>
              <w:rPr>
                <w:rFonts w:hint="eastAsia" w:ascii="仿宋" w:hAnsi="仿宋" w:eastAsia="仿宋" w:cs="仿宋"/>
                <w:i w:val="0"/>
                <w:iCs w:val="0"/>
                <w:color w:val="auto"/>
                <w:kern w:val="0"/>
                <w:sz w:val="18"/>
                <w:szCs w:val="18"/>
                <w:highlight w:val="none"/>
                <w:u w:val="none"/>
                <w:lang w:val="en-US" w:eastAsia="zh-CN" w:bidi="ar"/>
              </w:rPr>
              <w:t>5</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CBFC19">
            <w:pPr>
              <w:keepNext w:val="0"/>
              <w:keepLines w:val="0"/>
              <w:widowControl/>
              <w:suppressLineNumbers w:val="0"/>
              <w:jc w:val="center"/>
              <w:textAlignment w:val="center"/>
              <w:rPr>
                <w:rFonts w:hint="eastAsia" w:ascii="仿宋" w:hAnsi="仿宋" w:eastAsia="仿宋" w:cs="仿宋"/>
                <w:b w:val="0"/>
                <w:bCs w:val="0"/>
                <w:color w:val="auto"/>
                <w:kern w:val="0"/>
                <w:sz w:val="18"/>
                <w:szCs w:val="18"/>
                <w:highlight w:val="none"/>
                <w:u w:val="none"/>
                <w:lang w:bidi="ar"/>
              </w:rPr>
            </w:pPr>
            <w:r>
              <w:rPr>
                <w:rFonts w:hint="eastAsia" w:ascii="仿宋" w:hAnsi="仿宋" w:eastAsia="仿宋" w:cs="仿宋"/>
                <w:i w:val="0"/>
                <w:iCs w:val="0"/>
                <w:color w:val="auto"/>
                <w:kern w:val="0"/>
                <w:sz w:val="18"/>
                <w:szCs w:val="18"/>
                <w:highlight w:val="none"/>
                <w:u w:val="none"/>
                <w:lang w:val="en-US" w:eastAsia="zh-CN" w:bidi="ar"/>
              </w:rPr>
              <w:t>樘</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162A53">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BC77A7">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14:paraId="156CFBE3">
        <w:tblPrEx>
          <w:tblCellMar>
            <w:top w:w="0" w:type="dxa"/>
            <w:left w:w="0" w:type="dxa"/>
            <w:bottom w:w="0" w:type="dxa"/>
            <w:right w:w="0" w:type="dxa"/>
          </w:tblCellMar>
        </w:tblPrEx>
        <w:trPr>
          <w:trHeight w:val="360"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C911B4">
            <w:pPr>
              <w:keepNext w:val="0"/>
              <w:keepLines w:val="0"/>
              <w:widowControl/>
              <w:suppressLineNumbers w:val="0"/>
              <w:jc w:val="center"/>
              <w:textAlignment w:val="center"/>
              <w:rPr>
                <w:rFonts w:hint="default"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4</w:t>
            </w:r>
          </w:p>
        </w:tc>
        <w:tc>
          <w:tcPr>
            <w:tcW w:w="30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4A585C">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安装木门及门套</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5E9058">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5</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D0D7A9">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樘</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CF8852">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08EA36">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14:paraId="5659A8AC">
        <w:tblPrEx>
          <w:tblCellMar>
            <w:top w:w="0" w:type="dxa"/>
            <w:left w:w="0" w:type="dxa"/>
            <w:bottom w:w="0" w:type="dxa"/>
            <w:right w:w="0" w:type="dxa"/>
          </w:tblCellMar>
        </w:tblPrEx>
        <w:trPr>
          <w:trHeight w:val="360" w:hRule="atLeast"/>
          <w:jc w:val="center"/>
        </w:trPr>
        <w:tc>
          <w:tcPr>
            <w:tcW w:w="8217" w:type="dxa"/>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C09DF5">
            <w:pPr>
              <w:keepNext w:val="0"/>
              <w:keepLines w:val="0"/>
              <w:widowControl/>
              <w:suppressLineNumbers w:val="0"/>
              <w:jc w:val="left"/>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b/>
                <w:bCs/>
                <w:i w:val="0"/>
                <w:iCs w:val="0"/>
                <w:color w:val="auto"/>
                <w:kern w:val="0"/>
                <w:sz w:val="18"/>
                <w:szCs w:val="18"/>
                <w:highlight w:val="none"/>
                <w:u w:val="none"/>
                <w:lang w:val="en-US" w:eastAsia="zh-CN" w:bidi="ar"/>
              </w:rPr>
              <w:t>五、其他费用</w:t>
            </w:r>
          </w:p>
        </w:tc>
      </w:tr>
      <w:tr w14:paraId="77694166">
        <w:tblPrEx>
          <w:tblCellMar>
            <w:top w:w="0" w:type="dxa"/>
            <w:left w:w="0" w:type="dxa"/>
            <w:bottom w:w="0" w:type="dxa"/>
            <w:right w:w="0" w:type="dxa"/>
          </w:tblCellMar>
        </w:tblPrEx>
        <w:trPr>
          <w:trHeight w:val="360"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3BF76F">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rPr>
            </w:pPr>
            <w:r>
              <w:rPr>
                <w:rFonts w:hint="eastAsia" w:ascii="仿宋" w:hAnsi="仿宋" w:eastAsia="仿宋" w:cs="仿宋"/>
                <w:b w:val="0"/>
                <w:bCs w:val="0"/>
                <w:i w:val="0"/>
                <w:iCs w:val="0"/>
                <w:color w:val="auto"/>
                <w:kern w:val="0"/>
                <w:sz w:val="18"/>
                <w:szCs w:val="18"/>
                <w:highlight w:val="none"/>
                <w:u w:val="none"/>
                <w:lang w:val="en-US" w:eastAsia="zh-CN" w:bidi="ar"/>
              </w:rPr>
              <w:t>1</w:t>
            </w:r>
          </w:p>
        </w:tc>
        <w:tc>
          <w:tcPr>
            <w:tcW w:w="30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2FB450">
            <w:pPr>
              <w:keepNext w:val="0"/>
              <w:keepLines w:val="0"/>
              <w:widowControl/>
              <w:suppressLineNumbers w:val="0"/>
              <w:jc w:val="center"/>
              <w:textAlignment w:val="center"/>
              <w:rPr>
                <w:rFonts w:hint="eastAsia" w:ascii="仿宋" w:hAnsi="仿宋" w:eastAsia="仿宋" w:cs="仿宋"/>
                <w:b w:val="0"/>
                <w:bCs w:val="0"/>
                <w:color w:val="auto"/>
                <w:kern w:val="0"/>
                <w:sz w:val="18"/>
                <w:szCs w:val="18"/>
                <w:highlight w:val="none"/>
                <w:u w:val="none"/>
                <w:lang w:bidi="ar"/>
              </w:rPr>
            </w:pPr>
            <w:r>
              <w:rPr>
                <w:rFonts w:hint="eastAsia" w:ascii="仿宋" w:hAnsi="仿宋" w:eastAsia="仿宋" w:cs="仿宋"/>
                <w:i w:val="0"/>
                <w:iCs w:val="0"/>
                <w:color w:val="auto"/>
                <w:kern w:val="0"/>
                <w:sz w:val="18"/>
                <w:szCs w:val="18"/>
                <w:highlight w:val="none"/>
                <w:u w:val="none"/>
                <w:lang w:val="en-US" w:eastAsia="zh-CN" w:bidi="ar"/>
              </w:rPr>
              <w:t>材料搬楼费</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4ADE9C">
            <w:pPr>
              <w:keepNext w:val="0"/>
              <w:keepLines w:val="0"/>
              <w:widowControl/>
              <w:suppressLineNumbers w:val="0"/>
              <w:jc w:val="center"/>
              <w:textAlignment w:val="center"/>
              <w:rPr>
                <w:rFonts w:hint="eastAsia" w:ascii="仿宋" w:hAnsi="仿宋" w:eastAsia="仿宋" w:cs="仿宋"/>
                <w:b w:val="0"/>
                <w:bCs w:val="0"/>
                <w:color w:val="auto"/>
                <w:kern w:val="0"/>
                <w:sz w:val="18"/>
                <w:szCs w:val="18"/>
                <w:highlight w:val="none"/>
                <w:u w:val="none"/>
                <w:lang w:bidi="ar"/>
              </w:rPr>
            </w:pPr>
            <w:r>
              <w:rPr>
                <w:rFonts w:hint="eastAsia" w:ascii="仿宋" w:hAnsi="仿宋" w:eastAsia="仿宋" w:cs="仿宋"/>
                <w:i w:val="0"/>
                <w:iCs w:val="0"/>
                <w:color w:val="auto"/>
                <w:kern w:val="0"/>
                <w:sz w:val="18"/>
                <w:szCs w:val="18"/>
                <w:highlight w:val="none"/>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C8463E">
            <w:pPr>
              <w:keepNext w:val="0"/>
              <w:keepLines w:val="0"/>
              <w:widowControl/>
              <w:suppressLineNumbers w:val="0"/>
              <w:jc w:val="center"/>
              <w:textAlignment w:val="center"/>
              <w:rPr>
                <w:rFonts w:hint="eastAsia" w:ascii="仿宋" w:hAnsi="仿宋" w:eastAsia="仿宋" w:cs="仿宋"/>
                <w:b w:val="0"/>
                <w:bCs w:val="0"/>
                <w:color w:val="auto"/>
                <w:kern w:val="0"/>
                <w:sz w:val="18"/>
                <w:szCs w:val="18"/>
                <w:highlight w:val="none"/>
                <w:u w:val="none"/>
                <w:lang w:bidi="ar"/>
              </w:rPr>
            </w:pPr>
            <w:r>
              <w:rPr>
                <w:rFonts w:hint="eastAsia" w:ascii="仿宋" w:hAnsi="仿宋" w:eastAsia="仿宋" w:cs="仿宋"/>
                <w:i w:val="0"/>
                <w:iCs w:val="0"/>
                <w:color w:val="auto"/>
                <w:kern w:val="0"/>
                <w:sz w:val="18"/>
                <w:szCs w:val="18"/>
                <w:highlight w:val="none"/>
                <w:u w:val="none"/>
                <w:lang w:val="en-US" w:eastAsia="zh-CN" w:bidi="ar"/>
              </w:rPr>
              <w:t>项</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23EB91">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4273BE">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14:paraId="5336E210">
        <w:tblPrEx>
          <w:tblCellMar>
            <w:top w:w="0" w:type="dxa"/>
            <w:left w:w="0" w:type="dxa"/>
            <w:bottom w:w="0" w:type="dxa"/>
            <w:right w:w="0" w:type="dxa"/>
          </w:tblCellMar>
        </w:tblPrEx>
        <w:trPr>
          <w:trHeight w:val="360"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1FF8DA">
            <w:pPr>
              <w:keepNext w:val="0"/>
              <w:keepLines w:val="0"/>
              <w:widowControl/>
              <w:suppressLineNumbers w:val="0"/>
              <w:jc w:val="center"/>
              <w:textAlignment w:val="center"/>
              <w:rPr>
                <w:rFonts w:hint="eastAsia" w:ascii="仿宋" w:hAnsi="仿宋" w:eastAsia="仿宋" w:cs="仿宋"/>
                <w:b w:val="0"/>
                <w:bCs w:val="0"/>
                <w:color w:val="auto"/>
                <w:sz w:val="18"/>
                <w:szCs w:val="18"/>
                <w:highlight w:val="none"/>
              </w:rPr>
            </w:pPr>
            <w:r>
              <w:rPr>
                <w:rFonts w:hint="eastAsia" w:ascii="仿宋" w:hAnsi="仿宋" w:eastAsia="仿宋" w:cs="仿宋"/>
                <w:b w:val="0"/>
                <w:bCs w:val="0"/>
                <w:i w:val="0"/>
                <w:iCs w:val="0"/>
                <w:color w:val="auto"/>
                <w:kern w:val="0"/>
                <w:sz w:val="18"/>
                <w:szCs w:val="18"/>
                <w:highlight w:val="none"/>
                <w:u w:val="none"/>
                <w:lang w:val="en-US" w:eastAsia="zh-CN" w:bidi="ar"/>
              </w:rPr>
              <w:t>2</w:t>
            </w:r>
          </w:p>
        </w:tc>
        <w:tc>
          <w:tcPr>
            <w:tcW w:w="30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D01AC8">
            <w:pPr>
              <w:keepNext w:val="0"/>
              <w:keepLines w:val="0"/>
              <w:widowControl/>
              <w:suppressLineNumbers w:val="0"/>
              <w:jc w:val="center"/>
              <w:textAlignment w:val="center"/>
              <w:rPr>
                <w:rFonts w:hint="eastAsia" w:ascii="仿宋" w:hAnsi="仿宋" w:eastAsia="仿宋" w:cs="仿宋"/>
                <w:b w:val="0"/>
                <w:bCs w:val="0"/>
                <w:color w:val="auto"/>
                <w:kern w:val="0"/>
                <w:sz w:val="18"/>
                <w:szCs w:val="18"/>
                <w:highlight w:val="none"/>
                <w:u w:val="none"/>
                <w:lang w:bidi="ar"/>
              </w:rPr>
            </w:pPr>
            <w:r>
              <w:rPr>
                <w:rFonts w:hint="eastAsia" w:ascii="仿宋" w:hAnsi="仿宋" w:eastAsia="仿宋" w:cs="仿宋"/>
                <w:i w:val="0"/>
                <w:iCs w:val="0"/>
                <w:color w:val="auto"/>
                <w:kern w:val="0"/>
                <w:sz w:val="18"/>
                <w:szCs w:val="18"/>
                <w:highlight w:val="none"/>
                <w:u w:val="none"/>
                <w:lang w:val="en-US" w:eastAsia="zh-CN" w:bidi="ar"/>
              </w:rPr>
              <w:t>材料运输费</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FB6D25">
            <w:pPr>
              <w:keepNext w:val="0"/>
              <w:keepLines w:val="0"/>
              <w:widowControl/>
              <w:suppressLineNumbers w:val="0"/>
              <w:jc w:val="center"/>
              <w:textAlignment w:val="center"/>
              <w:rPr>
                <w:rFonts w:hint="eastAsia" w:ascii="仿宋" w:hAnsi="仿宋" w:eastAsia="仿宋" w:cs="仿宋"/>
                <w:b w:val="0"/>
                <w:bCs w:val="0"/>
                <w:color w:val="auto"/>
                <w:kern w:val="0"/>
                <w:sz w:val="18"/>
                <w:szCs w:val="18"/>
                <w:highlight w:val="none"/>
                <w:u w:val="none"/>
                <w:lang w:bidi="ar"/>
              </w:rPr>
            </w:pPr>
            <w:r>
              <w:rPr>
                <w:rFonts w:hint="eastAsia" w:ascii="仿宋" w:hAnsi="仿宋" w:eastAsia="仿宋" w:cs="仿宋"/>
                <w:i w:val="0"/>
                <w:iCs w:val="0"/>
                <w:color w:val="auto"/>
                <w:kern w:val="0"/>
                <w:sz w:val="18"/>
                <w:szCs w:val="18"/>
                <w:highlight w:val="none"/>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62C52A">
            <w:pPr>
              <w:keepNext w:val="0"/>
              <w:keepLines w:val="0"/>
              <w:widowControl/>
              <w:suppressLineNumbers w:val="0"/>
              <w:jc w:val="center"/>
              <w:textAlignment w:val="center"/>
              <w:rPr>
                <w:rFonts w:hint="eastAsia" w:ascii="仿宋" w:hAnsi="仿宋" w:eastAsia="仿宋" w:cs="仿宋"/>
                <w:b w:val="0"/>
                <w:bCs w:val="0"/>
                <w:color w:val="auto"/>
                <w:kern w:val="0"/>
                <w:sz w:val="18"/>
                <w:szCs w:val="18"/>
                <w:highlight w:val="none"/>
                <w:u w:val="none"/>
                <w:lang w:bidi="ar"/>
              </w:rPr>
            </w:pPr>
            <w:r>
              <w:rPr>
                <w:rFonts w:hint="eastAsia" w:ascii="仿宋" w:hAnsi="仿宋" w:eastAsia="仿宋" w:cs="仿宋"/>
                <w:i w:val="0"/>
                <w:iCs w:val="0"/>
                <w:color w:val="auto"/>
                <w:kern w:val="0"/>
                <w:sz w:val="18"/>
                <w:szCs w:val="18"/>
                <w:highlight w:val="none"/>
                <w:u w:val="none"/>
                <w:lang w:val="en-US" w:eastAsia="zh-CN" w:bidi="ar"/>
              </w:rPr>
              <w:t>项</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8217AF">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7FBC0F">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14:paraId="7C9393DA">
        <w:tblPrEx>
          <w:tblCellMar>
            <w:top w:w="0" w:type="dxa"/>
            <w:left w:w="0" w:type="dxa"/>
            <w:bottom w:w="0" w:type="dxa"/>
            <w:right w:w="0" w:type="dxa"/>
          </w:tblCellMar>
        </w:tblPrEx>
        <w:trPr>
          <w:trHeight w:val="360"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96487B">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3</w:t>
            </w:r>
          </w:p>
        </w:tc>
        <w:tc>
          <w:tcPr>
            <w:tcW w:w="30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D0E2A5">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垃圾清理费</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8C1B82">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2739DE">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项</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35D12C">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224229">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14:paraId="4B19E697">
        <w:tblPrEx>
          <w:tblCellMar>
            <w:top w:w="0" w:type="dxa"/>
            <w:left w:w="0" w:type="dxa"/>
            <w:bottom w:w="0" w:type="dxa"/>
            <w:right w:w="0" w:type="dxa"/>
          </w:tblCellMar>
        </w:tblPrEx>
        <w:trPr>
          <w:trHeight w:val="360"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0BBA32">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4</w:t>
            </w:r>
          </w:p>
        </w:tc>
        <w:tc>
          <w:tcPr>
            <w:tcW w:w="30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16FE5D">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完工保洁费</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DDA32C">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6FBCF6">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项</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188A10">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9831CB">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14:paraId="5116B0DC">
        <w:tblPrEx>
          <w:tblCellMar>
            <w:top w:w="0" w:type="dxa"/>
            <w:left w:w="0" w:type="dxa"/>
            <w:bottom w:w="0" w:type="dxa"/>
            <w:right w:w="0" w:type="dxa"/>
          </w:tblCellMar>
        </w:tblPrEx>
        <w:trPr>
          <w:trHeight w:val="360"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C49C54">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5</w:t>
            </w:r>
          </w:p>
        </w:tc>
        <w:tc>
          <w:tcPr>
            <w:tcW w:w="30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0B883B">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装修垃圾外运</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BF2B8C">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8E0C99">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项</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E1EC57">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CEE3D6">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14:paraId="0B0820E4">
        <w:tblPrEx>
          <w:tblCellMar>
            <w:top w:w="0" w:type="dxa"/>
            <w:left w:w="0" w:type="dxa"/>
            <w:bottom w:w="0" w:type="dxa"/>
            <w:right w:w="0" w:type="dxa"/>
          </w:tblCellMar>
        </w:tblPrEx>
        <w:trPr>
          <w:trHeight w:val="370"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5443E0">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b w:val="0"/>
                <w:bCs w:val="0"/>
                <w:i w:val="0"/>
                <w:iCs w:val="0"/>
                <w:color w:val="auto"/>
                <w:kern w:val="0"/>
                <w:sz w:val="18"/>
                <w:szCs w:val="18"/>
                <w:highlight w:val="none"/>
                <w:u w:val="none"/>
                <w:lang w:val="en-US" w:eastAsia="zh-CN" w:bidi="ar"/>
              </w:rPr>
              <w:t>6</w:t>
            </w:r>
          </w:p>
        </w:tc>
        <w:tc>
          <w:tcPr>
            <w:tcW w:w="30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75D8D6">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垃圾上车费用</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8598EF">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0342AE">
            <w:pPr>
              <w:keepNext w:val="0"/>
              <w:keepLines w:val="0"/>
              <w:widowControl/>
              <w:suppressLineNumbers w:val="0"/>
              <w:jc w:val="center"/>
              <w:textAlignment w:val="center"/>
              <w:rPr>
                <w:rFonts w:hint="eastAsia" w:ascii="仿宋" w:hAnsi="仿宋" w:eastAsia="仿宋" w:cs="仿宋"/>
                <w:b w:val="0"/>
                <w:bCs w:val="0"/>
                <w:i w:val="0"/>
                <w:iCs w:val="0"/>
                <w:color w:val="auto"/>
                <w:kern w:val="0"/>
                <w:sz w:val="18"/>
                <w:szCs w:val="18"/>
                <w:highlight w:val="none"/>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项</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406757">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9AE662">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r w14:paraId="25F9087B">
        <w:tblPrEx>
          <w:tblCellMar>
            <w:top w:w="0" w:type="dxa"/>
            <w:left w:w="0" w:type="dxa"/>
            <w:bottom w:w="0" w:type="dxa"/>
            <w:right w:w="0" w:type="dxa"/>
          </w:tblCellMar>
        </w:tblPrEx>
        <w:trPr>
          <w:trHeight w:val="370" w:hRule="atLeast"/>
          <w:jc w:val="center"/>
        </w:trPr>
        <w:tc>
          <w:tcPr>
            <w:tcW w:w="8217" w:type="dxa"/>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635542">
            <w:pPr>
              <w:keepNext w:val="0"/>
              <w:keepLines w:val="0"/>
              <w:widowControl/>
              <w:suppressLineNumbers w:val="0"/>
              <w:jc w:val="center"/>
              <w:textAlignment w:val="center"/>
              <w:rPr>
                <w:rFonts w:hint="default" w:ascii="仿宋" w:hAnsi="仿宋" w:eastAsia="仿宋" w:cs="仿宋"/>
                <w:i w:val="0"/>
                <w:iCs w:val="0"/>
                <w:color w:val="auto"/>
                <w:kern w:val="0"/>
                <w:sz w:val="18"/>
                <w:szCs w:val="18"/>
                <w:highlight w:val="none"/>
                <w:u w:val="none"/>
                <w:lang w:val="en-US" w:eastAsia="zh-CN" w:bidi="ar"/>
              </w:rPr>
            </w:pPr>
            <w:r>
              <w:rPr>
                <w:rFonts w:hint="eastAsia" w:ascii="仿宋" w:hAnsi="仿宋" w:eastAsia="仿宋" w:cs="仿宋"/>
                <w:b/>
                <w:bCs/>
                <w:i w:val="0"/>
                <w:iCs w:val="0"/>
                <w:color w:val="auto"/>
                <w:kern w:val="0"/>
                <w:sz w:val="18"/>
                <w:szCs w:val="18"/>
                <w:highlight w:val="none"/>
                <w:u w:val="none"/>
                <w:lang w:val="en-US" w:eastAsia="zh-CN" w:bidi="ar"/>
              </w:rPr>
              <w:t>合计：                     （人民币元）</w:t>
            </w:r>
          </w:p>
        </w:tc>
      </w:tr>
      <w:tr w14:paraId="15269C93">
        <w:tblPrEx>
          <w:tblCellMar>
            <w:top w:w="0" w:type="dxa"/>
            <w:left w:w="0" w:type="dxa"/>
            <w:bottom w:w="0" w:type="dxa"/>
            <w:right w:w="0" w:type="dxa"/>
          </w:tblCellMar>
        </w:tblPrEx>
        <w:trPr>
          <w:trHeight w:val="1535" w:hRule="atLeast"/>
          <w:jc w:val="center"/>
        </w:trPr>
        <w:tc>
          <w:tcPr>
            <w:tcW w:w="8217" w:type="dxa"/>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29385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响应报价</w:t>
            </w:r>
            <w:r>
              <w:rPr>
                <w:rFonts w:hint="eastAsia" w:ascii="仿宋" w:hAnsi="仿宋" w:eastAsia="仿宋" w:cs="仿宋"/>
                <w:b/>
                <w:bCs/>
                <w:color w:val="auto"/>
                <w:sz w:val="21"/>
                <w:szCs w:val="21"/>
                <w:highlight w:val="none"/>
              </w:rPr>
              <w:t>（人民币元）</w:t>
            </w:r>
          </w:p>
          <w:p w14:paraId="0998FA5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color w:val="auto"/>
                <w:sz w:val="21"/>
                <w:szCs w:val="21"/>
                <w:highlight w:val="none"/>
              </w:rPr>
            </w:pPr>
          </w:p>
          <w:p w14:paraId="2898087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小写：_________________________</w:t>
            </w:r>
          </w:p>
          <w:p w14:paraId="1DEB8F8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color w:val="auto"/>
                <w:sz w:val="21"/>
                <w:szCs w:val="21"/>
                <w:highlight w:val="none"/>
              </w:rPr>
            </w:pPr>
          </w:p>
          <w:p w14:paraId="40910F37">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大写：_________________________</w:t>
            </w:r>
          </w:p>
          <w:p w14:paraId="29447EAB">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lang w:val="en-US" w:eastAsia="zh-CN" w:bidi="ar"/>
              </w:rPr>
            </w:pPr>
          </w:p>
        </w:tc>
      </w:tr>
    </w:tbl>
    <w:p w14:paraId="6F839D7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bCs/>
          <w:color w:val="auto"/>
          <w:spacing w:val="-6"/>
          <w:sz w:val="21"/>
          <w:szCs w:val="21"/>
          <w:highlight w:val="none"/>
          <w:lang w:val="en-US" w:eastAsia="zh-CN"/>
        </w:rPr>
      </w:pPr>
      <w:r>
        <w:rPr>
          <w:rFonts w:hint="eastAsia" w:ascii="仿宋" w:hAnsi="仿宋" w:eastAsia="仿宋" w:cs="仿宋"/>
          <w:b/>
          <w:bCs/>
          <w:color w:val="auto"/>
          <w:spacing w:val="-6"/>
          <w:sz w:val="21"/>
          <w:szCs w:val="21"/>
          <w:highlight w:val="none"/>
          <w:lang w:val="en-US" w:eastAsia="zh-CN"/>
        </w:rPr>
        <w:t>注：1.有关本项目实施所涉及的一切费用均计入报价，不得出现“0元”“免费赠送”等形式的无偿报价，否则视为响应文件含有采购人不能接受的附加条件；</w:t>
      </w:r>
    </w:p>
    <w:p w14:paraId="7A66F76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bCs/>
          <w:color w:val="auto"/>
          <w:spacing w:val="-6"/>
          <w:sz w:val="21"/>
          <w:szCs w:val="21"/>
          <w:highlight w:val="none"/>
          <w:lang w:val="en-US" w:eastAsia="zh-CN"/>
        </w:rPr>
      </w:pPr>
      <w:r>
        <w:rPr>
          <w:rFonts w:hint="eastAsia" w:ascii="仿宋" w:hAnsi="仿宋" w:eastAsia="仿宋" w:cs="仿宋"/>
          <w:b/>
          <w:bCs/>
          <w:color w:val="auto"/>
          <w:spacing w:val="-6"/>
          <w:sz w:val="21"/>
          <w:szCs w:val="21"/>
          <w:highlight w:val="none"/>
          <w:lang w:val="en-US" w:eastAsia="zh-CN"/>
        </w:rPr>
        <w:t>▲2.采购人将以合同形式有偿取得服务，不接受供应商给予的回扣或者与采购无关的其他服务。</w:t>
      </w:r>
    </w:p>
    <w:p w14:paraId="675B5B7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highlight w:val="none"/>
          <w:lang w:val="en-US" w:eastAsia="zh-CN"/>
        </w:rPr>
      </w:pPr>
      <w:r>
        <w:rPr>
          <w:rFonts w:hint="eastAsia" w:ascii="仿宋" w:hAnsi="仿宋" w:eastAsia="仿宋" w:cs="仿宋"/>
          <w:b/>
          <w:bCs/>
          <w:color w:val="auto"/>
          <w:spacing w:val="-6"/>
          <w:sz w:val="21"/>
          <w:szCs w:val="21"/>
          <w:highlight w:val="none"/>
          <w:lang w:val="en-US" w:eastAsia="zh-CN"/>
        </w:rPr>
        <w:t>3.在最终报价环节中，《报价明细表》需以附件形式上传，最终报价金额需与报价明细表合价保持一致。</w:t>
      </w:r>
    </w:p>
    <w:p w14:paraId="6560861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bCs/>
          <w:color w:val="auto"/>
          <w:spacing w:val="-6"/>
          <w:sz w:val="21"/>
          <w:szCs w:val="21"/>
          <w:highlight w:val="none"/>
        </w:rPr>
      </w:pPr>
    </w:p>
    <w:p w14:paraId="531FE63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bCs/>
          <w:color w:val="auto"/>
          <w:spacing w:val="-6"/>
          <w:sz w:val="21"/>
          <w:szCs w:val="21"/>
          <w:highlight w:val="none"/>
        </w:rPr>
      </w:pPr>
    </w:p>
    <w:p w14:paraId="7EB13EF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供应商名称（电子签名/公章）：</w:t>
      </w:r>
    </w:p>
    <w:p w14:paraId="0ED7C734">
      <w:pPr>
        <w:pStyle w:val="13"/>
        <w:rPr>
          <w:rFonts w:hint="eastAsia" w:eastAsia="宋体"/>
          <w:highlight w:val="none"/>
          <w:lang w:val="en-US" w:eastAsia="zh-CN"/>
        </w:rPr>
        <w:sectPr>
          <w:pgSz w:w="11906" w:h="16838"/>
          <w:pgMar w:top="1247" w:right="1247" w:bottom="1247" w:left="1247" w:header="142" w:footer="725" w:gutter="0"/>
          <w:pgNumType w:start="73"/>
          <w:cols w:space="425" w:num="1"/>
          <w:docGrid w:type="lines" w:linePitch="312" w:charSpace="0"/>
        </w:sectPr>
      </w:pPr>
      <w:r>
        <w:rPr>
          <w:rFonts w:hint="eastAsia" w:ascii="仿宋" w:hAnsi="仿宋" w:eastAsia="仿宋" w:cs="仿宋"/>
          <w:b/>
          <w:bCs/>
          <w:color w:val="auto"/>
          <w:spacing w:val="-6"/>
          <w:sz w:val="21"/>
          <w:szCs w:val="21"/>
          <w:highlight w:val="none"/>
        </w:rPr>
        <w:t>日期：     年   月   日</w:t>
      </w:r>
    </w:p>
    <w:p w14:paraId="1283CD64">
      <w:pPr>
        <w:adjustRightInd w:val="0"/>
        <w:snapToGrid w:val="0"/>
        <w:spacing w:line="288" w:lineRule="auto"/>
        <w:rPr>
          <w:color w:val="auto"/>
          <w:highlight w:val="none"/>
        </w:rPr>
      </w:pPr>
    </w:p>
    <w:p w14:paraId="656B3996">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商务和技术文件</w:t>
      </w:r>
    </w:p>
    <w:p w14:paraId="5D8D1B8A">
      <w:pPr>
        <w:adjustRightInd w:val="0"/>
        <w:snapToGrid w:val="0"/>
        <w:spacing w:line="288" w:lineRule="auto"/>
        <w:rPr>
          <w:color w:val="auto"/>
          <w:highlight w:val="none"/>
        </w:rPr>
      </w:pPr>
      <w:r>
        <w:rPr>
          <w:rFonts w:hint="eastAsia"/>
          <w:color w:val="auto"/>
          <w:highlight w:val="none"/>
        </w:rPr>
        <w:br w:type="page"/>
      </w:r>
    </w:p>
    <w:p w14:paraId="09665421">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（1）响应函</w:t>
      </w:r>
    </w:p>
    <w:p w14:paraId="35B6250B">
      <w:pPr>
        <w:adjustRightInd w:val="0"/>
        <w:snapToGrid w:val="0"/>
        <w:spacing w:line="288" w:lineRule="auto"/>
        <w:rPr>
          <w:color w:val="auto"/>
          <w:sz w:val="21"/>
          <w:szCs w:val="21"/>
          <w:highlight w:val="none"/>
        </w:rPr>
      </w:pPr>
    </w:p>
    <w:p w14:paraId="27B7F389">
      <w:pPr>
        <w:adjustRightInd w:val="0"/>
        <w:snapToGrid w:val="0"/>
        <w:spacing w:line="288" w:lineRule="auto"/>
        <w:rPr>
          <w:rFonts w:hint="eastAsia" w:eastAsia="宋体"/>
          <w:b/>
          <w:bCs/>
          <w:color w:val="auto"/>
          <w:sz w:val="21"/>
          <w:szCs w:val="21"/>
          <w:highlight w:val="none"/>
          <w:lang w:eastAsia="zh-CN"/>
        </w:rPr>
      </w:pPr>
      <w:r>
        <w:rPr>
          <w:rFonts w:hint="eastAsia"/>
          <w:b/>
          <w:bCs/>
          <w:color w:val="auto"/>
          <w:sz w:val="21"/>
          <w:szCs w:val="21"/>
          <w:highlight w:val="none"/>
        </w:rPr>
        <w:t>致：</w:t>
      </w:r>
      <w:r>
        <w:rPr>
          <w:rFonts w:hint="eastAsia"/>
          <w:b/>
          <w:bCs/>
          <w:color w:val="auto"/>
          <w:sz w:val="21"/>
          <w:szCs w:val="21"/>
          <w:highlight w:val="none"/>
          <w:lang w:eastAsia="zh-CN"/>
        </w:rPr>
        <w:t>浙江省文化馆</w:t>
      </w:r>
      <w:r>
        <w:rPr>
          <w:rFonts w:hint="eastAsia"/>
          <w:b/>
          <w:bCs/>
          <w:color w:val="auto"/>
          <w:sz w:val="21"/>
          <w:szCs w:val="21"/>
          <w:highlight w:val="none"/>
        </w:rPr>
        <w:t>、</w:t>
      </w:r>
      <w:r>
        <w:rPr>
          <w:rFonts w:hint="eastAsia"/>
          <w:b/>
          <w:bCs/>
          <w:color w:val="auto"/>
          <w:sz w:val="21"/>
          <w:szCs w:val="21"/>
          <w:highlight w:val="none"/>
          <w:lang w:eastAsia="zh-CN"/>
        </w:rPr>
        <w:t>建经投资咨询有限公司</w:t>
      </w:r>
    </w:p>
    <w:p w14:paraId="57068EC2">
      <w:pPr>
        <w:adjustRightInd w:val="0"/>
        <w:snapToGrid w:val="0"/>
        <w:spacing w:line="288" w:lineRule="auto"/>
        <w:rPr>
          <w:rFonts w:cs="Times New Roman"/>
          <w:color w:val="auto"/>
          <w:spacing w:val="-6"/>
          <w:sz w:val="21"/>
          <w:szCs w:val="21"/>
          <w:highlight w:val="none"/>
        </w:rPr>
      </w:pPr>
    </w:p>
    <w:p w14:paraId="319F86F6">
      <w:pPr>
        <w:adjustRightInd w:val="0"/>
        <w:snapToGrid w:val="0"/>
        <w:spacing w:line="288" w:lineRule="auto"/>
        <w:ind w:firstLine="396" w:firstLineChars="200"/>
        <w:rPr>
          <w:color w:val="auto"/>
          <w:sz w:val="21"/>
          <w:szCs w:val="21"/>
          <w:highlight w:val="none"/>
        </w:rPr>
      </w:pPr>
      <w:bookmarkStart w:id="55" w:name="_Hlk97040115"/>
      <w:r>
        <w:rPr>
          <w:rFonts w:hint="eastAsia" w:cs="Times New Roman"/>
          <w:color w:val="auto"/>
          <w:spacing w:val="-6"/>
          <w:sz w:val="21"/>
          <w:szCs w:val="21"/>
          <w:highlight w:val="none"/>
        </w:rPr>
        <w:t>我方参加</w:t>
      </w:r>
      <w:r>
        <w:rPr>
          <w:rFonts w:hint="eastAsia" w:cs="Times New Roman"/>
          <w:bCs/>
          <w:color w:val="auto"/>
          <w:spacing w:val="-6"/>
          <w:sz w:val="21"/>
          <w:szCs w:val="21"/>
          <w:highlight w:val="none"/>
          <w:u w:val="single"/>
          <w:lang w:eastAsia="zh-CN"/>
        </w:rPr>
        <w:t>浙江省文化馆小剧场楼层防水舞台墙体改造项目</w:t>
      </w:r>
      <w:r>
        <w:rPr>
          <w:rFonts w:hint="eastAsia" w:cs="Times New Roman"/>
          <w:color w:val="auto"/>
          <w:spacing w:val="-6"/>
          <w:sz w:val="21"/>
          <w:szCs w:val="21"/>
          <w:highlight w:val="none"/>
          <w:u w:val="single"/>
        </w:rPr>
        <w:t>（项目编号</w:t>
      </w:r>
      <w:r>
        <w:rPr>
          <w:rFonts w:hint="eastAsia" w:cs="Times New Roman"/>
          <w:bCs/>
          <w:color w:val="auto"/>
          <w:spacing w:val="-6"/>
          <w:sz w:val="21"/>
          <w:szCs w:val="21"/>
          <w:highlight w:val="none"/>
          <w:u w:val="single"/>
        </w:rPr>
        <w:t>：</w:t>
      </w:r>
      <w:r>
        <w:rPr>
          <w:rFonts w:hint="eastAsia" w:cs="Times New Roman"/>
          <w:bCs/>
          <w:color w:val="auto"/>
          <w:spacing w:val="-6"/>
          <w:sz w:val="21"/>
          <w:szCs w:val="21"/>
          <w:highlight w:val="none"/>
          <w:u w:val="single"/>
          <w:lang w:eastAsia="zh-CN"/>
        </w:rPr>
        <w:t xml:space="preserve">JJHZ240923598 </w:t>
      </w:r>
      <w:r>
        <w:rPr>
          <w:rFonts w:hint="eastAsia" w:cs="Times New Roman"/>
          <w:bCs/>
          <w:color w:val="auto"/>
          <w:spacing w:val="-6"/>
          <w:sz w:val="21"/>
          <w:szCs w:val="21"/>
          <w:highlight w:val="none"/>
          <w:u w:val="single"/>
        </w:rPr>
        <w:t xml:space="preserve">  </w:t>
      </w:r>
      <w:r>
        <w:rPr>
          <w:rFonts w:hint="eastAsia" w:cs="Times New Roman"/>
          <w:color w:val="auto"/>
          <w:spacing w:val="-6"/>
          <w:sz w:val="21"/>
          <w:szCs w:val="21"/>
          <w:highlight w:val="none"/>
          <w:u w:val="single"/>
        </w:rPr>
        <w:t>）</w:t>
      </w:r>
      <w:r>
        <w:rPr>
          <w:rFonts w:hint="eastAsia" w:cs="Times New Roman"/>
          <w:color w:val="auto"/>
          <w:spacing w:val="-6"/>
          <w:sz w:val="21"/>
          <w:szCs w:val="21"/>
          <w:highlight w:val="none"/>
        </w:rPr>
        <w:t>项目，为此，我方提交电子加密响应文件一份、以介质（U盘）存储的数据电文形式的</w:t>
      </w:r>
      <w:r>
        <w:rPr>
          <w:rFonts w:hint="eastAsia" w:cs="Times New Roman"/>
          <w:color w:val="auto"/>
          <w:spacing w:val="-6"/>
          <w:sz w:val="21"/>
          <w:szCs w:val="21"/>
          <w:highlight w:val="none"/>
          <w:u w:val="single"/>
        </w:rPr>
        <w:t xml:space="preserve">备份响应文件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份</w:t>
      </w:r>
      <w:r>
        <w:rPr>
          <w:rFonts w:hint="eastAsia" w:cs="Times New Roman"/>
          <w:color w:val="auto"/>
          <w:spacing w:val="-6"/>
          <w:sz w:val="21"/>
          <w:szCs w:val="21"/>
          <w:highlight w:val="none"/>
        </w:rPr>
        <w:t>。宣布同意如下：</w:t>
      </w:r>
    </w:p>
    <w:bookmarkEnd w:id="55"/>
    <w:p w14:paraId="5009671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14:paraId="13C450B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2.我方在磋商响应之前已经与贵方进行了充分的沟通，完全理解并接受磋商文件的各项规定和要求，对磋商文件的合理性、合法性不再有异议。</w:t>
      </w:r>
    </w:p>
    <w:p w14:paraId="6D587BC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3.响应有效期自提交响应文件的截止之日起</w:t>
      </w:r>
      <w:r>
        <w:rPr>
          <w:rFonts w:hint="eastAsia"/>
          <w:color w:val="auto"/>
          <w:sz w:val="21"/>
          <w:szCs w:val="21"/>
          <w:highlight w:val="none"/>
          <w:u w:val="single"/>
        </w:rPr>
        <w:t>90</w:t>
      </w:r>
      <w:r>
        <w:rPr>
          <w:rFonts w:hint="eastAsia"/>
          <w:color w:val="auto"/>
          <w:sz w:val="21"/>
          <w:szCs w:val="21"/>
          <w:highlight w:val="none"/>
        </w:rPr>
        <w:t>天。</w:t>
      </w:r>
    </w:p>
    <w:p w14:paraId="769072B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14:paraId="1E8D4A4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5.我方同意按照贵方要求提供与磋商有关的一切数据或资料。</w:t>
      </w:r>
    </w:p>
    <w:p w14:paraId="2D66FBA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6.与本磋商有关的一切正式往来信函联系：</w:t>
      </w:r>
    </w:p>
    <w:tbl>
      <w:tblPr>
        <w:tblStyle w:val="3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36C4B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2D2080B">
            <w:pPr>
              <w:adjustRightInd w:val="0"/>
              <w:snapToGrid w:val="0"/>
              <w:spacing w:line="288" w:lineRule="auto"/>
              <w:rPr>
                <w:rFonts w:cs="Times New Roman"/>
                <w:color w:val="auto"/>
                <w:spacing w:val="-6"/>
                <w:kern w:val="0"/>
                <w:sz w:val="21"/>
                <w:szCs w:val="21"/>
                <w:highlight w:val="none"/>
              </w:rPr>
            </w:pPr>
            <w:bookmarkStart w:id="56" w:name="_Hlk97040154"/>
            <w:r>
              <w:rPr>
                <w:rFonts w:hint="eastAsia" w:cs="Times New Roman"/>
                <w:color w:val="auto"/>
                <w:spacing w:val="-6"/>
                <w:kern w:val="0"/>
                <w:sz w:val="21"/>
                <w:szCs w:val="21"/>
                <w:highlight w:val="none"/>
              </w:rPr>
              <w:t>联系人：</w:t>
            </w:r>
          </w:p>
        </w:tc>
        <w:tc>
          <w:tcPr>
            <w:tcW w:w="6808" w:type="dxa"/>
          </w:tcPr>
          <w:p w14:paraId="2E8B72ED">
            <w:pPr>
              <w:adjustRightInd w:val="0"/>
              <w:snapToGrid w:val="0"/>
              <w:spacing w:line="288" w:lineRule="auto"/>
              <w:rPr>
                <w:rFonts w:cs="Times New Roman"/>
                <w:color w:val="auto"/>
                <w:spacing w:val="-6"/>
                <w:kern w:val="0"/>
                <w:sz w:val="21"/>
                <w:szCs w:val="21"/>
                <w:highlight w:val="none"/>
              </w:rPr>
            </w:pPr>
          </w:p>
        </w:tc>
      </w:tr>
      <w:tr w14:paraId="01A7B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14:paraId="345149B7">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职务：</w:t>
            </w:r>
          </w:p>
        </w:tc>
        <w:tc>
          <w:tcPr>
            <w:tcW w:w="6808" w:type="dxa"/>
          </w:tcPr>
          <w:p w14:paraId="2D85D0CA">
            <w:pPr>
              <w:adjustRightInd w:val="0"/>
              <w:snapToGrid w:val="0"/>
              <w:spacing w:line="288" w:lineRule="auto"/>
              <w:rPr>
                <w:rFonts w:cs="Times New Roman"/>
                <w:color w:val="auto"/>
                <w:spacing w:val="-6"/>
                <w:kern w:val="0"/>
                <w:sz w:val="21"/>
                <w:szCs w:val="21"/>
                <w:highlight w:val="none"/>
              </w:rPr>
            </w:pPr>
          </w:p>
        </w:tc>
      </w:tr>
      <w:tr w14:paraId="467A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93EEC47">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手机：</w:t>
            </w:r>
          </w:p>
        </w:tc>
        <w:tc>
          <w:tcPr>
            <w:tcW w:w="6808" w:type="dxa"/>
          </w:tcPr>
          <w:p w14:paraId="1DFB2302">
            <w:pPr>
              <w:adjustRightInd w:val="0"/>
              <w:snapToGrid w:val="0"/>
              <w:spacing w:line="288" w:lineRule="auto"/>
              <w:rPr>
                <w:rFonts w:cs="Times New Roman"/>
                <w:color w:val="auto"/>
                <w:spacing w:val="-6"/>
                <w:kern w:val="0"/>
                <w:sz w:val="21"/>
                <w:szCs w:val="21"/>
                <w:highlight w:val="none"/>
              </w:rPr>
            </w:pPr>
          </w:p>
        </w:tc>
      </w:tr>
      <w:tr w14:paraId="4C63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E27B83C">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电子邮箱：</w:t>
            </w:r>
          </w:p>
        </w:tc>
        <w:tc>
          <w:tcPr>
            <w:tcW w:w="6808" w:type="dxa"/>
          </w:tcPr>
          <w:p w14:paraId="04D3CCC9">
            <w:pPr>
              <w:adjustRightInd w:val="0"/>
              <w:snapToGrid w:val="0"/>
              <w:spacing w:line="288" w:lineRule="auto"/>
              <w:rPr>
                <w:rFonts w:cs="Times New Roman"/>
                <w:color w:val="auto"/>
                <w:spacing w:val="-6"/>
                <w:kern w:val="0"/>
                <w:sz w:val="21"/>
                <w:szCs w:val="21"/>
                <w:highlight w:val="none"/>
              </w:rPr>
            </w:pPr>
          </w:p>
        </w:tc>
      </w:tr>
      <w:tr w14:paraId="5D188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350B253">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地址：</w:t>
            </w:r>
          </w:p>
        </w:tc>
        <w:tc>
          <w:tcPr>
            <w:tcW w:w="6808" w:type="dxa"/>
          </w:tcPr>
          <w:p w14:paraId="39D5E0A9">
            <w:pPr>
              <w:adjustRightInd w:val="0"/>
              <w:snapToGrid w:val="0"/>
              <w:spacing w:line="288" w:lineRule="auto"/>
              <w:rPr>
                <w:rFonts w:cs="Times New Roman"/>
                <w:color w:val="auto"/>
                <w:spacing w:val="-6"/>
                <w:kern w:val="0"/>
                <w:sz w:val="21"/>
                <w:szCs w:val="21"/>
                <w:highlight w:val="none"/>
              </w:rPr>
            </w:pPr>
          </w:p>
        </w:tc>
      </w:tr>
      <w:tr w14:paraId="0DD2A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17EED84">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开户银行：</w:t>
            </w:r>
          </w:p>
        </w:tc>
        <w:tc>
          <w:tcPr>
            <w:tcW w:w="6808" w:type="dxa"/>
          </w:tcPr>
          <w:p w14:paraId="4D6A9B3F">
            <w:pPr>
              <w:adjustRightInd w:val="0"/>
              <w:snapToGrid w:val="0"/>
              <w:spacing w:line="288" w:lineRule="auto"/>
              <w:rPr>
                <w:rFonts w:cs="Times New Roman"/>
                <w:color w:val="auto"/>
                <w:spacing w:val="-6"/>
                <w:kern w:val="0"/>
                <w:sz w:val="21"/>
                <w:szCs w:val="21"/>
                <w:highlight w:val="none"/>
              </w:rPr>
            </w:pPr>
          </w:p>
        </w:tc>
      </w:tr>
      <w:tr w14:paraId="25FC4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531F14A">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银行账号：</w:t>
            </w:r>
          </w:p>
        </w:tc>
        <w:tc>
          <w:tcPr>
            <w:tcW w:w="6808" w:type="dxa"/>
          </w:tcPr>
          <w:p w14:paraId="48029433">
            <w:pPr>
              <w:adjustRightInd w:val="0"/>
              <w:snapToGrid w:val="0"/>
              <w:spacing w:line="288" w:lineRule="auto"/>
              <w:rPr>
                <w:rFonts w:cs="Times New Roman"/>
                <w:color w:val="auto"/>
                <w:spacing w:val="-6"/>
                <w:kern w:val="0"/>
                <w:sz w:val="21"/>
                <w:szCs w:val="21"/>
                <w:highlight w:val="none"/>
              </w:rPr>
            </w:pPr>
          </w:p>
        </w:tc>
      </w:tr>
      <w:bookmarkEnd w:id="56"/>
    </w:tbl>
    <w:p w14:paraId="5B25EF53">
      <w:pPr>
        <w:adjustRightInd w:val="0"/>
        <w:snapToGrid w:val="0"/>
        <w:spacing w:line="288" w:lineRule="auto"/>
        <w:rPr>
          <w:color w:val="auto"/>
          <w:sz w:val="21"/>
          <w:szCs w:val="21"/>
          <w:highlight w:val="none"/>
        </w:rPr>
      </w:pPr>
    </w:p>
    <w:p w14:paraId="595B350B">
      <w:pPr>
        <w:adjustRightInd w:val="0"/>
        <w:snapToGrid w:val="0"/>
        <w:spacing w:line="288" w:lineRule="auto"/>
        <w:rPr>
          <w:color w:val="auto"/>
          <w:sz w:val="21"/>
          <w:szCs w:val="21"/>
          <w:highlight w:val="none"/>
        </w:rPr>
      </w:pPr>
    </w:p>
    <w:p w14:paraId="1B0EC46F">
      <w:pPr>
        <w:adjustRightInd w:val="0"/>
        <w:snapToGrid w:val="0"/>
        <w:spacing w:line="288" w:lineRule="auto"/>
        <w:rPr>
          <w:rFonts w:cs="Times New Roman"/>
          <w:b/>
          <w:bCs/>
          <w:color w:val="auto"/>
          <w:spacing w:val="-6"/>
          <w:sz w:val="21"/>
          <w:szCs w:val="21"/>
          <w:highlight w:val="none"/>
        </w:rPr>
      </w:pPr>
      <w:bookmarkStart w:id="57" w:name="_Hlk97040160"/>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20929D35">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bookmarkEnd w:id="57"/>
    <w:p w14:paraId="33A5CDA6">
      <w:pPr>
        <w:widowControl/>
        <w:adjustRightInd w:val="0"/>
        <w:snapToGrid w:val="0"/>
        <w:spacing w:line="288" w:lineRule="auto"/>
        <w:jc w:val="left"/>
        <w:rPr>
          <w:color w:val="auto"/>
          <w:sz w:val="21"/>
          <w:szCs w:val="21"/>
          <w:highlight w:val="none"/>
        </w:rPr>
      </w:pPr>
      <w:r>
        <w:rPr>
          <w:color w:val="auto"/>
          <w:sz w:val="21"/>
          <w:szCs w:val="21"/>
          <w:highlight w:val="none"/>
        </w:rPr>
        <w:br w:type="page"/>
      </w:r>
    </w:p>
    <w:p w14:paraId="7ACF3982">
      <w:pPr>
        <w:adjustRightInd w:val="0"/>
        <w:snapToGrid w:val="0"/>
        <w:spacing w:line="288" w:lineRule="auto"/>
        <w:ind w:firstLine="498" w:firstLineChars="236"/>
        <w:jc w:val="center"/>
        <w:outlineLvl w:val="2"/>
        <w:rPr>
          <w:rFonts w:cs="Times New Roman"/>
          <w:b/>
          <w:bCs/>
          <w:color w:val="auto"/>
          <w:sz w:val="21"/>
          <w:szCs w:val="21"/>
          <w:highlight w:val="none"/>
        </w:rPr>
      </w:pPr>
      <w:bookmarkStart w:id="58" w:name="_Hlk97040253"/>
      <w:r>
        <w:rPr>
          <w:rFonts w:hint="eastAsia" w:cs="Times New Roman"/>
          <w:b/>
          <w:bCs/>
          <w:color w:val="auto"/>
          <w:sz w:val="21"/>
          <w:szCs w:val="21"/>
          <w:highlight w:val="none"/>
        </w:rPr>
        <w:t>（</w:t>
      </w:r>
      <w:r>
        <w:rPr>
          <w:rFonts w:cs="Times New Roman"/>
          <w:b/>
          <w:bCs/>
          <w:color w:val="auto"/>
          <w:sz w:val="21"/>
          <w:szCs w:val="21"/>
          <w:highlight w:val="none"/>
        </w:rPr>
        <w:t>2</w:t>
      </w:r>
      <w:r>
        <w:rPr>
          <w:rFonts w:hint="eastAsia" w:cs="Times New Roman"/>
          <w:b/>
          <w:bCs/>
          <w:color w:val="auto"/>
          <w:sz w:val="21"/>
          <w:szCs w:val="21"/>
          <w:highlight w:val="none"/>
        </w:rPr>
        <w:t>）授权委托书</w:t>
      </w:r>
    </w:p>
    <w:p w14:paraId="7ADE391E">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致：</w:t>
      </w:r>
      <w:r>
        <w:rPr>
          <w:rFonts w:hint="eastAsia"/>
          <w:color w:val="auto"/>
          <w:sz w:val="21"/>
          <w:szCs w:val="21"/>
          <w:highlight w:val="none"/>
          <w:lang w:eastAsia="zh-CN"/>
        </w:rPr>
        <w:t>浙江省文化馆</w:t>
      </w:r>
      <w:r>
        <w:rPr>
          <w:rFonts w:hint="eastAsia"/>
          <w:color w:val="auto"/>
          <w:sz w:val="21"/>
          <w:szCs w:val="21"/>
          <w:highlight w:val="none"/>
        </w:rPr>
        <w:t>、</w:t>
      </w:r>
      <w:r>
        <w:rPr>
          <w:rFonts w:hint="eastAsia"/>
          <w:color w:val="auto"/>
          <w:sz w:val="21"/>
          <w:szCs w:val="21"/>
          <w:highlight w:val="none"/>
          <w:lang w:eastAsia="zh-CN"/>
        </w:rPr>
        <w:t>建经投资咨询有限公司</w:t>
      </w:r>
    </w:p>
    <w:p w14:paraId="3A422EB5">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现授权委托：</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（授权代表姓名）（身份证号码：</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，手机：</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）以我方的名义参加</w:t>
      </w:r>
      <w:r>
        <w:rPr>
          <w:rFonts w:hint="eastAsia" w:cs="Times New Roman"/>
          <w:bCs/>
          <w:color w:val="auto"/>
          <w:spacing w:val="-6"/>
          <w:sz w:val="21"/>
          <w:szCs w:val="21"/>
          <w:highlight w:val="none"/>
          <w:lang w:eastAsia="zh-CN"/>
        </w:rPr>
        <w:t>浙江省文化馆小剧场楼层防水舞台墙体改造项目</w:t>
      </w:r>
      <w:r>
        <w:rPr>
          <w:rFonts w:hint="eastAsia" w:cs="Times New Roman"/>
          <w:bCs/>
          <w:color w:val="auto"/>
          <w:spacing w:val="-6"/>
          <w:sz w:val="21"/>
          <w:szCs w:val="21"/>
          <w:highlight w:val="none"/>
        </w:rPr>
        <w:t>标项</w:t>
      </w:r>
      <w:r>
        <w:rPr>
          <w:rFonts w:hint="eastAsia" w:cs="Times New Roman"/>
          <w:bCs/>
          <w:color w:val="auto"/>
          <w:spacing w:val="-6"/>
          <w:sz w:val="21"/>
          <w:szCs w:val="21"/>
          <w:highlight w:val="none"/>
          <w:u w:val="single"/>
        </w:rPr>
        <w:t xml:space="preserve">  </w:t>
      </w:r>
      <w:r>
        <w:rPr>
          <w:rFonts w:cs="Times New Roman"/>
          <w:bCs/>
          <w:color w:val="auto"/>
          <w:spacing w:val="-6"/>
          <w:sz w:val="21"/>
          <w:szCs w:val="21"/>
          <w:highlight w:val="none"/>
          <w:u w:val="single"/>
        </w:rPr>
        <w:t xml:space="preserve"> </w:t>
      </w:r>
      <w:r>
        <w:rPr>
          <w:rFonts w:hint="eastAsia" w:cs="Times New Roman"/>
          <w:bCs/>
          <w:color w:val="auto"/>
          <w:spacing w:val="-6"/>
          <w:sz w:val="21"/>
          <w:szCs w:val="21"/>
          <w:highlight w:val="none"/>
          <w:u w:val="single"/>
        </w:rPr>
        <w:t xml:space="preserve"> </w:t>
      </w:r>
      <w:r>
        <w:rPr>
          <w:rFonts w:hint="eastAsia" w:cs="Times New Roman"/>
          <w:color w:val="auto"/>
          <w:spacing w:val="-6"/>
          <w:sz w:val="21"/>
          <w:szCs w:val="21"/>
          <w:highlight w:val="none"/>
        </w:rPr>
        <w:t>的</w:t>
      </w:r>
      <w:bookmarkEnd w:id="58"/>
      <w:r>
        <w:rPr>
          <w:rFonts w:hint="eastAsia" w:cs="Times New Roman"/>
          <w:color w:val="auto"/>
          <w:spacing w:val="-6"/>
          <w:sz w:val="21"/>
          <w:szCs w:val="21"/>
          <w:highlight w:val="none"/>
        </w:rPr>
        <w:t>的采购活动，并代表我方全权办理针对上述项目的响应、评审、签约等具体事务和签署相关文件。</w:t>
      </w:r>
    </w:p>
    <w:p w14:paraId="1806A482">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我方对被授权人的签名负全部责任。</w:t>
      </w:r>
    </w:p>
    <w:p w14:paraId="51E1BF08">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在撤销授权的书面通知以前，本授权书一直有效。被授权人在授权书有效期内签署的所有文件不因授权的撤销而失效。</w:t>
      </w:r>
    </w:p>
    <w:p w14:paraId="5C6A6B66">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被授权人无转委托权，特此告知。</w:t>
      </w:r>
    </w:p>
    <w:p w14:paraId="79A70B8E">
      <w:pPr>
        <w:adjustRightInd w:val="0"/>
        <w:snapToGrid w:val="0"/>
        <w:spacing w:line="288" w:lineRule="auto"/>
        <w:ind w:firstLine="368" w:firstLineChars="186"/>
        <w:rPr>
          <w:rFonts w:cs="Times New Roman"/>
          <w:color w:val="auto"/>
          <w:spacing w:val="-6"/>
          <w:sz w:val="21"/>
          <w:szCs w:val="21"/>
          <w:highlight w:val="none"/>
          <w:u w:val="single"/>
        </w:rPr>
      </w:pPr>
      <w:r>
        <w:rPr>
          <w:rFonts w:hint="eastAsia" w:cs="Times New Roman"/>
          <w:color w:val="auto"/>
          <w:spacing w:val="-6"/>
          <w:sz w:val="21"/>
          <w:szCs w:val="21"/>
          <w:highlight w:val="none"/>
          <w:u w:val="single"/>
        </w:rPr>
        <w:t>▲提供授权代表社保缴纳证明（</w:t>
      </w:r>
      <w:r>
        <w:rPr>
          <w:rFonts w:hint="eastAsia" w:cs="Times New Roman"/>
          <w:color w:val="auto"/>
          <w:spacing w:val="-6"/>
          <w:sz w:val="21"/>
          <w:szCs w:val="21"/>
          <w:highlight w:val="none"/>
          <w:u w:val="single"/>
          <w:lang w:eastAsia="zh-CN"/>
        </w:rPr>
        <w:t>2023年1月（含）以后任意一月</w:t>
      </w:r>
      <w:r>
        <w:rPr>
          <w:rFonts w:hint="eastAsia" w:cs="Times New Roman"/>
          <w:color w:val="auto"/>
          <w:spacing w:val="-6"/>
          <w:sz w:val="21"/>
          <w:szCs w:val="21"/>
          <w:highlight w:val="none"/>
          <w:u w:val="single"/>
        </w:rPr>
        <w:t>）。</w:t>
      </w:r>
    </w:p>
    <w:p w14:paraId="18734F2F">
      <w:pPr>
        <w:adjustRightInd w:val="0"/>
        <w:snapToGrid w:val="0"/>
        <w:spacing w:line="288" w:lineRule="auto"/>
        <w:rPr>
          <w:rFonts w:cs="Times New Roman"/>
          <w:color w:val="auto"/>
          <w:spacing w:val="-6"/>
          <w:sz w:val="21"/>
          <w:szCs w:val="21"/>
          <w:highlight w:val="none"/>
        </w:rPr>
      </w:pPr>
    </w:p>
    <w:p w14:paraId="1AB176A6">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2521771A">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0FE2EE26">
      <w:pPr>
        <w:adjustRightInd w:val="0"/>
        <w:snapToGrid w:val="0"/>
        <w:spacing w:line="288" w:lineRule="auto"/>
        <w:rPr>
          <w:rFonts w:cs="Times New Roman"/>
          <w:color w:val="auto"/>
          <w:sz w:val="21"/>
          <w:szCs w:val="21"/>
          <w:highlight w:val="none"/>
        </w:rPr>
      </w:pPr>
    </w:p>
    <w:p w14:paraId="0FD6E925">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注：</w:t>
      </w:r>
    </w:p>
    <w:p w14:paraId="42BAF2E7">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1、供应商委派不在本单位缴纳社保的人员作为授权代表的，应当在响应文件中，说明具体原因、授权代表缴纳社保的单位，并附列该授权代表缴纳社保清单。</w:t>
      </w:r>
    </w:p>
    <w:p w14:paraId="1905662E">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2、供应商是联合体的，联合体各成员均应在“授权委托书”上盖章（电子签名</w:t>
      </w:r>
      <w:r>
        <w:rPr>
          <w:rFonts w:cs="Times New Roman"/>
          <w:color w:val="auto"/>
          <w:sz w:val="21"/>
          <w:szCs w:val="21"/>
          <w:highlight w:val="none"/>
        </w:rPr>
        <w:t>/公章）</w:t>
      </w:r>
      <w:r>
        <w:rPr>
          <w:rFonts w:hint="eastAsia" w:cs="Times New Roman"/>
          <w:color w:val="auto"/>
          <w:sz w:val="21"/>
          <w:szCs w:val="21"/>
          <w:highlight w:val="none"/>
        </w:rPr>
        <w:t>。</w:t>
      </w:r>
    </w:p>
    <w:p w14:paraId="7F2DB984">
      <w:pPr>
        <w:adjustRightInd w:val="0"/>
        <w:snapToGrid w:val="0"/>
        <w:spacing w:line="288" w:lineRule="auto"/>
        <w:rPr>
          <w:rFonts w:cs="Times New Roman"/>
          <w:color w:val="auto"/>
          <w:sz w:val="21"/>
          <w:szCs w:val="21"/>
          <w:highlight w:val="none"/>
        </w:rPr>
      </w:pPr>
    </w:p>
    <w:p w14:paraId="1832EFBF">
      <w:pPr>
        <w:adjustRightInd w:val="0"/>
        <w:snapToGrid w:val="0"/>
        <w:spacing w:line="288" w:lineRule="auto"/>
        <w:rPr>
          <w:rFonts w:cs="Times New Roman"/>
          <w:color w:val="auto"/>
          <w:sz w:val="21"/>
          <w:szCs w:val="21"/>
          <w:highlight w:val="none"/>
        </w:rPr>
      </w:pPr>
    </w:p>
    <w:p w14:paraId="75243059">
      <w:pPr>
        <w:adjustRightInd w:val="0"/>
        <w:snapToGrid w:val="0"/>
        <w:spacing w:line="288" w:lineRule="auto"/>
        <w:jc w:val="center"/>
        <w:outlineLvl w:val="2"/>
        <w:rPr>
          <w:rFonts w:cs="Times New Roman"/>
          <w:b/>
          <w:bCs/>
          <w:color w:val="auto"/>
          <w:spacing w:val="-6"/>
          <w:sz w:val="21"/>
          <w:szCs w:val="21"/>
          <w:highlight w:val="none"/>
        </w:rPr>
      </w:pPr>
      <w:r>
        <w:rPr>
          <w:rFonts w:hint="eastAsia" w:cs="Times New Roman"/>
          <w:b/>
          <w:bCs/>
          <w:color w:val="auto"/>
          <w:sz w:val="21"/>
          <w:szCs w:val="21"/>
          <w:highlight w:val="none"/>
        </w:rPr>
        <w:t>（2）法定代表人（单位负责人、自然人本人）</w:t>
      </w:r>
      <w:r>
        <w:rPr>
          <w:rFonts w:hint="eastAsia" w:cs="Times New Roman"/>
          <w:b/>
          <w:bCs/>
          <w:color w:val="auto"/>
          <w:spacing w:val="-6"/>
          <w:sz w:val="21"/>
          <w:szCs w:val="21"/>
          <w:highlight w:val="none"/>
        </w:rPr>
        <w:t>身份证明</w:t>
      </w:r>
    </w:p>
    <w:p w14:paraId="085FCEDB">
      <w:pPr>
        <w:adjustRightInd w:val="0"/>
        <w:snapToGrid w:val="0"/>
        <w:spacing w:line="288" w:lineRule="auto"/>
        <w:ind w:firstLine="495" w:firstLineChars="236"/>
        <w:jc w:val="center"/>
        <w:rPr>
          <w:rFonts w:cs="Times New Roman"/>
          <w:color w:val="auto"/>
          <w:sz w:val="21"/>
          <w:szCs w:val="21"/>
          <w:highlight w:val="none"/>
        </w:rPr>
      </w:pPr>
      <w:r>
        <w:rPr>
          <w:rFonts w:hint="eastAsia" w:cs="Times New Roman"/>
          <w:color w:val="auto"/>
          <w:sz w:val="21"/>
          <w:szCs w:val="21"/>
          <w:highlight w:val="none"/>
        </w:rPr>
        <w:t>（适用于：法定代表人（单位负责人、自然人本人）</w:t>
      </w:r>
      <w:r>
        <w:rPr>
          <w:rFonts w:hint="eastAsia" w:cs="Times New Roman"/>
          <w:color w:val="auto"/>
          <w:spacing w:val="-6"/>
          <w:sz w:val="21"/>
          <w:szCs w:val="21"/>
          <w:highlight w:val="none"/>
        </w:rPr>
        <w:t>代表供应商参加采购活动</w:t>
      </w:r>
      <w:r>
        <w:rPr>
          <w:rFonts w:hint="eastAsia" w:cs="Times New Roman"/>
          <w:color w:val="auto"/>
          <w:sz w:val="21"/>
          <w:szCs w:val="21"/>
          <w:highlight w:val="none"/>
        </w:rPr>
        <w:t>）</w:t>
      </w:r>
    </w:p>
    <w:p w14:paraId="5E8F593C">
      <w:pPr>
        <w:adjustRightInd w:val="0"/>
        <w:snapToGrid w:val="0"/>
        <w:spacing w:line="288" w:lineRule="auto"/>
        <w:jc w:val="left"/>
        <w:rPr>
          <w:rFonts w:cs="Times New Roman"/>
          <w:color w:val="auto"/>
          <w:sz w:val="21"/>
          <w:szCs w:val="21"/>
          <w:highlight w:val="none"/>
        </w:rPr>
      </w:pPr>
      <w:r>
        <w:rPr>
          <w:rFonts w:hint="eastAsia"/>
          <w:bCs/>
          <w:color w:val="auto"/>
          <w:sz w:val="21"/>
          <w:szCs w:val="21"/>
          <w:highlight w:val="none"/>
        </w:rPr>
        <w:t>身份证件复印件</w:t>
      </w:r>
    </w:p>
    <w:tbl>
      <w:tblPr>
        <w:tblStyle w:val="1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535C8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3C5F3D0C">
            <w:pPr>
              <w:adjustRightInd w:val="0"/>
              <w:snapToGrid w:val="0"/>
              <w:spacing w:line="288" w:lineRule="auto"/>
              <w:rPr>
                <w:bCs/>
                <w:color w:val="auto"/>
                <w:sz w:val="21"/>
                <w:szCs w:val="21"/>
                <w:highlight w:val="none"/>
              </w:rPr>
            </w:pPr>
            <w:r>
              <w:rPr>
                <w:rFonts w:hint="eastAsia"/>
                <w:bCs/>
                <w:color w:val="auto"/>
                <w:sz w:val="21"/>
                <w:szCs w:val="21"/>
                <w:highlight w:val="none"/>
              </w:rPr>
              <w:t>正面：</w:t>
            </w:r>
          </w:p>
        </w:tc>
        <w:tc>
          <w:tcPr>
            <w:tcW w:w="4951" w:type="dxa"/>
          </w:tcPr>
          <w:p w14:paraId="2CB5BE91">
            <w:pPr>
              <w:adjustRightInd w:val="0"/>
              <w:snapToGrid w:val="0"/>
              <w:spacing w:line="288" w:lineRule="auto"/>
              <w:rPr>
                <w:bCs/>
                <w:color w:val="auto"/>
                <w:sz w:val="21"/>
                <w:szCs w:val="21"/>
                <w:highlight w:val="none"/>
              </w:rPr>
            </w:pPr>
            <w:r>
              <w:rPr>
                <w:rFonts w:hint="eastAsia"/>
                <w:bCs/>
                <w:color w:val="auto"/>
                <w:sz w:val="21"/>
                <w:szCs w:val="21"/>
                <w:highlight w:val="none"/>
              </w:rPr>
              <w:t>反面：</w:t>
            </w:r>
          </w:p>
        </w:tc>
      </w:tr>
    </w:tbl>
    <w:p w14:paraId="1F8A0F31">
      <w:pPr>
        <w:adjustRightInd w:val="0"/>
        <w:snapToGrid w:val="0"/>
        <w:spacing w:line="288" w:lineRule="auto"/>
        <w:rPr>
          <w:rFonts w:cs="Times New Roman"/>
          <w:color w:val="auto"/>
          <w:sz w:val="21"/>
          <w:szCs w:val="21"/>
          <w:highlight w:val="none"/>
        </w:rPr>
      </w:pPr>
    </w:p>
    <w:p w14:paraId="0E759296">
      <w:pPr>
        <w:widowControl/>
        <w:adjustRightInd w:val="0"/>
        <w:snapToGrid w:val="0"/>
        <w:spacing w:line="288" w:lineRule="auto"/>
        <w:jc w:val="left"/>
        <w:rPr>
          <w:rFonts w:cs="Times New Roman"/>
          <w:color w:val="auto"/>
          <w:sz w:val="21"/>
          <w:szCs w:val="21"/>
          <w:highlight w:val="none"/>
        </w:rPr>
      </w:pPr>
      <w:r>
        <w:rPr>
          <w:rFonts w:cs="Times New Roman"/>
          <w:color w:val="auto"/>
          <w:sz w:val="21"/>
          <w:szCs w:val="21"/>
          <w:highlight w:val="none"/>
        </w:rPr>
        <w:br w:type="page"/>
      </w:r>
    </w:p>
    <w:p w14:paraId="4F85386B">
      <w:pPr>
        <w:adjustRightInd w:val="0"/>
        <w:snapToGrid w:val="0"/>
        <w:spacing w:line="288" w:lineRule="auto"/>
        <w:jc w:val="left"/>
        <w:outlineLvl w:val="2"/>
        <w:rPr>
          <w:rFonts w:cs="Times New Roman"/>
          <w:b/>
          <w:bCs/>
          <w:color w:val="auto"/>
          <w:sz w:val="21"/>
          <w:szCs w:val="21"/>
          <w:highlight w:val="none"/>
        </w:rPr>
      </w:pPr>
      <w:r>
        <w:rPr>
          <w:rFonts w:hint="eastAsia" w:cs="Times New Roman"/>
          <w:b/>
          <w:bCs/>
          <w:color w:val="auto"/>
          <w:sz w:val="21"/>
          <w:szCs w:val="21"/>
          <w:highlight w:val="none"/>
        </w:rPr>
        <w:t>附：授权代表社保缴纳证明（</w:t>
      </w:r>
      <w:r>
        <w:rPr>
          <w:rFonts w:hint="eastAsia" w:cs="Times New Roman"/>
          <w:b/>
          <w:bCs/>
          <w:color w:val="auto"/>
          <w:sz w:val="21"/>
          <w:szCs w:val="21"/>
          <w:highlight w:val="none"/>
          <w:lang w:eastAsia="zh-CN"/>
        </w:rPr>
        <w:t>2023年1月（含）以后任意一月</w:t>
      </w:r>
      <w:r>
        <w:rPr>
          <w:rFonts w:hint="eastAsia" w:cs="Times New Roman"/>
          <w:b/>
          <w:bCs/>
          <w:color w:val="auto"/>
          <w:sz w:val="21"/>
          <w:szCs w:val="21"/>
          <w:highlight w:val="none"/>
        </w:rPr>
        <w:t>）</w:t>
      </w:r>
    </w:p>
    <w:p w14:paraId="44D235FD">
      <w:pPr>
        <w:widowControl/>
        <w:jc w:val="left"/>
        <w:rPr>
          <w:color w:val="auto"/>
          <w:sz w:val="21"/>
          <w:szCs w:val="21"/>
          <w:highlight w:val="none"/>
        </w:rPr>
      </w:pPr>
      <w:r>
        <w:rPr>
          <w:color w:val="auto"/>
          <w:sz w:val="21"/>
          <w:szCs w:val="21"/>
          <w:highlight w:val="none"/>
        </w:rPr>
        <w:br w:type="page"/>
      </w:r>
    </w:p>
    <w:p w14:paraId="4F6E11F0">
      <w:pPr>
        <w:widowControl/>
        <w:jc w:val="left"/>
        <w:rPr>
          <w:color w:val="auto"/>
          <w:sz w:val="21"/>
          <w:szCs w:val="21"/>
          <w:highlight w:val="none"/>
        </w:rPr>
      </w:pPr>
    </w:p>
    <w:p w14:paraId="4CB2F4A9">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3</w:t>
      </w:r>
      <w:r>
        <w:rPr>
          <w:rFonts w:hint="eastAsia"/>
          <w:b/>
          <w:bCs/>
          <w:color w:val="auto"/>
          <w:sz w:val="21"/>
          <w:szCs w:val="21"/>
          <w:highlight w:val="none"/>
        </w:rPr>
        <w:t>）项目经理无在建工程声明函</w:t>
      </w:r>
    </w:p>
    <w:p w14:paraId="0860D462">
      <w:pPr>
        <w:pStyle w:val="17"/>
        <w:adjustRightInd w:val="0"/>
        <w:snapToGrid w:val="0"/>
        <w:spacing w:before="120" w:after="12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浙江省文化馆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建经投资咨询有限公司</w:t>
      </w:r>
      <w:r>
        <w:rPr>
          <w:rFonts w:hint="eastAsia" w:ascii="宋体" w:hAnsi="宋体" w:eastAsia="宋体" w:cs="宋体"/>
          <w:color w:val="auto"/>
          <w:sz w:val="21"/>
          <w:szCs w:val="21"/>
          <w:highlight w:val="none"/>
        </w:rPr>
        <w:t>：</w:t>
      </w:r>
    </w:p>
    <w:p w14:paraId="05C0770A">
      <w:pPr>
        <w:snapToGrid w:val="0"/>
        <w:spacing w:line="360" w:lineRule="auto"/>
        <w:ind w:firstLine="420" w:firstLineChars="200"/>
        <w:rPr>
          <w:color w:val="auto"/>
          <w:sz w:val="21"/>
          <w:szCs w:val="21"/>
          <w:highlight w:val="none"/>
          <w:u w:val="single"/>
        </w:rPr>
      </w:pPr>
      <w:r>
        <w:rPr>
          <w:rFonts w:hint="eastAsia"/>
          <w:color w:val="auto"/>
          <w:sz w:val="21"/>
          <w:szCs w:val="21"/>
          <w:highlight w:val="none"/>
        </w:rPr>
        <w:t>我方参加</w:t>
      </w:r>
      <w:r>
        <w:rPr>
          <w:rFonts w:hint="eastAsia"/>
          <w:color w:val="auto"/>
          <w:sz w:val="21"/>
          <w:szCs w:val="21"/>
          <w:highlight w:val="none"/>
          <w:u w:val="single"/>
        </w:rPr>
        <w:t xml:space="preserve"> </w:t>
      </w:r>
      <w:r>
        <w:rPr>
          <w:rFonts w:hint="eastAsia"/>
          <w:color w:val="auto"/>
          <w:sz w:val="21"/>
          <w:szCs w:val="21"/>
          <w:highlight w:val="none"/>
          <w:u w:val="single"/>
          <w:lang w:eastAsia="zh-CN"/>
        </w:rPr>
        <w:t>浙江省文化馆</w:t>
      </w:r>
      <w:r>
        <w:rPr>
          <w:rFonts w:hint="eastAsia"/>
          <w:color w:val="auto"/>
          <w:sz w:val="21"/>
          <w:szCs w:val="21"/>
          <w:highlight w:val="none"/>
        </w:rPr>
        <w:t>（采购人）</w:t>
      </w:r>
      <w:r>
        <w:rPr>
          <w:rFonts w:hint="eastAsia"/>
          <w:color w:val="auto"/>
          <w:sz w:val="21"/>
          <w:szCs w:val="21"/>
          <w:highlight w:val="none"/>
          <w:u w:val="single"/>
        </w:rPr>
        <w:t xml:space="preserve"> </w:t>
      </w:r>
      <w:r>
        <w:rPr>
          <w:rFonts w:hint="eastAsia"/>
          <w:color w:val="auto"/>
          <w:sz w:val="21"/>
          <w:szCs w:val="21"/>
          <w:highlight w:val="none"/>
          <w:u w:val="single"/>
          <w:lang w:eastAsia="zh-CN"/>
        </w:rPr>
        <w:t>小剧场楼层防水舞台墙体改造项目</w:t>
      </w:r>
      <w:r>
        <w:rPr>
          <w:rFonts w:hint="eastAsia"/>
          <w:color w:val="auto"/>
          <w:sz w:val="21"/>
          <w:szCs w:val="21"/>
          <w:highlight w:val="none"/>
        </w:rPr>
        <w:t>（项目名称）</w:t>
      </w:r>
      <w:r>
        <w:rPr>
          <w:rFonts w:hint="eastAsia"/>
          <w:color w:val="auto"/>
          <w:sz w:val="21"/>
          <w:szCs w:val="21"/>
          <w:highlight w:val="none"/>
          <w:u w:val="single"/>
        </w:rPr>
        <w:t xml:space="preserve"> </w:t>
      </w:r>
      <w:r>
        <w:rPr>
          <w:rFonts w:hint="eastAsia"/>
          <w:color w:val="auto"/>
          <w:sz w:val="21"/>
          <w:szCs w:val="21"/>
          <w:highlight w:val="none"/>
          <w:u w:val="single"/>
          <w:lang w:eastAsia="zh-CN"/>
        </w:rPr>
        <w:t xml:space="preserve">JJHZ240923598 </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color w:val="auto"/>
          <w:sz w:val="21"/>
          <w:szCs w:val="21"/>
          <w:highlight w:val="none"/>
        </w:rPr>
        <w:t>（项目编号）采购活动，拟派项目经理_</w:t>
      </w:r>
      <w:r>
        <w:rPr>
          <w:color w:val="auto"/>
          <w:sz w:val="21"/>
          <w:szCs w:val="21"/>
          <w:highlight w:val="none"/>
        </w:rPr>
        <w:t>_________________________</w:t>
      </w:r>
      <w:r>
        <w:rPr>
          <w:rFonts w:hint="eastAsia"/>
          <w:color w:val="auto"/>
          <w:sz w:val="21"/>
          <w:szCs w:val="21"/>
          <w:highlight w:val="none"/>
        </w:rPr>
        <w:t>（</w:t>
      </w:r>
      <w:r>
        <w:rPr>
          <w:rFonts w:hint="eastAsia"/>
          <w:color w:val="auto"/>
          <w:sz w:val="21"/>
          <w:szCs w:val="21"/>
          <w:highlight w:val="none"/>
          <w:u w:val="single"/>
        </w:rPr>
        <w:t>姓名及身份证号码</w:t>
      </w:r>
      <w:r>
        <w:rPr>
          <w:rFonts w:hint="eastAsia"/>
          <w:color w:val="auto"/>
          <w:sz w:val="21"/>
          <w:szCs w:val="21"/>
          <w:highlight w:val="none"/>
        </w:rPr>
        <w:t>）无在建工程。</w:t>
      </w:r>
    </w:p>
    <w:p w14:paraId="43A38064">
      <w:pPr>
        <w:snapToGrid w:val="0"/>
        <w:spacing w:line="360" w:lineRule="auto"/>
        <w:ind w:firstLine="420" w:firstLineChars="200"/>
        <w:rPr>
          <w:color w:val="auto"/>
          <w:kern w:val="0"/>
          <w:sz w:val="21"/>
          <w:szCs w:val="21"/>
          <w:highlight w:val="none"/>
        </w:rPr>
      </w:pPr>
      <w:r>
        <w:rPr>
          <w:rFonts w:hint="eastAsia"/>
          <w:color w:val="auto"/>
          <w:kern w:val="0"/>
          <w:sz w:val="21"/>
          <w:szCs w:val="21"/>
          <w:highlight w:val="none"/>
        </w:rPr>
        <w:t>本公司对上述声明的真实性负责。如有虚假，愿意承担相应法律责任，对此无任何异议。</w:t>
      </w:r>
    </w:p>
    <w:p w14:paraId="72815A49">
      <w:pPr>
        <w:snapToGrid w:val="0"/>
        <w:spacing w:line="360" w:lineRule="auto"/>
        <w:ind w:firstLine="420" w:firstLineChars="200"/>
        <w:rPr>
          <w:color w:val="auto"/>
          <w:sz w:val="21"/>
          <w:szCs w:val="21"/>
          <w:highlight w:val="none"/>
        </w:rPr>
      </w:pPr>
      <w:r>
        <w:rPr>
          <w:rFonts w:hint="eastAsia"/>
          <w:color w:val="auto"/>
          <w:sz w:val="21"/>
          <w:szCs w:val="21"/>
          <w:highlight w:val="none"/>
        </w:rPr>
        <w:t>特此声明！</w:t>
      </w:r>
    </w:p>
    <w:p w14:paraId="67719A2E">
      <w:pPr>
        <w:adjustRightInd w:val="0"/>
        <w:snapToGrid w:val="0"/>
        <w:spacing w:line="360" w:lineRule="auto"/>
        <w:ind w:firstLine="420" w:firstLineChars="200"/>
        <w:rPr>
          <w:color w:val="auto"/>
          <w:sz w:val="21"/>
          <w:szCs w:val="21"/>
          <w:highlight w:val="none"/>
        </w:rPr>
      </w:pPr>
    </w:p>
    <w:p w14:paraId="0C34B3B3">
      <w:pPr>
        <w:adjustRightInd w:val="0"/>
        <w:snapToGrid w:val="0"/>
        <w:spacing w:line="360" w:lineRule="auto"/>
        <w:ind w:firstLine="422" w:firstLineChars="200"/>
        <w:rPr>
          <w:b/>
          <w:bCs/>
          <w:color w:val="auto"/>
          <w:sz w:val="21"/>
          <w:szCs w:val="21"/>
          <w:highlight w:val="none"/>
        </w:rPr>
      </w:pPr>
      <w:r>
        <w:rPr>
          <w:rFonts w:hint="eastAsia"/>
          <w:b/>
          <w:bCs/>
          <w:color w:val="auto"/>
          <w:sz w:val="21"/>
          <w:szCs w:val="21"/>
          <w:highlight w:val="none"/>
        </w:rPr>
        <w:t>供应商全称：（加盖单位公章）</w:t>
      </w:r>
    </w:p>
    <w:p w14:paraId="5CDE9D76">
      <w:pPr>
        <w:pStyle w:val="71"/>
        <w:ind w:firstLine="420"/>
        <w:rPr>
          <w:rFonts w:ascii="宋体"/>
          <w:color w:val="auto"/>
          <w:sz w:val="21"/>
          <w:szCs w:val="21"/>
          <w:highlight w:val="none"/>
        </w:rPr>
      </w:pPr>
    </w:p>
    <w:p w14:paraId="634BA3FD">
      <w:pPr>
        <w:pStyle w:val="71"/>
        <w:ind w:firstLine="420"/>
        <w:rPr>
          <w:rFonts w:ascii="宋体"/>
          <w:color w:val="auto"/>
          <w:sz w:val="21"/>
          <w:szCs w:val="21"/>
          <w:highlight w:val="none"/>
        </w:rPr>
      </w:pPr>
    </w:p>
    <w:p w14:paraId="67DEFEDE">
      <w:pPr>
        <w:pStyle w:val="71"/>
        <w:ind w:firstLine="422"/>
        <w:rPr>
          <w:rFonts w:ascii="宋体"/>
          <w:b/>
          <w:bCs/>
          <w:color w:val="auto"/>
          <w:sz w:val="21"/>
          <w:szCs w:val="21"/>
          <w:highlight w:val="none"/>
        </w:rPr>
      </w:pPr>
      <w:r>
        <w:rPr>
          <w:rFonts w:hint="eastAsia" w:ascii="宋体"/>
          <w:b/>
          <w:bCs/>
          <w:color w:val="auto"/>
          <w:sz w:val="21"/>
          <w:szCs w:val="21"/>
          <w:highlight w:val="none"/>
        </w:rPr>
        <w:t>项目经理：（加盖项目经理执业章）</w:t>
      </w:r>
    </w:p>
    <w:p w14:paraId="70E4824E">
      <w:pPr>
        <w:pStyle w:val="14"/>
        <w:spacing w:line="360" w:lineRule="auto"/>
        <w:ind w:firstLine="404" w:firstLineChars="200"/>
        <w:jc w:val="right"/>
        <w:rPr>
          <w:rFonts w:hAnsi="宋体" w:cs="宋体"/>
          <w:color w:val="auto"/>
          <w:sz w:val="21"/>
          <w:szCs w:val="21"/>
          <w:highlight w:val="none"/>
        </w:rPr>
      </w:pPr>
    </w:p>
    <w:p w14:paraId="0967ED9D">
      <w:pPr>
        <w:pStyle w:val="14"/>
        <w:spacing w:line="360" w:lineRule="auto"/>
        <w:ind w:firstLine="404" w:firstLineChars="200"/>
        <w:jc w:val="right"/>
        <w:rPr>
          <w:rFonts w:hAnsi="宋体" w:cs="宋体"/>
          <w:color w:val="auto"/>
          <w:sz w:val="21"/>
          <w:szCs w:val="21"/>
          <w:highlight w:val="none"/>
        </w:rPr>
      </w:pPr>
    </w:p>
    <w:p w14:paraId="73135C80">
      <w:pPr>
        <w:pStyle w:val="14"/>
        <w:spacing w:line="360" w:lineRule="auto"/>
        <w:ind w:firstLine="404" w:firstLineChars="200"/>
        <w:jc w:val="right"/>
        <w:rPr>
          <w:rFonts w:hAnsi="宋体" w:cs="宋体"/>
          <w:color w:val="auto"/>
          <w:sz w:val="21"/>
          <w:szCs w:val="21"/>
          <w:highlight w:val="none"/>
        </w:rPr>
      </w:pPr>
    </w:p>
    <w:p w14:paraId="48D08ABE">
      <w:pPr>
        <w:adjustRightInd w:val="0"/>
        <w:snapToGrid w:val="0"/>
        <w:spacing w:line="360" w:lineRule="auto"/>
        <w:rPr>
          <w:color w:val="auto"/>
          <w:sz w:val="21"/>
          <w:szCs w:val="21"/>
          <w:highlight w:val="none"/>
        </w:rPr>
      </w:pPr>
      <w:r>
        <w:rPr>
          <w:rFonts w:hint="eastAsia"/>
          <w:color w:val="auto"/>
          <w:sz w:val="21"/>
          <w:szCs w:val="21"/>
          <w:highlight w:val="none"/>
        </w:rPr>
        <w:t>日期：2023年  月  日</w:t>
      </w:r>
    </w:p>
    <w:p w14:paraId="036778C3">
      <w:pPr>
        <w:widowControl/>
        <w:jc w:val="left"/>
        <w:rPr>
          <w:color w:val="auto"/>
          <w:sz w:val="21"/>
          <w:szCs w:val="21"/>
          <w:highlight w:val="none"/>
        </w:rPr>
      </w:pPr>
      <w:r>
        <w:rPr>
          <w:color w:val="auto"/>
          <w:sz w:val="21"/>
          <w:szCs w:val="21"/>
          <w:highlight w:val="none"/>
        </w:rPr>
        <w:br w:type="page"/>
      </w:r>
    </w:p>
    <w:p w14:paraId="33908D3C">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4</w:t>
      </w:r>
      <w:r>
        <w:rPr>
          <w:rFonts w:hint="eastAsia"/>
          <w:b/>
          <w:bCs/>
          <w:color w:val="auto"/>
          <w:sz w:val="21"/>
          <w:szCs w:val="21"/>
          <w:highlight w:val="none"/>
        </w:rPr>
        <w:t>）分包意向协议（如有）</w:t>
      </w:r>
    </w:p>
    <w:p w14:paraId="4B86F9B5">
      <w:pPr>
        <w:adjustRightInd w:val="0"/>
        <w:snapToGrid w:val="0"/>
        <w:spacing w:line="288" w:lineRule="auto"/>
        <w:rPr>
          <w:color w:val="auto"/>
          <w:sz w:val="21"/>
          <w:szCs w:val="21"/>
          <w:highlight w:val="none"/>
        </w:rPr>
      </w:pPr>
    </w:p>
    <w:p w14:paraId="14267677">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229B6150">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5</w:t>
      </w:r>
      <w:r>
        <w:rPr>
          <w:rFonts w:hint="eastAsia"/>
          <w:b/>
          <w:bCs/>
          <w:color w:val="auto"/>
          <w:sz w:val="21"/>
          <w:szCs w:val="21"/>
          <w:highlight w:val="none"/>
        </w:rPr>
        <w:t>）供应商同类合同一览表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14:paraId="424EC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3DF108BD">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序号</w:t>
            </w:r>
          </w:p>
        </w:tc>
        <w:tc>
          <w:tcPr>
            <w:tcW w:w="1268" w:type="dxa"/>
            <w:vAlign w:val="center"/>
          </w:tcPr>
          <w:p w14:paraId="62E909DC">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采购人</w:t>
            </w:r>
          </w:p>
        </w:tc>
        <w:tc>
          <w:tcPr>
            <w:tcW w:w="1282" w:type="dxa"/>
            <w:vAlign w:val="center"/>
          </w:tcPr>
          <w:p w14:paraId="212C168A">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项目名称</w:t>
            </w:r>
          </w:p>
        </w:tc>
        <w:tc>
          <w:tcPr>
            <w:tcW w:w="1432" w:type="dxa"/>
            <w:vAlign w:val="center"/>
          </w:tcPr>
          <w:p w14:paraId="336968E7">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数量</w:t>
            </w:r>
          </w:p>
        </w:tc>
        <w:tc>
          <w:tcPr>
            <w:tcW w:w="1256" w:type="dxa"/>
            <w:vAlign w:val="center"/>
          </w:tcPr>
          <w:p w14:paraId="6DEA254E">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合同金额</w:t>
            </w:r>
          </w:p>
          <w:p w14:paraId="4AA614CD">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（万元）</w:t>
            </w:r>
          </w:p>
        </w:tc>
        <w:tc>
          <w:tcPr>
            <w:tcW w:w="899" w:type="dxa"/>
            <w:vAlign w:val="center"/>
          </w:tcPr>
          <w:p w14:paraId="6078D2DD">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附件页码</w:t>
            </w:r>
          </w:p>
        </w:tc>
        <w:tc>
          <w:tcPr>
            <w:tcW w:w="995" w:type="dxa"/>
            <w:vAlign w:val="center"/>
          </w:tcPr>
          <w:p w14:paraId="163E52B0">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合同签订时间</w:t>
            </w:r>
          </w:p>
        </w:tc>
        <w:tc>
          <w:tcPr>
            <w:tcW w:w="1718" w:type="dxa"/>
            <w:vAlign w:val="center"/>
          </w:tcPr>
          <w:p w14:paraId="6FF6DAB7">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采购人联系人</w:t>
            </w:r>
          </w:p>
          <w:p w14:paraId="6C3181D5">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联系方式</w:t>
            </w:r>
          </w:p>
        </w:tc>
      </w:tr>
      <w:tr w14:paraId="04F3D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62A2D72F">
            <w:pPr>
              <w:adjustRightInd w:val="0"/>
              <w:snapToGrid w:val="0"/>
              <w:spacing w:line="288" w:lineRule="auto"/>
              <w:jc w:val="center"/>
              <w:rPr>
                <w:color w:val="auto"/>
                <w:kern w:val="0"/>
                <w:sz w:val="21"/>
                <w:szCs w:val="21"/>
                <w:highlight w:val="none"/>
              </w:rPr>
            </w:pPr>
          </w:p>
        </w:tc>
        <w:tc>
          <w:tcPr>
            <w:tcW w:w="1268" w:type="dxa"/>
            <w:vAlign w:val="center"/>
          </w:tcPr>
          <w:p w14:paraId="1C26229C">
            <w:pPr>
              <w:adjustRightInd w:val="0"/>
              <w:snapToGrid w:val="0"/>
              <w:spacing w:line="288" w:lineRule="auto"/>
              <w:jc w:val="center"/>
              <w:rPr>
                <w:color w:val="auto"/>
                <w:kern w:val="0"/>
                <w:sz w:val="21"/>
                <w:szCs w:val="21"/>
                <w:highlight w:val="none"/>
              </w:rPr>
            </w:pPr>
          </w:p>
        </w:tc>
        <w:tc>
          <w:tcPr>
            <w:tcW w:w="1282" w:type="dxa"/>
            <w:vAlign w:val="center"/>
          </w:tcPr>
          <w:p w14:paraId="7E0A69CC">
            <w:pPr>
              <w:adjustRightInd w:val="0"/>
              <w:snapToGrid w:val="0"/>
              <w:spacing w:line="288" w:lineRule="auto"/>
              <w:jc w:val="center"/>
              <w:rPr>
                <w:color w:val="auto"/>
                <w:kern w:val="0"/>
                <w:sz w:val="21"/>
                <w:szCs w:val="21"/>
                <w:highlight w:val="none"/>
              </w:rPr>
            </w:pPr>
          </w:p>
        </w:tc>
        <w:tc>
          <w:tcPr>
            <w:tcW w:w="1432" w:type="dxa"/>
            <w:vAlign w:val="center"/>
          </w:tcPr>
          <w:p w14:paraId="7089C0FA">
            <w:pPr>
              <w:adjustRightInd w:val="0"/>
              <w:snapToGrid w:val="0"/>
              <w:spacing w:line="288" w:lineRule="auto"/>
              <w:jc w:val="center"/>
              <w:rPr>
                <w:color w:val="auto"/>
                <w:kern w:val="0"/>
                <w:sz w:val="21"/>
                <w:szCs w:val="21"/>
                <w:highlight w:val="none"/>
              </w:rPr>
            </w:pPr>
          </w:p>
        </w:tc>
        <w:tc>
          <w:tcPr>
            <w:tcW w:w="1256" w:type="dxa"/>
            <w:vAlign w:val="center"/>
          </w:tcPr>
          <w:p w14:paraId="6FBD190C">
            <w:pPr>
              <w:adjustRightInd w:val="0"/>
              <w:snapToGrid w:val="0"/>
              <w:spacing w:line="288" w:lineRule="auto"/>
              <w:jc w:val="center"/>
              <w:rPr>
                <w:color w:val="auto"/>
                <w:kern w:val="0"/>
                <w:sz w:val="21"/>
                <w:szCs w:val="21"/>
                <w:highlight w:val="none"/>
              </w:rPr>
            </w:pPr>
          </w:p>
        </w:tc>
        <w:tc>
          <w:tcPr>
            <w:tcW w:w="899" w:type="dxa"/>
            <w:vAlign w:val="center"/>
          </w:tcPr>
          <w:p w14:paraId="4476E6A8">
            <w:pPr>
              <w:adjustRightInd w:val="0"/>
              <w:snapToGrid w:val="0"/>
              <w:spacing w:line="288" w:lineRule="auto"/>
              <w:jc w:val="center"/>
              <w:rPr>
                <w:color w:val="auto"/>
                <w:kern w:val="0"/>
                <w:sz w:val="21"/>
                <w:szCs w:val="21"/>
                <w:highlight w:val="none"/>
              </w:rPr>
            </w:pPr>
          </w:p>
        </w:tc>
        <w:tc>
          <w:tcPr>
            <w:tcW w:w="995" w:type="dxa"/>
            <w:vAlign w:val="center"/>
          </w:tcPr>
          <w:p w14:paraId="207B9A44">
            <w:pPr>
              <w:adjustRightInd w:val="0"/>
              <w:snapToGrid w:val="0"/>
              <w:spacing w:line="288" w:lineRule="auto"/>
              <w:jc w:val="center"/>
              <w:rPr>
                <w:color w:val="auto"/>
                <w:kern w:val="0"/>
                <w:sz w:val="21"/>
                <w:szCs w:val="21"/>
                <w:highlight w:val="none"/>
              </w:rPr>
            </w:pPr>
          </w:p>
        </w:tc>
        <w:tc>
          <w:tcPr>
            <w:tcW w:w="1718" w:type="dxa"/>
            <w:vAlign w:val="center"/>
          </w:tcPr>
          <w:p w14:paraId="40D9F75F">
            <w:pPr>
              <w:adjustRightInd w:val="0"/>
              <w:snapToGrid w:val="0"/>
              <w:spacing w:line="288" w:lineRule="auto"/>
              <w:jc w:val="center"/>
              <w:rPr>
                <w:color w:val="auto"/>
                <w:kern w:val="0"/>
                <w:sz w:val="21"/>
                <w:szCs w:val="21"/>
                <w:highlight w:val="none"/>
              </w:rPr>
            </w:pPr>
          </w:p>
        </w:tc>
      </w:tr>
      <w:tr w14:paraId="1F74D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1A28EA8F">
            <w:pPr>
              <w:adjustRightInd w:val="0"/>
              <w:snapToGrid w:val="0"/>
              <w:spacing w:line="288" w:lineRule="auto"/>
              <w:jc w:val="center"/>
              <w:rPr>
                <w:color w:val="auto"/>
                <w:kern w:val="0"/>
                <w:sz w:val="21"/>
                <w:szCs w:val="21"/>
                <w:highlight w:val="none"/>
              </w:rPr>
            </w:pPr>
          </w:p>
        </w:tc>
        <w:tc>
          <w:tcPr>
            <w:tcW w:w="1268" w:type="dxa"/>
            <w:vAlign w:val="center"/>
          </w:tcPr>
          <w:p w14:paraId="2EBB2453">
            <w:pPr>
              <w:adjustRightInd w:val="0"/>
              <w:snapToGrid w:val="0"/>
              <w:spacing w:line="288" w:lineRule="auto"/>
              <w:jc w:val="center"/>
              <w:rPr>
                <w:color w:val="auto"/>
                <w:kern w:val="0"/>
                <w:sz w:val="21"/>
                <w:szCs w:val="21"/>
                <w:highlight w:val="none"/>
              </w:rPr>
            </w:pPr>
          </w:p>
        </w:tc>
        <w:tc>
          <w:tcPr>
            <w:tcW w:w="1282" w:type="dxa"/>
            <w:vAlign w:val="center"/>
          </w:tcPr>
          <w:p w14:paraId="5C6D5CB7">
            <w:pPr>
              <w:adjustRightInd w:val="0"/>
              <w:snapToGrid w:val="0"/>
              <w:spacing w:line="288" w:lineRule="auto"/>
              <w:jc w:val="center"/>
              <w:rPr>
                <w:color w:val="auto"/>
                <w:kern w:val="0"/>
                <w:sz w:val="21"/>
                <w:szCs w:val="21"/>
                <w:highlight w:val="none"/>
              </w:rPr>
            </w:pPr>
          </w:p>
        </w:tc>
        <w:tc>
          <w:tcPr>
            <w:tcW w:w="1432" w:type="dxa"/>
            <w:vAlign w:val="center"/>
          </w:tcPr>
          <w:p w14:paraId="6A8ACD24">
            <w:pPr>
              <w:adjustRightInd w:val="0"/>
              <w:snapToGrid w:val="0"/>
              <w:spacing w:line="288" w:lineRule="auto"/>
              <w:jc w:val="center"/>
              <w:rPr>
                <w:color w:val="auto"/>
                <w:kern w:val="0"/>
                <w:sz w:val="21"/>
                <w:szCs w:val="21"/>
                <w:highlight w:val="none"/>
              </w:rPr>
            </w:pPr>
          </w:p>
        </w:tc>
        <w:tc>
          <w:tcPr>
            <w:tcW w:w="1256" w:type="dxa"/>
            <w:vAlign w:val="center"/>
          </w:tcPr>
          <w:p w14:paraId="69ECD729">
            <w:pPr>
              <w:adjustRightInd w:val="0"/>
              <w:snapToGrid w:val="0"/>
              <w:spacing w:line="288" w:lineRule="auto"/>
              <w:jc w:val="center"/>
              <w:rPr>
                <w:color w:val="auto"/>
                <w:kern w:val="0"/>
                <w:sz w:val="21"/>
                <w:szCs w:val="21"/>
                <w:highlight w:val="none"/>
              </w:rPr>
            </w:pPr>
          </w:p>
        </w:tc>
        <w:tc>
          <w:tcPr>
            <w:tcW w:w="899" w:type="dxa"/>
            <w:vAlign w:val="center"/>
          </w:tcPr>
          <w:p w14:paraId="3E072E1D">
            <w:pPr>
              <w:adjustRightInd w:val="0"/>
              <w:snapToGrid w:val="0"/>
              <w:spacing w:line="288" w:lineRule="auto"/>
              <w:jc w:val="center"/>
              <w:rPr>
                <w:color w:val="auto"/>
                <w:kern w:val="0"/>
                <w:sz w:val="21"/>
                <w:szCs w:val="21"/>
                <w:highlight w:val="none"/>
              </w:rPr>
            </w:pPr>
          </w:p>
        </w:tc>
        <w:tc>
          <w:tcPr>
            <w:tcW w:w="995" w:type="dxa"/>
            <w:vAlign w:val="center"/>
          </w:tcPr>
          <w:p w14:paraId="3480EFCB">
            <w:pPr>
              <w:adjustRightInd w:val="0"/>
              <w:snapToGrid w:val="0"/>
              <w:spacing w:line="288" w:lineRule="auto"/>
              <w:jc w:val="center"/>
              <w:rPr>
                <w:color w:val="auto"/>
                <w:kern w:val="0"/>
                <w:sz w:val="21"/>
                <w:szCs w:val="21"/>
                <w:highlight w:val="none"/>
              </w:rPr>
            </w:pPr>
          </w:p>
        </w:tc>
        <w:tc>
          <w:tcPr>
            <w:tcW w:w="1718" w:type="dxa"/>
            <w:vAlign w:val="center"/>
          </w:tcPr>
          <w:p w14:paraId="517C0FBE">
            <w:pPr>
              <w:adjustRightInd w:val="0"/>
              <w:snapToGrid w:val="0"/>
              <w:spacing w:line="288" w:lineRule="auto"/>
              <w:jc w:val="center"/>
              <w:rPr>
                <w:color w:val="auto"/>
                <w:kern w:val="0"/>
                <w:sz w:val="21"/>
                <w:szCs w:val="21"/>
                <w:highlight w:val="none"/>
              </w:rPr>
            </w:pPr>
          </w:p>
        </w:tc>
      </w:tr>
      <w:tr w14:paraId="5544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5FDFC98C">
            <w:pPr>
              <w:adjustRightInd w:val="0"/>
              <w:snapToGrid w:val="0"/>
              <w:spacing w:line="288" w:lineRule="auto"/>
              <w:jc w:val="center"/>
              <w:rPr>
                <w:color w:val="auto"/>
                <w:kern w:val="0"/>
                <w:sz w:val="21"/>
                <w:szCs w:val="21"/>
                <w:highlight w:val="none"/>
              </w:rPr>
            </w:pPr>
          </w:p>
        </w:tc>
        <w:tc>
          <w:tcPr>
            <w:tcW w:w="1268" w:type="dxa"/>
            <w:vAlign w:val="center"/>
          </w:tcPr>
          <w:p w14:paraId="2743EE9B">
            <w:pPr>
              <w:adjustRightInd w:val="0"/>
              <w:snapToGrid w:val="0"/>
              <w:spacing w:line="288" w:lineRule="auto"/>
              <w:jc w:val="center"/>
              <w:rPr>
                <w:color w:val="auto"/>
                <w:kern w:val="0"/>
                <w:sz w:val="21"/>
                <w:szCs w:val="21"/>
                <w:highlight w:val="none"/>
              </w:rPr>
            </w:pPr>
          </w:p>
        </w:tc>
        <w:tc>
          <w:tcPr>
            <w:tcW w:w="1282" w:type="dxa"/>
            <w:vAlign w:val="center"/>
          </w:tcPr>
          <w:p w14:paraId="7425759D">
            <w:pPr>
              <w:adjustRightInd w:val="0"/>
              <w:snapToGrid w:val="0"/>
              <w:spacing w:line="288" w:lineRule="auto"/>
              <w:jc w:val="center"/>
              <w:rPr>
                <w:color w:val="auto"/>
                <w:kern w:val="0"/>
                <w:sz w:val="21"/>
                <w:szCs w:val="21"/>
                <w:highlight w:val="none"/>
              </w:rPr>
            </w:pPr>
          </w:p>
        </w:tc>
        <w:tc>
          <w:tcPr>
            <w:tcW w:w="1432" w:type="dxa"/>
            <w:vAlign w:val="center"/>
          </w:tcPr>
          <w:p w14:paraId="5C1E08E9">
            <w:pPr>
              <w:adjustRightInd w:val="0"/>
              <w:snapToGrid w:val="0"/>
              <w:spacing w:line="288" w:lineRule="auto"/>
              <w:jc w:val="center"/>
              <w:rPr>
                <w:color w:val="auto"/>
                <w:kern w:val="0"/>
                <w:sz w:val="21"/>
                <w:szCs w:val="21"/>
                <w:highlight w:val="none"/>
              </w:rPr>
            </w:pPr>
          </w:p>
        </w:tc>
        <w:tc>
          <w:tcPr>
            <w:tcW w:w="1256" w:type="dxa"/>
            <w:vAlign w:val="center"/>
          </w:tcPr>
          <w:p w14:paraId="0748BCAC">
            <w:pPr>
              <w:adjustRightInd w:val="0"/>
              <w:snapToGrid w:val="0"/>
              <w:spacing w:line="288" w:lineRule="auto"/>
              <w:jc w:val="center"/>
              <w:rPr>
                <w:color w:val="auto"/>
                <w:kern w:val="0"/>
                <w:sz w:val="21"/>
                <w:szCs w:val="21"/>
                <w:highlight w:val="none"/>
              </w:rPr>
            </w:pPr>
          </w:p>
        </w:tc>
        <w:tc>
          <w:tcPr>
            <w:tcW w:w="899" w:type="dxa"/>
            <w:vAlign w:val="center"/>
          </w:tcPr>
          <w:p w14:paraId="0C7AC6CA">
            <w:pPr>
              <w:adjustRightInd w:val="0"/>
              <w:snapToGrid w:val="0"/>
              <w:spacing w:line="288" w:lineRule="auto"/>
              <w:jc w:val="center"/>
              <w:rPr>
                <w:color w:val="auto"/>
                <w:kern w:val="0"/>
                <w:sz w:val="21"/>
                <w:szCs w:val="21"/>
                <w:highlight w:val="none"/>
              </w:rPr>
            </w:pPr>
          </w:p>
        </w:tc>
        <w:tc>
          <w:tcPr>
            <w:tcW w:w="995" w:type="dxa"/>
            <w:vAlign w:val="center"/>
          </w:tcPr>
          <w:p w14:paraId="5D28DE9D">
            <w:pPr>
              <w:adjustRightInd w:val="0"/>
              <w:snapToGrid w:val="0"/>
              <w:spacing w:line="288" w:lineRule="auto"/>
              <w:jc w:val="center"/>
              <w:rPr>
                <w:color w:val="auto"/>
                <w:kern w:val="0"/>
                <w:sz w:val="21"/>
                <w:szCs w:val="21"/>
                <w:highlight w:val="none"/>
              </w:rPr>
            </w:pPr>
          </w:p>
        </w:tc>
        <w:tc>
          <w:tcPr>
            <w:tcW w:w="1718" w:type="dxa"/>
            <w:vAlign w:val="center"/>
          </w:tcPr>
          <w:p w14:paraId="03F125D3">
            <w:pPr>
              <w:adjustRightInd w:val="0"/>
              <w:snapToGrid w:val="0"/>
              <w:spacing w:line="288" w:lineRule="auto"/>
              <w:jc w:val="center"/>
              <w:rPr>
                <w:color w:val="auto"/>
                <w:kern w:val="0"/>
                <w:sz w:val="21"/>
                <w:szCs w:val="21"/>
                <w:highlight w:val="none"/>
              </w:rPr>
            </w:pPr>
          </w:p>
        </w:tc>
      </w:tr>
      <w:tr w14:paraId="36DC5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48DF2798">
            <w:pPr>
              <w:adjustRightInd w:val="0"/>
              <w:snapToGrid w:val="0"/>
              <w:spacing w:line="288" w:lineRule="auto"/>
              <w:jc w:val="center"/>
              <w:rPr>
                <w:color w:val="auto"/>
                <w:kern w:val="0"/>
                <w:sz w:val="21"/>
                <w:szCs w:val="21"/>
                <w:highlight w:val="none"/>
              </w:rPr>
            </w:pPr>
          </w:p>
        </w:tc>
        <w:tc>
          <w:tcPr>
            <w:tcW w:w="1268" w:type="dxa"/>
            <w:vAlign w:val="center"/>
          </w:tcPr>
          <w:p w14:paraId="33FEC1B8">
            <w:pPr>
              <w:adjustRightInd w:val="0"/>
              <w:snapToGrid w:val="0"/>
              <w:spacing w:line="288" w:lineRule="auto"/>
              <w:jc w:val="center"/>
              <w:rPr>
                <w:color w:val="auto"/>
                <w:kern w:val="0"/>
                <w:sz w:val="21"/>
                <w:szCs w:val="21"/>
                <w:highlight w:val="none"/>
              </w:rPr>
            </w:pPr>
          </w:p>
        </w:tc>
        <w:tc>
          <w:tcPr>
            <w:tcW w:w="1282" w:type="dxa"/>
            <w:vAlign w:val="center"/>
          </w:tcPr>
          <w:p w14:paraId="4F5A7EF8">
            <w:pPr>
              <w:adjustRightInd w:val="0"/>
              <w:snapToGrid w:val="0"/>
              <w:spacing w:line="288" w:lineRule="auto"/>
              <w:jc w:val="center"/>
              <w:rPr>
                <w:color w:val="auto"/>
                <w:kern w:val="0"/>
                <w:sz w:val="21"/>
                <w:szCs w:val="21"/>
                <w:highlight w:val="none"/>
              </w:rPr>
            </w:pPr>
          </w:p>
        </w:tc>
        <w:tc>
          <w:tcPr>
            <w:tcW w:w="1432" w:type="dxa"/>
            <w:vAlign w:val="center"/>
          </w:tcPr>
          <w:p w14:paraId="5DC5C2BD">
            <w:pPr>
              <w:adjustRightInd w:val="0"/>
              <w:snapToGrid w:val="0"/>
              <w:spacing w:line="288" w:lineRule="auto"/>
              <w:jc w:val="center"/>
              <w:rPr>
                <w:color w:val="auto"/>
                <w:kern w:val="0"/>
                <w:sz w:val="21"/>
                <w:szCs w:val="21"/>
                <w:highlight w:val="none"/>
              </w:rPr>
            </w:pPr>
          </w:p>
        </w:tc>
        <w:tc>
          <w:tcPr>
            <w:tcW w:w="1256" w:type="dxa"/>
            <w:vAlign w:val="center"/>
          </w:tcPr>
          <w:p w14:paraId="06CCB3EA">
            <w:pPr>
              <w:adjustRightInd w:val="0"/>
              <w:snapToGrid w:val="0"/>
              <w:spacing w:line="288" w:lineRule="auto"/>
              <w:jc w:val="center"/>
              <w:rPr>
                <w:color w:val="auto"/>
                <w:kern w:val="0"/>
                <w:sz w:val="21"/>
                <w:szCs w:val="21"/>
                <w:highlight w:val="none"/>
              </w:rPr>
            </w:pPr>
          </w:p>
        </w:tc>
        <w:tc>
          <w:tcPr>
            <w:tcW w:w="899" w:type="dxa"/>
            <w:vAlign w:val="center"/>
          </w:tcPr>
          <w:p w14:paraId="761ED705">
            <w:pPr>
              <w:adjustRightInd w:val="0"/>
              <w:snapToGrid w:val="0"/>
              <w:spacing w:line="288" w:lineRule="auto"/>
              <w:jc w:val="center"/>
              <w:rPr>
                <w:color w:val="auto"/>
                <w:kern w:val="0"/>
                <w:sz w:val="21"/>
                <w:szCs w:val="21"/>
                <w:highlight w:val="none"/>
              </w:rPr>
            </w:pPr>
          </w:p>
        </w:tc>
        <w:tc>
          <w:tcPr>
            <w:tcW w:w="995" w:type="dxa"/>
            <w:vAlign w:val="center"/>
          </w:tcPr>
          <w:p w14:paraId="182BD1CE">
            <w:pPr>
              <w:adjustRightInd w:val="0"/>
              <w:snapToGrid w:val="0"/>
              <w:spacing w:line="288" w:lineRule="auto"/>
              <w:jc w:val="center"/>
              <w:rPr>
                <w:color w:val="auto"/>
                <w:kern w:val="0"/>
                <w:sz w:val="21"/>
                <w:szCs w:val="21"/>
                <w:highlight w:val="none"/>
              </w:rPr>
            </w:pPr>
          </w:p>
        </w:tc>
        <w:tc>
          <w:tcPr>
            <w:tcW w:w="1718" w:type="dxa"/>
            <w:vAlign w:val="center"/>
          </w:tcPr>
          <w:p w14:paraId="641C9065">
            <w:pPr>
              <w:adjustRightInd w:val="0"/>
              <w:snapToGrid w:val="0"/>
              <w:spacing w:line="288" w:lineRule="auto"/>
              <w:jc w:val="center"/>
              <w:rPr>
                <w:color w:val="auto"/>
                <w:kern w:val="0"/>
                <w:sz w:val="21"/>
                <w:szCs w:val="21"/>
                <w:highlight w:val="none"/>
              </w:rPr>
            </w:pPr>
          </w:p>
        </w:tc>
      </w:tr>
    </w:tbl>
    <w:p w14:paraId="3D98E1C2">
      <w:pPr>
        <w:adjustRightInd w:val="0"/>
        <w:snapToGrid w:val="0"/>
        <w:spacing w:line="288" w:lineRule="auto"/>
        <w:rPr>
          <w:color w:val="auto"/>
          <w:sz w:val="21"/>
          <w:szCs w:val="21"/>
          <w:highlight w:val="none"/>
        </w:rPr>
      </w:pPr>
    </w:p>
    <w:p w14:paraId="2D19A665">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4C113F24">
      <w:pPr>
        <w:adjustRightInd w:val="0"/>
        <w:snapToGrid w:val="0"/>
        <w:spacing w:line="288" w:lineRule="auto"/>
        <w:rPr>
          <w:b/>
          <w:bCs/>
          <w:color w:val="auto"/>
          <w:sz w:val="21"/>
          <w:szCs w:val="21"/>
          <w:highlight w:val="none"/>
        </w:rPr>
      </w:pPr>
      <w:r>
        <w:rPr>
          <w:rFonts w:hint="eastAsia"/>
          <w:b/>
          <w:bCs/>
          <w:color w:val="auto"/>
          <w:sz w:val="21"/>
          <w:szCs w:val="21"/>
          <w:highlight w:val="none"/>
        </w:rPr>
        <w:t>1.供应商须提供上述业绩合同扫描件；</w:t>
      </w:r>
    </w:p>
    <w:p w14:paraId="4CB028BC">
      <w:pPr>
        <w:adjustRightInd w:val="0"/>
        <w:snapToGrid w:val="0"/>
        <w:spacing w:line="288" w:lineRule="auto"/>
        <w:rPr>
          <w:b/>
          <w:bCs/>
          <w:color w:val="auto"/>
          <w:sz w:val="21"/>
          <w:szCs w:val="21"/>
          <w:highlight w:val="none"/>
        </w:rPr>
      </w:pPr>
      <w:r>
        <w:rPr>
          <w:rFonts w:hint="eastAsia"/>
          <w:b/>
          <w:bCs/>
          <w:color w:val="auto"/>
          <w:sz w:val="21"/>
          <w:szCs w:val="21"/>
          <w:highlight w:val="none"/>
        </w:rPr>
        <w:t>2.所有合同扫描件应清晰，应能体现合同签订时间、双方签名盖章等内容；</w:t>
      </w:r>
    </w:p>
    <w:p w14:paraId="1D179A47">
      <w:pPr>
        <w:adjustRightInd w:val="0"/>
        <w:snapToGrid w:val="0"/>
        <w:spacing w:line="288" w:lineRule="auto"/>
        <w:rPr>
          <w:b/>
          <w:bCs/>
          <w:color w:val="auto"/>
          <w:sz w:val="21"/>
          <w:szCs w:val="21"/>
          <w:highlight w:val="none"/>
        </w:rPr>
      </w:pPr>
      <w:r>
        <w:rPr>
          <w:rFonts w:hint="eastAsia"/>
          <w:b/>
          <w:bCs/>
          <w:color w:val="auto"/>
          <w:sz w:val="21"/>
          <w:szCs w:val="21"/>
          <w:highlight w:val="none"/>
        </w:rPr>
        <w:t>3.供应商应在不涉及商业秘密的前提下尽可能提供详细的合同扫描件内容。</w:t>
      </w:r>
    </w:p>
    <w:p w14:paraId="2D865170">
      <w:pPr>
        <w:adjustRightInd w:val="0"/>
        <w:snapToGrid w:val="0"/>
        <w:spacing w:line="288" w:lineRule="auto"/>
        <w:rPr>
          <w:color w:val="auto"/>
          <w:sz w:val="21"/>
          <w:szCs w:val="21"/>
          <w:highlight w:val="none"/>
        </w:rPr>
      </w:pPr>
    </w:p>
    <w:p w14:paraId="14EEFFA5">
      <w:pPr>
        <w:adjustRightInd w:val="0"/>
        <w:snapToGrid w:val="0"/>
        <w:spacing w:line="288" w:lineRule="auto"/>
        <w:rPr>
          <w:color w:val="auto"/>
          <w:sz w:val="21"/>
          <w:szCs w:val="21"/>
          <w:highlight w:val="none"/>
        </w:rPr>
      </w:pPr>
    </w:p>
    <w:p w14:paraId="2FD21B22">
      <w:pPr>
        <w:adjustRightInd w:val="0"/>
        <w:snapToGrid w:val="0"/>
        <w:spacing w:line="288" w:lineRule="auto"/>
        <w:rPr>
          <w:color w:val="auto"/>
          <w:sz w:val="21"/>
          <w:szCs w:val="21"/>
          <w:highlight w:val="none"/>
        </w:rPr>
      </w:pPr>
    </w:p>
    <w:p w14:paraId="2A67B80D">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680C9640">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45ECF2AF">
      <w:pPr>
        <w:widowControl/>
        <w:jc w:val="left"/>
        <w:rPr>
          <w:rFonts w:cs="Times New Roman"/>
          <w:b/>
          <w:bCs/>
          <w:color w:val="auto"/>
          <w:spacing w:val="-6"/>
          <w:sz w:val="21"/>
          <w:szCs w:val="21"/>
          <w:highlight w:val="none"/>
        </w:rPr>
      </w:pPr>
      <w:r>
        <w:rPr>
          <w:rFonts w:cs="Times New Roman"/>
          <w:b/>
          <w:bCs/>
          <w:color w:val="auto"/>
          <w:spacing w:val="-6"/>
          <w:sz w:val="21"/>
          <w:szCs w:val="21"/>
          <w:highlight w:val="none"/>
        </w:rPr>
        <w:br w:type="page"/>
      </w:r>
    </w:p>
    <w:p w14:paraId="2E2710D2">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6</w:t>
      </w:r>
      <w:r>
        <w:rPr>
          <w:rFonts w:hint="eastAsia"/>
          <w:b/>
          <w:bCs/>
          <w:color w:val="auto"/>
          <w:sz w:val="21"/>
          <w:szCs w:val="21"/>
          <w:highlight w:val="none"/>
        </w:rPr>
        <w:t>）商务分相关证明材料（如有）</w:t>
      </w:r>
    </w:p>
    <w:p w14:paraId="2BBD1BB0">
      <w:pPr>
        <w:adjustRightInd w:val="0"/>
        <w:snapToGrid w:val="0"/>
        <w:spacing w:line="288" w:lineRule="auto"/>
        <w:rPr>
          <w:rFonts w:cs="Times New Roman"/>
          <w:b/>
          <w:bCs/>
          <w:color w:val="auto"/>
          <w:spacing w:val="-6"/>
          <w:sz w:val="21"/>
          <w:szCs w:val="21"/>
          <w:highlight w:val="none"/>
        </w:rPr>
      </w:pPr>
    </w:p>
    <w:p w14:paraId="10DBE8C9">
      <w:pPr>
        <w:adjustRightInd w:val="0"/>
        <w:snapToGrid w:val="0"/>
        <w:spacing w:line="288" w:lineRule="auto"/>
        <w:rPr>
          <w:rFonts w:cs="Times New Roman"/>
          <w:b/>
          <w:bCs/>
          <w:color w:val="auto"/>
          <w:spacing w:val="-6"/>
          <w:sz w:val="21"/>
          <w:szCs w:val="21"/>
          <w:highlight w:val="none"/>
        </w:rPr>
      </w:pPr>
    </w:p>
    <w:p w14:paraId="5F7E232F">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0518BCD0">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7</w:t>
      </w:r>
      <w:r>
        <w:rPr>
          <w:rFonts w:hint="eastAsia"/>
          <w:b/>
          <w:bCs/>
          <w:color w:val="auto"/>
          <w:sz w:val="21"/>
          <w:szCs w:val="21"/>
          <w:highlight w:val="none"/>
        </w:rPr>
        <w:t>）采购需求偏离表</w:t>
      </w:r>
    </w:p>
    <w:p w14:paraId="211018E8">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采 购 人：</w:t>
      </w:r>
      <w:r>
        <w:rPr>
          <w:rFonts w:hint="eastAsia"/>
          <w:color w:val="auto"/>
          <w:sz w:val="21"/>
          <w:szCs w:val="21"/>
          <w:highlight w:val="none"/>
          <w:lang w:eastAsia="zh-CN"/>
        </w:rPr>
        <w:t>浙江省文化馆</w:t>
      </w:r>
    </w:p>
    <w:p w14:paraId="01984F9B">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项目名称：</w:t>
      </w:r>
      <w:r>
        <w:rPr>
          <w:rFonts w:hint="eastAsia"/>
          <w:color w:val="auto"/>
          <w:sz w:val="21"/>
          <w:szCs w:val="21"/>
          <w:highlight w:val="none"/>
          <w:lang w:eastAsia="zh-CN"/>
        </w:rPr>
        <w:t>小剧场楼层防水舞台墙体改造项目</w:t>
      </w:r>
    </w:p>
    <w:p w14:paraId="4B32A02F">
      <w:pPr>
        <w:adjustRightInd w:val="0"/>
        <w:snapToGrid w:val="0"/>
        <w:spacing w:line="288" w:lineRule="auto"/>
        <w:rPr>
          <w:color w:val="auto"/>
          <w:sz w:val="21"/>
          <w:szCs w:val="21"/>
          <w:highlight w:val="none"/>
        </w:rPr>
      </w:pPr>
      <w:r>
        <w:rPr>
          <w:rFonts w:hint="eastAsia"/>
          <w:color w:val="auto"/>
          <w:sz w:val="21"/>
          <w:szCs w:val="21"/>
          <w:highlight w:val="none"/>
        </w:rPr>
        <w:t>项目编号：</w:t>
      </w:r>
      <w:r>
        <w:rPr>
          <w:rFonts w:hint="eastAsia"/>
          <w:color w:val="auto"/>
          <w:sz w:val="21"/>
          <w:szCs w:val="21"/>
          <w:highlight w:val="none"/>
          <w:lang w:eastAsia="zh-CN"/>
        </w:rPr>
        <w:t xml:space="preserve">JJHZ240923598 </w:t>
      </w:r>
      <w:r>
        <w:rPr>
          <w:rFonts w:hint="eastAsia"/>
          <w:color w:val="auto"/>
          <w:sz w:val="21"/>
          <w:szCs w:val="21"/>
          <w:highlight w:val="none"/>
        </w:rPr>
        <w:t xml:space="preserve">  </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3200"/>
        <w:gridCol w:w="2836"/>
        <w:gridCol w:w="2354"/>
      </w:tblGrid>
      <w:tr w14:paraId="0CE31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703811B9">
            <w:pPr>
              <w:adjustRightInd w:val="0"/>
              <w:snapToGrid w:val="0"/>
              <w:spacing w:line="288" w:lineRule="auto"/>
              <w:jc w:val="center"/>
              <w:rPr>
                <w:b/>
                <w:bCs/>
                <w:color w:val="auto"/>
                <w:kern w:val="0"/>
                <w:sz w:val="21"/>
                <w:szCs w:val="21"/>
                <w:highlight w:val="none"/>
              </w:rPr>
            </w:pPr>
            <w:bookmarkStart w:id="59" w:name="_Hlk97040421"/>
            <w:r>
              <w:rPr>
                <w:rFonts w:hint="eastAsia"/>
                <w:b/>
                <w:bCs/>
                <w:color w:val="auto"/>
                <w:kern w:val="0"/>
                <w:sz w:val="21"/>
                <w:szCs w:val="21"/>
                <w:highlight w:val="none"/>
              </w:rPr>
              <w:t>序号</w:t>
            </w:r>
          </w:p>
        </w:tc>
        <w:tc>
          <w:tcPr>
            <w:tcW w:w="3200" w:type="dxa"/>
            <w:vAlign w:val="center"/>
          </w:tcPr>
          <w:p w14:paraId="320CEC08">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磋商文件要求</w:t>
            </w:r>
          </w:p>
        </w:tc>
        <w:tc>
          <w:tcPr>
            <w:tcW w:w="2836" w:type="dxa"/>
            <w:vAlign w:val="center"/>
          </w:tcPr>
          <w:p w14:paraId="34C7B245">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响应规格</w:t>
            </w:r>
          </w:p>
        </w:tc>
        <w:tc>
          <w:tcPr>
            <w:tcW w:w="2354" w:type="dxa"/>
            <w:vAlign w:val="center"/>
          </w:tcPr>
          <w:p w14:paraId="6C0EBFDB">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是否偏离（提供说明）</w:t>
            </w:r>
          </w:p>
        </w:tc>
      </w:tr>
      <w:tr w14:paraId="5C08C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7EE86292">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1</w:t>
            </w:r>
          </w:p>
        </w:tc>
        <w:tc>
          <w:tcPr>
            <w:tcW w:w="3200" w:type="dxa"/>
            <w:vAlign w:val="center"/>
          </w:tcPr>
          <w:p w14:paraId="341A88CE">
            <w:pPr>
              <w:adjustRightInd w:val="0"/>
              <w:snapToGrid w:val="0"/>
              <w:spacing w:line="288" w:lineRule="auto"/>
              <w:jc w:val="center"/>
              <w:rPr>
                <w:color w:val="auto"/>
                <w:kern w:val="0"/>
                <w:sz w:val="21"/>
                <w:szCs w:val="21"/>
                <w:highlight w:val="none"/>
              </w:rPr>
            </w:pPr>
          </w:p>
        </w:tc>
        <w:tc>
          <w:tcPr>
            <w:tcW w:w="2836" w:type="dxa"/>
            <w:vAlign w:val="center"/>
          </w:tcPr>
          <w:p w14:paraId="78FF13C9">
            <w:pPr>
              <w:adjustRightInd w:val="0"/>
              <w:snapToGrid w:val="0"/>
              <w:spacing w:line="288" w:lineRule="auto"/>
              <w:jc w:val="center"/>
              <w:rPr>
                <w:color w:val="auto"/>
                <w:kern w:val="0"/>
                <w:sz w:val="21"/>
                <w:szCs w:val="21"/>
                <w:highlight w:val="none"/>
              </w:rPr>
            </w:pPr>
          </w:p>
        </w:tc>
        <w:tc>
          <w:tcPr>
            <w:tcW w:w="2354" w:type="dxa"/>
            <w:vAlign w:val="center"/>
          </w:tcPr>
          <w:p w14:paraId="6CA6F4C3">
            <w:pPr>
              <w:adjustRightInd w:val="0"/>
              <w:snapToGrid w:val="0"/>
              <w:spacing w:line="288" w:lineRule="auto"/>
              <w:jc w:val="center"/>
              <w:rPr>
                <w:color w:val="auto"/>
                <w:kern w:val="0"/>
                <w:sz w:val="21"/>
                <w:szCs w:val="21"/>
                <w:highlight w:val="none"/>
              </w:rPr>
            </w:pPr>
          </w:p>
        </w:tc>
      </w:tr>
      <w:tr w14:paraId="36586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5806E3EB">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2</w:t>
            </w:r>
          </w:p>
        </w:tc>
        <w:tc>
          <w:tcPr>
            <w:tcW w:w="3200" w:type="dxa"/>
            <w:vAlign w:val="center"/>
          </w:tcPr>
          <w:p w14:paraId="1B629720">
            <w:pPr>
              <w:adjustRightInd w:val="0"/>
              <w:snapToGrid w:val="0"/>
              <w:spacing w:line="288" w:lineRule="auto"/>
              <w:jc w:val="center"/>
              <w:rPr>
                <w:color w:val="auto"/>
                <w:kern w:val="0"/>
                <w:sz w:val="21"/>
                <w:szCs w:val="21"/>
                <w:highlight w:val="none"/>
              </w:rPr>
            </w:pPr>
          </w:p>
        </w:tc>
        <w:tc>
          <w:tcPr>
            <w:tcW w:w="2836" w:type="dxa"/>
            <w:vAlign w:val="center"/>
          </w:tcPr>
          <w:p w14:paraId="304C578E">
            <w:pPr>
              <w:adjustRightInd w:val="0"/>
              <w:snapToGrid w:val="0"/>
              <w:spacing w:line="288" w:lineRule="auto"/>
              <w:jc w:val="center"/>
              <w:rPr>
                <w:color w:val="auto"/>
                <w:kern w:val="0"/>
                <w:sz w:val="21"/>
                <w:szCs w:val="21"/>
                <w:highlight w:val="none"/>
              </w:rPr>
            </w:pPr>
          </w:p>
        </w:tc>
        <w:tc>
          <w:tcPr>
            <w:tcW w:w="2354" w:type="dxa"/>
            <w:vAlign w:val="center"/>
          </w:tcPr>
          <w:p w14:paraId="7BC7AD83">
            <w:pPr>
              <w:adjustRightInd w:val="0"/>
              <w:snapToGrid w:val="0"/>
              <w:spacing w:line="288" w:lineRule="auto"/>
              <w:jc w:val="center"/>
              <w:rPr>
                <w:color w:val="auto"/>
                <w:kern w:val="0"/>
                <w:sz w:val="21"/>
                <w:szCs w:val="21"/>
                <w:highlight w:val="none"/>
              </w:rPr>
            </w:pPr>
          </w:p>
        </w:tc>
      </w:tr>
      <w:tr w14:paraId="021A4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012" w:type="dxa"/>
            <w:vAlign w:val="center"/>
          </w:tcPr>
          <w:p w14:paraId="795AA749">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w:t>
            </w:r>
          </w:p>
        </w:tc>
        <w:tc>
          <w:tcPr>
            <w:tcW w:w="3200" w:type="dxa"/>
            <w:vAlign w:val="center"/>
          </w:tcPr>
          <w:p w14:paraId="25D09940">
            <w:pPr>
              <w:adjustRightInd w:val="0"/>
              <w:snapToGrid w:val="0"/>
              <w:spacing w:line="288" w:lineRule="auto"/>
              <w:jc w:val="center"/>
              <w:rPr>
                <w:color w:val="auto"/>
                <w:kern w:val="0"/>
                <w:sz w:val="21"/>
                <w:szCs w:val="21"/>
                <w:highlight w:val="none"/>
              </w:rPr>
            </w:pPr>
          </w:p>
        </w:tc>
        <w:tc>
          <w:tcPr>
            <w:tcW w:w="2836" w:type="dxa"/>
            <w:vAlign w:val="center"/>
          </w:tcPr>
          <w:p w14:paraId="4E93FE4C">
            <w:pPr>
              <w:adjustRightInd w:val="0"/>
              <w:snapToGrid w:val="0"/>
              <w:spacing w:line="288" w:lineRule="auto"/>
              <w:jc w:val="center"/>
              <w:rPr>
                <w:color w:val="auto"/>
                <w:kern w:val="0"/>
                <w:sz w:val="21"/>
                <w:szCs w:val="21"/>
                <w:highlight w:val="none"/>
              </w:rPr>
            </w:pPr>
          </w:p>
        </w:tc>
        <w:tc>
          <w:tcPr>
            <w:tcW w:w="2354" w:type="dxa"/>
            <w:vAlign w:val="center"/>
          </w:tcPr>
          <w:p w14:paraId="1E8F7F7B">
            <w:pPr>
              <w:adjustRightInd w:val="0"/>
              <w:snapToGrid w:val="0"/>
              <w:spacing w:line="288" w:lineRule="auto"/>
              <w:jc w:val="center"/>
              <w:rPr>
                <w:color w:val="auto"/>
                <w:kern w:val="0"/>
                <w:sz w:val="21"/>
                <w:szCs w:val="21"/>
                <w:highlight w:val="none"/>
              </w:rPr>
            </w:pPr>
          </w:p>
        </w:tc>
      </w:tr>
      <w:tr w14:paraId="74888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45C7BCF6">
            <w:pPr>
              <w:adjustRightInd w:val="0"/>
              <w:snapToGrid w:val="0"/>
              <w:spacing w:line="288" w:lineRule="auto"/>
              <w:jc w:val="center"/>
              <w:rPr>
                <w:color w:val="auto"/>
                <w:kern w:val="0"/>
                <w:sz w:val="21"/>
                <w:szCs w:val="21"/>
                <w:highlight w:val="none"/>
              </w:rPr>
            </w:pPr>
          </w:p>
        </w:tc>
        <w:tc>
          <w:tcPr>
            <w:tcW w:w="3200" w:type="dxa"/>
            <w:vAlign w:val="center"/>
          </w:tcPr>
          <w:p w14:paraId="1AA90A1B">
            <w:pPr>
              <w:adjustRightInd w:val="0"/>
              <w:snapToGrid w:val="0"/>
              <w:spacing w:line="288" w:lineRule="auto"/>
              <w:jc w:val="center"/>
              <w:rPr>
                <w:color w:val="auto"/>
                <w:kern w:val="0"/>
                <w:sz w:val="21"/>
                <w:szCs w:val="21"/>
                <w:highlight w:val="none"/>
              </w:rPr>
            </w:pPr>
          </w:p>
        </w:tc>
        <w:tc>
          <w:tcPr>
            <w:tcW w:w="2836" w:type="dxa"/>
            <w:vAlign w:val="center"/>
          </w:tcPr>
          <w:p w14:paraId="61F56507">
            <w:pPr>
              <w:adjustRightInd w:val="0"/>
              <w:snapToGrid w:val="0"/>
              <w:spacing w:line="288" w:lineRule="auto"/>
              <w:jc w:val="center"/>
              <w:rPr>
                <w:color w:val="auto"/>
                <w:kern w:val="0"/>
                <w:sz w:val="21"/>
                <w:szCs w:val="21"/>
                <w:highlight w:val="none"/>
              </w:rPr>
            </w:pPr>
          </w:p>
        </w:tc>
        <w:tc>
          <w:tcPr>
            <w:tcW w:w="2354" w:type="dxa"/>
            <w:vAlign w:val="center"/>
          </w:tcPr>
          <w:p w14:paraId="1E31B8BA">
            <w:pPr>
              <w:adjustRightInd w:val="0"/>
              <w:snapToGrid w:val="0"/>
              <w:spacing w:line="288" w:lineRule="auto"/>
              <w:jc w:val="center"/>
              <w:rPr>
                <w:color w:val="auto"/>
                <w:kern w:val="0"/>
                <w:sz w:val="21"/>
                <w:szCs w:val="21"/>
                <w:highlight w:val="none"/>
              </w:rPr>
            </w:pPr>
          </w:p>
        </w:tc>
      </w:tr>
      <w:tr w14:paraId="213F1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340BD42A">
            <w:pPr>
              <w:adjustRightInd w:val="0"/>
              <w:snapToGrid w:val="0"/>
              <w:spacing w:line="288" w:lineRule="auto"/>
              <w:jc w:val="center"/>
              <w:rPr>
                <w:color w:val="auto"/>
                <w:kern w:val="0"/>
                <w:sz w:val="21"/>
                <w:szCs w:val="21"/>
                <w:highlight w:val="none"/>
              </w:rPr>
            </w:pPr>
          </w:p>
        </w:tc>
        <w:tc>
          <w:tcPr>
            <w:tcW w:w="3200" w:type="dxa"/>
            <w:vAlign w:val="center"/>
          </w:tcPr>
          <w:p w14:paraId="44D72AE5">
            <w:pPr>
              <w:adjustRightInd w:val="0"/>
              <w:snapToGrid w:val="0"/>
              <w:spacing w:line="288" w:lineRule="auto"/>
              <w:jc w:val="center"/>
              <w:rPr>
                <w:color w:val="auto"/>
                <w:kern w:val="0"/>
                <w:sz w:val="21"/>
                <w:szCs w:val="21"/>
                <w:highlight w:val="none"/>
              </w:rPr>
            </w:pPr>
          </w:p>
        </w:tc>
        <w:tc>
          <w:tcPr>
            <w:tcW w:w="2836" w:type="dxa"/>
            <w:vAlign w:val="center"/>
          </w:tcPr>
          <w:p w14:paraId="0D9572A7">
            <w:pPr>
              <w:adjustRightInd w:val="0"/>
              <w:snapToGrid w:val="0"/>
              <w:spacing w:line="288" w:lineRule="auto"/>
              <w:jc w:val="center"/>
              <w:rPr>
                <w:color w:val="auto"/>
                <w:kern w:val="0"/>
                <w:sz w:val="21"/>
                <w:szCs w:val="21"/>
                <w:highlight w:val="none"/>
              </w:rPr>
            </w:pPr>
          </w:p>
        </w:tc>
        <w:tc>
          <w:tcPr>
            <w:tcW w:w="2354" w:type="dxa"/>
            <w:vAlign w:val="center"/>
          </w:tcPr>
          <w:p w14:paraId="395C33E1">
            <w:pPr>
              <w:adjustRightInd w:val="0"/>
              <w:snapToGrid w:val="0"/>
              <w:spacing w:line="288" w:lineRule="auto"/>
              <w:jc w:val="center"/>
              <w:rPr>
                <w:color w:val="auto"/>
                <w:kern w:val="0"/>
                <w:sz w:val="21"/>
                <w:szCs w:val="21"/>
                <w:highlight w:val="none"/>
              </w:rPr>
            </w:pPr>
          </w:p>
        </w:tc>
      </w:tr>
      <w:tr w14:paraId="5D6F4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012" w:type="dxa"/>
            <w:vAlign w:val="center"/>
          </w:tcPr>
          <w:p w14:paraId="0C3A1BF8">
            <w:pPr>
              <w:adjustRightInd w:val="0"/>
              <w:snapToGrid w:val="0"/>
              <w:spacing w:line="288" w:lineRule="auto"/>
              <w:jc w:val="center"/>
              <w:rPr>
                <w:color w:val="auto"/>
                <w:kern w:val="0"/>
                <w:sz w:val="21"/>
                <w:szCs w:val="21"/>
                <w:highlight w:val="none"/>
              </w:rPr>
            </w:pPr>
          </w:p>
        </w:tc>
        <w:tc>
          <w:tcPr>
            <w:tcW w:w="3200" w:type="dxa"/>
            <w:vAlign w:val="center"/>
          </w:tcPr>
          <w:p w14:paraId="2C4FA2E8">
            <w:pPr>
              <w:adjustRightInd w:val="0"/>
              <w:snapToGrid w:val="0"/>
              <w:spacing w:line="288" w:lineRule="auto"/>
              <w:jc w:val="center"/>
              <w:rPr>
                <w:color w:val="auto"/>
                <w:kern w:val="0"/>
                <w:sz w:val="21"/>
                <w:szCs w:val="21"/>
                <w:highlight w:val="none"/>
              </w:rPr>
            </w:pPr>
          </w:p>
        </w:tc>
        <w:tc>
          <w:tcPr>
            <w:tcW w:w="2836" w:type="dxa"/>
            <w:vAlign w:val="center"/>
          </w:tcPr>
          <w:p w14:paraId="06295F66">
            <w:pPr>
              <w:adjustRightInd w:val="0"/>
              <w:snapToGrid w:val="0"/>
              <w:spacing w:line="288" w:lineRule="auto"/>
              <w:jc w:val="center"/>
              <w:rPr>
                <w:color w:val="auto"/>
                <w:kern w:val="0"/>
                <w:sz w:val="21"/>
                <w:szCs w:val="21"/>
                <w:highlight w:val="none"/>
              </w:rPr>
            </w:pPr>
          </w:p>
        </w:tc>
        <w:tc>
          <w:tcPr>
            <w:tcW w:w="2354" w:type="dxa"/>
            <w:vAlign w:val="center"/>
          </w:tcPr>
          <w:p w14:paraId="7C3D799C">
            <w:pPr>
              <w:adjustRightInd w:val="0"/>
              <w:snapToGrid w:val="0"/>
              <w:spacing w:line="288" w:lineRule="auto"/>
              <w:jc w:val="center"/>
              <w:rPr>
                <w:color w:val="auto"/>
                <w:kern w:val="0"/>
                <w:sz w:val="21"/>
                <w:szCs w:val="21"/>
                <w:highlight w:val="none"/>
              </w:rPr>
            </w:pPr>
          </w:p>
        </w:tc>
      </w:tr>
      <w:tr w14:paraId="72548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1002695F">
            <w:pPr>
              <w:adjustRightInd w:val="0"/>
              <w:snapToGrid w:val="0"/>
              <w:spacing w:line="288" w:lineRule="auto"/>
              <w:jc w:val="center"/>
              <w:rPr>
                <w:color w:val="auto"/>
                <w:kern w:val="0"/>
                <w:sz w:val="21"/>
                <w:szCs w:val="21"/>
                <w:highlight w:val="none"/>
              </w:rPr>
            </w:pPr>
          </w:p>
        </w:tc>
        <w:tc>
          <w:tcPr>
            <w:tcW w:w="3200" w:type="dxa"/>
            <w:vAlign w:val="center"/>
          </w:tcPr>
          <w:p w14:paraId="4791191C">
            <w:pPr>
              <w:adjustRightInd w:val="0"/>
              <w:snapToGrid w:val="0"/>
              <w:spacing w:line="288" w:lineRule="auto"/>
              <w:jc w:val="center"/>
              <w:rPr>
                <w:color w:val="auto"/>
                <w:kern w:val="0"/>
                <w:sz w:val="21"/>
                <w:szCs w:val="21"/>
                <w:highlight w:val="none"/>
              </w:rPr>
            </w:pPr>
          </w:p>
        </w:tc>
        <w:tc>
          <w:tcPr>
            <w:tcW w:w="2836" w:type="dxa"/>
            <w:vAlign w:val="center"/>
          </w:tcPr>
          <w:p w14:paraId="247D1879">
            <w:pPr>
              <w:adjustRightInd w:val="0"/>
              <w:snapToGrid w:val="0"/>
              <w:spacing w:line="288" w:lineRule="auto"/>
              <w:jc w:val="center"/>
              <w:rPr>
                <w:color w:val="auto"/>
                <w:kern w:val="0"/>
                <w:sz w:val="21"/>
                <w:szCs w:val="21"/>
                <w:highlight w:val="none"/>
              </w:rPr>
            </w:pPr>
          </w:p>
        </w:tc>
        <w:tc>
          <w:tcPr>
            <w:tcW w:w="2354" w:type="dxa"/>
            <w:vAlign w:val="center"/>
          </w:tcPr>
          <w:p w14:paraId="6E209081">
            <w:pPr>
              <w:adjustRightInd w:val="0"/>
              <w:snapToGrid w:val="0"/>
              <w:spacing w:line="288" w:lineRule="auto"/>
              <w:jc w:val="center"/>
              <w:rPr>
                <w:color w:val="auto"/>
                <w:kern w:val="0"/>
                <w:sz w:val="21"/>
                <w:szCs w:val="21"/>
                <w:highlight w:val="none"/>
              </w:rPr>
            </w:pPr>
          </w:p>
        </w:tc>
      </w:tr>
      <w:tr w14:paraId="0ED5F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2FE6819F">
            <w:pPr>
              <w:adjustRightInd w:val="0"/>
              <w:snapToGrid w:val="0"/>
              <w:spacing w:line="288" w:lineRule="auto"/>
              <w:jc w:val="center"/>
              <w:rPr>
                <w:color w:val="auto"/>
                <w:kern w:val="0"/>
                <w:sz w:val="21"/>
                <w:szCs w:val="21"/>
                <w:highlight w:val="none"/>
              </w:rPr>
            </w:pPr>
          </w:p>
        </w:tc>
        <w:tc>
          <w:tcPr>
            <w:tcW w:w="3200" w:type="dxa"/>
            <w:vAlign w:val="center"/>
          </w:tcPr>
          <w:p w14:paraId="39076F07">
            <w:pPr>
              <w:adjustRightInd w:val="0"/>
              <w:snapToGrid w:val="0"/>
              <w:spacing w:line="288" w:lineRule="auto"/>
              <w:jc w:val="center"/>
              <w:rPr>
                <w:color w:val="auto"/>
                <w:kern w:val="0"/>
                <w:sz w:val="21"/>
                <w:szCs w:val="21"/>
                <w:highlight w:val="none"/>
              </w:rPr>
            </w:pPr>
          </w:p>
        </w:tc>
        <w:tc>
          <w:tcPr>
            <w:tcW w:w="2836" w:type="dxa"/>
            <w:vAlign w:val="center"/>
          </w:tcPr>
          <w:p w14:paraId="6D3B3735">
            <w:pPr>
              <w:adjustRightInd w:val="0"/>
              <w:snapToGrid w:val="0"/>
              <w:spacing w:line="288" w:lineRule="auto"/>
              <w:jc w:val="center"/>
              <w:rPr>
                <w:color w:val="auto"/>
                <w:kern w:val="0"/>
                <w:sz w:val="21"/>
                <w:szCs w:val="21"/>
                <w:highlight w:val="none"/>
              </w:rPr>
            </w:pPr>
          </w:p>
        </w:tc>
        <w:tc>
          <w:tcPr>
            <w:tcW w:w="2354" w:type="dxa"/>
            <w:vAlign w:val="center"/>
          </w:tcPr>
          <w:p w14:paraId="13C1DA07">
            <w:pPr>
              <w:adjustRightInd w:val="0"/>
              <w:snapToGrid w:val="0"/>
              <w:spacing w:line="288" w:lineRule="auto"/>
              <w:jc w:val="center"/>
              <w:rPr>
                <w:color w:val="auto"/>
                <w:kern w:val="0"/>
                <w:sz w:val="21"/>
                <w:szCs w:val="21"/>
                <w:highlight w:val="none"/>
              </w:rPr>
            </w:pPr>
          </w:p>
        </w:tc>
      </w:tr>
      <w:tr w14:paraId="4120C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414DB481">
            <w:pPr>
              <w:adjustRightInd w:val="0"/>
              <w:snapToGrid w:val="0"/>
              <w:spacing w:line="288" w:lineRule="auto"/>
              <w:jc w:val="center"/>
              <w:rPr>
                <w:color w:val="auto"/>
                <w:kern w:val="0"/>
                <w:sz w:val="21"/>
                <w:szCs w:val="21"/>
                <w:highlight w:val="none"/>
              </w:rPr>
            </w:pPr>
          </w:p>
        </w:tc>
        <w:tc>
          <w:tcPr>
            <w:tcW w:w="3200" w:type="dxa"/>
            <w:vAlign w:val="center"/>
          </w:tcPr>
          <w:p w14:paraId="5D1299E5">
            <w:pPr>
              <w:adjustRightInd w:val="0"/>
              <w:snapToGrid w:val="0"/>
              <w:spacing w:line="288" w:lineRule="auto"/>
              <w:jc w:val="center"/>
              <w:rPr>
                <w:color w:val="auto"/>
                <w:kern w:val="0"/>
                <w:sz w:val="21"/>
                <w:szCs w:val="21"/>
                <w:highlight w:val="none"/>
              </w:rPr>
            </w:pPr>
          </w:p>
        </w:tc>
        <w:tc>
          <w:tcPr>
            <w:tcW w:w="2836" w:type="dxa"/>
            <w:vAlign w:val="center"/>
          </w:tcPr>
          <w:p w14:paraId="2DA6C8A6">
            <w:pPr>
              <w:adjustRightInd w:val="0"/>
              <w:snapToGrid w:val="0"/>
              <w:spacing w:line="288" w:lineRule="auto"/>
              <w:jc w:val="center"/>
              <w:rPr>
                <w:color w:val="auto"/>
                <w:kern w:val="0"/>
                <w:sz w:val="21"/>
                <w:szCs w:val="21"/>
                <w:highlight w:val="none"/>
              </w:rPr>
            </w:pPr>
          </w:p>
        </w:tc>
        <w:tc>
          <w:tcPr>
            <w:tcW w:w="2354" w:type="dxa"/>
            <w:vAlign w:val="center"/>
          </w:tcPr>
          <w:p w14:paraId="726C55B4">
            <w:pPr>
              <w:adjustRightInd w:val="0"/>
              <w:snapToGrid w:val="0"/>
              <w:spacing w:line="288" w:lineRule="auto"/>
              <w:jc w:val="center"/>
              <w:rPr>
                <w:color w:val="auto"/>
                <w:kern w:val="0"/>
                <w:sz w:val="21"/>
                <w:szCs w:val="21"/>
                <w:highlight w:val="none"/>
              </w:rPr>
            </w:pPr>
          </w:p>
        </w:tc>
      </w:tr>
      <w:bookmarkEnd w:id="59"/>
    </w:tbl>
    <w:p w14:paraId="22554314">
      <w:pPr>
        <w:adjustRightInd w:val="0"/>
        <w:snapToGrid w:val="0"/>
        <w:spacing w:line="288" w:lineRule="auto"/>
        <w:rPr>
          <w:color w:val="auto"/>
          <w:sz w:val="21"/>
          <w:szCs w:val="21"/>
          <w:highlight w:val="none"/>
        </w:rPr>
      </w:pPr>
    </w:p>
    <w:p w14:paraId="3BFB0CAA">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2921AAA7">
      <w:pPr>
        <w:adjustRightInd w:val="0"/>
        <w:snapToGrid w:val="0"/>
        <w:spacing w:line="288" w:lineRule="auto"/>
        <w:rPr>
          <w:b/>
          <w:bCs/>
          <w:color w:val="auto"/>
          <w:sz w:val="21"/>
          <w:szCs w:val="21"/>
          <w:highlight w:val="none"/>
        </w:rPr>
      </w:pPr>
      <w:r>
        <w:rPr>
          <w:rFonts w:hint="eastAsia"/>
          <w:b/>
          <w:bCs/>
          <w:color w:val="auto"/>
          <w:sz w:val="21"/>
          <w:szCs w:val="21"/>
          <w:highlight w:val="none"/>
        </w:rPr>
        <w:t>1.逐项按照磋商文件要求填写响应规格；</w:t>
      </w:r>
    </w:p>
    <w:p w14:paraId="0B9C9ACB">
      <w:pPr>
        <w:adjustRightInd w:val="0"/>
        <w:snapToGrid w:val="0"/>
        <w:spacing w:line="288" w:lineRule="auto"/>
        <w:rPr>
          <w:b/>
          <w:bCs/>
          <w:color w:val="auto"/>
          <w:sz w:val="21"/>
          <w:szCs w:val="21"/>
          <w:highlight w:val="none"/>
        </w:rPr>
      </w:pPr>
      <w:r>
        <w:rPr>
          <w:rFonts w:hint="eastAsia"/>
          <w:b/>
          <w:bCs/>
          <w:color w:val="auto"/>
          <w:sz w:val="21"/>
          <w:szCs w:val="21"/>
          <w:highlight w:val="none"/>
        </w:rPr>
        <w:t>2.偏离说明是指对磋商文件要求存在不同之处的解释说明。偏离系指：正偏离（高于采购需求）、负偏离（低于采购需求）、无偏离（满足采购需求）；</w:t>
      </w:r>
    </w:p>
    <w:p w14:paraId="11EB1439">
      <w:pPr>
        <w:adjustRightInd w:val="0"/>
        <w:snapToGrid w:val="0"/>
        <w:spacing w:line="288" w:lineRule="auto"/>
        <w:rPr>
          <w:b/>
          <w:bCs/>
          <w:color w:val="auto"/>
          <w:sz w:val="21"/>
          <w:szCs w:val="21"/>
          <w:highlight w:val="none"/>
        </w:rPr>
      </w:pPr>
      <w:r>
        <w:rPr>
          <w:rFonts w:hint="eastAsia"/>
          <w:b/>
          <w:bCs/>
          <w:color w:val="auto"/>
          <w:sz w:val="21"/>
          <w:szCs w:val="21"/>
          <w:highlight w:val="none"/>
        </w:rPr>
        <w:t>3.如不填写或未如实填写，自行承担磋商响应风险。</w:t>
      </w:r>
    </w:p>
    <w:p w14:paraId="02738436">
      <w:pPr>
        <w:adjustRightInd w:val="0"/>
        <w:snapToGrid w:val="0"/>
        <w:spacing w:line="288" w:lineRule="auto"/>
        <w:rPr>
          <w:color w:val="auto"/>
          <w:sz w:val="21"/>
          <w:szCs w:val="21"/>
          <w:highlight w:val="none"/>
        </w:rPr>
      </w:pPr>
    </w:p>
    <w:p w14:paraId="24A3B342">
      <w:pPr>
        <w:adjustRightInd w:val="0"/>
        <w:snapToGrid w:val="0"/>
        <w:spacing w:line="288" w:lineRule="auto"/>
        <w:rPr>
          <w:color w:val="auto"/>
          <w:sz w:val="21"/>
          <w:szCs w:val="21"/>
          <w:highlight w:val="none"/>
        </w:rPr>
      </w:pPr>
    </w:p>
    <w:p w14:paraId="3720A1D4">
      <w:pPr>
        <w:adjustRightInd w:val="0"/>
        <w:snapToGrid w:val="0"/>
        <w:spacing w:line="288" w:lineRule="auto"/>
        <w:rPr>
          <w:color w:val="auto"/>
          <w:sz w:val="21"/>
          <w:szCs w:val="21"/>
          <w:highlight w:val="none"/>
        </w:rPr>
      </w:pPr>
    </w:p>
    <w:p w14:paraId="79ED0AFE">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15CBAF55">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42120980">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49034120">
      <w:pPr>
        <w:adjustRightInd w:val="0"/>
        <w:snapToGrid w:val="0"/>
        <w:spacing w:line="288" w:lineRule="auto"/>
        <w:outlineLvl w:val="2"/>
        <w:rPr>
          <w:b/>
          <w:color w:val="auto"/>
          <w:spacing w:val="-6"/>
          <w:sz w:val="21"/>
          <w:szCs w:val="21"/>
          <w:highlight w:val="none"/>
        </w:rPr>
      </w:pPr>
      <w:bookmarkStart w:id="60" w:name="_Hlk71885757"/>
      <w:r>
        <w:rPr>
          <w:rFonts w:hint="eastAsia"/>
          <w:b/>
          <w:color w:val="auto"/>
          <w:spacing w:val="-6"/>
          <w:sz w:val="21"/>
          <w:szCs w:val="21"/>
          <w:highlight w:val="none"/>
        </w:rPr>
        <w:t>（</w:t>
      </w:r>
      <w:r>
        <w:rPr>
          <w:b/>
          <w:color w:val="auto"/>
          <w:spacing w:val="-6"/>
          <w:sz w:val="21"/>
          <w:szCs w:val="21"/>
          <w:highlight w:val="none"/>
        </w:rPr>
        <w:t>8）技术方案【可根据评分细则结合自身情况提供】</w:t>
      </w:r>
    </w:p>
    <w:p w14:paraId="1CE6495C">
      <w:pPr>
        <w:adjustRightInd w:val="0"/>
        <w:snapToGrid w:val="0"/>
        <w:spacing w:line="288" w:lineRule="auto"/>
        <w:outlineLvl w:val="2"/>
        <w:rPr>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9）拟派人员【可根据评分细则结合自身情况提供】</w:t>
      </w:r>
    </w:p>
    <w:p w14:paraId="49991501">
      <w:pPr>
        <w:adjustRightInd w:val="0"/>
        <w:snapToGrid w:val="0"/>
        <w:spacing w:line="288" w:lineRule="auto"/>
        <w:outlineLvl w:val="2"/>
        <w:rPr>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10）</w:t>
      </w:r>
      <w:r>
        <w:rPr>
          <w:rFonts w:hint="eastAsia"/>
          <w:b/>
          <w:color w:val="auto"/>
          <w:spacing w:val="-6"/>
          <w:sz w:val="21"/>
          <w:szCs w:val="21"/>
          <w:highlight w:val="none"/>
          <w:lang w:val="en-US" w:eastAsia="zh-CN"/>
        </w:rPr>
        <w:t>售后及</w:t>
      </w:r>
      <w:r>
        <w:rPr>
          <w:b/>
          <w:color w:val="auto"/>
          <w:spacing w:val="-6"/>
          <w:sz w:val="21"/>
          <w:szCs w:val="21"/>
          <w:highlight w:val="none"/>
        </w:rPr>
        <w:t>其它服务承诺【可根据评分细则结合自身情况提供】</w:t>
      </w:r>
    </w:p>
    <w:p w14:paraId="10C7A540">
      <w:pPr>
        <w:adjustRightInd w:val="0"/>
        <w:snapToGrid w:val="0"/>
        <w:spacing w:line="288" w:lineRule="auto"/>
        <w:outlineLvl w:val="2"/>
        <w:rPr>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11</w:t>
      </w:r>
      <w:r>
        <w:rPr>
          <w:rFonts w:hint="eastAsia"/>
          <w:b/>
          <w:color w:val="auto"/>
          <w:spacing w:val="-6"/>
          <w:sz w:val="21"/>
          <w:szCs w:val="21"/>
          <w:highlight w:val="none"/>
        </w:rPr>
        <w:t>）节能环保产品证明材料</w:t>
      </w:r>
    </w:p>
    <w:p w14:paraId="561B5294">
      <w:pPr>
        <w:adjustRightInd w:val="0"/>
        <w:snapToGrid w:val="0"/>
        <w:spacing w:line="288" w:lineRule="auto"/>
        <w:rPr>
          <w:rFonts w:cs="Times New Roman"/>
          <w:b/>
          <w:color w:val="auto"/>
          <w:sz w:val="21"/>
          <w:szCs w:val="21"/>
          <w:highlight w:val="none"/>
        </w:rPr>
      </w:pPr>
      <w:r>
        <w:rPr>
          <w:rFonts w:hint="eastAsia" w:cs="Times New Roman"/>
          <w:b/>
          <w:color w:val="auto"/>
          <w:sz w:val="21"/>
          <w:szCs w:val="21"/>
          <w:highlight w:val="none"/>
        </w:rPr>
        <w:t>说明：产品属于品目清单范围且提供国家确定的认证机构出具的有效的节能产品、环境标志产品认证证书（扫描件）。</w:t>
      </w:r>
    </w:p>
    <w:p w14:paraId="713BD8CC">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供应商须按</w:t>
      </w:r>
      <w:r>
        <w:rPr>
          <w:rFonts w:hint="eastAsia" w:cs="Times New Roman"/>
          <w:color w:val="auto"/>
          <w:spacing w:val="-6"/>
          <w:sz w:val="21"/>
          <w:szCs w:val="21"/>
          <w:highlight w:val="none"/>
        </w:rPr>
        <w:t>磋商</w:t>
      </w:r>
      <w:r>
        <w:rPr>
          <w:rFonts w:cs="Times New Roman"/>
          <w:color w:val="auto"/>
          <w:spacing w:val="-6"/>
          <w:sz w:val="21"/>
          <w:szCs w:val="21"/>
          <w:highlight w:val="none"/>
        </w:rPr>
        <w:t>文件要求提供相关产品认证证书。</w:t>
      </w:r>
    </w:p>
    <w:p w14:paraId="0B7E3ED7">
      <w:pPr>
        <w:keepNext/>
        <w:widowControl/>
        <w:rPr>
          <w:color w:val="auto"/>
          <w:highlight w:val="none"/>
        </w:rPr>
      </w:pPr>
      <w:r>
        <w:rPr>
          <w:rFonts w:hint="eastAsia"/>
          <w:color w:val="auto"/>
          <w:highlight w:val="none"/>
        </w:rPr>
        <w:t>附件：节能产品政府采购品目清单</w:t>
      </w:r>
    </w:p>
    <w:tbl>
      <w:tblPr>
        <w:tblStyle w:val="33"/>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209"/>
        <w:gridCol w:w="1807"/>
        <w:gridCol w:w="3301"/>
      </w:tblGrid>
      <w:tr w14:paraId="70B4928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vAlign w:val="center"/>
          </w:tcPr>
          <w:p w14:paraId="053D6273">
            <w:pPr>
              <w:jc w:val="center"/>
              <w:rPr>
                <w:b/>
                <w:color w:val="auto"/>
                <w:w w:val="90"/>
                <w:szCs w:val="21"/>
                <w:highlight w:val="none"/>
              </w:rPr>
            </w:pPr>
            <w:r>
              <w:rPr>
                <w:rFonts w:hint="eastAsia"/>
                <w:b/>
                <w:color w:val="auto"/>
                <w:w w:val="90"/>
                <w:szCs w:val="21"/>
                <w:highlight w:val="none"/>
              </w:rPr>
              <w:t>品目序号</w:t>
            </w:r>
          </w:p>
        </w:tc>
        <w:tc>
          <w:tcPr>
            <w:tcW w:w="5949" w:type="dxa"/>
            <w:gridSpan w:val="3"/>
            <w:shd w:val="clear" w:color="auto" w:fill="DAEEF3"/>
            <w:vAlign w:val="center"/>
          </w:tcPr>
          <w:p w14:paraId="1EF68CED">
            <w:pPr>
              <w:jc w:val="center"/>
              <w:rPr>
                <w:b/>
                <w:color w:val="auto"/>
                <w:w w:val="90"/>
                <w:szCs w:val="21"/>
                <w:highlight w:val="none"/>
              </w:rPr>
            </w:pPr>
            <w:r>
              <w:rPr>
                <w:rFonts w:hint="eastAsia"/>
                <w:b/>
                <w:color w:val="auto"/>
                <w:w w:val="90"/>
                <w:szCs w:val="21"/>
                <w:highlight w:val="none"/>
              </w:rPr>
              <w:t>名称</w:t>
            </w:r>
          </w:p>
        </w:tc>
        <w:tc>
          <w:tcPr>
            <w:tcW w:w="3301" w:type="dxa"/>
            <w:shd w:val="clear" w:color="auto" w:fill="DAEEF3"/>
            <w:vAlign w:val="center"/>
          </w:tcPr>
          <w:p w14:paraId="73892DF2">
            <w:pPr>
              <w:jc w:val="center"/>
              <w:rPr>
                <w:b/>
                <w:color w:val="auto"/>
                <w:w w:val="90"/>
                <w:szCs w:val="21"/>
                <w:highlight w:val="none"/>
              </w:rPr>
            </w:pPr>
            <w:r>
              <w:rPr>
                <w:rFonts w:hint="eastAsia"/>
                <w:b/>
                <w:color w:val="auto"/>
                <w:w w:val="90"/>
                <w:szCs w:val="21"/>
                <w:highlight w:val="none"/>
              </w:rPr>
              <w:t>依据的标准</w:t>
            </w:r>
          </w:p>
        </w:tc>
      </w:tr>
      <w:tr w14:paraId="42B4479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5A670BF4">
            <w:pPr>
              <w:jc w:val="center"/>
              <w:rPr>
                <w:color w:val="auto"/>
                <w:w w:val="90"/>
                <w:szCs w:val="21"/>
                <w:highlight w:val="none"/>
              </w:rPr>
            </w:pPr>
            <w:r>
              <w:rPr>
                <w:rFonts w:hint="eastAsia"/>
                <w:color w:val="auto"/>
                <w:w w:val="90"/>
                <w:szCs w:val="21"/>
                <w:highlight w:val="none"/>
              </w:rPr>
              <w:t>1</w:t>
            </w:r>
          </w:p>
        </w:tc>
        <w:tc>
          <w:tcPr>
            <w:tcW w:w="1933" w:type="dxa"/>
            <w:vMerge w:val="restart"/>
            <w:vAlign w:val="center"/>
          </w:tcPr>
          <w:p w14:paraId="3E427CA9">
            <w:pPr>
              <w:jc w:val="left"/>
              <w:rPr>
                <w:color w:val="auto"/>
                <w:w w:val="90"/>
                <w:szCs w:val="21"/>
                <w:highlight w:val="none"/>
              </w:rPr>
            </w:pPr>
            <w:r>
              <w:rPr>
                <w:rFonts w:hint="eastAsia"/>
                <w:color w:val="auto"/>
                <w:w w:val="90"/>
                <w:szCs w:val="21"/>
                <w:highlight w:val="none"/>
              </w:rPr>
              <w:t>A020101计算机设备</w:t>
            </w:r>
          </w:p>
        </w:tc>
        <w:tc>
          <w:tcPr>
            <w:tcW w:w="2209" w:type="dxa"/>
            <w:vAlign w:val="center"/>
          </w:tcPr>
          <w:p w14:paraId="17B54440">
            <w:pPr>
              <w:jc w:val="left"/>
              <w:rPr>
                <w:b/>
                <w:color w:val="auto"/>
                <w:w w:val="90"/>
                <w:szCs w:val="21"/>
                <w:highlight w:val="none"/>
              </w:rPr>
            </w:pPr>
            <w:r>
              <w:rPr>
                <w:rFonts w:hint="eastAsia"/>
                <w:color w:val="auto"/>
                <w:w w:val="90"/>
                <w:szCs w:val="21"/>
                <w:highlight w:val="none"/>
              </w:rPr>
              <w:t>★</w:t>
            </w:r>
            <w:r>
              <w:rPr>
                <w:rFonts w:hint="eastAsia"/>
                <w:b/>
                <w:color w:val="auto"/>
                <w:w w:val="90"/>
                <w:szCs w:val="21"/>
                <w:highlight w:val="none"/>
              </w:rPr>
              <w:t>A02010104台式计算机</w:t>
            </w:r>
          </w:p>
        </w:tc>
        <w:tc>
          <w:tcPr>
            <w:tcW w:w="1807" w:type="dxa"/>
            <w:vAlign w:val="center"/>
          </w:tcPr>
          <w:p w14:paraId="20081176">
            <w:pPr>
              <w:jc w:val="center"/>
              <w:rPr>
                <w:color w:val="auto"/>
                <w:w w:val="90"/>
                <w:szCs w:val="21"/>
                <w:highlight w:val="none"/>
              </w:rPr>
            </w:pPr>
          </w:p>
        </w:tc>
        <w:tc>
          <w:tcPr>
            <w:tcW w:w="3301" w:type="dxa"/>
            <w:vAlign w:val="center"/>
          </w:tcPr>
          <w:p w14:paraId="709296E8">
            <w:pPr>
              <w:jc w:val="left"/>
              <w:rPr>
                <w:color w:val="auto"/>
                <w:w w:val="90"/>
                <w:szCs w:val="21"/>
                <w:highlight w:val="none"/>
              </w:rPr>
            </w:pPr>
            <w:r>
              <w:rPr>
                <w:rFonts w:hint="eastAsia"/>
                <w:color w:val="auto"/>
                <w:w w:val="90"/>
                <w:szCs w:val="21"/>
                <w:highlight w:val="none"/>
              </w:rPr>
              <w:t>《微型计算机能效限定值及能效等级》（GB 28380）</w:t>
            </w:r>
          </w:p>
        </w:tc>
      </w:tr>
      <w:tr w14:paraId="79C793C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92AD801">
            <w:pPr>
              <w:jc w:val="center"/>
              <w:rPr>
                <w:color w:val="auto"/>
                <w:w w:val="90"/>
                <w:szCs w:val="21"/>
                <w:highlight w:val="none"/>
              </w:rPr>
            </w:pPr>
          </w:p>
        </w:tc>
        <w:tc>
          <w:tcPr>
            <w:tcW w:w="1933" w:type="dxa"/>
            <w:vMerge w:val="continue"/>
            <w:vAlign w:val="center"/>
          </w:tcPr>
          <w:p w14:paraId="1BAD4CAC">
            <w:pPr>
              <w:jc w:val="left"/>
              <w:rPr>
                <w:color w:val="auto"/>
                <w:w w:val="90"/>
                <w:szCs w:val="21"/>
                <w:highlight w:val="none"/>
              </w:rPr>
            </w:pPr>
          </w:p>
        </w:tc>
        <w:tc>
          <w:tcPr>
            <w:tcW w:w="2209" w:type="dxa"/>
            <w:vAlign w:val="center"/>
          </w:tcPr>
          <w:p w14:paraId="62631FB3">
            <w:pPr>
              <w:jc w:val="left"/>
              <w:rPr>
                <w:b/>
                <w:color w:val="auto"/>
                <w:w w:val="90"/>
                <w:szCs w:val="21"/>
                <w:highlight w:val="none"/>
              </w:rPr>
            </w:pPr>
            <w:r>
              <w:rPr>
                <w:rFonts w:hint="eastAsia"/>
                <w:color w:val="auto"/>
                <w:w w:val="90"/>
                <w:szCs w:val="21"/>
                <w:highlight w:val="none"/>
              </w:rPr>
              <w:t>★</w:t>
            </w:r>
            <w:r>
              <w:rPr>
                <w:rFonts w:hint="eastAsia"/>
                <w:b/>
                <w:color w:val="auto"/>
                <w:w w:val="90"/>
                <w:szCs w:val="21"/>
                <w:highlight w:val="none"/>
              </w:rPr>
              <w:t>A02010105便携式计算</w:t>
            </w:r>
          </w:p>
        </w:tc>
        <w:tc>
          <w:tcPr>
            <w:tcW w:w="1807" w:type="dxa"/>
            <w:vAlign w:val="center"/>
          </w:tcPr>
          <w:p w14:paraId="0FC3FF3B">
            <w:pPr>
              <w:jc w:val="center"/>
              <w:rPr>
                <w:color w:val="auto"/>
                <w:w w:val="90"/>
                <w:szCs w:val="21"/>
                <w:highlight w:val="none"/>
              </w:rPr>
            </w:pPr>
          </w:p>
        </w:tc>
        <w:tc>
          <w:tcPr>
            <w:tcW w:w="3301" w:type="dxa"/>
            <w:vAlign w:val="center"/>
          </w:tcPr>
          <w:p w14:paraId="6D232ECE">
            <w:pPr>
              <w:jc w:val="left"/>
              <w:rPr>
                <w:color w:val="auto"/>
                <w:w w:val="90"/>
                <w:szCs w:val="21"/>
                <w:highlight w:val="none"/>
              </w:rPr>
            </w:pPr>
            <w:r>
              <w:rPr>
                <w:rFonts w:hint="eastAsia"/>
                <w:color w:val="auto"/>
                <w:w w:val="90"/>
                <w:szCs w:val="21"/>
                <w:highlight w:val="none"/>
              </w:rPr>
              <w:t>《微型计算机能效限定值及能效等级》（GB 28380）</w:t>
            </w:r>
          </w:p>
        </w:tc>
      </w:tr>
      <w:tr w14:paraId="0DF3A10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87C94A6">
            <w:pPr>
              <w:jc w:val="center"/>
              <w:rPr>
                <w:color w:val="auto"/>
                <w:w w:val="90"/>
                <w:szCs w:val="21"/>
                <w:highlight w:val="none"/>
              </w:rPr>
            </w:pPr>
          </w:p>
        </w:tc>
        <w:tc>
          <w:tcPr>
            <w:tcW w:w="1933" w:type="dxa"/>
            <w:vMerge w:val="continue"/>
            <w:vAlign w:val="center"/>
          </w:tcPr>
          <w:p w14:paraId="5E5FAB66">
            <w:pPr>
              <w:jc w:val="left"/>
              <w:rPr>
                <w:color w:val="auto"/>
                <w:w w:val="90"/>
                <w:szCs w:val="21"/>
                <w:highlight w:val="none"/>
              </w:rPr>
            </w:pPr>
          </w:p>
        </w:tc>
        <w:tc>
          <w:tcPr>
            <w:tcW w:w="2209" w:type="dxa"/>
            <w:vAlign w:val="center"/>
          </w:tcPr>
          <w:p w14:paraId="173F5514">
            <w:pPr>
              <w:jc w:val="left"/>
              <w:rPr>
                <w:b/>
                <w:color w:val="auto"/>
                <w:w w:val="90"/>
                <w:szCs w:val="21"/>
                <w:highlight w:val="none"/>
              </w:rPr>
            </w:pPr>
            <w:r>
              <w:rPr>
                <w:rFonts w:hint="eastAsia"/>
                <w:color w:val="auto"/>
                <w:w w:val="90"/>
                <w:szCs w:val="21"/>
                <w:highlight w:val="none"/>
              </w:rPr>
              <w:t>★</w:t>
            </w:r>
            <w:r>
              <w:rPr>
                <w:rFonts w:hint="eastAsia"/>
                <w:b/>
                <w:color w:val="auto"/>
                <w:w w:val="90"/>
                <w:szCs w:val="21"/>
                <w:highlight w:val="none"/>
              </w:rPr>
              <w:t>A02010107平板式微型计算机</w:t>
            </w:r>
          </w:p>
        </w:tc>
        <w:tc>
          <w:tcPr>
            <w:tcW w:w="1807" w:type="dxa"/>
            <w:vAlign w:val="center"/>
          </w:tcPr>
          <w:p w14:paraId="73AF9EC1">
            <w:pPr>
              <w:jc w:val="center"/>
              <w:rPr>
                <w:color w:val="auto"/>
                <w:w w:val="90"/>
                <w:szCs w:val="21"/>
                <w:highlight w:val="none"/>
              </w:rPr>
            </w:pPr>
          </w:p>
        </w:tc>
        <w:tc>
          <w:tcPr>
            <w:tcW w:w="3301" w:type="dxa"/>
            <w:vAlign w:val="center"/>
          </w:tcPr>
          <w:p w14:paraId="336A3EAF">
            <w:pPr>
              <w:jc w:val="left"/>
              <w:rPr>
                <w:color w:val="auto"/>
                <w:w w:val="90"/>
                <w:szCs w:val="21"/>
                <w:highlight w:val="none"/>
              </w:rPr>
            </w:pPr>
            <w:r>
              <w:rPr>
                <w:rFonts w:hint="eastAsia"/>
                <w:color w:val="auto"/>
                <w:w w:val="90"/>
                <w:szCs w:val="21"/>
                <w:highlight w:val="none"/>
              </w:rPr>
              <w:t>《微型计算机能效限定值及能效等级》（GB 28380）</w:t>
            </w:r>
          </w:p>
        </w:tc>
      </w:tr>
      <w:tr w14:paraId="2B99B35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56767BFD">
            <w:pPr>
              <w:jc w:val="center"/>
              <w:rPr>
                <w:color w:val="auto"/>
                <w:w w:val="90"/>
                <w:szCs w:val="21"/>
                <w:highlight w:val="none"/>
              </w:rPr>
            </w:pPr>
            <w:r>
              <w:rPr>
                <w:rFonts w:hint="eastAsia"/>
                <w:color w:val="auto"/>
                <w:w w:val="90"/>
                <w:szCs w:val="21"/>
                <w:highlight w:val="none"/>
              </w:rPr>
              <w:t>2</w:t>
            </w:r>
          </w:p>
        </w:tc>
        <w:tc>
          <w:tcPr>
            <w:tcW w:w="1933" w:type="dxa"/>
            <w:vMerge w:val="restart"/>
            <w:vAlign w:val="center"/>
          </w:tcPr>
          <w:p w14:paraId="1A7F73F3">
            <w:pPr>
              <w:jc w:val="left"/>
              <w:rPr>
                <w:color w:val="auto"/>
                <w:w w:val="90"/>
                <w:szCs w:val="21"/>
                <w:highlight w:val="none"/>
              </w:rPr>
            </w:pPr>
            <w:r>
              <w:rPr>
                <w:rFonts w:hint="eastAsia"/>
                <w:color w:val="auto"/>
                <w:w w:val="90"/>
                <w:szCs w:val="21"/>
                <w:highlight w:val="none"/>
              </w:rPr>
              <w:t>A020106输入输出设备</w:t>
            </w:r>
          </w:p>
        </w:tc>
        <w:tc>
          <w:tcPr>
            <w:tcW w:w="2209" w:type="dxa"/>
            <w:vMerge w:val="restart"/>
            <w:vAlign w:val="center"/>
          </w:tcPr>
          <w:p w14:paraId="268FFF5B">
            <w:pPr>
              <w:jc w:val="left"/>
              <w:rPr>
                <w:color w:val="auto"/>
                <w:w w:val="90"/>
                <w:szCs w:val="21"/>
                <w:highlight w:val="none"/>
              </w:rPr>
            </w:pPr>
            <w:r>
              <w:rPr>
                <w:rFonts w:hint="eastAsia"/>
                <w:color w:val="auto"/>
                <w:w w:val="90"/>
                <w:szCs w:val="21"/>
                <w:highlight w:val="none"/>
              </w:rPr>
              <w:t>A02010601打印设备</w:t>
            </w:r>
          </w:p>
        </w:tc>
        <w:tc>
          <w:tcPr>
            <w:tcW w:w="1807" w:type="dxa"/>
            <w:vAlign w:val="center"/>
          </w:tcPr>
          <w:p w14:paraId="7D4403DF">
            <w:pPr>
              <w:jc w:val="left"/>
              <w:rPr>
                <w:color w:val="auto"/>
                <w:w w:val="90"/>
                <w:szCs w:val="21"/>
                <w:highlight w:val="none"/>
              </w:rPr>
            </w:pPr>
            <w:r>
              <w:rPr>
                <w:rFonts w:hint="eastAsia"/>
                <w:b/>
                <w:bCs/>
                <w:color w:val="auto"/>
                <w:w w:val="90"/>
                <w:szCs w:val="21"/>
                <w:highlight w:val="none"/>
              </w:rPr>
              <w:t>A0201060101喷墨打印机</w:t>
            </w:r>
          </w:p>
        </w:tc>
        <w:tc>
          <w:tcPr>
            <w:tcW w:w="3301" w:type="dxa"/>
            <w:vAlign w:val="center"/>
          </w:tcPr>
          <w:p w14:paraId="35557C98">
            <w:pPr>
              <w:jc w:val="left"/>
              <w:rPr>
                <w:color w:val="auto"/>
                <w:w w:val="90"/>
                <w:szCs w:val="21"/>
                <w:highlight w:val="none"/>
              </w:rPr>
            </w:pPr>
            <w:r>
              <w:rPr>
                <w:rFonts w:hint="eastAsia"/>
                <w:color w:val="auto"/>
                <w:w w:val="90"/>
                <w:szCs w:val="21"/>
                <w:highlight w:val="none"/>
              </w:rPr>
              <w:t>《复印机、打印机和传真机能效限定值及能效等级》（GB 21521）</w:t>
            </w:r>
          </w:p>
        </w:tc>
      </w:tr>
      <w:tr w14:paraId="0A0B2BB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2825F42">
            <w:pPr>
              <w:jc w:val="center"/>
              <w:rPr>
                <w:color w:val="auto"/>
                <w:w w:val="90"/>
                <w:szCs w:val="21"/>
                <w:highlight w:val="none"/>
              </w:rPr>
            </w:pPr>
          </w:p>
        </w:tc>
        <w:tc>
          <w:tcPr>
            <w:tcW w:w="1933" w:type="dxa"/>
            <w:vMerge w:val="continue"/>
            <w:vAlign w:val="center"/>
          </w:tcPr>
          <w:p w14:paraId="1E8D3F78">
            <w:pPr>
              <w:jc w:val="left"/>
              <w:rPr>
                <w:color w:val="auto"/>
                <w:w w:val="90"/>
                <w:szCs w:val="21"/>
                <w:highlight w:val="none"/>
              </w:rPr>
            </w:pPr>
          </w:p>
        </w:tc>
        <w:tc>
          <w:tcPr>
            <w:tcW w:w="2209" w:type="dxa"/>
            <w:vMerge w:val="continue"/>
            <w:vAlign w:val="center"/>
          </w:tcPr>
          <w:p w14:paraId="2BC8A5ED">
            <w:pPr>
              <w:jc w:val="left"/>
              <w:rPr>
                <w:color w:val="auto"/>
                <w:w w:val="90"/>
                <w:szCs w:val="21"/>
                <w:highlight w:val="none"/>
              </w:rPr>
            </w:pPr>
          </w:p>
        </w:tc>
        <w:tc>
          <w:tcPr>
            <w:tcW w:w="1807" w:type="dxa"/>
            <w:vAlign w:val="center"/>
          </w:tcPr>
          <w:p w14:paraId="4B924BF0">
            <w:pPr>
              <w:jc w:val="left"/>
              <w:rPr>
                <w:b/>
                <w:color w:val="auto"/>
                <w:w w:val="90"/>
                <w:szCs w:val="21"/>
                <w:highlight w:val="none"/>
              </w:rPr>
            </w:pPr>
            <w:r>
              <w:rPr>
                <w:rFonts w:hint="eastAsia"/>
                <w:color w:val="auto"/>
                <w:w w:val="90"/>
                <w:szCs w:val="21"/>
                <w:highlight w:val="none"/>
              </w:rPr>
              <w:t>★</w:t>
            </w:r>
            <w:r>
              <w:rPr>
                <w:rFonts w:hint="eastAsia"/>
                <w:b/>
                <w:color w:val="auto"/>
                <w:w w:val="90"/>
                <w:szCs w:val="21"/>
                <w:highlight w:val="none"/>
              </w:rPr>
              <w:t>A0201060102激光打印机</w:t>
            </w:r>
          </w:p>
        </w:tc>
        <w:tc>
          <w:tcPr>
            <w:tcW w:w="3301" w:type="dxa"/>
            <w:vAlign w:val="center"/>
          </w:tcPr>
          <w:p w14:paraId="46782408">
            <w:pPr>
              <w:jc w:val="left"/>
              <w:rPr>
                <w:color w:val="auto"/>
                <w:w w:val="90"/>
                <w:szCs w:val="21"/>
                <w:highlight w:val="none"/>
              </w:rPr>
            </w:pPr>
            <w:r>
              <w:rPr>
                <w:rFonts w:hint="eastAsia"/>
                <w:color w:val="auto"/>
                <w:w w:val="90"/>
                <w:szCs w:val="21"/>
                <w:highlight w:val="none"/>
              </w:rPr>
              <w:t>《复印机、打印机和传真机能效限定值及能效等级》（GB 21521）</w:t>
            </w:r>
          </w:p>
        </w:tc>
      </w:tr>
      <w:tr w14:paraId="7721D56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997BE2D">
            <w:pPr>
              <w:jc w:val="center"/>
              <w:rPr>
                <w:color w:val="auto"/>
                <w:w w:val="90"/>
                <w:szCs w:val="21"/>
                <w:highlight w:val="none"/>
              </w:rPr>
            </w:pPr>
          </w:p>
        </w:tc>
        <w:tc>
          <w:tcPr>
            <w:tcW w:w="1933" w:type="dxa"/>
            <w:vMerge w:val="continue"/>
            <w:vAlign w:val="center"/>
          </w:tcPr>
          <w:p w14:paraId="7D67A9DF">
            <w:pPr>
              <w:jc w:val="left"/>
              <w:rPr>
                <w:color w:val="auto"/>
                <w:w w:val="90"/>
                <w:szCs w:val="21"/>
                <w:highlight w:val="none"/>
              </w:rPr>
            </w:pPr>
          </w:p>
        </w:tc>
        <w:tc>
          <w:tcPr>
            <w:tcW w:w="2209" w:type="dxa"/>
            <w:vMerge w:val="continue"/>
            <w:vAlign w:val="center"/>
          </w:tcPr>
          <w:p w14:paraId="0CECD4F0">
            <w:pPr>
              <w:jc w:val="left"/>
              <w:rPr>
                <w:color w:val="auto"/>
                <w:w w:val="90"/>
                <w:szCs w:val="21"/>
                <w:highlight w:val="none"/>
              </w:rPr>
            </w:pPr>
          </w:p>
        </w:tc>
        <w:tc>
          <w:tcPr>
            <w:tcW w:w="1807" w:type="dxa"/>
            <w:vAlign w:val="center"/>
          </w:tcPr>
          <w:p w14:paraId="74B1B7A7">
            <w:pPr>
              <w:jc w:val="left"/>
              <w:rPr>
                <w:b/>
                <w:color w:val="auto"/>
                <w:w w:val="90"/>
                <w:szCs w:val="21"/>
                <w:highlight w:val="none"/>
              </w:rPr>
            </w:pPr>
            <w:r>
              <w:rPr>
                <w:rFonts w:hint="eastAsia"/>
                <w:color w:val="auto"/>
                <w:w w:val="90"/>
                <w:szCs w:val="21"/>
                <w:highlight w:val="none"/>
              </w:rPr>
              <w:t>★</w:t>
            </w:r>
            <w:r>
              <w:rPr>
                <w:rFonts w:hint="eastAsia"/>
                <w:b/>
                <w:color w:val="auto"/>
                <w:w w:val="90"/>
                <w:szCs w:val="21"/>
                <w:highlight w:val="none"/>
              </w:rPr>
              <w:t>A0201060104针式打印机</w:t>
            </w:r>
          </w:p>
        </w:tc>
        <w:tc>
          <w:tcPr>
            <w:tcW w:w="3301" w:type="dxa"/>
            <w:vAlign w:val="center"/>
          </w:tcPr>
          <w:p w14:paraId="60DF71E9">
            <w:pPr>
              <w:jc w:val="left"/>
              <w:rPr>
                <w:color w:val="auto"/>
                <w:w w:val="90"/>
                <w:szCs w:val="21"/>
                <w:highlight w:val="none"/>
              </w:rPr>
            </w:pPr>
            <w:r>
              <w:rPr>
                <w:rFonts w:hint="eastAsia"/>
                <w:color w:val="auto"/>
                <w:w w:val="90"/>
                <w:szCs w:val="21"/>
                <w:highlight w:val="none"/>
              </w:rPr>
              <w:t>《复印机、打印机和传真机能效限定值及能效等级》（GB 21521）</w:t>
            </w:r>
          </w:p>
        </w:tc>
      </w:tr>
      <w:tr w14:paraId="57C6C7E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803CCFE">
            <w:pPr>
              <w:jc w:val="center"/>
              <w:rPr>
                <w:color w:val="auto"/>
                <w:w w:val="90"/>
                <w:szCs w:val="21"/>
                <w:highlight w:val="none"/>
              </w:rPr>
            </w:pPr>
          </w:p>
        </w:tc>
        <w:tc>
          <w:tcPr>
            <w:tcW w:w="1933" w:type="dxa"/>
            <w:vMerge w:val="continue"/>
            <w:vAlign w:val="center"/>
          </w:tcPr>
          <w:p w14:paraId="74DC15B2">
            <w:pPr>
              <w:jc w:val="left"/>
              <w:rPr>
                <w:color w:val="auto"/>
                <w:w w:val="90"/>
                <w:szCs w:val="21"/>
                <w:highlight w:val="none"/>
              </w:rPr>
            </w:pPr>
          </w:p>
        </w:tc>
        <w:tc>
          <w:tcPr>
            <w:tcW w:w="2209" w:type="dxa"/>
            <w:vAlign w:val="center"/>
          </w:tcPr>
          <w:p w14:paraId="3A393D4F">
            <w:pPr>
              <w:jc w:val="left"/>
              <w:rPr>
                <w:color w:val="auto"/>
                <w:w w:val="90"/>
                <w:szCs w:val="21"/>
                <w:highlight w:val="none"/>
              </w:rPr>
            </w:pPr>
            <w:r>
              <w:rPr>
                <w:rFonts w:hint="eastAsia"/>
                <w:color w:val="auto"/>
                <w:w w:val="90"/>
                <w:szCs w:val="21"/>
                <w:highlight w:val="none"/>
              </w:rPr>
              <w:t>A02010604显示设备</w:t>
            </w:r>
          </w:p>
        </w:tc>
        <w:tc>
          <w:tcPr>
            <w:tcW w:w="1807" w:type="dxa"/>
            <w:vAlign w:val="center"/>
          </w:tcPr>
          <w:p w14:paraId="40F1CC0D">
            <w:pPr>
              <w:jc w:val="left"/>
              <w:rPr>
                <w:b/>
                <w:color w:val="auto"/>
                <w:w w:val="90"/>
                <w:szCs w:val="21"/>
                <w:highlight w:val="none"/>
              </w:rPr>
            </w:pPr>
            <w:r>
              <w:rPr>
                <w:rFonts w:hint="eastAsia"/>
                <w:color w:val="auto"/>
                <w:w w:val="90"/>
                <w:szCs w:val="21"/>
                <w:highlight w:val="none"/>
              </w:rPr>
              <w:t>★</w:t>
            </w:r>
            <w:r>
              <w:rPr>
                <w:rFonts w:hint="eastAsia"/>
                <w:b/>
                <w:color w:val="auto"/>
                <w:w w:val="90"/>
                <w:szCs w:val="21"/>
                <w:highlight w:val="none"/>
              </w:rPr>
              <w:t>A0201060401液晶显示器</w:t>
            </w:r>
          </w:p>
        </w:tc>
        <w:tc>
          <w:tcPr>
            <w:tcW w:w="3301" w:type="dxa"/>
            <w:vAlign w:val="center"/>
          </w:tcPr>
          <w:p w14:paraId="172DEC16">
            <w:pPr>
              <w:jc w:val="left"/>
              <w:rPr>
                <w:color w:val="auto"/>
                <w:w w:val="90"/>
                <w:szCs w:val="21"/>
                <w:highlight w:val="none"/>
              </w:rPr>
            </w:pPr>
            <w:r>
              <w:rPr>
                <w:rFonts w:hint="eastAsia"/>
                <w:color w:val="auto"/>
                <w:w w:val="90"/>
                <w:szCs w:val="21"/>
                <w:highlight w:val="none"/>
              </w:rPr>
              <w:t>《计算机显示器能效限定值及能效等级》（GB 21520）</w:t>
            </w:r>
          </w:p>
        </w:tc>
      </w:tr>
      <w:tr w14:paraId="0EA5C0E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FEFE6CB">
            <w:pPr>
              <w:jc w:val="center"/>
              <w:rPr>
                <w:color w:val="auto"/>
                <w:w w:val="90"/>
                <w:szCs w:val="21"/>
                <w:highlight w:val="none"/>
              </w:rPr>
            </w:pPr>
          </w:p>
        </w:tc>
        <w:tc>
          <w:tcPr>
            <w:tcW w:w="1933" w:type="dxa"/>
            <w:vMerge w:val="continue"/>
            <w:vAlign w:val="center"/>
          </w:tcPr>
          <w:p w14:paraId="3175FFF2">
            <w:pPr>
              <w:jc w:val="left"/>
              <w:rPr>
                <w:color w:val="auto"/>
                <w:w w:val="90"/>
                <w:szCs w:val="21"/>
                <w:highlight w:val="none"/>
              </w:rPr>
            </w:pPr>
          </w:p>
        </w:tc>
        <w:tc>
          <w:tcPr>
            <w:tcW w:w="2209" w:type="dxa"/>
            <w:vAlign w:val="center"/>
          </w:tcPr>
          <w:p w14:paraId="16E8A6AE">
            <w:pPr>
              <w:jc w:val="left"/>
              <w:rPr>
                <w:color w:val="auto"/>
                <w:w w:val="90"/>
                <w:szCs w:val="21"/>
                <w:highlight w:val="none"/>
              </w:rPr>
            </w:pPr>
            <w:r>
              <w:rPr>
                <w:rFonts w:hint="eastAsia"/>
                <w:color w:val="auto"/>
                <w:w w:val="90"/>
                <w:szCs w:val="21"/>
                <w:highlight w:val="none"/>
              </w:rPr>
              <w:t>A02010609图形图像输入设备</w:t>
            </w:r>
          </w:p>
        </w:tc>
        <w:tc>
          <w:tcPr>
            <w:tcW w:w="1807" w:type="dxa"/>
            <w:vAlign w:val="center"/>
          </w:tcPr>
          <w:p w14:paraId="764F2ACA">
            <w:pPr>
              <w:jc w:val="left"/>
              <w:rPr>
                <w:color w:val="auto"/>
                <w:w w:val="90"/>
                <w:szCs w:val="21"/>
                <w:highlight w:val="none"/>
              </w:rPr>
            </w:pPr>
            <w:r>
              <w:rPr>
                <w:rFonts w:hint="eastAsia"/>
                <w:color w:val="auto"/>
                <w:w w:val="90"/>
                <w:szCs w:val="21"/>
                <w:highlight w:val="none"/>
              </w:rPr>
              <w:t>A0201060901扫描仪</w:t>
            </w:r>
          </w:p>
        </w:tc>
        <w:tc>
          <w:tcPr>
            <w:tcW w:w="3301" w:type="dxa"/>
            <w:vAlign w:val="center"/>
          </w:tcPr>
          <w:p w14:paraId="56296F75">
            <w:pPr>
              <w:jc w:val="left"/>
              <w:rPr>
                <w:color w:val="auto"/>
                <w:w w:val="90"/>
                <w:szCs w:val="21"/>
                <w:highlight w:val="none"/>
              </w:rPr>
            </w:pPr>
            <w:r>
              <w:rPr>
                <w:rFonts w:hint="eastAsia"/>
                <w:color w:val="auto"/>
                <w:w w:val="90"/>
                <w:szCs w:val="21"/>
                <w:highlight w:val="none"/>
              </w:rPr>
              <w:t>参照《复印机、打印机和传真机能效限定值及能效等级》（GB 21521中打印速度为 15 页/分的针式打印机相关要求</w:t>
            </w:r>
          </w:p>
        </w:tc>
      </w:tr>
      <w:tr w14:paraId="1E8CD5A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7E56EBA">
            <w:pPr>
              <w:jc w:val="center"/>
              <w:rPr>
                <w:color w:val="auto"/>
                <w:w w:val="90"/>
                <w:szCs w:val="21"/>
                <w:highlight w:val="none"/>
              </w:rPr>
            </w:pPr>
            <w:r>
              <w:rPr>
                <w:rFonts w:hint="eastAsia"/>
                <w:color w:val="auto"/>
                <w:w w:val="90"/>
                <w:szCs w:val="21"/>
                <w:highlight w:val="none"/>
              </w:rPr>
              <w:t>3</w:t>
            </w:r>
          </w:p>
        </w:tc>
        <w:tc>
          <w:tcPr>
            <w:tcW w:w="1933" w:type="dxa"/>
            <w:vAlign w:val="center"/>
          </w:tcPr>
          <w:p w14:paraId="07D59A22">
            <w:pPr>
              <w:jc w:val="left"/>
              <w:rPr>
                <w:color w:val="auto"/>
                <w:w w:val="90"/>
                <w:szCs w:val="21"/>
                <w:highlight w:val="none"/>
              </w:rPr>
            </w:pPr>
            <w:r>
              <w:rPr>
                <w:rFonts w:hint="eastAsia"/>
                <w:color w:val="auto"/>
                <w:w w:val="90"/>
                <w:szCs w:val="21"/>
                <w:highlight w:val="none"/>
              </w:rPr>
              <w:t>A020202投影仪</w:t>
            </w:r>
          </w:p>
        </w:tc>
        <w:tc>
          <w:tcPr>
            <w:tcW w:w="2209" w:type="dxa"/>
            <w:vAlign w:val="center"/>
          </w:tcPr>
          <w:p w14:paraId="2886C58C">
            <w:pPr>
              <w:jc w:val="left"/>
              <w:rPr>
                <w:color w:val="auto"/>
                <w:w w:val="90"/>
                <w:szCs w:val="21"/>
                <w:highlight w:val="none"/>
              </w:rPr>
            </w:pPr>
          </w:p>
        </w:tc>
        <w:tc>
          <w:tcPr>
            <w:tcW w:w="1807" w:type="dxa"/>
            <w:vAlign w:val="center"/>
          </w:tcPr>
          <w:p w14:paraId="5555525E">
            <w:pPr>
              <w:jc w:val="center"/>
              <w:rPr>
                <w:color w:val="auto"/>
                <w:w w:val="90"/>
                <w:szCs w:val="21"/>
                <w:highlight w:val="none"/>
              </w:rPr>
            </w:pPr>
          </w:p>
        </w:tc>
        <w:tc>
          <w:tcPr>
            <w:tcW w:w="3301" w:type="dxa"/>
            <w:vAlign w:val="center"/>
          </w:tcPr>
          <w:p w14:paraId="4545B711">
            <w:pPr>
              <w:jc w:val="left"/>
              <w:rPr>
                <w:color w:val="auto"/>
                <w:w w:val="90"/>
                <w:szCs w:val="21"/>
                <w:highlight w:val="none"/>
              </w:rPr>
            </w:pPr>
            <w:r>
              <w:rPr>
                <w:rFonts w:hint="eastAsia"/>
                <w:color w:val="auto"/>
                <w:w w:val="90"/>
                <w:szCs w:val="21"/>
                <w:highlight w:val="none"/>
              </w:rPr>
              <w:t>《投影机能效限定值及能效等级（GB 32028）</w:t>
            </w:r>
          </w:p>
        </w:tc>
      </w:tr>
      <w:tr w14:paraId="212A2A2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BEC3BC9">
            <w:pPr>
              <w:jc w:val="center"/>
              <w:rPr>
                <w:color w:val="auto"/>
                <w:w w:val="90"/>
                <w:szCs w:val="21"/>
                <w:highlight w:val="none"/>
              </w:rPr>
            </w:pPr>
            <w:r>
              <w:rPr>
                <w:rFonts w:hint="eastAsia"/>
                <w:color w:val="auto"/>
                <w:w w:val="90"/>
                <w:szCs w:val="21"/>
                <w:highlight w:val="none"/>
              </w:rPr>
              <w:t>4</w:t>
            </w:r>
          </w:p>
        </w:tc>
        <w:tc>
          <w:tcPr>
            <w:tcW w:w="1933" w:type="dxa"/>
            <w:vAlign w:val="center"/>
          </w:tcPr>
          <w:p w14:paraId="50BE4DA2">
            <w:pPr>
              <w:jc w:val="left"/>
              <w:rPr>
                <w:color w:val="auto"/>
                <w:w w:val="90"/>
                <w:szCs w:val="21"/>
                <w:highlight w:val="none"/>
              </w:rPr>
            </w:pPr>
            <w:r>
              <w:rPr>
                <w:rFonts w:hint="eastAsia"/>
                <w:color w:val="auto"/>
                <w:w w:val="90"/>
                <w:szCs w:val="21"/>
                <w:highlight w:val="none"/>
              </w:rPr>
              <w:t>A020204352多功能一体机</w:t>
            </w:r>
          </w:p>
        </w:tc>
        <w:tc>
          <w:tcPr>
            <w:tcW w:w="2209" w:type="dxa"/>
            <w:vAlign w:val="center"/>
          </w:tcPr>
          <w:p w14:paraId="2FB521DC">
            <w:pPr>
              <w:jc w:val="left"/>
              <w:rPr>
                <w:color w:val="auto"/>
                <w:w w:val="90"/>
                <w:szCs w:val="21"/>
                <w:highlight w:val="none"/>
              </w:rPr>
            </w:pPr>
          </w:p>
        </w:tc>
        <w:tc>
          <w:tcPr>
            <w:tcW w:w="1807" w:type="dxa"/>
            <w:vAlign w:val="center"/>
          </w:tcPr>
          <w:p w14:paraId="52E0BEE0">
            <w:pPr>
              <w:jc w:val="center"/>
              <w:rPr>
                <w:color w:val="auto"/>
                <w:w w:val="90"/>
                <w:szCs w:val="21"/>
                <w:highlight w:val="none"/>
              </w:rPr>
            </w:pPr>
          </w:p>
        </w:tc>
        <w:tc>
          <w:tcPr>
            <w:tcW w:w="3301" w:type="dxa"/>
            <w:vAlign w:val="center"/>
          </w:tcPr>
          <w:p w14:paraId="13077BEF">
            <w:pPr>
              <w:jc w:val="left"/>
              <w:rPr>
                <w:color w:val="auto"/>
                <w:w w:val="90"/>
                <w:szCs w:val="21"/>
                <w:highlight w:val="none"/>
              </w:rPr>
            </w:pPr>
            <w:r>
              <w:rPr>
                <w:rFonts w:hint="eastAsia"/>
                <w:color w:val="auto"/>
                <w:w w:val="90"/>
                <w:szCs w:val="21"/>
                <w:highlight w:val="none"/>
              </w:rPr>
              <w:t>《复印机、打印机和传真机能效限定值及能效等级》（GB 21521）</w:t>
            </w:r>
          </w:p>
        </w:tc>
      </w:tr>
      <w:tr w14:paraId="0DBE07E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9A0326C">
            <w:pPr>
              <w:jc w:val="center"/>
              <w:rPr>
                <w:color w:val="auto"/>
                <w:w w:val="90"/>
                <w:szCs w:val="21"/>
                <w:highlight w:val="none"/>
              </w:rPr>
            </w:pPr>
            <w:r>
              <w:rPr>
                <w:rFonts w:hint="eastAsia"/>
                <w:color w:val="auto"/>
                <w:w w:val="90"/>
                <w:szCs w:val="21"/>
                <w:highlight w:val="none"/>
              </w:rPr>
              <w:t>5</w:t>
            </w:r>
          </w:p>
        </w:tc>
        <w:tc>
          <w:tcPr>
            <w:tcW w:w="1933" w:type="dxa"/>
            <w:vAlign w:val="center"/>
          </w:tcPr>
          <w:p w14:paraId="41BB36AC">
            <w:pPr>
              <w:jc w:val="left"/>
              <w:rPr>
                <w:color w:val="auto"/>
                <w:w w:val="90"/>
                <w:szCs w:val="21"/>
                <w:highlight w:val="none"/>
              </w:rPr>
            </w:pPr>
            <w:r>
              <w:rPr>
                <w:rFonts w:hint="eastAsia"/>
                <w:color w:val="auto"/>
                <w:w w:val="90"/>
                <w:szCs w:val="21"/>
                <w:highlight w:val="none"/>
              </w:rPr>
              <w:t>A020519泵</w:t>
            </w:r>
          </w:p>
        </w:tc>
        <w:tc>
          <w:tcPr>
            <w:tcW w:w="2209" w:type="dxa"/>
            <w:vAlign w:val="center"/>
          </w:tcPr>
          <w:p w14:paraId="462D2B5E">
            <w:pPr>
              <w:jc w:val="left"/>
              <w:rPr>
                <w:color w:val="auto"/>
                <w:w w:val="90"/>
                <w:szCs w:val="21"/>
                <w:highlight w:val="none"/>
              </w:rPr>
            </w:pPr>
            <w:r>
              <w:rPr>
                <w:rFonts w:hint="eastAsia"/>
                <w:color w:val="auto"/>
                <w:w w:val="90"/>
                <w:szCs w:val="21"/>
                <w:highlight w:val="none"/>
              </w:rPr>
              <w:t>A02051901离心泵</w:t>
            </w:r>
          </w:p>
        </w:tc>
        <w:tc>
          <w:tcPr>
            <w:tcW w:w="1807" w:type="dxa"/>
            <w:vAlign w:val="center"/>
          </w:tcPr>
          <w:p w14:paraId="4DE5888B">
            <w:pPr>
              <w:jc w:val="center"/>
              <w:rPr>
                <w:color w:val="auto"/>
                <w:w w:val="90"/>
                <w:szCs w:val="21"/>
                <w:highlight w:val="none"/>
              </w:rPr>
            </w:pPr>
          </w:p>
        </w:tc>
        <w:tc>
          <w:tcPr>
            <w:tcW w:w="3301" w:type="dxa"/>
            <w:vAlign w:val="center"/>
          </w:tcPr>
          <w:p w14:paraId="79B41CB3">
            <w:pPr>
              <w:jc w:val="left"/>
              <w:rPr>
                <w:color w:val="auto"/>
                <w:w w:val="90"/>
                <w:szCs w:val="21"/>
                <w:highlight w:val="none"/>
              </w:rPr>
            </w:pPr>
            <w:r>
              <w:rPr>
                <w:rFonts w:hint="eastAsia"/>
                <w:color w:val="auto"/>
                <w:w w:val="90"/>
                <w:szCs w:val="21"/>
                <w:highlight w:val="none"/>
              </w:rPr>
              <w:t>《清水离心泵能效限定值及节能评价值》（GB 19762）</w:t>
            </w:r>
          </w:p>
        </w:tc>
      </w:tr>
      <w:tr w14:paraId="7C7BA3B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4E42BD2E">
            <w:pPr>
              <w:jc w:val="center"/>
              <w:rPr>
                <w:color w:val="auto"/>
                <w:w w:val="90"/>
                <w:szCs w:val="21"/>
                <w:highlight w:val="none"/>
              </w:rPr>
            </w:pPr>
            <w:r>
              <w:rPr>
                <w:rFonts w:hint="eastAsia"/>
                <w:color w:val="auto"/>
                <w:w w:val="90"/>
                <w:szCs w:val="21"/>
                <w:highlight w:val="none"/>
              </w:rPr>
              <w:t>6</w:t>
            </w:r>
          </w:p>
        </w:tc>
        <w:tc>
          <w:tcPr>
            <w:tcW w:w="1933" w:type="dxa"/>
            <w:vMerge w:val="restart"/>
            <w:vAlign w:val="center"/>
          </w:tcPr>
          <w:p w14:paraId="71605C62">
            <w:pPr>
              <w:jc w:val="left"/>
              <w:rPr>
                <w:color w:val="auto"/>
                <w:w w:val="90"/>
                <w:szCs w:val="21"/>
                <w:highlight w:val="none"/>
              </w:rPr>
            </w:pPr>
            <w:r>
              <w:rPr>
                <w:rFonts w:hint="eastAsia"/>
                <w:color w:val="auto"/>
                <w:w w:val="90"/>
                <w:szCs w:val="21"/>
                <w:highlight w:val="none"/>
              </w:rPr>
              <w:t>A020523制冷空调设备</w:t>
            </w:r>
          </w:p>
        </w:tc>
        <w:tc>
          <w:tcPr>
            <w:tcW w:w="2209" w:type="dxa"/>
            <w:vMerge w:val="restart"/>
            <w:vAlign w:val="center"/>
          </w:tcPr>
          <w:p w14:paraId="18C5112B">
            <w:pPr>
              <w:jc w:val="left"/>
              <w:rPr>
                <w:b/>
                <w:color w:val="auto"/>
                <w:w w:val="90"/>
                <w:szCs w:val="21"/>
                <w:highlight w:val="none"/>
              </w:rPr>
            </w:pPr>
            <w:r>
              <w:rPr>
                <w:rFonts w:hint="eastAsia"/>
                <w:color w:val="auto"/>
                <w:w w:val="90"/>
                <w:szCs w:val="21"/>
                <w:highlight w:val="none"/>
              </w:rPr>
              <w:t>★</w:t>
            </w:r>
            <w:r>
              <w:rPr>
                <w:rFonts w:hint="eastAsia"/>
                <w:b/>
                <w:color w:val="auto"/>
                <w:w w:val="90"/>
                <w:szCs w:val="21"/>
                <w:highlight w:val="none"/>
              </w:rPr>
              <w:t>A02052301制冷压缩机</w:t>
            </w:r>
          </w:p>
        </w:tc>
        <w:tc>
          <w:tcPr>
            <w:tcW w:w="1807" w:type="dxa"/>
            <w:vAlign w:val="center"/>
          </w:tcPr>
          <w:p w14:paraId="5B3051F2">
            <w:pPr>
              <w:jc w:val="left"/>
              <w:rPr>
                <w:b/>
                <w:color w:val="auto"/>
                <w:w w:val="90"/>
                <w:szCs w:val="21"/>
                <w:highlight w:val="none"/>
              </w:rPr>
            </w:pPr>
            <w:r>
              <w:rPr>
                <w:rFonts w:hint="eastAsia"/>
                <w:b/>
                <w:color w:val="auto"/>
                <w:w w:val="90"/>
                <w:szCs w:val="21"/>
                <w:highlight w:val="none"/>
              </w:rPr>
              <w:t>冷水机组</w:t>
            </w:r>
          </w:p>
        </w:tc>
        <w:tc>
          <w:tcPr>
            <w:tcW w:w="3301" w:type="dxa"/>
            <w:vAlign w:val="center"/>
          </w:tcPr>
          <w:p w14:paraId="67C49B03">
            <w:pPr>
              <w:jc w:val="left"/>
              <w:rPr>
                <w:color w:val="auto"/>
                <w:w w:val="90"/>
                <w:szCs w:val="21"/>
                <w:highlight w:val="none"/>
              </w:rPr>
            </w:pPr>
            <w:r>
              <w:rPr>
                <w:rFonts w:hint="eastAsia"/>
                <w:color w:val="auto"/>
                <w:w w:val="90"/>
                <w:szCs w:val="21"/>
                <w:highlight w:val="none"/>
              </w:rPr>
              <w:t>《冷水机组能效限定值及能效等级》（GB 19577），《低环境温度空气源热泵（冷水）机组能效限定值及能效等级》（GB 37480）</w:t>
            </w:r>
          </w:p>
        </w:tc>
      </w:tr>
      <w:tr w14:paraId="7AEC614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E44BDAF">
            <w:pPr>
              <w:jc w:val="center"/>
              <w:rPr>
                <w:color w:val="auto"/>
                <w:w w:val="90"/>
                <w:szCs w:val="21"/>
                <w:highlight w:val="none"/>
              </w:rPr>
            </w:pPr>
          </w:p>
        </w:tc>
        <w:tc>
          <w:tcPr>
            <w:tcW w:w="1933" w:type="dxa"/>
            <w:vMerge w:val="continue"/>
            <w:vAlign w:val="center"/>
          </w:tcPr>
          <w:p w14:paraId="1E2DB586">
            <w:pPr>
              <w:jc w:val="left"/>
              <w:rPr>
                <w:color w:val="auto"/>
                <w:w w:val="90"/>
                <w:szCs w:val="21"/>
                <w:highlight w:val="none"/>
              </w:rPr>
            </w:pPr>
          </w:p>
        </w:tc>
        <w:tc>
          <w:tcPr>
            <w:tcW w:w="2209" w:type="dxa"/>
            <w:vMerge w:val="continue"/>
            <w:vAlign w:val="center"/>
          </w:tcPr>
          <w:p w14:paraId="5A998C14">
            <w:pPr>
              <w:jc w:val="left"/>
              <w:rPr>
                <w:b/>
                <w:color w:val="auto"/>
                <w:w w:val="90"/>
                <w:szCs w:val="21"/>
                <w:highlight w:val="none"/>
              </w:rPr>
            </w:pPr>
          </w:p>
        </w:tc>
        <w:tc>
          <w:tcPr>
            <w:tcW w:w="1807" w:type="dxa"/>
            <w:vAlign w:val="center"/>
          </w:tcPr>
          <w:p w14:paraId="4F9FB029">
            <w:pPr>
              <w:jc w:val="left"/>
              <w:rPr>
                <w:b/>
                <w:color w:val="auto"/>
                <w:w w:val="90"/>
                <w:szCs w:val="21"/>
                <w:highlight w:val="none"/>
              </w:rPr>
            </w:pPr>
            <w:r>
              <w:rPr>
                <w:rFonts w:hint="eastAsia"/>
                <w:b/>
                <w:color w:val="auto"/>
                <w:w w:val="90"/>
                <w:szCs w:val="21"/>
                <w:highlight w:val="none"/>
              </w:rPr>
              <w:t>水源热泵机组</w:t>
            </w:r>
          </w:p>
        </w:tc>
        <w:tc>
          <w:tcPr>
            <w:tcW w:w="3301" w:type="dxa"/>
            <w:vAlign w:val="center"/>
          </w:tcPr>
          <w:p w14:paraId="3C35E704">
            <w:pPr>
              <w:jc w:val="left"/>
              <w:rPr>
                <w:color w:val="auto"/>
                <w:w w:val="90"/>
                <w:szCs w:val="21"/>
                <w:highlight w:val="none"/>
              </w:rPr>
            </w:pPr>
            <w:r>
              <w:rPr>
                <w:rFonts w:hint="eastAsia"/>
                <w:color w:val="auto"/>
                <w:w w:val="90"/>
                <w:szCs w:val="21"/>
                <w:highlight w:val="none"/>
              </w:rPr>
              <w:t>《水（地）源热泵机组能效限定值及能效等级》（GB 30721）</w:t>
            </w:r>
          </w:p>
        </w:tc>
      </w:tr>
      <w:tr w14:paraId="42FBE27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95D2FBE">
            <w:pPr>
              <w:jc w:val="center"/>
              <w:rPr>
                <w:color w:val="auto"/>
                <w:w w:val="90"/>
                <w:szCs w:val="21"/>
                <w:highlight w:val="none"/>
              </w:rPr>
            </w:pPr>
          </w:p>
        </w:tc>
        <w:tc>
          <w:tcPr>
            <w:tcW w:w="1933" w:type="dxa"/>
            <w:vMerge w:val="continue"/>
            <w:vAlign w:val="center"/>
          </w:tcPr>
          <w:p w14:paraId="66FD8089">
            <w:pPr>
              <w:jc w:val="left"/>
              <w:rPr>
                <w:color w:val="auto"/>
                <w:w w:val="90"/>
                <w:szCs w:val="21"/>
                <w:highlight w:val="none"/>
              </w:rPr>
            </w:pPr>
          </w:p>
        </w:tc>
        <w:tc>
          <w:tcPr>
            <w:tcW w:w="2209" w:type="dxa"/>
            <w:vMerge w:val="continue"/>
            <w:vAlign w:val="center"/>
          </w:tcPr>
          <w:p w14:paraId="2638F2EB">
            <w:pPr>
              <w:jc w:val="left"/>
              <w:rPr>
                <w:b/>
                <w:color w:val="auto"/>
                <w:w w:val="90"/>
                <w:szCs w:val="21"/>
                <w:highlight w:val="none"/>
              </w:rPr>
            </w:pPr>
          </w:p>
        </w:tc>
        <w:tc>
          <w:tcPr>
            <w:tcW w:w="1807" w:type="dxa"/>
            <w:vAlign w:val="center"/>
          </w:tcPr>
          <w:p w14:paraId="71CBF177">
            <w:pPr>
              <w:jc w:val="left"/>
              <w:rPr>
                <w:b/>
                <w:color w:val="auto"/>
                <w:w w:val="90"/>
                <w:szCs w:val="21"/>
                <w:highlight w:val="none"/>
              </w:rPr>
            </w:pPr>
            <w:r>
              <w:rPr>
                <w:rFonts w:hint="eastAsia"/>
                <w:b/>
                <w:color w:val="auto"/>
                <w:w w:val="90"/>
                <w:szCs w:val="21"/>
                <w:highlight w:val="none"/>
              </w:rPr>
              <w:t>溴化锂吸收式冷水机组</w:t>
            </w:r>
          </w:p>
        </w:tc>
        <w:tc>
          <w:tcPr>
            <w:tcW w:w="3301" w:type="dxa"/>
            <w:vAlign w:val="center"/>
          </w:tcPr>
          <w:p w14:paraId="37FB691A">
            <w:pPr>
              <w:jc w:val="left"/>
              <w:rPr>
                <w:color w:val="auto"/>
                <w:w w:val="90"/>
                <w:szCs w:val="21"/>
                <w:highlight w:val="none"/>
              </w:rPr>
            </w:pPr>
            <w:r>
              <w:rPr>
                <w:rFonts w:hint="eastAsia"/>
                <w:color w:val="auto"/>
                <w:w w:val="90"/>
                <w:szCs w:val="21"/>
                <w:highlight w:val="none"/>
              </w:rPr>
              <w:t>《溴化锂吸收式冷水机组能效限定值及能效等级》（GB 29540）</w:t>
            </w:r>
          </w:p>
        </w:tc>
      </w:tr>
      <w:tr w14:paraId="1BE29FA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42C994B">
            <w:pPr>
              <w:jc w:val="center"/>
              <w:rPr>
                <w:color w:val="auto"/>
                <w:w w:val="90"/>
                <w:szCs w:val="21"/>
                <w:highlight w:val="none"/>
              </w:rPr>
            </w:pPr>
          </w:p>
        </w:tc>
        <w:tc>
          <w:tcPr>
            <w:tcW w:w="1933" w:type="dxa"/>
            <w:vMerge w:val="continue"/>
            <w:vAlign w:val="center"/>
          </w:tcPr>
          <w:p w14:paraId="4E01C1D0">
            <w:pPr>
              <w:jc w:val="left"/>
              <w:rPr>
                <w:color w:val="auto"/>
                <w:w w:val="90"/>
                <w:szCs w:val="21"/>
                <w:highlight w:val="none"/>
              </w:rPr>
            </w:pPr>
          </w:p>
        </w:tc>
        <w:tc>
          <w:tcPr>
            <w:tcW w:w="2209" w:type="dxa"/>
            <w:vMerge w:val="restart"/>
            <w:vAlign w:val="center"/>
          </w:tcPr>
          <w:p w14:paraId="34753429">
            <w:pPr>
              <w:jc w:val="left"/>
              <w:rPr>
                <w:b/>
                <w:color w:val="auto"/>
                <w:w w:val="90"/>
                <w:szCs w:val="21"/>
                <w:highlight w:val="none"/>
              </w:rPr>
            </w:pPr>
            <w:r>
              <w:rPr>
                <w:rFonts w:hint="eastAsia"/>
                <w:color w:val="auto"/>
                <w:w w:val="90"/>
                <w:szCs w:val="21"/>
                <w:highlight w:val="none"/>
              </w:rPr>
              <w:t>★</w:t>
            </w:r>
            <w:r>
              <w:rPr>
                <w:rFonts w:hint="eastAsia"/>
                <w:b/>
                <w:color w:val="auto"/>
                <w:w w:val="90"/>
                <w:szCs w:val="21"/>
                <w:highlight w:val="none"/>
              </w:rPr>
              <w:t>A02052305空调机组</w:t>
            </w:r>
          </w:p>
        </w:tc>
        <w:tc>
          <w:tcPr>
            <w:tcW w:w="1807" w:type="dxa"/>
            <w:vAlign w:val="center"/>
          </w:tcPr>
          <w:p w14:paraId="0F5EDC71">
            <w:pPr>
              <w:jc w:val="left"/>
              <w:rPr>
                <w:b/>
                <w:color w:val="auto"/>
                <w:w w:val="90"/>
                <w:szCs w:val="21"/>
                <w:highlight w:val="none"/>
              </w:rPr>
            </w:pPr>
            <w:r>
              <w:rPr>
                <w:rFonts w:hint="eastAsia"/>
                <w:b/>
                <w:color w:val="auto"/>
                <w:w w:val="90"/>
                <w:szCs w:val="21"/>
                <w:highlight w:val="none"/>
              </w:rPr>
              <w:t>多联式空调（热泵）机组(制冷量&gt;14000W)</w:t>
            </w:r>
          </w:p>
        </w:tc>
        <w:tc>
          <w:tcPr>
            <w:tcW w:w="3301" w:type="dxa"/>
            <w:vAlign w:val="center"/>
          </w:tcPr>
          <w:p w14:paraId="453BA2D5">
            <w:pPr>
              <w:jc w:val="left"/>
              <w:rPr>
                <w:color w:val="auto"/>
                <w:w w:val="90"/>
                <w:szCs w:val="21"/>
                <w:highlight w:val="none"/>
              </w:rPr>
            </w:pPr>
            <w:r>
              <w:rPr>
                <w:rFonts w:hint="eastAsia"/>
                <w:color w:val="auto"/>
                <w:w w:val="90"/>
                <w:szCs w:val="21"/>
                <w:highlight w:val="none"/>
              </w:rPr>
              <w:t>《多联式空调（热泵）机组能效限定值及能源效率等级》（GB 21454）</w:t>
            </w:r>
          </w:p>
        </w:tc>
      </w:tr>
      <w:tr w14:paraId="44590E0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014383D">
            <w:pPr>
              <w:jc w:val="center"/>
              <w:rPr>
                <w:color w:val="auto"/>
                <w:w w:val="90"/>
                <w:szCs w:val="21"/>
                <w:highlight w:val="none"/>
              </w:rPr>
            </w:pPr>
          </w:p>
        </w:tc>
        <w:tc>
          <w:tcPr>
            <w:tcW w:w="1933" w:type="dxa"/>
            <w:vMerge w:val="continue"/>
            <w:vAlign w:val="center"/>
          </w:tcPr>
          <w:p w14:paraId="02BE6331">
            <w:pPr>
              <w:jc w:val="left"/>
              <w:rPr>
                <w:color w:val="auto"/>
                <w:w w:val="90"/>
                <w:szCs w:val="21"/>
                <w:highlight w:val="none"/>
              </w:rPr>
            </w:pPr>
          </w:p>
        </w:tc>
        <w:tc>
          <w:tcPr>
            <w:tcW w:w="2209" w:type="dxa"/>
            <w:vMerge w:val="continue"/>
            <w:vAlign w:val="center"/>
          </w:tcPr>
          <w:p w14:paraId="5CEFF8E9">
            <w:pPr>
              <w:jc w:val="left"/>
              <w:rPr>
                <w:b/>
                <w:color w:val="auto"/>
                <w:w w:val="90"/>
                <w:szCs w:val="21"/>
                <w:highlight w:val="none"/>
              </w:rPr>
            </w:pPr>
          </w:p>
        </w:tc>
        <w:tc>
          <w:tcPr>
            <w:tcW w:w="1807" w:type="dxa"/>
            <w:vAlign w:val="center"/>
          </w:tcPr>
          <w:p w14:paraId="7D2CDFA1">
            <w:pPr>
              <w:jc w:val="left"/>
              <w:rPr>
                <w:b/>
                <w:color w:val="auto"/>
                <w:w w:val="90"/>
                <w:szCs w:val="21"/>
                <w:highlight w:val="none"/>
              </w:rPr>
            </w:pPr>
            <w:r>
              <w:rPr>
                <w:rFonts w:hint="eastAsia"/>
                <w:b/>
                <w:color w:val="auto"/>
                <w:w w:val="90"/>
                <w:szCs w:val="21"/>
                <w:highlight w:val="none"/>
              </w:rPr>
              <w:t>单元式空气调节机(制冷量&gt;14000W)</w:t>
            </w:r>
          </w:p>
        </w:tc>
        <w:tc>
          <w:tcPr>
            <w:tcW w:w="3301" w:type="dxa"/>
            <w:vAlign w:val="center"/>
          </w:tcPr>
          <w:p w14:paraId="3D8C244A">
            <w:pPr>
              <w:jc w:val="left"/>
              <w:rPr>
                <w:color w:val="auto"/>
                <w:w w:val="90"/>
                <w:szCs w:val="21"/>
                <w:highlight w:val="none"/>
              </w:rPr>
            </w:pPr>
            <w:r>
              <w:rPr>
                <w:rFonts w:hint="eastAsia"/>
                <w:color w:val="auto"/>
                <w:w w:val="90"/>
                <w:szCs w:val="21"/>
                <w:highlight w:val="none"/>
              </w:rPr>
              <w:t>《单元式空气调节机能效限定值及能效等级》（GB 19576）《风管送风式空调机组能效限定值及能效等级》（GB 37479）</w:t>
            </w:r>
          </w:p>
        </w:tc>
      </w:tr>
      <w:tr w14:paraId="2A84E17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77B6ED8">
            <w:pPr>
              <w:jc w:val="center"/>
              <w:rPr>
                <w:color w:val="auto"/>
                <w:w w:val="90"/>
                <w:szCs w:val="21"/>
                <w:highlight w:val="none"/>
              </w:rPr>
            </w:pPr>
          </w:p>
        </w:tc>
        <w:tc>
          <w:tcPr>
            <w:tcW w:w="1933" w:type="dxa"/>
            <w:vMerge w:val="continue"/>
            <w:vAlign w:val="center"/>
          </w:tcPr>
          <w:p w14:paraId="45582192">
            <w:pPr>
              <w:jc w:val="left"/>
              <w:rPr>
                <w:color w:val="auto"/>
                <w:w w:val="90"/>
                <w:szCs w:val="21"/>
                <w:highlight w:val="none"/>
              </w:rPr>
            </w:pPr>
          </w:p>
        </w:tc>
        <w:tc>
          <w:tcPr>
            <w:tcW w:w="2209" w:type="dxa"/>
            <w:vAlign w:val="center"/>
          </w:tcPr>
          <w:p w14:paraId="610CB45B">
            <w:pPr>
              <w:jc w:val="left"/>
              <w:rPr>
                <w:b/>
                <w:color w:val="auto"/>
                <w:w w:val="90"/>
                <w:szCs w:val="21"/>
                <w:highlight w:val="none"/>
              </w:rPr>
            </w:pPr>
            <w:r>
              <w:rPr>
                <w:rFonts w:hint="eastAsia"/>
                <w:color w:val="auto"/>
                <w:w w:val="90"/>
                <w:szCs w:val="21"/>
                <w:highlight w:val="none"/>
              </w:rPr>
              <w:t>★</w:t>
            </w:r>
            <w:r>
              <w:rPr>
                <w:rFonts w:hint="eastAsia"/>
                <w:b/>
                <w:color w:val="auto"/>
                <w:w w:val="90"/>
                <w:szCs w:val="21"/>
                <w:highlight w:val="none"/>
              </w:rPr>
              <w:t>A02052309专用制冷、空调设备</w:t>
            </w:r>
          </w:p>
        </w:tc>
        <w:tc>
          <w:tcPr>
            <w:tcW w:w="1807" w:type="dxa"/>
            <w:vAlign w:val="center"/>
          </w:tcPr>
          <w:p w14:paraId="3F6FEA7D">
            <w:pPr>
              <w:jc w:val="left"/>
              <w:rPr>
                <w:b/>
                <w:color w:val="auto"/>
                <w:w w:val="90"/>
                <w:szCs w:val="21"/>
                <w:highlight w:val="none"/>
              </w:rPr>
            </w:pPr>
            <w:r>
              <w:rPr>
                <w:rFonts w:hint="eastAsia"/>
                <w:b/>
                <w:color w:val="auto"/>
                <w:w w:val="90"/>
                <w:szCs w:val="21"/>
                <w:highlight w:val="none"/>
              </w:rPr>
              <w:t>机房空调</w:t>
            </w:r>
          </w:p>
        </w:tc>
        <w:tc>
          <w:tcPr>
            <w:tcW w:w="3301" w:type="dxa"/>
            <w:vAlign w:val="center"/>
          </w:tcPr>
          <w:p w14:paraId="438398AC">
            <w:pPr>
              <w:jc w:val="left"/>
              <w:rPr>
                <w:color w:val="auto"/>
                <w:w w:val="90"/>
                <w:szCs w:val="21"/>
                <w:highlight w:val="none"/>
              </w:rPr>
            </w:pPr>
            <w:r>
              <w:rPr>
                <w:rFonts w:hint="eastAsia"/>
                <w:color w:val="auto"/>
                <w:w w:val="90"/>
                <w:szCs w:val="21"/>
                <w:highlight w:val="none"/>
              </w:rPr>
              <w:t>《单元式空气调节机能效限定值及能效等级》（GB 19576）</w:t>
            </w:r>
          </w:p>
        </w:tc>
      </w:tr>
      <w:tr w14:paraId="0F8FF1D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6CA6A0C">
            <w:pPr>
              <w:jc w:val="center"/>
              <w:rPr>
                <w:color w:val="auto"/>
                <w:w w:val="90"/>
                <w:szCs w:val="21"/>
                <w:highlight w:val="none"/>
              </w:rPr>
            </w:pPr>
          </w:p>
        </w:tc>
        <w:tc>
          <w:tcPr>
            <w:tcW w:w="1933" w:type="dxa"/>
            <w:vMerge w:val="continue"/>
            <w:vAlign w:val="center"/>
          </w:tcPr>
          <w:p w14:paraId="5E5323B4">
            <w:pPr>
              <w:jc w:val="left"/>
              <w:rPr>
                <w:color w:val="auto"/>
                <w:w w:val="90"/>
                <w:szCs w:val="21"/>
                <w:highlight w:val="none"/>
              </w:rPr>
            </w:pPr>
          </w:p>
        </w:tc>
        <w:tc>
          <w:tcPr>
            <w:tcW w:w="2209" w:type="dxa"/>
            <w:vAlign w:val="center"/>
          </w:tcPr>
          <w:p w14:paraId="368D85F6">
            <w:pPr>
              <w:jc w:val="left"/>
              <w:rPr>
                <w:color w:val="auto"/>
                <w:w w:val="90"/>
                <w:szCs w:val="21"/>
                <w:highlight w:val="none"/>
              </w:rPr>
            </w:pPr>
            <w:r>
              <w:rPr>
                <w:rFonts w:hint="eastAsia"/>
                <w:color w:val="auto"/>
                <w:w w:val="90"/>
                <w:szCs w:val="21"/>
                <w:highlight w:val="none"/>
              </w:rPr>
              <w:t>A02052399其他制冷空调设备</w:t>
            </w:r>
          </w:p>
        </w:tc>
        <w:tc>
          <w:tcPr>
            <w:tcW w:w="1807" w:type="dxa"/>
            <w:vAlign w:val="center"/>
          </w:tcPr>
          <w:p w14:paraId="6E58F279">
            <w:pPr>
              <w:jc w:val="left"/>
              <w:rPr>
                <w:color w:val="auto"/>
                <w:w w:val="90"/>
                <w:szCs w:val="21"/>
                <w:highlight w:val="none"/>
              </w:rPr>
            </w:pPr>
            <w:r>
              <w:rPr>
                <w:rFonts w:hint="eastAsia"/>
                <w:color w:val="auto"/>
                <w:w w:val="90"/>
                <w:szCs w:val="21"/>
                <w:highlight w:val="none"/>
              </w:rPr>
              <w:t>冷却塔</w:t>
            </w:r>
          </w:p>
        </w:tc>
        <w:tc>
          <w:tcPr>
            <w:tcW w:w="3301" w:type="dxa"/>
            <w:vAlign w:val="center"/>
          </w:tcPr>
          <w:p w14:paraId="655B106E">
            <w:pPr>
              <w:jc w:val="left"/>
              <w:rPr>
                <w:color w:val="auto"/>
                <w:w w:val="90"/>
                <w:szCs w:val="21"/>
                <w:highlight w:val="none"/>
              </w:rPr>
            </w:pPr>
            <w:r>
              <w:rPr>
                <w:rFonts w:hint="eastAsia"/>
                <w:color w:val="auto"/>
                <w:w w:val="90"/>
                <w:szCs w:val="21"/>
                <w:highlight w:val="none"/>
              </w:rPr>
              <w:t>《机械通风冷却塔 第 1 部分：中小型开式冷却塔》（GB/T 7190.1）</w:t>
            </w:r>
          </w:p>
          <w:p w14:paraId="71922B31">
            <w:pPr>
              <w:jc w:val="left"/>
              <w:rPr>
                <w:color w:val="auto"/>
                <w:w w:val="90"/>
                <w:szCs w:val="21"/>
                <w:highlight w:val="none"/>
              </w:rPr>
            </w:pPr>
            <w:r>
              <w:rPr>
                <w:rFonts w:hint="eastAsia"/>
                <w:color w:val="auto"/>
                <w:w w:val="90"/>
                <w:szCs w:val="21"/>
                <w:highlight w:val="none"/>
              </w:rPr>
              <w:t>《机械通风冷却塔 第 2 部分：大型开式冷却塔》（GB/T 7190.2）</w:t>
            </w:r>
          </w:p>
        </w:tc>
      </w:tr>
      <w:tr w14:paraId="1B931C6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03D5C1C">
            <w:pPr>
              <w:jc w:val="center"/>
              <w:rPr>
                <w:color w:val="auto"/>
                <w:w w:val="90"/>
                <w:szCs w:val="21"/>
                <w:highlight w:val="none"/>
              </w:rPr>
            </w:pPr>
            <w:r>
              <w:rPr>
                <w:rFonts w:hint="eastAsia"/>
                <w:color w:val="auto"/>
                <w:w w:val="90"/>
                <w:szCs w:val="21"/>
                <w:highlight w:val="none"/>
              </w:rPr>
              <w:t>7</w:t>
            </w:r>
          </w:p>
        </w:tc>
        <w:tc>
          <w:tcPr>
            <w:tcW w:w="1933" w:type="dxa"/>
            <w:vAlign w:val="center"/>
          </w:tcPr>
          <w:p w14:paraId="6D036EF1">
            <w:pPr>
              <w:jc w:val="left"/>
              <w:rPr>
                <w:color w:val="auto"/>
                <w:w w:val="90"/>
                <w:szCs w:val="21"/>
                <w:highlight w:val="none"/>
              </w:rPr>
            </w:pPr>
            <w:r>
              <w:rPr>
                <w:rFonts w:hint="eastAsia"/>
                <w:color w:val="auto"/>
                <w:w w:val="90"/>
                <w:szCs w:val="21"/>
                <w:highlight w:val="none"/>
              </w:rPr>
              <w:t>A020601电机</w:t>
            </w:r>
          </w:p>
        </w:tc>
        <w:tc>
          <w:tcPr>
            <w:tcW w:w="2209" w:type="dxa"/>
            <w:vAlign w:val="center"/>
          </w:tcPr>
          <w:p w14:paraId="37C40C69">
            <w:pPr>
              <w:jc w:val="left"/>
              <w:rPr>
                <w:color w:val="auto"/>
                <w:w w:val="90"/>
                <w:szCs w:val="21"/>
                <w:highlight w:val="none"/>
              </w:rPr>
            </w:pPr>
          </w:p>
        </w:tc>
        <w:tc>
          <w:tcPr>
            <w:tcW w:w="1807" w:type="dxa"/>
            <w:vAlign w:val="center"/>
          </w:tcPr>
          <w:p w14:paraId="771CF188">
            <w:pPr>
              <w:jc w:val="center"/>
              <w:rPr>
                <w:color w:val="auto"/>
                <w:w w:val="90"/>
                <w:szCs w:val="21"/>
                <w:highlight w:val="none"/>
              </w:rPr>
            </w:pPr>
          </w:p>
        </w:tc>
        <w:tc>
          <w:tcPr>
            <w:tcW w:w="3301" w:type="dxa"/>
            <w:vAlign w:val="center"/>
          </w:tcPr>
          <w:p w14:paraId="2C6AE2FF">
            <w:pPr>
              <w:jc w:val="left"/>
              <w:rPr>
                <w:color w:val="auto"/>
                <w:w w:val="90"/>
                <w:szCs w:val="21"/>
                <w:highlight w:val="none"/>
              </w:rPr>
            </w:pPr>
            <w:r>
              <w:rPr>
                <w:rFonts w:hint="eastAsia"/>
                <w:color w:val="auto"/>
                <w:w w:val="90"/>
                <w:szCs w:val="21"/>
                <w:highlight w:val="none"/>
              </w:rPr>
              <w:t>《中小型三相异步电动机能效限定值及能效等级》（GB 18613）</w:t>
            </w:r>
          </w:p>
        </w:tc>
      </w:tr>
      <w:tr w14:paraId="5926816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5B4F44D">
            <w:pPr>
              <w:jc w:val="center"/>
              <w:rPr>
                <w:color w:val="auto"/>
                <w:w w:val="90"/>
                <w:szCs w:val="21"/>
                <w:highlight w:val="none"/>
              </w:rPr>
            </w:pPr>
            <w:r>
              <w:rPr>
                <w:rFonts w:hint="eastAsia"/>
                <w:color w:val="auto"/>
                <w:w w:val="90"/>
                <w:szCs w:val="21"/>
                <w:highlight w:val="none"/>
              </w:rPr>
              <w:t>8</w:t>
            </w:r>
          </w:p>
        </w:tc>
        <w:tc>
          <w:tcPr>
            <w:tcW w:w="1933" w:type="dxa"/>
            <w:vAlign w:val="center"/>
          </w:tcPr>
          <w:p w14:paraId="3A0D3538">
            <w:pPr>
              <w:jc w:val="left"/>
              <w:rPr>
                <w:color w:val="auto"/>
                <w:w w:val="90"/>
                <w:szCs w:val="21"/>
                <w:highlight w:val="none"/>
              </w:rPr>
            </w:pPr>
            <w:r>
              <w:rPr>
                <w:rFonts w:hint="eastAsia"/>
                <w:color w:val="auto"/>
                <w:w w:val="90"/>
                <w:szCs w:val="21"/>
                <w:highlight w:val="none"/>
              </w:rPr>
              <w:t>A020602变压器</w:t>
            </w:r>
          </w:p>
        </w:tc>
        <w:tc>
          <w:tcPr>
            <w:tcW w:w="2209" w:type="dxa"/>
            <w:vAlign w:val="center"/>
          </w:tcPr>
          <w:p w14:paraId="27BF79F1">
            <w:pPr>
              <w:jc w:val="left"/>
              <w:rPr>
                <w:color w:val="auto"/>
                <w:w w:val="90"/>
                <w:szCs w:val="21"/>
                <w:highlight w:val="none"/>
              </w:rPr>
            </w:pPr>
            <w:r>
              <w:rPr>
                <w:rFonts w:hint="eastAsia"/>
                <w:color w:val="auto"/>
                <w:w w:val="90"/>
                <w:szCs w:val="21"/>
                <w:highlight w:val="none"/>
              </w:rPr>
              <w:t>配电变压器</w:t>
            </w:r>
          </w:p>
        </w:tc>
        <w:tc>
          <w:tcPr>
            <w:tcW w:w="1807" w:type="dxa"/>
            <w:vAlign w:val="center"/>
          </w:tcPr>
          <w:p w14:paraId="77B5C8CC">
            <w:pPr>
              <w:jc w:val="center"/>
              <w:rPr>
                <w:color w:val="auto"/>
                <w:w w:val="90"/>
                <w:szCs w:val="21"/>
                <w:highlight w:val="none"/>
              </w:rPr>
            </w:pPr>
          </w:p>
        </w:tc>
        <w:tc>
          <w:tcPr>
            <w:tcW w:w="3301" w:type="dxa"/>
            <w:vAlign w:val="center"/>
          </w:tcPr>
          <w:p w14:paraId="13E5276F">
            <w:pPr>
              <w:jc w:val="left"/>
              <w:rPr>
                <w:color w:val="auto"/>
                <w:w w:val="90"/>
                <w:szCs w:val="21"/>
                <w:highlight w:val="none"/>
              </w:rPr>
            </w:pPr>
            <w:r>
              <w:rPr>
                <w:rFonts w:hint="eastAsia"/>
                <w:color w:val="auto"/>
                <w:w w:val="90"/>
                <w:szCs w:val="21"/>
                <w:highlight w:val="none"/>
              </w:rPr>
              <w:t>《三相配电变压器能效限定值及能效等级》（GB 20052）</w:t>
            </w:r>
          </w:p>
        </w:tc>
      </w:tr>
      <w:tr w14:paraId="48632D8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53F091C">
            <w:pPr>
              <w:jc w:val="center"/>
              <w:rPr>
                <w:color w:val="auto"/>
                <w:w w:val="90"/>
                <w:szCs w:val="21"/>
                <w:highlight w:val="none"/>
              </w:rPr>
            </w:pPr>
            <w:r>
              <w:rPr>
                <w:rFonts w:hint="eastAsia"/>
                <w:color w:val="auto"/>
                <w:w w:val="90"/>
                <w:szCs w:val="21"/>
                <w:highlight w:val="none"/>
              </w:rPr>
              <w:t>9</w:t>
            </w:r>
          </w:p>
        </w:tc>
        <w:tc>
          <w:tcPr>
            <w:tcW w:w="1933" w:type="dxa"/>
            <w:vAlign w:val="center"/>
          </w:tcPr>
          <w:p w14:paraId="4E4D55F5">
            <w:pPr>
              <w:jc w:val="left"/>
              <w:rPr>
                <w:b/>
                <w:color w:val="auto"/>
                <w:w w:val="90"/>
                <w:szCs w:val="21"/>
                <w:highlight w:val="none"/>
              </w:rPr>
            </w:pPr>
            <w:r>
              <w:rPr>
                <w:rFonts w:hint="eastAsia"/>
                <w:color w:val="auto"/>
                <w:w w:val="90"/>
                <w:szCs w:val="21"/>
                <w:highlight w:val="none"/>
              </w:rPr>
              <w:t>★</w:t>
            </w:r>
            <w:r>
              <w:rPr>
                <w:rFonts w:hint="eastAsia"/>
                <w:b/>
                <w:color w:val="auto"/>
                <w:w w:val="90"/>
                <w:szCs w:val="21"/>
                <w:highlight w:val="none"/>
              </w:rPr>
              <w:t>A020609镇流器</w:t>
            </w:r>
          </w:p>
        </w:tc>
        <w:tc>
          <w:tcPr>
            <w:tcW w:w="2209" w:type="dxa"/>
            <w:vAlign w:val="center"/>
          </w:tcPr>
          <w:p w14:paraId="07E7693B">
            <w:pPr>
              <w:jc w:val="left"/>
              <w:rPr>
                <w:b/>
                <w:color w:val="auto"/>
                <w:w w:val="90"/>
                <w:szCs w:val="21"/>
                <w:highlight w:val="none"/>
              </w:rPr>
            </w:pPr>
            <w:r>
              <w:rPr>
                <w:rFonts w:hint="eastAsia"/>
                <w:b/>
                <w:color w:val="auto"/>
                <w:w w:val="90"/>
                <w:szCs w:val="21"/>
                <w:highlight w:val="none"/>
              </w:rPr>
              <w:t>管型荧光灯镇流器</w:t>
            </w:r>
          </w:p>
        </w:tc>
        <w:tc>
          <w:tcPr>
            <w:tcW w:w="1807" w:type="dxa"/>
            <w:vAlign w:val="center"/>
          </w:tcPr>
          <w:p w14:paraId="53BCAC03">
            <w:pPr>
              <w:jc w:val="center"/>
              <w:rPr>
                <w:color w:val="auto"/>
                <w:w w:val="90"/>
                <w:szCs w:val="21"/>
                <w:highlight w:val="none"/>
              </w:rPr>
            </w:pPr>
          </w:p>
        </w:tc>
        <w:tc>
          <w:tcPr>
            <w:tcW w:w="3301" w:type="dxa"/>
            <w:vAlign w:val="center"/>
          </w:tcPr>
          <w:p w14:paraId="081FD60C">
            <w:pPr>
              <w:jc w:val="left"/>
              <w:rPr>
                <w:color w:val="auto"/>
                <w:w w:val="90"/>
                <w:szCs w:val="21"/>
                <w:highlight w:val="none"/>
              </w:rPr>
            </w:pPr>
            <w:r>
              <w:rPr>
                <w:rFonts w:hint="eastAsia"/>
                <w:color w:val="auto"/>
                <w:w w:val="90"/>
                <w:szCs w:val="21"/>
                <w:highlight w:val="none"/>
              </w:rPr>
              <w:t>《管形荧光灯镇流器能效限定值及能效等级》（GB 17896）</w:t>
            </w:r>
          </w:p>
        </w:tc>
      </w:tr>
      <w:tr w14:paraId="3847305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1FD5689C">
            <w:pPr>
              <w:jc w:val="center"/>
              <w:rPr>
                <w:color w:val="auto"/>
                <w:w w:val="90"/>
                <w:szCs w:val="21"/>
                <w:highlight w:val="none"/>
              </w:rPr>
            </w:pPr>
            <w:r>
              <w:rPr>
                <w:rFonts w:hint="eastAsia"/>
                <w:color w:val="auto"/>
                <w:w w:val="90"/>
                <w:szCs w:val="21"/>
                <w:highlight w:val="none"/>
              </w:rPr>
              <w:t>10</w:t>
            </w:r>
          </w:p>
        </w:tc>
        <w:tc>
          <w:tcPr>
            <w:tcW w:w="1933" w:type="dxa"/>
            <w:vMerge w:val="restart"/>
            <w:vAlign w:val="center"/>
          </w:tcPr>
          <w:p w14:paraId="591AEBBB">
            <w:pPr>
              <w:jc w:val="left"/>
              <w:rPr>
                <w:color w:val="auto"/>
                <w:w w:val="90"/>
                <w:szCs w:val="21"/>
                <w:highlight w:val="none"/>
              </w:rPr>
            </w:pPr>
            <w:r>
              <w:rPr>
                <w:rFonts w:hint="eastAsia"/>
                <w:color w:val="auto"/>
                <w:w w:val="90"/>
                <w:szCs w:val="21"/>
                <w:highlight w:val="none"/>
              </w:rPr>
              <w:t>A020618 生活用电器</w:t>
            </w:r>
          </w:p>
        </w:tc>
        <w:tc>
          <w:tcPr>
            <w:tcW w:w="2209" w:type="dxa"/>
            <w:vAlign w:val="center"/>
          </w:tcPr>
          <w:p w14:paraId="78D25493">
            <w:pPr>
              <w:jc w:val="left"/>
              <w:rPr>
                <w:color w:val="auto"/>
                <w:w w:val="90"/>
                <w:szCs w:val="21"/>
                <w:highlight w:val="none"/>
              </w:rPr>
            </w:pPr>
            <w:r>
              <w:rPr>
                <w:rFonts w:hint="eastAsia"/>
                <w:color w:val="auto"/>
                <w:w w:val="90"/>
                <w:szCs w:val="21"/>
                <w:highlight w:val="none"/>
              </w:rPr>
              <w:t>A0206180101电冰箱</w:t>
            </w:r>
          </w:p>
        </w:tc>
        <w:tc>
          <w:tcPr>
            <w:tcW w:w="1807" w:type="dxa"/>
            <w:vAlign w:val="center"/>
          </w:tcPr>
          <w:p w14:paraId="38037DF8">
            <w:pPr>
              <w:jc w:val="center"/>
              <w:rPr>
                <w:color w:val="auto"/>
                <w:w w:val="90"/>
                <w:szCs w:val="21"/>
                <w:highlight w:val="none"/>
              </w:rPr>
            </w:pPr>
          </w:p>
        </w:tc>
        <w:tc>
          <w:tcPr>
            <w:tcW w:w="3301" w:type="dxa"/>
            <w:vAlign w:val="center"/>
          </w:tcPr>
          <w:p w14:paraId="79046297">
            <w:pPr>
              <w:jc w:val="left"/>
              <w:rPr>
                <w:color w:val="auto"/>
                <w:w w:val="90"/>
                <w:szCs w:val="21"/>
                <w:highlight w:val="none"/>
              </w:rPr>
            </w:pPr>
            <w:r>
              <w:rPr>
                <w:rFonts w:hint="eastAsia"/>
                <w:color w:val="auto"/>
                <w:w w:val="90"/>
                <w:szCs w:val="21"/>
                <w:highlight w:val="none"/>
              </w:rPr>
              <w:t>《家用电冰箱耗电量限定值及能效等级》（GB</w:t>
            </w:r>
            <w:r>
              <w:rPr>
                <w:rFonts w:hint="eastAsia"/>
                <w:color w:val="auto"/>
                <w:w w:val="90"/>
                <w:szCs w:val="21"/>
                <w:highlight w:val="none"/>
              </w:rPr>
              <w:tab/>
            </w:r>
            <w:r>
              <w:rPr>
                <w:rFonts w:hint="eastAsia"/>
                <w:color w:val="auto"/>
                <w:w w:val="90"/>
                <w:szCs w:val="21"/>
                <w:highlight w:val="none"/>
              </w:rPr>
              <w:t>12021.2）</w:t>
            </w:r>
          </w:p>
        </w:tc>
      </w:tr>
      <w:tr w14:paraId="6CF7A69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E16729E">
            <w:pPr>
              <w:jc w:val="center"/>
              <w:rPr>
                <w:color w:val="auto"/>
                <w:w w:val="90"/>
                <w:szCs w:val="21"/>
                <w:highlight w:val="none"/>
              </w:rPr>
            </w:pPr>
          </w:p>
        </w:tc>
        <w:tc>
          <w:tcPr>
            <w:tcW w:w="1933" w:type="dxa"/>
            <w:vMerge w:val="continue"/>
            <w:vAlign w:val="center"/>
          </w:tcPr>
          <w:p w14:paraId="5E37D849">
            <w:pPr>
              <w:jc w:val="left"/>
              <w:rPr>
                <w:color w:val="auto"/>
                <w:w w:val="90"/>
                <w:szCs w:val="21"/>
                <w:highlight w:val="none"/>
              </w:rPr>
            </w:pPr>
          </w:p>
        </w:tc>
        <w:tc>
          <w:tcPr>
            <w:tcW w:w="2209" w:type="dxa"/>
            <w:vMerge w:val="restart"/>
            <w:vAlign w:val="center"/>
          </w:tcPr>
          <w:p w14:paraId="1F714DE6">
            <w:pPr>
              <w:jc w:val="left"/>
              <w:rPr>
                <w:b/>
                <w:color w:val="auto"/>
                <w:w w:val="90"/>
                <w:szCs w:val="21"/>
                <w:highlight w:val="none"/>
              </w:rPr>
            </w:pPr>
            <w:r>
              <w:rPr>
                <w:rFonts w:hint="eastAsia"/>
                <w:color w:val="auto"/>
                <w:w w:val="90"/>
                <w:szCs w:val="21"/>
                <w:highlight w:val="none"/>
              </w:rPr>
              <w:t>★</w:t>
            </w:r>
            <w:r>
              <w:rPr>
                <w:rFonts w:hint="eastAsia"/>
                <w:b/>
                <w:color w:val="auto"/>
                <w:w w:val="90"/>
                <w:szCs w:val="21"/>
                <w:highlight w:val="none"/>
              </w:rPr>
              <w:t>A0206180203空调机</w:t>
            </w:r>
          </w:p>
        </w:tc>
        <w:tc>
          <w:tcPr>
            <w:tcW w:w="1807" w:type="dxa"/>
            <w:vAlign w:val="center"/>
          </w:tcPr>
          <w:p w14:paraId="58C6412D">
            <w:pPr>
              <w:jc w:val="left"/>
              <w:rPr>
                <w:b/>
                <w:color w:val="auto"/>
                <w:w w:val="90"/>
                <w:szCs w:val="21"/>
                <w:highlight w:val="none"/>
              </w:rPr>
            </w:pPr>
            <w:r>
              <w:rPr>
                <w:rFonts w:hint="eastAsia"/>
                <w:b/>
                <w:color w:val="auto"/>
                <w:w w:val="90"/>
                <w:szCs w:val="21"/>
                <w:highlight w:val="none"/>
              </w:rPr>
              <w:t>房间空气调节器</w:t>
            </w:r>
          </w:p>
        </w:tc>
        <w:tc>
          <w:tcPr>
            <w:tcW w:w="3301" w:type="dxa"/>
            <w:vAlign w:val="center"/>
          </w:tcPr>
          <w:p w14:paraId="48BF4645">
            <w:pPr>
              <w:jc w:val="left"/>
              <w:rPr>
                <w:color w:val="auto"/>
                <w:w w:val="90"/>
                <w:szCs w:val="21"/>
                <w:highlight w:val="none"/>
              </w:rPr>
            </w:pPr>
            <w:r>
              <w:rPr>
                <w:rFonts w:hint="eastAsia"/>
                <w:color w:val="auto"/>
                <w:w w:val="90"/>
                <w:szCs w:val="21"/>
                <w:highlight w:val="none"/>
              </w:rPr>
              <w:t>《转速可控型房间空气调节器能效限定值及能效等级》（GB 21455-2013），待2019年修订发布后，按《房间空气调节器能效限定值及能效等级》（GB21455-2019）实施。</w:t>
            </w:r>
          </w:p>
        </w:tc>
      </w:tr>
      <w:tr w14:paraId="7EEC846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3C00EA1">
            <w:pPr>
              <w:jc w:val="center"/>
              <w:rPr>
                <w:color w:val="auto"/>
                <w:w w:val="90"/>
                <w:szCs w:val="21"/>
                <w:highlight w:val="none"/>
              </w:rPr>
            </w:pPr>
          </w:p>
        </w:tc>
        <w:tc>
          <w:tcPr>
            <w:tcW w:w="1933" w:type="dxa"/>
            <w:vMerge w:val="continue"/>
            <w:vAlign w:val="center"/>
          </w:tcPr>
          <w:p w14:paraId="29FE33D8">
            <w:pPr>
              <w:jc w:val="left"/>
              <w:rPr>
                <w:color w:val="auto"/>
                <w:w w:val="90"/>
                <w:szCs w:val="21"/>
                <w:highlight w:val="none"/>
              </w:rPr>
            </w:pPr>
          </w:p>
        </w:tc>
        <w:tc>
          <w:tcPr>
            <w:tcW w:w="2209" w:type="dxa"/>
            <w:vMerge w:val="continue"/>
            <w:vAlign w:val="center"/>
          </w:tcPr>
          <w:p w14:paraId="1817BAF7">
            <w:pPr>
              <w:jc w:val="left"/>
              <w:rPr>
                <w:b/>
                <w:color w:val="auto"/>
                <w:w w:val="90"/>
                <w:szCs w:val="21"/>
                <w:highlight w:val="none"/>
              </w:rPr>
            </w:pPr>
          </w:p>
        </w:tc>
        <w:tc>
          <w:tcPr>
            <w:tcW w:w="1807" w:type="dxa"/>
            <w:vAlign w:val="center"/>
          </w:tcPr>
          <w:p w14:paraId="616C52DF">
            <w:pPr>
              <w:jc w:val="left"/>
              <w:rPr>
                <w:b/>
                <w:color w:val="auto"/>
                <w:w w:val="90"/>
                <w:szCs w:val="21"/>
                <w:highlight w:val="none"/>
              </w:rPr>
            </w:pPr>
            <w:r>
              <w:rPr>
                <w:rFonts w:hint="eastAsia"/>
                <w:b/>
                <w:color w:val="auto"/>
                <w:w w:val="90"/>
                <w:szCs w:val="21"/>
                <w:highlight w:val="none"/>
              </w:rPr>
              <w:t>多联式空调（热泵）机组（制冷量≤ 14000W）</w:t>
            </w:r>
          </w:p>
        </w:tc>
        <w:tc>
          <w:tcPr>
            <w:tcW w:w="3301" w:type="dxa"/>
            <w:vAlign w:val="center"/>
          </w:tcPr>
          <w:p w14:paraId="13B4173F">
            <w:pPr>
              <w:jc w:val="left"/>
              <w:rPr>
                <w:color w:val="auto"/>
                <w:w w:val="90"/>
                <w:szCs w:val="21"/>
                <w:highlight w:val="none"/>
              </w:rPr>
            </w:pPr>
            <w:r>
              <w:rPr>
                <w:rFonts w:hint="eastAsia"/>
                <w:color w:val="auto"/>
                <w:w w:val="90"/>
                <w:szCs w:val="21"/>
                <w:highlight w:val="none"/>
              </w:rPr>
              <w:t>《多联式空调（热泵）机组能效限定值及能源效率等级》（GB 21454）</w:t>
            </w:r>
          </w:p>
        </w:tc>
      </w:tr>
      <w:tr w14:paraId="3CC72A0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29F7BCB">
            <w:pPr>
              <w:jc w:val="center"/>
              <w:rPr>
                <w:color w:val="auto"/>
                <w:w w:val="90"/>
                <w:szCs w:val="21"/>
                <w:highlight w:val="none"/>
              </w:rPr>
            </w:pPr>
          </w:p>
        </w:tc>
        <w:tc>
          <w:tcPr>
            <w:tcW w:w="1933" w:type="dxa"/>
            <w:vMerge w:val="continue"/>
            <w:vAlign w:val="center"/>
          </w:tcPr>
          <w:p w14:paraId="4B5CECA4">
            <w:pPr>
              <w:jc w:val="left"/>
              <w:rPr>
                <w:color w:val="auto"/>
                <w:w w:val="90"/>
                <w:szCs w:val="21"/>
                <w:highlight w:val="none"/>
              </w:rPr>
            </w:pPr>
          </w:p>
        </w:tc>
        <w:tc>
          <w:tcPr>
            <w:tcW w:w="2209" w:type="dxa"/>
            <w:vMerge w:val="continue"/>
            <w:vAlign w:val="center"/>
          </w:tcPr>
          <w:p w14:paraId="46EF3DDF">
            <w:pPr>
              <w:jc w:val="left"/>
              <w:rPr>
                <w:b/>
                <w:color w:val="auto"/>
                <w:w w:val="90"/>
                <w:szCs w:val="21"/>
                <w:highlight w:val="none"/>
              </w:rPr>
            </w:pPr>
          </w:p>
        </w:tc>
        <w:tc>
          <w:tcPr>
            <w:tcW w:w="1807" w:type="dxa"/>
            <w:vAlign w:val="center"/>
          </w:tcPr>
          <w:p w14:paraId="63257C3C">
            <w:pPr>
              <w:jc w:val="left"/>
              <w:rPr>
                <w:b/>
                <w:color w:val="auto"/>
                <w:w w:val="90"/>
                <w:szCs w:val="21"/>
                <w:highlight w:val="none"/>
              </w:rPr>
            </w:pPr>
            <w:r>
              <w:rPr>
                <w:rFonts w:hint="eastAsia"/>
                <w:b/>
                <w:color w:val="auto"/>
                <w:w w:val="90"/>
                <w:szCs w:val="21"/>
                <w:highlight w:val="none"/>
              </w:rPr>
              <w:t>单元式空气调节机(制冷量≤14000W)</w:t>
            </w:r>
          </w:p>
        </w:tc>
        <w:tc>
          <w:tcPr>
            <w:tcW w:w="3301" w:type="dxa"/>
            <w:vAlign w:val="center"/>
          </w:tcPr>
          <w:p w14:paraId="301BFD0A">
            <w:pPr>
              <w:jc w:val="left"/>
              <w:rPr>
                <w:color w:val="auto"/>
                <w:w w:val="90"/>
                <w:szCs w:val="21"/>
                <w:highlight w:val="none"/>
              </w:rPr>
            </w:pPr>
            <w:r>
              <w:rPr>
                <w:rFonts w:hint="eastAsia"/>
                <w:color w:val="auto"/>
                <w:w w:val="90"/>
                <w:szCs w:val="21"/>
                <w:highlight w:val="none"/>
              </w:rPr>
              <w:t>《单元式空气调节机能效限定值及能源效率等级》（GB 19576）《风管送风式空调机组能效限定值及能效等级》（GB 37479）</w:t>
            </w:r>
          </w:p>
        </w:tc>
      </w:tr>
      <w:tr w14:paraId="39BE039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FA4D7CA">
            <w:pPr>
              <w:jc w:val="center"/>
              <w:rPr>
                <w:color w:val="auto"/>
                <w:w w:val="90"/>
                <w:szCs w:val="21"/>
                <w:highlight w:val="none"/>
              </w:rPr>
            </w:pPr>
          </w:p>
        </w:tc>
        <w:tc>
          <w:tcPr>
            <w:tcW w:w="1933" w:type="dxa"/>
            <w:vMerge w:val="continue"/>
            <w:vAlign w:val="center"/>
          </w:tcPr>
          <w:p w14:paraId="31F73A86">
            <w:pPr>
              <w:jc w:val="left"/>
              <w:rPr>
                <w:color w:val="auto"/>
                <w:w w:val="90"/>
                <w:szCs w:val="21"/>
                <w:highlight w:val="none"/>
              </w:rPr>
            </w:pPr>
          </w:p>
        </w:tc>
        <w:tc>
          <w:tcPr>
            <w:tcW w:w="2209" w:type="dxa"/>
            <w:vAlign w:val="center"/>
          </w:tcPr>
          <w:p w14:paraId="748CEDDC">
            <w:pPr>
              <w:jc w:val="left"/>
              <w:rPr>
                <w:color w:val="auto"/>
                <w:w w:val="90"/>
                <w:szCs w:val="21"/>
                <w:highlight w:val="none"/>
              </w:rPr>
            </w:pPr>
            <w:r>
              <w:rPr>
                <w:rFonts w:hint="eastAsia"/>
                <w:color w:val="auto"/>
                <w:w w:val="90"/>
                <w:szCs w:val="21"/>
                <w:highlight w:val="none"/>
              </w:rPr>
              <w:t>A0206180301洗衣机</w:t>
            </w:r>
          </w:p>
        </w:tc>
        <w:tc>
          <w:tcPr>
            <w:tcW w:w="1807" w:type="dxa"/>
            <w:vAlign w:val="center"/>
          </w:tcPr>
          <w:p w14:paraId="5D8E0030">
            <w:pPr>
              <w:jc w:val="left"/>
              <w:rPr>
                <w:color w:val="auto"/>
                <w:w w:val="90"/>
                <w:szCs w:val="21"/>
                <w:highlight w:val="none"/>
              </w:rPr>
            </w:pPr>
          </w:p>
        </w:tc>
        <w:tc>
          <w:tcPr>
            <w:tcW w:w="3301" w:type="dxa"/>
            <w:vAlign w:val="center"/>
          </w:tcPr>
          <w:p w14:paraId="2BAA279A">
            <w:pPr>
              <w:jc w:val="left"/>
              <w:rPr>
                <w:color w:val="auto"/>
                <w:w w:val="90"/>
                <w:szCs w:val="21"/>
                <w:highlight w:val="none"/>
              </w:rPr>
            </w:pPr>
            <w:r>
              <w:rPr>
                <w:rFonts w:hint="eastAsia"/>
                <w:color w:val="auto"/>
                <w:w w:val="90"/>
                <w:szCs w:val="21"/>
                <w:highlight w:val="none"/>
              </w:rPr>
              <w:t>《电动洗衣机能效水效限定值及等级》（GB 12021.4）</w:t>
            </w:r>
          </w:p>
        </w:tc>
      </w:tr>
      <w:tr w14:paraId="4003582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99C2D4A">
            <w:pPr>
              <w:jc w:val="center"/>
              <w:rPr>
                <w:color w:val="auto"/>
                <w:w w:val="90"/>
                <w:szCs w:val="21"/>
                <w:highlight w:val="none"/>
              </w:rPr>
            </w:pPr>
          </w:p>
        </w:tc>
        <w:tc>
          <w:tcPr>
            <w:tcW w:w="1933" w:type="dxa"/>
            <w:vMerge w:val="continue"/>
            <w:vAlign w:val="center"/>
          </w:tcPr>
          <w:p w14:paraId="078258A3">
            <w:pPr>
              <w:jc w:val="left"/>
              <w:rPr>
                <w:color w:val="auto"/>
                <w:w w:val="90"/>
                <w:szCs w:val="21"/>
                <w:highlight w:val="none"/>
              </w:rPr>
            </w:pPr>
          </w:p>
        </w:tc>
        <w:tc>
          <w:tcPr>
            <w:tcW w:w="2209" w:type="dxa"/>
            <w:vMerge w:val="restart"/>
            <w:vAlign w:val="center"/>
          </w:tcPr>
          <w:p w14:paraId="2E8F1625">
            <w:pPr>
              <w:jc w:val="left"/>
              <w:rPr>
                <w:color w:val="auto"/>
                <w:w w:val="90"/>
                <w:szCs w:val="21"/>
                <w:highlight w:val="none"/>
              </w:rPr>
            </w:pPr>
            <w:r>
              <w:rPr>
                <w:rFonts w:hint="eastAsia"/>
                <w:color w:val="auto"/>
                <w:w w:val="90"/>
                <w:szCs w:val="21"/>
                <w:highlight w:val="none"/>
              </w:rPr>
              <w:t>A02061808热水器</w:t>
            </w:r>
          </w:p>
        </w:tc>
        <w:tc>
          <w:tcPr>
            <w:tcW w:w="1807" w:type="dxa"/>
            <w:vAlign w:val="center"/>
          </w:tcPr>
          <w:p w14:paraId="4251545F">
            <w:pPr>
              <w:jc w:val="left"/>
              <w:rPr>
                <w:color w:val="auto"/>
                <w:w w:val="90"/>
                <w:szCs w:val="21"/>
                <w:highlight w:val="none"/>
              </w:rPr>
            </w:pPr>
            <w:r>
              <w:rPr>
                <w:rFonts w:hint="eastAsia"/>
                <w:color w:val="auto"/>
                <w:w w:val="90"/>
                <w:szCs w:val="21"/>
                <w:highlight w:val="none"/>
              </w:rPr>
              <w:t>★</w:t>
            </w:r>
            <w:r>
              <w:rPr>
                <w:rFonts w:hint="eastAsia"/>
                <w:b/>
                <w:color w:val="auto"/>
                <w:w w:val="90"/>
                <w:szCs w:val="21"/>
                <w:highlight w:val="none"/>
              </w:rPr>
              <w:t>电热水器</w:t>
            </w:r>
          </w:p>
        </w:tc>
        <w:tc>
          <w:tcPr>
            <w:tcW w:w="3301" w:type="dxa"/>
            <w:vAlign w:val="center"/>
          </w:tcPr>
          <w:p w14:paraId="451E8C90">
            <w:pPr>
              <w:jc w:val="left"/>
              <w:rPr>
                <w:color w:val="auto"/>
                <w:w w:val="90"/>
                <w:szCs w:val="21"/>
                <w:highlight w:val="none"/>
              </w:rPr>
            </w:pPr>
            <w:r>
              <w:rPr>
                <w:rFonts w:hint="eastAsia"/>
                <w:color w:val="auto"/>
                <w:w w:val="90"/>
                <w:szCs w:val="21"/>
                <w:highlight w:val="none"/>
              </w:rPr>
              <w:t>《储水式电热水器能效限定值及能效等级》（GB 21519）</w:t>
            </w:r>
          </w:p>
        </w:tc>
      </w:tr>
      <w:tr w14:paraId="1AD069F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B5A13A8">
            <w:pPr>
              <w:jc w:val="center"/>
              <w:rPr>
                <w:color w:val="auto"/>
                <w:w w:val="90"/>
                <w:szCs w:val="21"/>
                <w:highlight w:val="none"/>
              </w:rPr>
            </w:pPr>
          </w:p>
        </w:tc>
        <w:tc>
          <w:tcPr>
            <w:tcW w:w="1933" w:type="dxa"/>
            <w:vMerge w:val="continue"/>
            <w:vAlign w:val="center"/>
          </w:tcPr>
          <w:p w14:paraId="29B0EA0D">
            <w:pPr>
              <w:jc w:val="left"/>
              <w:rPr>
                <w:color w:val="auto"/>
                <w:w w:val="90"/>
                <w:szCs w:val="21"/>
                <w:highlight w:val="none"/>
              </w:rPr>
            </w:pPr>
          </w:p>
        </w:tc>
        <w:tc>
          <w:tcPr>
            <w:tcW w:w="2209" w:type="dxa"/>
            <w:vMerge w:val="continue"/>
            <w:vAlign w:val="center"/>
          </w:tcPr>
          <w:p w14:paraId="030FBC49">
            <w:pPr>
              <w:jc w:val="left"/>
              <w:rPr>
                <w:color w:val="auto"/>
                <w:w w:val="90"/>
                <w:szCs w:val="21"/>
                <w:highlight w:val="none"/>
              </w:rPr>
            </w:pPr>
          </w:p>
        </w:tc>
        <w:tc>
          <w:tcPr>
            <w:tcW w:w="1807" w:type="dxa"/>
            <w:vAlign w:val="center"/>
          </w:tcPr>
          <w:p w14:paraId="0DB6DB8B">
            <w:pPr>
              <w:jc w:val="left"/>
              <w:rPr>
                <w:color w:val="auto"/>
                <w:w w:val="90"/>
                <w:szCs w:val="21"/>
                <w:highlight w:val="none"/>
              </w:rPr>
            </w:pPr>
            <w:r>
              <w:rPr>
                <w:rFonts w:hint="eastAsia"/>
                <w:color w:val="auto"/>
                <w:w w:val="90"/>
                <w:szCs w:val="21"/>
                <w:highlight w:val="none"/>
              </w:rPr>
              <w:t>燃气热水器</w:t>
            </w:r>
          </w:p>
        </w:tc>
        <w:tc>
          <w:tcPr>
            <w:tcW w:w="3301" w:type="dxa"/>
            <w:vAlign w:val="center"/>
          </w:tcPr>
          <w:p w14:paraId="3B111E9E">
            <w:pPr>
              <w:jc w:val="left"/>
              <w:rPr>
                <w:color w:val="auto"/>
                <w:w w:val="90"/>
                <w:szCs w:val="21"/>
                <w:highlight w:val="none"/>
              </w:rPr>
            </w:pPr>
            <w:r>
              <w:rPr>
                <w:rFonts w:hint="eastAsia"/>
                <w:color w:val="auto"/>
                <w:w w:val="90"/>
                <w:szCs w:val="21"/>
                <w:highlight w:val="none"/>
              </w:rPr>
              <w:t>《家用燃气快速热水器和燃气采暖热水炉能效限定值及能效等级（GB 20665）</w:t>
            </w:r>
          </w:p>
        </w:tc>
      </w:tr>
      <w:tr w14:paraId="59C84A9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87D1486">
            <w:pPr>
              <w:jc w:val="center"/>
              <w:rPr>
                <w:color w:val="auto"/>
                <w:w w:val="90"/>
                <w:szCs w:val="21"/>
                <w:highlight w:val="none"/>
              </w:rPr>
            </w:pPr>
          </w:p>
        </w:tc>
        <w:tc>
          <w:tcPr>
            <w:tcW w:w="1933" w:type="dxa"/>
            <w:vMerge w:val="continue"/>
            <w:vAlign w:val="center"/>
          </w:tcPr>
          <w:p w14:paraId="01892795">
            <w:pPr>
              <w:jc w:val="left"/>
              <w:rPr>
                <w:color w:val="auto"/>
                <w:w w:val="90"/>
                <w:szCs w:val="21"/>
                <w:highlight w:val="none"/>
              </w:rPr>
            </w:pPr>
          </w:p>
        </w:tc>
        <w:tc>
          <w:tcPr>
            <w:tcW w:w="2209" w:type="dxa"/>
            <w:vMerge w:val="continue"/>
            <w:vAlign w:val="center"/>
          </w:tcPr>
          <w:p w14:paraId="05C03CE0">
            <w:pPr>
              <w:jc w:val="left"/>
              <w:rPr>
                <w:color w:val="auto"/>
                <w:w w:val="90"/>
                <w:szCs w:val="21"/>
                <w:highlight w:val="none"/>
              </w:rPr>
            </w:pPr>
          </w:p>
        </w:tc>
        <w:tc>
          <w:tcPr>
            <w:tcW w:w="1807" w:type="dxa"/>
            <w:vAlign w:val="center"/>
          </w:tcPr>
          <w:p w14:paraId="3AEC0444">
            <w:pPr>
              <w:jc w:val="left"/>
              <w:rPr>
                <w:color w:val="auto"/>
                <w:w w:val="90"/>
                <w:szCs w:val="21"/>
                <w:highlight w:val="none"/>
              </w:rPr>
            </w:pPr>
            <w:r>
              <w:rPr>
                <w:rFonts w:hint="eastAsia"/>
                <w:color w:val="auto"/>
                <w:w w:val="90"/>
                <w:szCs w:val="21"/>
                <w:highlight w:val="none"/>
              </w:rPr>
              <w:t>热泵热水器</w:t>
            </w:r>
          </w:p>
        </w:tc>
        <w:tc>
          <w:tcPr>
            <w:tcW w:w="3301" w:type="dxa"/>
            <w:vAlign w:val="center"/>
          </w:tcPr>
          <w:p w14:paraId="0B6C6E18">
            <w:pPr>
              <w:jc w:val="left"/>
              <w:rPr>
                <w:color w:val="auto"/>
                <w:w w:val="90"/>
                <w:szCs w:val="21"/>
                <w:highlight w:val="none"/>
              </w:rPr>
            </w:pPr>
            <w:r>
              <w:rPr>
                <w:rFonts w:hint="eastAsia"/>
                <w:color w:val="auto"/>
                <w:w w:val="90"/>
                <w:szCs w:val="21"/>
                <w:highlight w:val="none"/>
              </w:rPr>
              <w:t>《热泵热水机（器）能效限定值及能效等级》（GB 29541）</w:t>
            </w:r>
          </w:p>
        </w:tc>
      </w:tr>
      <w:tr w14:paraId="3E8480B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3E23B59">
            <w:pPr>
              <w:jc w:val="center"/>
              <w:rPr>
                <w:color w:val="auto"/>
                <w:w w:val="90"/>
                <w:szCs w:val="21"/>
                <w:highlight w:val="none"/>
              </w:rPr>
            </w:pPr>
          </w:p>
        </w:tc>
        <w:tc>
          <w:tcPr>
            <w:tcW w:w="1933" w:type="dxa"/>
            <w:vMerge w:val="continue"/>
            <w:vAlign w:val="center"/>
          </w:tcPr>
          <w:p w14:paraId="490BC3E3">
            <w:pPr>
              <w:jc w:val="left"/>
              <w:rPr>
                <w:color w:val="auto"/>
                <w:w w:val="90"/>
                <w:szCs w:val="21"/>
                <w:highlight w:val="none"/>
              </w:rPr>
            </w:pPr>
          </w:p>
        </w:tc>
        <w:tc>
          <w:tcPr>
            <w:tcW w:w="2209" w:type="dxa"/>
            <w:vMerge w:val="continue"/>
            <w:vAlign w:val="center"/>
          </w:tcPr>
          <w:p w14:paraId="6366AD5C">
            <w:pPr>
              <w:jc w:val="left"/>
              <w:rPr>
                <w:color w:val="auto"/>
                <w:w w:val="90"/>
                <w:szCs w:val="21"/>
                <w:highlight w:val="none"/>
              </w:rPr>
            </w:pPr>
          </w:p>
        </w:tc>
        <w:tc>
          <w:tcPr>
            <w:tcW w:w="1807" w:type="dxa"/>
            <w:vAlign w:val="center"/>
          </w:tcPr>
          <w:p w14:paraId="751590B7">
            <w:pPr>
              <w:jc w:val="left"/>
              <w:rPr>
                <w:color w:val="auto"/>
                <w:w w:val="90"/>
                <w:szCs w:val="21"/>
                <w:highlight w:val="none"/>
              </w:rPr>
            </w:pPr>
            <w:r>
              <w:rPr>
                <w:rFonts w:hint="eastAsia"/>
                <w:color w:val="auto"/>
                <w:w w:val="90"/>
                <w:szCs w:val="21"/>
                <w:highlight w:val="none"/>
              </w:rPr>
              <w:t>太阳能热水系统</w:t>
            </w:r>
          </w:p>
        </w:tc>
        <w:tc>
          <w:tcPr>
            <w:tcW w:w="3301" w:type="dxa"/>
            <w:vAlign w:val="center"/>
          </w:tcPr>
          <w:p w14:paraId="575DA4B4">
            <w:pPr>
              <w:jc w:val="left"/>
              <w:rPr>
                <w:color w:val="auto"/>
                <w:w w:val="90"/>
                <w:szCs w:val="21"/>
                <w:highlight w:val="none"/>
              </w:rPr>
            </w:pPr>
            <w:r>
              <w:rPr>
                <w:rFonts w:hint="eastAsia"/>
                <w:color w:val="auto"/>
                <w:w w:val="90"/>
                <w:szCs w:val="21"/>
                <w:highlight w:val="none"/>
              </w:rPr>
              <w:t>《家用太阳能热水系统能效限定值及能效等级》（GB 26969）</w:t>
            </w:r>
          </w:p>
        </w:tc>
      </w:tr>
      <w:tr w14:paraId="7B2391B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7C4A6822">
            <w:pPr>
              <w:jc w:val="center"/>
              <w:rPr>
                <w:color w:val="auto"/>
                <w:w w:val="90"/>
                <w:szCs w:val="21"/>
                <w:highlight w:val="none"/>
              </w:rPr>
            </w:pPr>
            <w:r>
              <w:rPr>
                <w:rFonts w:hint="eastAsia"/>
                <w:color w:val="auto"/>
                <w:w w:val="90"/>
                <w:szCs w:val="21"/>
                <w:highlight w:val="none"/>
              </w:rPr>
              <w:t>11</w:t>
            </w:r>
          </w:p>
        </w:tc>
        <w:tc>
          <w:tcPr>
            <w:tcW w:w="1933" w:type="dxa"/>
            <w:vMerge w:val="restart"/>
            <w:vAlign w:val="center"/>
          </w:tcPr>
          <w:p w14:paraId="4D89CC06">
            <w:pPr>
              <w:jc w:val="left"/>
              <w:rPr>
                <w:color w:val="auto"/>
                <w:w w:val="90"/>
                <w:szCs w:val="21"/>
                <w:highlight w:val="none"/>
              </w:rPr>
            </w:pPr>
            <w:r>
              <w:rPr>
                <w:rFonts w:hint="eastAsia"/>
                <w:color w:val="auto"/>
                <w:w w:val="90"/>
                <w:szCs w:val="21"/>
                <w:highlight w:val="none"/>
              </w:rPr>
              <w:t>A020619 照明设备</w:t>
            </w:r>
          </w:p>
        </w:tc>
        <w:tc>
          <w:tcPr>
            <w:tcW w:w="2209" w:type="dxa"/>
            <w:vAlign w:val="center"/>
          </w:tcPr>
          <w:p w14:paraId="3A64DCC5">
            <w:pPr>
              <w:jc w:val="left"/>
              <w:rPr>
                <w:b/>
                <w:color w:val="auto"/>
                <w:w w:val="90"/>
                <w:szCs w:val="21"/>
                <w:highlight w:val="none"/>
              </w:rPr>
            </w:pPr>
            <w:r>
              <w:rPr>
                <w:rFonts w:hint="eastAsia"/>
                <w:color w:val="auto"/>
                <w:w w:val="90"/>
                <w:szCs w:val="21"/>
                <w:highlight w:val="none"/>
              </w:rPr>
              <w:t>★</w:t>
            </w:r>
            <w:r>
              <w:rPr>
                <w:rFonts w:hint="eastAsia"/>
                <w:b/>
                <w:color w:val="auto"/>
                <w:w w:val="90"/>
                <w:szCs w:val="21"/>
                <w:highlight w:val="none"/>
              </w:rPr>
              <w:t>普通照明用双端荧光灯</w:t>
            </w:r>
          </w:p>
        </w:tc>
        <w:tc>
          <w:tcPr>
            <w:tcW w:w="1807" w:type="dxa"/>
            <w:vAlign w:val="center"/>
          </w:tcPr>
          <w:p w14:paraId="4A763C32">
            <w:pPr>
              <w:jc w:val="center"/>
              <w:rPr>
                <w:color w:val="auto"/>
                <w:w w:val="90"/>
                <w:szCs w:val="21"/>
                <w:highlight w:val="none"/>
              </w:rPr>
            </w:pPr>
          </w:p>
        </w:tc>
        <w:tc>
          <w:tcPr>
            <w:tcW w:w="3301" w:type="dxa"/>
            <w:vAlign w:val="center"/>
          </w:tcPr>
          <w:p w14:paraId="34F020B5">
            <w:pPr>
              <w:jc w:val="left"/>
              <w:rPr>
                <w:color w:val="auto"/>
                <w:w w:val="90"/>
                <w:szCs w:val="21"/>
                <w:highlight w:val="none"/>
              </w:rPr>
            </w:pPr>
            <w:r>
              <w:rPr>
                <w:rFonts w:hint="eastAsia"/>
                <w:color w:val="auto"/>
                <w:w w:val="90"/>
                <w:szCs w:val="21"/>
                <w:highlight w:val="none"/>
              </w:rPr>
              <w:t>《普通照明用双端荧光灯能效限定值及能效等级》（GB 19043）</w:t>
            </w:r>
          </w:p>
        </w:tc>
      </w:tr>
      <w:tr w14:paraId="16316F3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E9A5B79">
            <w:pPr>
              <w:jc w:val="center"/>
              <w:rPr>
                <w:color w:val="auto"/>
                <w:w w:val="90"/>
                <w:szCs w:val="21"/>
                <w:highlight w:val="none"/>
              </w:rPr>
            </w:pPr>
          </w:p>
        </w:tc>
        <w:tc>
          <w:tcPr>
            <w:tcW w:w="1933" w:type="dxa"/>
            <w:vMerge w:val="continue"/>
            <w:vAlign w:val="center"/>
          </w:tcPr>
          <w:p w14:paraId="22B3EEC6">
            <w:pPr>
              <w:jc w:val="left"/>
              <w:rPr>
                <w:color w:val="auto"/>
                <w:w w:val="90"/>
                <w:szCs w:val="21"/>
                <w:highlight w:val="none"/>
              </w:rPr>
            </w:pPr>
          </w:p>
        </w:tc>
        <w:tc>
          <w:tcPr>
            <w:tcW w:w="2209" w:type="dxa"/>
            <w:vAlign w:val="center"/>
          </w:tcPr>
          <w:p w14:paraId="6BDBF626">
            <w:pPr>
              <w:jc w:val="left"/>
              <w:rPr>
                <w:color w:val="auto"/>
                <w:w w:val="90"/>
                <w:szCs w:val="21"/>
                <w:highlight w:val="none"/>
              </w:rPr>
            </w:pPr>
            <w:r>
              <w:rPr>
                <w:rFonts w:hint="eastAsia"/>
                <w:color w:val="auto"/>
                <w:w w:val="90"/>
                <w:szCs w:val="21"/>
                <w:highlight w:val="none"/>
              </w:rPr>
              <w:t>LED道路/隧道照明产品</w:t>
            </w:r>
          </w:p>
        </w:tc>
        <w:tc>
          <w:tcPr>
            <w:tcW w:w="1807" w:type="dxa"/>
            <w:vAlign w:val="center"/>
          </w:tcPr>
          <w:p w14:paraId="707EEFEF">
            <w:pPr>
              <w:jc w:val="center"/>
              <w:rPr>
                <w:color w:val="auto"/>
                <w:w w:val="90"/>
                <w:szCs w:val="21"/>
                <w:highlight w:val="none"/>
              </w:rPr>
            </w:pPr>
          </w:p>
        </w:tc>
        <w:tc>
          <w:tcPr>
            <w:tcW w:w="3301" w:type="dxa"/>
            <w:vAlign w:val="center"/>
          </w:tcPr>
          <w:p w14:paraId="50C7A5D3">
            <w:pPr>
              <w:jc w:val="left"/>
              <w:rPr>
                <w:color w:val="auto"/>
                <w:w w:val="90"/>
                <w:szCs w:val="21"/>
                <w:highlight w:val="none"/>
              </w:rPr>
            </w:pPr>
            <w:r>
              <w:rPr>
                <w:rFonts w:hint="eastAsia"/>
                <w:color w:val="auto"/>
                <w:w w:val="90"/>
                <w:szCs w:val="21"/>
                <w:highlight w:val="none"/>
              </w:rPr>
              <w:t>《道路和隧道照明用LED灯具能效限定值及能效等级》（GB 37478）</w:t>
            </w:r>
          </w:p>
        </w:tc>
      </w:tr>
      <w:tr w14:paraId="5C343F7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1834E9F">
            <w:pPr>
              <w:jc w:val="center"/>
              <w:rPr>
                <w:color w:val="auto"/>
                <w:w w:val="90"/>
                <w:szCs w:val="21"/>
                <w:highlight w:val="none"/>
              </w:rPr>
            </w:pPr>
          </w:p>
        </w:tc>
        <w:tc>
          <w:tcPr>
            <w:tcW w:w="1933" w:type="dxa"/>
            <w:vMerge w:val="continue"/>
            <w:vAlign w:val="center"/>
          </w:tcPr>
          <w:p w14:paraId="256BD67F">
            <w:pPr>
              <w:jc w:val="left"/>
              <w:rPr>
                <w:color w:val="auto"/>
                <w:w w:val="90"/>
                <w:szCs w:val="21"/>
                <w:highlight w:val="none"/>
              </w:rPr>
            </w:pPr>
          </w:p>
        </w:tc>
        <w:tc>
          <w:tcPr>
            <w:tcW w:w="2209" w:type="dxa"/>
            <w:vAlign w:val="center"/>
          </w:tcPr>
          <w:p w14:paraId="35108A79">
            <w:pPr>
              <w:jc w:val="left"/>
              <w:rPr>
                <w:color w:val="auto"/>
                <w:w w:val="90"/>
                <w:szCs w:val="21"/>
                <w:highlight w:val="none"/>
              </w:rPr>
            </w:pPr>
            <w:r>
              <w:rPr>
                <w:rFonts w:hint="eastAsia"/>
                <w:color w:val="auto"/>
                <w:w w:val="90"/>
                <w:szCs w:val="21"/>
                <w:highlight w:val="none"/>
              </w:rPr>
              <w:t>LED筒灯</w:t>
            </w:r>
          </w:p>
        </w:tc>
        <w:tc>
          <w:tcPr>
            <w:tcW w:w="1807" w:type="dxa"/>
            <w:vAlign w:val="center"/>
          </w:tcPr>
          <w:p w14:paraId="569D1C1C">
            <w:pPr>
              <w:jc w:val="center"/>
              <w:rPr>
                <w:color w:val="auto"/>
                <w:w w:val="90"/>
                <w:szCs w:val="21"/>
                <w:highlight w:val="none"/>
              </w:rPr>
            </w:pPr>
          </w:p>
        </w:tc>
        <w:tc>
          <w:tcPr>
            <w:tcW w:w="3301" w:type="dxa"/>
            <w:vAlign w:val="center"/>
          </w:tcPr>
          <w:p w14:paraId="644C3FB0">
            <w:pPr>
              <w:jc w:val="left"/>
              <w:rPr>
                <w:color w:val="auto"/>
                <w:w w:val="90"/>
                <w:szCs w:val="21"/>
                <w:highlight w:val="none"/>
              </w:rPr>
            </w:pPr>
            <w:r>
              <w:rPr>
                <w:rFonts w:hint="eastAsia"/>
                <w:color w:val="auto"/>
                <w:w w:val="90"/>
                <w:szCs w:val="21"/>
                <w:highlight w:val="none"/>
              </w:rPr>
              <w:t>《室内照明用LED产品能效限定值及能效等级》（GB 30255）</w:t>
            </w:r>
          </w:p>
        </w:tc>
      </w:tr>
      <w:tr w14:paraId="27EDDB8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B73B416">
            <w:pPr>
              <w:jc w:val="center"/>
              <w:rPr>
                <w:color w:val="auto"/>
                <w:w w:val="90"/>
                <w:szCs w:val="21"/>
                <w:highlight w:val="none"/>
              </w:rPr>
            </w:pPr>
          </w:p>
        </w:tc>
        <w:tc>
          <w:tcPr>
            <w:tcW w:w="1933" w:type="dxa"/>
            <w:vMerge w:val="continue"/>
            <w:vAlign w:val="center"/>
          </w:tcPr>
          <w:p w14:paraId="00D09380">
            <w:pPr>
              <w:jc w:val="left"/>
              <w:rPr>
                <w:color w:val="auto"/>
                <w:w w:val="90"/>
                <w:szCs w:val="21"/>
                <w:highlight w:val="none"/>
              </w:rPr>
            </w:pPr>
          </w:p>
        </w:tc>
        <w:tc>
          <w:tcPr>
            <w:tcW w:w="2209" w:type="dxa"/>
            <w:vAlign w:val="center"/>
          </w:tcPr>
          <w:p w14:paraId="5CB7515E">
            <w:pPr>
              <w:jc w:val="left"/>
              <w:rPr>
                <w:color w:val="auto"/>
                <w:w w:val="90"/>
                <w:szCs w:val="21"/>
                <w:highlight w:val="none"/>
              </w:rPr>
            </w:pPr>
            <w:r>
              <w:rPr>
                <w:rFonts w:hint="eastAsia"/>
                <w:color w:val="auto"/>
                <w:w w:val="90"/>
                <w:szCs w:val="21"/>
                <w:highlight w:val="none"/>
              </w:rPr>
              <w:t>普通照明用非定向自镇流LED灯</w:t>
            </w:r>
          </w:p>
        </w:tc>
        <w:tc>
          <w:tcPr>
            <w:tcW w:w="1807" w:type="dxa"/>
            <w:vAlign w:val="center"/>
          </w:tcPr>
          <w:p w14:paraId="7FB96201">
            <w:pPr>
              <w:jc w:val="center"/>
              <w:rPr>
                <w:color w:val="auto"/>
                <w:w w:val="90"/>
                <w:szCs w:val="21"/>
                <w:highlight w:val="none"/>
              </w:rPr>
            </w:pPr>
          </w:p>
        </w:tc>
        <w:tc>
          <w:tcPr>
            <w:tcW w:w="3301" w:type="dxa"/>
            <w:vAlign w:val="center"/>
          </w:tcPr>
          <w:p w14:paraId="05F1CA63">
            <w:pPr>
              <w:jc w:val="left"/>
              <w:rPr>
                <w:color w:val="auto"/>
                <w:w w:val="90"/>
                <w:szCs w:val="21"/>
                <w:highlight w:val="none"/>
              </w:rPr>
            </w:pPr>
            <w:r>
              <w:rPr>
                <w:rFonts w:hint="eastAsia"/>
                <w:color w:val="auto"/>
                <w:w w:val="90"/>
                <w:szCs w:val="21"/>
                <w:highlight w:val="none"/>
              </w:rPr>
              <w:t>《室内照明用LED产品能效限定值及能效等级》（GB 30255）</w:t>
            </w:r>
          </w:p>
        </w:tc>
      </w:tr>
      <w:tr w14:paraId="552D05B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B0CBB23">
            <w:pPr>
              <w:jc w:val="center"/>
              <w:rPr>
                <w:color w:val="auto"/>
                <w:w w:val="90"/>
                <w:szCs w:val="21"/>
                <w:highlight w:val="none"/>
              </w:rPr>
            </w:pPr>
            <w:r>
              <w:rPr>
                <w:rFonts w:hint="eastAsia"/>
                <w:color w:val="auto"/>
                <w:w w:val="90"/>
                <w:szCs w:val="21"/>
                <w:highlight w:val="none"/>
              </w:rPr>
              <w:t>12</w:t>
            </w:r>
          </w:p>
        </w:tc>
        <w:tc>
          <w:tcPr>
            <w:tcW w:w="1933" w:type="dxa"/>
            <w:vAlign w:val="center"/>
          </w:tcPr>
          <w:p w14:paraId="627424C6">
            <w:pPr>
              <w:jc w:val="left"/>
              <w:rPr>
                <w:b/>
                <w:color w:val="auto"/>
                <w:w w:val="90"/>
                <w:szCs w:val="21"/>
                <w:highlight w:val="none"/>
              </w:rPr>
            </w:pPr>
            <w:r>
              <w:rPr>
                <w:rFonts w:hint="eastAsia"/>
                <w:color w:val="auto"/>
                <w:w w:val="90"/>
                <w:szCs w:val="21"/>
                <w:highlight w:val="none"/>
              </w:rPr>
              <w:t>★</w:t>
            </w:r>
            <w:r>
              <w:rPr>
                <w:rFonts w:hint="eastAsia"/>
                <w:b/>
                <w:color w:val="auto"/>
                <w:w w:val="90"/>
                <w:szCs w:val="21"/>
                <w:highlight w:val="none"/>
              </w:rPr>
              <w:t>A020910电视设备</w:t>
            </w:r>
          </w:p>
        </w:tc>
        <w:tc>
          <w:tcPr>
            <w:tcW w:w="2209" w:type="dxa"/>
            <w:vAlign w:val="center"/>
          </w:tcPr>
          <w:p w14:paraId="1CB3B1E6">
            <w:pPr>
              <w:jc w:val="left"/>
              <w:rPr>
                <w:b/>
                <w:color w:val="auto"/>
                <w:w w:val="90"/>
                <w:szCs w:val="21"/>
                <w:highlight w:val="none"/>
              </w:rPr>
            </w:pPr>
            <w:r>
              <w:rPr>
                <w:rFonts w:hint="eastAsia"/>
                <w:b/>
                <w:color w:val="auto"/>
                <w:w w:val="90"/>
                <w:szCs w:val="21"/>
                <w:highlight w:val="none"/>
              </w:rPr>
              <w:t>A02091001普通电视设备（电视机）</w:t>
            </w:r>
          </w:p>
        </w:tc>
        <w:tc>
          <w:tcPr>
            <w:tcW w:w="1807" w:type="dxa"/>
            <w:vAlign w:val="center"/>
          </w:tcPr>
          <w:p w14:paraId="34BC8299">
            <w:pPr>
              <w:jc w:val="center"/>
              <w:rPr>
                <w:color w:val="auto"/>
                <w:w w:val="90"/>
                <w:szCs w:val="21"/>
                <w:highlight w:val="none"/>
              </w:rPr>
            </w:pPr>
          </w:p>
        </w:tc>
        <w:tc>
          <w:tcPr>
            <w:tcW w:w="3301" w:type="dxa"/>
            <w:vAlign w:val="center"/>
          </w:tcPr>
          <w:p w14:paraId="3EEAEA58">
            <w:pPr>
              <w:jc w:val="left"/>
              <w:rPr>
                <w:color w:val="auto"/>
                <w:w w:val="90"/>
                <w:szCs w:val="21"/>
                <w:highlight w:val="none"/>
              </w:rPr>
            </w:pPr>
            <w:r>
              <w:rPr>
                <w:rFonts w:hint="eastAsia"/>
                <w:color w:val="auto"/>
                <w:w w:val="90"/>
                <w:szCs w:val="21"/>
                <w:highlight w:val="none"/>
              </w:rPr>
              <w:t>《平板电视能效限定值及能效等级》（GB 24850）</w:t>
            </w:r>
          </w:p>
        </w:tc>
      </w:tr>
      <w:tr w14:paraId="2A11FCF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B420059">
            <w:pPr>
              <w:jc w:val="center"/>
              <w:rPr>
                <w:color w:val="auto"/>
                <w:w w:val="90"/>
                <w:szCs w:val="21"/>
                <w:highlight w:val="none"/>
              </w:rPr>
            </w:pPr>
            <w:r>
              <w:rPr>
                <w:rFonts w:hint="eastAsia"/>
                <w:color w:val="auto"/>
                <w:w w:val="90"/>
                <w:szCs w:val="21"/>
                <w:highlight w:val="none"/>
              </w:rPr>
              <w:t>13</w:t>
            </w:r>
          </w:p>
        </w:tc>
        <w:tc>
          <w:tcPr>
            <w:tcW w:w="1933" w:type="dxa"/>
            <w:vAlign w:val="center"/>
          </w:tcPr>
          <w:p w14:paraId="6E142441">
            <w:pPr>
              <w:jc w:val="left"/>
              <w:rPr>
                <w:b/>
                <w:color w:val="auto"/>
                <w:w w:val="90"/>
                <w:szCs w:val="21"/>
                <w:highlight w:val="none"/>
              </w:rPr>
            </w:pPr>
            <w:r>
              <w:rPr>
                <w:rFonts w:hint="eastAsia"/>
                <w:color w:val="auto"/>
                <w:w w:val="90"/>
                <w:szCs w:val="21"/>
                <w:highlight w:val="none"/>
              </w:rPr>
              <w:t>★</w:t>
            </w:r>
            <w:r>
              <w:rPr>
                <w:rFonts w:hint="eastAsia"/>
                <w:b/>
                <w:color w:val="auto"/>
                <w:w w:val="90"/>
                <w:szCs w:val="21"/>
                <w:highlight w:val="none"/>
              </w:rPr>
              <w:t>A020911视频设备</w:t>
            </w:r>
          </w:p>
        </w:tc>
        <w:tc>
          <w:tcPr>
            <w:tcW w:w="2209" w:type="dxa"/>
            <w:vAlign w:val="center"/>
          </w:tcPr>
          <w:p w14:paraId="15BFCE39">
            <w:pPr>
              <w:jc w:val="left"/>
              <w:rPr>
                <w:b/>
                <w:color w:val="auto"/>
                <w:w w:val="90"/>
                <w:szCs w:val="21"/>
                <w:highlight w:val="none"/>
              </w:rPr>
            </w:pPr>
            <w:r>
              <w:rPr>
                <w:rFonts w:hint="eastAsia"/>
                <w:b/>
                <w:color w:val="auto"/>
                <w:w w:val="90"/>
                <w:szCs w:val="21"/>
                <w:highlight w:val="none"/>
              </w:rPr>
              <w:t>A02091107视频监控设备</w:t>
            </w:r>
          </w:p>
        </w:tc>
        <w:tc>
          <w:tcPr>
            <w:tcW w:w="1807" w:type="dxa"/>
            <w:vAlign w:val="center"/>
          </w:tcPr>
          <w:p w14:paraId="7A5716E1">
            <w:pPr>
              <w:jc w:val="center"/>
              <w:rPr>
                <w:b/>
                <w:color w:val="auto"/>
                <w:w w:val="90"/>
                <w:szCs w:val="21"/>
                <w:highlight w:val="none"/>
              </w:rPr>
            </w:pPr>
            <w:r>
              <w:rPr>
                <w:rFonts w:hint="eastAsia"/>
                <w:b/>
                <w:color w:val="auto"/>
                <w:w w:val="90"/>
                <w:szCs w:val="21"/>
                <w:highlight w:val="none"/>
              </w:rPr>
              <w:t>监视器</w:t>
            </w:r>
          </w:p>
        </w:tc>
        <w:tc>
          <w:tcPr>
            <w:tcW w:w="3301" w:type="dxa"/>
            <w:vAlign w:val="center"/>
          </w:tcPr>
          <w:p w14:paraId="7A159C16">
            <w:pPr>
              <w:jc w:val="left"/>
              <w:rPr>
                <w:color w:val="auto"/>
                <w:w w:val="90"/>
                <w:szCs w:val="21"/>
                <w:highlight w:val="none"/>
              </w:rPr>
            </w:pPr>
            <w:r>
              <w:rPr>
                <w:rFonts w:hint="eastAsia"/>
                <w:color w:val="auto"/>
                <w:w w:val="90"/>
                <w:szCs w:val="21"/>
                <w:highlight w:val="none"/>
              </w:rPr>
              <w:t>以射频信号为主要信号输入的监视器应符合《平板电视能效限定值及能效等级》（GB 24850），以数字信号为主要信号输入的监视器应符合《计算机显示器能效限定值及能效等级》（GB 21520）</w:t>
            </w:r>
          </w:p>
        </w:tc>
      </w:tr>
      <w:tr w14:paraId="38CD31E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F235FA3">
            <w:pPr>
              <w:jc w:val="center"/>
              <w:rPr>
                <w:color w:val="auto"/>
                <w:w w:val="90"/>
                <w:szCs w:val="21"/>
                <w:highlight w:val="none"/>
              </w:rPr>
            </w:pPr>
            <w:r>
              <w:rPr>
                <w:rFonts w:hint="eastAsia"/>
                <w:color w:val="auto"/>
                <w:w w:val="90"/>
                <w:szCs w:val="21"/>
                <w:highlight w:val="none"/>
              </w:rPr>
              <w:t>14</w:t>
            </w:r>
          </w:p>
        </w:tc>
        <w:tc>
          <w:tcPr>
            <w:tcW w:w="1933" w:type="dxa"/>
            <w:vAlign w:val="center"/>
          </w:tcPr>
          <w:p w14:paraId="5B18AF01">
            <w:pPr>
              <w:jc w:val="left"/>
              <w:rPr>
                <w:color w:val="auto"/>
                <w:w w:val="90"/>
                <w:szCs w:val="21"/>
                <w:highlight w:val="none"/>
              </w:rPr>
            </w:pPr>
            <w:r>
              <w:rPr>
                <w:rFonts w:hint="eastAsia"/>
                <w:color w:val="auto"/>
                <w:w w:val="90"/>
                <w:szCs w:val="21"/>
                <w:highlight w:val="none"/>
              </w:rPr>
              <w:t>A031210饮食炊事机械</w:t>
            </w:r>
          </w:p>
        </w:tc>
        <w:tc>
          <w:tcPr>
            <w:tcW w:w="2209" w:type="dxa"/>
            <w:vAlign w:val="center"/>
          </w:tcPr>
          <w:p w14:paraId="5CFE9B71">
            <w:pPr>
              <w:jc w:val="left"/>
              <w:rPr>
                <w:color w:val="auto"/>
                <w:w w:val="90"/>
                <w:szCs w:val="21"/>
                <w:highlight w:val="none"/>
              </w:rPr>
            </w:pPr>
            <w:r>
              <w:rPr>
                <w:rFonts w:hint="eastAsia"/>
                <w:color w:val="auto"/>
                <w:w w:val="90"/>
                <w:szCs w:val="21"/>
                <w:highlight w:val="none"/>
              </w:rPr>
              <w:t>商用燃气灶具</w:t>
            </w:r>
          </w:p>
        </w:tc>
        <w:tc>
          <w:tcPr>
            <w:tcW w:w="1807" w:type="dxa"/>
            <w:vAlign w:val="center"/>
          </w:tcPr>
          <w:p w14:paraId="2E9E3557">
            <w:pPr>
              <w:jc w:val="center"/>
              <w:rPr>
                <w:color w:val="auto"/>
                <w:w w:val="90"/>
                <w:szCs w:val="21"/>
                <w:highlight w:val="none"/>
              </w:rPr>
            </w:pPr>
          </w:p>
        </w:tc>
        <w:tc>
          <w:tcPr>
            <w:tcW w:w="3301" w:type="dxa"/>
            <w:vAlign w:val="center"/>
          </w:tcPr>
          <w:p w14:paraId="067104AE">
            <w:pPr>
              <w:jc w:val="left"/>
              <w:rPr>
                <w:color w:val="auto"/>
                <w:w w:val="90"/>
                <w:szCs w:val="21"/>
                <w:highlight w:val="none"/>
              </w:rPr>
            </w:pPr>
          </w:p>
        </w:tc>
      </w:tr>
      <w:tr w14:paraId="11B845D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3300F2BE">
            <w:pPr>
              <w:jc w:val="center"/>
              <w:rPr>
                <w:color w:val="auto"/>
                <w:w w:val="90"/>
                <w:szCs w:val="21"/>
                <w:highlight w:val="none"/>
              </w:rPr>
            </w:pPr>
            <w:r>
              <w:rPr>
                <w:rFonts w:hint="eastAsia"/>
                <w:color w:val="auto"/>
                <w:w w:val="90"/>
                <w:szCs w:val="21"/>
                <w:highlight w:val="none"/>
              </w:rPr>
              <w:t>15</w:t>
            </w:r>
          </w:p>
        </w:tc>
        <w:tc>
          <w:tcPr>
            <w:tcW w:w="1933" w:type="dxa"/>
            <w:vMerge w:val="restart"/>
            <w:vAlign w:val="center"/>
          </w:tcPr>
          <w:p w14:paraId="466D2BDB">
            <w:pPr>
              <w:jc w:val="left"/>
              <w:rPr>
                <w:b/>
                <w:color w:val="auto"/>
                <w:w w:val="90"/>
                <w:szCs w:val="21"/>
                <w:highlight w:val="none"/>
              </w:rPr>
            </w:pPr>
            <w:r>
              <w:rPr>
                <w:rFonts w:hint="eastAsia"/>
                <w:color w:val="auto"/>
                <w:w w:val="90"/>
                <w:szCs w:val="21"/>
                <w:highlight w:val="none"/>
              </w:rPr>
              <w:t>★</w:t>
            </w:r>
            <w:r>
              <w:rPr>
                <w:rFonts w:hint="eastAsia"/>
                <w:b/>
                <w:color w:val="auto"/>
                <w:w w:val="90"/>
                <w:szCs w:val="21"/>
                <w:highlight w:val="none"/>
              </w:rPr>
              <w:t>A060805便器</w:t>
            </w:r>
          </w:p>
        </w:tc>
        <w:tc>
          <w:tcPr>
            <w:tcW w:w="2209" w:type="dxa"/>
            <w:vAlign w:val="center"/>
          </w:tcPr>
          <w:p w14:paraId="65383950">
            <w:pPr>
              <w:jc w:val="left"/>
              <w:rPr>
                <w:b/>
                <w:color w:val="auto"/>
                <w:w w:val="90"/>
                <w:szCs w:val="21"/>
                <w:highlight w:val="none"/>
              </w:rPr>
            </w:pPr>
            <w:r>
              <w:rPr>
                <w:rFonts w:hint="eastAsia"/>
                <w:b/>
                <w:color w:val="auto"/>
                <w:w w:val="90"/>
                <w:szCs w:val="21"/>
                <w:highlight w:val="none"/>
              </w:rPr>
              <w:t>坐便器</w:t>
            </w:r>
          </w:p>
        </w:tc>
        <w:tc>
          <w:tcPr>
            <w:tcW w:w="1807" w:type="dxa"/>
            <w:vAlign w:val="center"/>
          </w:tcPr>
          <w:p w14:paraId="38FB9A37">
            <w:pPr>
              <w:jc w:val="center"/>
              <w:rPr>
                <w:color w:val="auto"/>
                <w:w w:val="90"/>
                <w:szCs w:val="21"/>
                <w:highlight w:val="none"/>
              </w:rPr>
            </w:pPr>
          </w:p>
        </w:tc>
        <w:tc>
          <w:tcPr>
            <w:tcW w:w="3301" w:type="dxa"/>
            <w:vAlign w:val="center"/>
          </w:tcPr>
          <w:p w14:paraId="2757F5E4">
            <w:pPr>
              <w:jc w:val="left"/>
              <w:rPr>
                <w:color w:val="auto"/>
                <w:w w:val="90"/>
                <w:szCs w:val="21"/>
                <w:highlight w:val="none"/>
              </w:rPr>
            </w:pPr>
            <w:r>
              <w:rPr>
                <w:rFonts w:hint="eastAsia"/>
                <w:color w:val="auto"/>
                <w:w w:val="90"/>
                <w:szCs w:val="21"/>
                <w:highlight w:val="none"/>
              </w:rPr>
              <w:t>《坐便器水效限定值及水效等级</w:t>
            </w:r>
          </w:p>
          <w:p w14:paraId="7480F15C">
            <w:pPr>
              <w:jc w:val="left"/>
              <w:rPr>
                <w:color w:val="auto"/>
                <w:w w:val="90"/>
                <w:szCs w:val="21"/>
                <w:highlight w:val="none"/>
              </w:rPr>
            </w:pPr>
            <w:r>
              <w:rPr>
                <w:rFonts w:hint="eastAsia"/>
                <w:color w:val="auto"/>
                <w:w w:val="90"/>
                <w:szCs w:val="21"/>
                <w:highlight w:val="none"/>
              </w:rPr>
              <w:t>（GB 25502）</w:t>
            </w:r>
          </w:p>
        </w:tc>
      </w:tr>
      <w:tr w14:paraId="44939E2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55C26D7">
            <w:pPr>
              <w:jc w:val="center"/>
              <w:rPr>
                <w:color w:val="auto"/>
                <w:w w:val="90"/>
                <w:szCs w:val="21"/>
                <w:highlight w:val="none"/>
              </w:rPr>
            </w:pPr>
          </w:p>
        </w:tc>
        <w:tc>
          <w:tcPr>
            <w:tcW w:w="1933" w:type="dxa"/>
            <w:vMerge w:val="continue"/>
            <w:vAlign w:val="center"/>
          </w:tcPr>
          <w:p w14:paraId="1B4AE8DD">
            <w:pPr>
              <w:jc w:val="left"/>
              <w:rPr>
                <w:b/>
                <w:color w:val="auto"/>
                <w:w w:val="90"/>
                <w:szCs w:val="21"/>
                <w:highlight w:val="none"/>
              </w:rPr>
            </w:pPr>
          </w:p>
        </w:tc>
        <w:tc>
          <w:tcPr>
            <w:tcW w:w="2209" w:type="dxa"/>
            <w:vAlign w:val="center"/>
          </w:tcPr>
          <w:p w14:paraId="23D42933">
            <w:pPr>
              <w:jc w:val="left"/>
              <w:rPr>
                <w:b/>
                <w:color w:val="auto"/>
                <w:w w:val="90"/>
                <w:szCs w:val="21"/>
                <w:highlight w:val="none"/>
              </w:rPr>
            </w:pPr>
            <w:r>
              <w:rPr>
                <w:rFonts w:hint="eastAsia"/>
                <w:b/>
                <w:color w:val="auto"/>
                <w:w w:val="90"/>
                <w:szCs w:val="21"/>
                <w:highlight w:val="none"/>
              </w:rPr>
              <w:t>蹲便器</w:t>
            </w:r>
          </w:p>
        </w:tc>
        <w:tc>
          <w:tcPr>
            <w:tcW w:w="1807" w:type="dxa"/>
            <w:vAlign w:val="center"/>
          </w:tcPr>
          <w:p w14:paraId="1D3D44DF">
            <w:pPr>
              <w:jc w:val="center"/>
              <w:rPr>
                <w:color w:val="auto"/>
                <w:w w:val="90"/>
                <w:szCs w:val="21"/>
                <w:highlight w:val="none"/>
              </w:rPr>
            </w:pPr>
          </w:p>
        </w:tc>
        <w:tc>
          <w:tcPr>
            <w:tcW w:w="3301" w:type="dxa"/>
            <w:vAlign w:val="center"/>
          </w:tcPr>
          <w:p w14:paraId="5287F375">
            <w:pPr>
              <w:jc w:val="left"/>
              <w:rPr>
                <w:color w:val="auto"/>
                <w:w w:val="90"/>
                <w:szCs w:val="21"/>
                <w:highlight w:val="none"/>
              </w:rPr>
            </w:pPr>
            <w:r>
              <w:rPr>
                <w:rFonts w:hint="eastAsia"/>
                <w:color w:val="auto"/>
                <w:w w:val="90"/>
                <w:szCs w:val="21"/>
                <w:highlight w:val="none"/>
              </w:rPr>
              <w:t>《蹲便器用水效率限定值及用水效率等级》（GB 30717）</w:t>
            </w:r>
          </w:p>
        </w:tc>
      </w:tr>
      <w:tr w14:paraId="4F7A3AD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E2819E8">
            <w:pPr>
              <w:jc w:val="center"/>
              <w:rPr>
                <w:color w:val="auto"/>
                <w:w w:val="90"/>
                <w:szCs w:val="21"/>
                <w:highlight w:val="none"/>
              </w:rPr>
            </w:pPr>
          </w:p>
        </w:tc>
        <w:tc>
          <w:tcPr>
            <w:tcW w:w="1933" w:type="dxa"/>
            <w:vMerge w:val="continue"/>
            <w:vAlign w:val="center"/>
          </w:tcPr>
          <w:p w14:paraId="1376D943">
            <w:pPr>
              <w:jc w:val="left"/>
              <w:rPr>
                <w:b/>
                <w:color w:val="auto"/>
                <w:w w:val="90"/>
                <w:szCs w:val="21"/>
                <w:highlight w:val="none"/>
              </w:rPr>
            </w:pPr>
          </w:p>
        </w:tc>
        <w:tc>
          <w:tcPr>
            <w:tcW w:w="2209" w:type="dxa"/>
            <w:vAlign w:val="center"/>
          </w:tcPr>
          <w:p w14:paraId="51799C1B">
            <w:pPr>
              <w:jc w:val="left"/>
              <w:rPr>
                <w:b/>
                <w:color w:val="auto"/>
                <w:w w:val="90"/>
                <w:szCs w:val="21"/>
                <w:highlight w:val="none"/>
              </w:rPr>
            </w:pPr>
            <w:r>
              <w:rPr>
                <w:rFonts w:hint="eastAsia"/>
                <w:b/>
                <w:color w:val="auto"/>
                <w:w w:val="90"/>
                <w:szCs w:val="21"/>
                <w:highlight w:val="none"/>
              </w:rPr>
              <w:t>小便器</w:t>
            </w:r>
          </w:p>
        </w:tc>
        <w:tc>
          <w:tcPr>
            <w:tcW w:w="1807" w:type="dxa"/>
            <w:vAlign w:val="center"/>
          </w:tcPr>
          <w:p w14:paraId="41669D90">
            <w:pPr>
              <w:jc w:val="center"/>
              <w:rPr>
                <w:color w:val="auto"/>
                <w:w w:val="90"/>
                <w:szCs w:val="21"/>
                <w:highlight w:val="none"/>
              </w:rPr>
            </w:pPr>
          </w:p>
        </w:tc>
        <w:tc>
          <w:tcPr>
            <w:tcW w:w="3301" w:type="dxa"/>
            <w:vAlign w:val="center"/>
          </w:tcPr>
          <w:p w14:paraId="18B76A6B">
            <w:pPr>
              <w:jc w:val="left"/>
              <w:rPr>
                <w:color w:val="auto"/>
                <w:w w:val="90"/>
                <w:szCs w:val="21"/>
                <w:highlight w:val="none"/>
              </w:rPr>
            </w:pPr>
            <w:r>
              <w:rPr>
                <w:rFonts w:hint="eastAsia"/>
                <w:color w:val="auto"/>
                <w:w w:val="90"/>
                <w:szCs w:val="21"/>
                <w:highlight w:val="none"/>
              </w:rPr>
              <w:t>《小便器用水效率限定值及用水效率等级》（GB 28377）</w:t>
            </w:r>
          </w:p>
        </w:tc>
      </w:tr>
      <w:tr w14:paraId="671F919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F2F9416">
            <w:pPr>
              <w:jc w:val="center"/>
              <w:rPr>
                <w:color w:val="auto"/>
                <w:w w:val="90"/>
                <w:szCs w:val="21"/>
                <w:highlight w:val="none"/>
              </w:rPr>
            </w:pPr>
            <w:r>
              <w:rPr>
                <w:rFonts w:hint="eastAsia"/>
                <w:color w:val="auto"/>
                <w:w w:val="90"/>
                <w:szCs w:val="21"/>
                <w:highlight w:val="none"/>
              </w:rPr>
              <w:t>16</w:t>
            </w:r>
          </w:p>
        </w:tc>
        <w:tc>
          <w:tcPr>
            <w:tcW w:w="1933" w:type="dxa"/>
            <w:vAlign w:val="center"/>
          </w:tcPr>
          <w:p w14:paraId="7F50C4E3">
            <w:pPr>
              <w:jc w:val="left"/>
              <w:rPr>
                <w:b/>
                <w:color w:val="auto"/>
                <w:w w:val="90"/>
                <w:szCs w:val="21"/>
                <w:highlight w:val="none"/>
              </w:rPr>
            </w:pPr>
            <w:r>
              <w:rPr>
                <w:rFonts w:hint="eastAsia"/>
                <w:color w:val="auto"/>
                <w:w w:val="90"/>
                <w:szCs w:val="21"/>
                <w:highlight w:val="none"/>
              </w:rPr>
              <w:t>★</w:t>
            </w:r>
            <w:r>
              <w:rPr>
                <w:rFonts w:hint="eastAsia"/>
                <w:b/>
                <w:color w:val="auto"/>
                <w:w w:val="90"/>
                <w:szCs w:val="21"/>
                <w:highlight w:val="none"/>
              </w:rPr>
              <w:t>A060806水嘴</w:t>
            </w:r>
          </w:p>
        </w:tc>
        <w:tc>
          <w:tcPr>
            <w:tcW w:w="2209" w:type="dxa"/>
            <w:vAlign w:val="center"/>
          </w:tcPr>
          <w:p w14:paraId="589E41CF">
            <w:pPr>
              <w:jc w:val="left"/>
              <w:rPr>
                <w:color w:val="auto"/>
                <w:w w:val="90"/>
                <w:szCs w:val="21"/>
                <w:highlight w:val="none"/>
              </w:rPr>
            </w:pPr>
          </w:p>
        </w:tc>
        <w:tc>
          <w:tcPr>
            <w:tcW w:w="1807" w:type="dxa"/>
            <w:vAlign w:val="center"/>
          </w:tcPr>
          <w:p w14:paraId="4A4F7A17">
            <w:pPr>
              <w:jc w:val="center"/>
              <w:rPr>
                <w:color w:val="auto"/>
                <w:w w:val="90"/>
                <w:szCs w:val="21"/>
                <w:highlight w:val="none"/>
              </w:rPr>
            </w:pPr>
          </w:p>
        </w:tc>
        <w:tc>
          <w:tcPr>
            <w:tcW w:w="3301" w:type="dxa"/>
            <w:vAlign w:val="center"/>
          </w:tcPr>
          <w:p w14:paraId="660BA0AA">
            <w:pPr>
              <w:jc w:val="left"/>
              <w:rPr>
                <w:color w:val="auto"/>
                <w:w w:val="90"/>
                <w:szCs w:val="21"/>
                <w:highlight w:val="none"/>
              </w:rPr>
            </w:pPr>
            <w:r>
              <w:rPr>
                <w:rFonts w:hint="eastAsia"/>
                <w:color w:val="auto"/>
                <w:w w:val="90"/>
                <w:szCs w:val="21"/>
                <w:highlight w:val="none"/>
              </w:rPr>
              <w:t>《水嘴用水效率限定值及用水效率等级》（GB 25501）</w:t>
            </w:r>
          </w:p>
        </w:tc>
      </w:tr>
      <w:tr w14:paraId="16BAE01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1205286">
            <w:pPr>
              <w:jc w:val="center"/>
              <w:rPr>
                <w:color w:val="auto"/>
                <w:w w:val="90"/>
                <w:szCs w:val="21"/>
                <w:highlight w:val="none"/>
              </w:rPr>
            </w:pPr>
            <w:r>
              <w:rPr>
                <w:rFonts w:hint="eastAsia"/>
                <w:color w:val="auto"/>
                <w:w w:val="90"/>
                <w:szCs w:val="21"/>
                <w:highlight w:val="none"/>
              </w:rPr>
              <w:t>17</w:t>
            </w:r>
          </w:p>
        </w:tc>
        <w:tc>
          <w:tcPr>
            <w:tcW w:w="1933" w:type="dxa"/>
            <w:vAlign w:val="center"/>
          </w:tcPr>
          <w:p w14:paraId="100AB945">
            <w:pPr>
              <w:jc w:val="left"/>
              <w:rPr>
                <w:color w:val="auto"/>
                <w:w w:val="90"/>
                <w:szCs w:val="21"/>
                <w:highlight w:val="none"/>
              </w:rPr>
            </w:pPr>
            <w:r>
              <w:rPr>
                <w:rFonts w:hint="eastAsia"/>
                <w:color w:val="auto"/>
                <w:w w:val="90"/>
                <w:szCs w:val="21"/>
                <w:highlight w:val="none"/>
              </w:rPr>
              <w:t>A060807便器冲洗阀</w:t>
            </w:r>
          </w:p>
        </w:tc>
        <w:tc>
          <w:tcPr>
            <w:tcW w:w="2209" w:type="dxa"/>
            <w:vAlign w:val="center"/>
          </w:tcPr>
          <w:p w14:paraId="067256B3">
            <w:pPr>
              <w:jc w:val="left"/>
              <w:rPr>
                <w:color w:val="auto"/>
                <w:w w:val="90"/>
                <w:szCs w:val="21"/>
                <w:highlight w:val="none"/>
              </w:rPr>
            </w:pPr>
          </w:p>
        </w:tc>
        <w:tc>
          <w:tcPr>
            <w:tcW w:w="1807" w:type="dxa"/>
            <w:vAlign w:val="center"/>
          </w:tcPr>
          <w:p w14:paraId="6B74C134">
            <w:pPr>
              <w:jc w:val="center"/>
              <w:rPr>
                <w:color w:val="auto"/>
                <w:w w:val="90"/>
                <w:szCs w:val="21"/>
                <w:highlight w:val="none"/>
              </w:rPr>
            </w:pPr>
          </w:p>
        </w:tc>
        <w:tc>
          <w:tcPr>
            <w:tcW w:w="3301" w:type="dxa"/>
            <w:vAlign w:val="center"/>
          </w:tcPr>
          <w:p w14:paraId="7924E039">
            <w:pPr>
              <w:jc w:val="left"/>
              <w:rPr>
                <w:color w:val="auto"/>
                <w:w w:val="90"/>
                <w:szCs w:val="21"/>
                <w:highlight w:val="none"/>
              </w:rPr>
            </w:pPr>
            <w:r>
              <w:rPr>
                <w:rFonts w:hint="eastAsia"/>
                <w:color w:val="auto"/>
                <w:w w:val="90"/>
                <w:szCs w:val="21"/>
                <w:highlight w:val="none"/>
              </w:rPr>
              <w:t>《便器冲洗阀用水效率限定值及用水效率等级》（GB 28379）</w:t>
            </w:r>
          </w:p>
        </w:tc>
      </w:tr>
      <w:tr w14:paraId="7501BF6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A34D104">
            <w:pPr>
              <w:jc w:val="center"/>
              <w:rPr>
                <w:color w:val="auto"/>
                <w:w w:val="90"/>
                <w:szCs w:val="21"/>
                <w:highlight w:val="none"/>
              </w:rPr>
            </w:pPr>
            <w:r>
              <w:rPr>
                <w:rFonts w:hint="eastAsia"/>
                <w:color w:val="auto"/>
                <w:w w:val="90"/>
                <w:szCs w:val="21"/>
                <w:highlight w:val="none"/>
              </w:rPr>
              <w:t>18</w:t>
            </w:r>
          </w:p>
        </w:tc>
        <w:tc>
          <w:tcPr>
            <w:tcW w:w="1933" w:type="dxa"/>
            <w:vAlign w:val="center"/>
          </w:tcPr>
          <w:p w14:paraId="7743526D">
            <w:pPr>
              <w:jc w:val="left"/>
              <w:rPr>
                <w:color w:val="auto"/>
                <w:w w:val="90"/>
                <w:szCs w:val="21"/>
                <w:highlight w:val="none"/>
              </w:rPr>
            </w:pPr>
            <w:r>
              <w:rPr>
                <w:rFonts w:hint="eastAsia"/>
                <w:color w:val="auto"/>
                <w:w w:val="90"/>
                <w:szCs w:val="21"/>
                <w:highlight w:val="none"/>
              </w:rPr>
              <w:t>A060810淋浴器</w:t>
            </w:r>
          </w:p>
        </w:tc>
        <w:tc>
          <w:tcPr>
            <w:tcW w:w="2209" w:type="dxa"/>
            <w:vAlign w:val="center"/>
          </w:tcPr>
          <w:p w14:paraId="6CBE26D7">
            <w:pPr>
              <w:jc w:val="left"/>
              <w:rPr>
                <w:color w:val="auto"/>
                <w:w w:val="90"/>
                <w:szCs w:val="21"/>
                <w:highlight w:val="none"/>
              </w:rPr>
            </w:pPr>
          </w:p>
        </w:tc>
        <w:tc>
          <w:tcPr>
            <w:tcW w:w="1807" w:type="dxa"/>
            <w:vAlign w:val="center"/>
          </w:tcPr>
          <w:p w14:paraId="55E50110">
            <w:pPr>
              <w:jc w:val="center"/>
              <w:rPr>
                <w:color w:val="auto"/>
                <w:w w:val="90"/>
                <w:szCs w:val="21"/>
                <w:highlight w:val="none"/>
              </w:rPr>
            </w:pPr>
          </w:p>
        </w:tc>
        <w:tc>
          <w:tcPr>
            <w:tcW w:w="3301" w:type="dxa"/>
            <w:vAlign w:val="center"/>
          </w:tcPr>
          <w:p w14:paraId="4D669F80">
            <w:pPr>
              <w:jc w:val="left"/>
              <w:rPr>
                <w:color w:val="auto"/>
                <w:w w:val="90"/>
                <w:szCs w:val="21"/>
                <w:highlight w:val="none"/>
              </w:rPr>
            </w:pPr>
            <w:r>
              <w:rPr>
                <w:rFonts w:hint="eastAsia"/>
                <w:color w:val="auto"/>
                <w:w w:val="90"/>
                <w:szCs w:val="21"/>
                <w:highlight w:val="none"/>
              </w:rPr>
              <w:t>《淋浴器用水效率限定值及用水效率等级》（GB 28378）</w:t>
            </w:r>
          </w:p>
        </w:tc>
      </w:tr>
    </w:tbl>
    <w:p w14:paraId="5F198ED7">
      <w:pPr>
        <w:spacing w:line="360" w:lineRule="auto"/>
        <w:ind w:left="-972" w:leftChars="-405" w:right="-1200" w:rightChars="-500" w:firstLine="436" w:firstLineChars="201"/>
        <w:rPr>
          <w:b/>
          <w:color w:val="auto"/>
          <w:w w:val="90"/>
          <w:highlight w:val="none"/>
        </w:rPr>
      </w:pPr>
      <w:r>
        <w:rPr>
          <w:rFonts w:hint="eastAsia"/>
          <w:b/>
          <w:color w:val="auto"/>
          <w:w w:val="90"/>
          <w:highlight w:val="none"/>
        </w:rPr>
        <w:t>注：1、节能产品认证应依据相关国家标准的最新版本，依据国家标准中二级能效（水效）指标。</w:t>
      </w:r>
    </w:p>
    <w:p w14:paraId="7289AAA4">
      <w:pPr>
        <w:spacing w:line="360" w:lineRule="auto"/>
        <w:ind w:left="-972" w:leftChars="-405" w:right="-1200" w:rightChars="-500" w:firstLine="436" w:firstLineChars="201"/>
        <w:rPr>
          <w:b/>
          <w:color w:val="auto"/>
          <w:w w:val="90"/>
          <w:highlight w:val="none"/>
        </w:rPr>
      </w:pPr>
      <w:r>
        <w:rPr>
          <w:rFonts w:hint="eastAsia"/>
          <w:b/>
          <w:color w:val="auto"/>
          <w:w w:val="90"/>
          <w:highlight w:val="none"/>
        </w:rPr>
        <w:t>2、上述产品中认证标准发生变更的，依据原认证标准获得的、仍在有效期内的认证证书可使用至2019年6月1日。</w:t>
      </w:r>
    </w:p>
    <w:p w14:paraId="26643BEF">
      <w:pPr>
        <w:adjustRightInd w:val="0"/>
        <w:snapToGrid w:val="0"/>
        <w:spacing w:line="288" w:lineRule="auto"/>
        <w:jc w:val="left"/>
        <w:rPr>
          <w:rFonts w:cs="Times New Roman"/>
          <w:color w:val="auto"/>
          <w:spacing w:val="-6"/>
          <w:sz w:val="21"/>
          <w:szCs w:val="21"/>
          <w:highlight w:val="none"/>
        </w:rPr>
      </w:pPr>
      <w:r>
        <w:rPr>
          <w:rFonts w:hint="eastAsia"/>
          <w:b/>
          <w:color w:val="auto"/>
          <w:w w:val="90"/>
          <w:highlight w:val="none"/>
        </w:rPr>
        <w:t>3、以“★”标注的为政府强制采购产品。</w:t>
      </w:r>
    </w:p>
    <w:p w14:paraId="6E5BF818">
      <w:pPr>
        <w:adjustRightInd w:val="0"/>
        <w:snapToGrid w:val="0"/>
        <w:spacing w:line="288" w:lineRule="auto"/>
        <w:rPr>
          <w:b/>
          <w:color w:val="auto"/>
          <w:spacing w:val="-6"/>
          <w:sz w:val="21"/>
          <w:szCs w:val="21"/>
          <w:highlight w:val="none"/>
        </w:rPr>
      </w:pPr>
    </w:p>
    <w:p w14:paraId="59499A5E">
      <w:pPr>
        <w:adjustRightInd w:val="0"/>
        <w:snapToGrid w:val="0"/>
        <w:spacing w:line="288" w:lineRule="auto"/>
        <w:outlineLvl w:val="2"/>
        <w:rPr>
          <w:b/>
          <w:color w:val="auto"/>
          <w:spacing w:val="-6"/>
          <w:sz w:val="21"/>
          <w:szCs w:val="21"/>
          <w:highlight w:val="none"/>
        </w:rPr>
      </w:pPr>
      <w:r>
        <w:rPr>
          <w:rFonts w:hint="eastAsia"/>
          <w:b/>
          <w:color w:val="auto"/>
          <w:spacing w:val="-6"/>
          <w:sz w:val="21"/>
          <w:szCs w:val="21"/>
          <w:highlight w:val="none"/>
        </w:rPr>
        <w:t>（1</w:t>
      </w:r>
      <w:r>
        <w:rPr>
          <w:b/>
          <w:color w:val="auto"/>
          <w:spacing w:val="-6"/>
          <w:sz w:val="21"/>
          <w:szCs w:val="21"/>
          <w:highlight w:val="none"/>
        </w:rPr>
        <w:t>2</w:t>
      </w:r>
      <w:r>
        <w:rPr>
          <w:rFonts w:hint="eastAsia"/>
          <w:b/>
          <w:color w:val="auto"/>
          <w:spacing w:val="-6"/>
          <w:sz w:val="21"/>
          <w:szCs w:val="21"/>
          <w:highlight w:val="none"/>
        </w:rPr>
        <w:t>）供应商需要说明的其他文件和材料。</w:t>
      </w:r>
      <w:bookmarkEnd w:id="60"/>
    </w:p>
    <w:p w14:paraId="77B3E67B">
      <w:pPr>
        <w:widowControl/>
        <w:jc w:val="left"/>
        <w:rPr>
          <w:b/>
          <w:color w:val="auto"/>
          <w:spacing w:val="-6"/>
          <w:sz w:val="21"/>
          <w:szCs w:val="21"/>
          <w:highlight w:val="none"/>
        </w:rPr>
      </w:pPr>
      <w:r>
        <w:rPr>
          <w:b/>
          <w:color w:val="auto"/>
          <w:spacing w:val="-6"/>
          <w:sz w:val="21"/>
          <w:szCs w:val="21"/>
          <w:highlight w:val="none"/>
        </w:rPr>
        <w:br w:type="page"/>
      </w:r>
    </w:p>
    <w:p w14:paraId="4B9DF0D2">
      <w:pPr>
        <w:adjustRightInd w:val="0"/>
        <w:snapToGrid w:val="0"/>
        <w:spacing w:line="288" w:lineRule="auto"/>
        <w:outlineLvl w:val="2"/>
        <w:rPr>
          <w:rFonts w:cs="Times New Roman"/>
          <w:b/>
          <w:bCs/>
          <w:color w:val="auto"/>
          <w:sz w:val="21"/>
          <w:szCs w:val="21"/>
          <w:highlight w:val="none"/>
        </w:rPr>
      </w:pPr>
      <w:r>
        <w:rPr>
          <w:rFonts w:cs="Times New Roman"/>
          <w:b/>
          <w:color w:val="auto"/>
          <w:spacing w:val="-6"/>
          <w:sz w:val="21"/>
          <w:szCs w:val="21"/>
          <w:highlight w:val="none"/>
        </w:rPr>
        <w:t>附件</w:t>
      </w:r>
      <w:r>
        <w:rPr>
          <w:rFonts w:hint="eastAsia" w:cs="Times New Roman"/>
          <w:b/>
          <w:color w:val="auto"/>
          <w:spacing w:val="-6"/>
          <w:sz w:val="21"/>
          <w:szCs w:val="21"/>
          <w:highlight w:val="none"/>
        </w:rPr>
        <w:t>1：</w:t>
      </w:r>
      <w:r>
        <w:rPr>
          <w:rFonts w:hint="eastAsia" w:cs="Times New Roman"/>
          <w:b/>
          <w:bCs/>
          <w:color w:val="auto"/>
          <w:sz w:val="21"/>
          <w:szCs w:val="21"/>
          <w:highlight w:val="none"/>
        </w:rPr>
        <w:t>业务专用章使用说明函</w:t>
      </w:r>
    </w:p>
    <w:p w14:paraId="052C971D">
      <w:pPr>
        <w:snapToGrid w:val="0"/>
        <w:spacing w:line="288" w:lineRule="auto"/>
        <w:rPr>
          <w:rFonts w:cs="仿宋_GB2312"/>
          <w:color w:val="auto"/>
          <w:sz w:val="21"/>
          <w:szCs w:val="21"/>
          <w:highlight w:val="none"/>
          <w:u w:val="single"/>
        </w:rPr>
      </w:pPr>
    </w:p>
    <w:p w14:paraId="1AADD974">
      <w:pPr>
        <w:snapToGrid w:val="0"/>
        <w:spacing w:line="288" w:lineRule="auto"/>
        <w:rPr>
          <w:rFonts w:cs="Times New Roman"/>
          <w:color w:val="auto"/>
          <w:sz w:val="21"/>
          <w:szCs w:val="21"/>
          <w:highlight w:val="none"/>
        </w:rPr>
      </w:pPr>
      <w:r>
        <w:rPr>
          <w:rFonts w:hint="eastAsia" w:cs="仿宋_GB2312"/>
          <w:color w:val="auto"/>
          <w:sz w:val="21"/>
          <w:szCs w:val="21"/>
          <w:highlight w:val="none"/>
          <w:u w:val="single"/>
        </w:rPr>
        <w:t>（采购人）、（采购代理机构）</w:t>
      </w:r>
    </w:p>
    <w:p w14:paraId="1A7BE72C">
      <w:pPr>
        <w:snapToGrid w:val="0"/>
        <w:spacing w:line="288" w:lineRule="auto"/>
        <w:ind w:firstLine="424" w:firstLineChars="202"/>
        <w:rPr>
          <w:color w:val="auto"/>
          <w:sz w:val="21"/>
          <w:szCs w:val="21"/>
          <w:highlight w:val="none"/>
        </w:rPr>
      </w:pPr>
      <w:r>
        <w:rPr>
          <w:rFonts w:hint="eastAsia" w:cs="仿宋_GB2312"/>
          <w:color w:val="auto"/>
          <w:kern w:val="0"/>
          <w:sz w:val="21"/>
          <w:szCs w:val="21"/>
          <w:highlight w:val="none"/>
          <w:lang w:val="zh-CN"/>
        </w:rPr>
        <w:t>我方</w:t>
      </w:r>
      <w:r>
        <w:rPr>
          <w:rFonts w:cs="仿宋_GB2312"/>
          <w:color w:val="auto"/>
          <w:kern w:val="0"/>
          <w:sz w:val="21"/>
          <w:szCs w:val="21"/>
          <w:highlight w:val="none"/>
          <w:u w:val="single"/>
          <w:lang w:val="zh-CN"/>
        </w:rPr>
        <w:t xml:space="preserve">                         </w:t>
      </w:r>
      <w:r>
        <w:rPr>
          <w:rFonts w:cs="仿宋_GB2312"/>
          <w:color w:val="auto"/>
          <w:sz w:val="21"/>
          <w:szCs w:val="21"/>
          <w:highlight w:val="none"/>
        </w:rPr>
        <w:t>(供应商全称)</w:t>
      </w:r>
      <w:r>
        <w:rPr>
          <w:rFonts w:hint="eastAsia" w:cs="Times New Roman"/>
          <w:color w:val="auto"/>
          <w:sz w:val="21"/>
          <w:szCs w:val="21"/>
          <w:highlight w:val="none"/>
        </w:rPr>
        <w:t>是中华人民共和国依法登记注册的合法企业，</w:t>
      </w:r>
      <w:r>
        <w:rPr>
          <w:rFonts w:hint="eastAsia"/>
          <w:bCs/>
          <w:color w:val="auto"/>
          <w:sz w:val="21"/>
          <w:szCs w:val="21"/>
          <w:highlight w:val="none"/>
        </w:rPr>
        <w:t>在参加</w:t>
      </w:r>
      <w:r>
        <w:rPr>
          <w:rFonts w:hint="eastAsia" w:cs="仿宋_GB2312"/>
          <w:color w:val="auto"/>
          <w:sz w:val="21"/>
          <w:szCs w:val="21"/>
          <w:highlight w:val="none"/>
        </w:rPr>
        <w:t>你方组织的</w:t>
      </w:r>
      <w:r>
        <w:rPr>
          <w:rFonts w:hint="eastAsia" w:cs="仿宋_GB2312"/>
          <w:color w:val="auto"/>
          <w:sz w:val="21"/>
          <w:szCs w:val="21"/>
          <w:highlight w:val="none"/>
          <w:u w:val="single"/>
        </w:rPr>
        <w:t>（项目名称）</w:t>
      </w:r>
      <w:r>
        <w:rPr>
          <w:rFonts w:hint="eastAsia" w:cs="仿宋_GB2312"/>
          <w:color w:val="auto"/>
          <w:sz w:val="21"/>
          <w:szCs w:val="21"/>
          <w:highlight w:val="none"/>
        </w:rPr>
        <w:t>项目</w:t>
      </w:r>
      <w:r>
        <w:rPr>
          <w:rFonts w:hint="eastAsia" w:cs="仿宋_GB2312"/>
          <w:color w:val="auto"/>
          <w:sz w:val="21"/>
          <w:szCs w:val="21"/>
          <w:highlight w:val="none"/>
          <w:u w:val="single"/>
        </w:rPr>
        <w:t>（项目编号）</w:t>
      </w:r>
      <w:r>
        <w:rPr>
          <w:rFonts w:hint="eastAsia"/>
          <w:bCs/>
          <w:color w:val="auto"/>
          <w:sz w:val="21"/>
          <w:szCs w:val="21"/>
          <w:highlight w:val="none"/>
        </w:rPr>
        <w:t>响应（响应）活动中作如下说明：</w:t>
      </w:r>
      <w:r>
        <w:rPr>
          <w:rFonts w:hint="eastAsia"/>
          <w:color w:val="auto"/>
          <w:sz w:val="21"/>
          <w:szCs w:val="21"/>
          <w:highlight w:val="none"/>
        </w:rPr>
        <w:t>我方所使用的</w:t>
      </w:r>
      <w:r>
        <w:rPr>
          <w:rFonts w:hint="eastAsia"/>
          <w:color w:val="auto"/>
          <w:sz w:val="21"/>
          <w:szCs w:val="21"/>
          <w:highlight w:val="none"/>
          <w:u w:val="single"/>
        </w:rPr>
        <w:t>“</w:t>
      </w:r>
      <w:r>
        <w:rPr>
          <w:rFonts w:cs="仿宋_GB2312"/>
          <w:color w:val="auto"/>
          <w:sz w:val="21"/>
          <w:szCs w:val="21"/>
          <w:highlight w:val="none"/>
          <w:u w:val="single"/>
        </w:rPr>
        <w:t>XX</w:t>
      </w:r>
      <w:r>
        <w:rPr>
          <w:rFonts w:hint="eastAsia"/>
          <w:color w:val="auto"/>
          <w:sz w:val="21"/>
          <w:szCs w:val="21"/>
          <w:highlight w:val="none"/>
          <w:u w:val="single"/>
        </w:rPr>
        <w:t>专用章”</w:t>
      </w:r>
      <w:r>
        <w:rPr>
          <w:rFonts w:hint="eastAsia"/>
          <w:color w:val="auto"/>
          <w:sz w:val="21"/>
          <w:szCs w:val="21"/>
          <w:highlight w:val="none"/>
        </w:rPr>
        <w:t>与法定名称章具有同等的法律效力，对使用</w:t>
      </w:r>
      <w:r>
        <w:rPr>
          <w:rFonts w:hint="eastAsia"/>
          <w:color w:val="auto"/>
          <w:sz w:val="21"/>
          <w:szCs w:val="21"/>
          <w:highlight w:val="none"/>
          <w:u w:val="single"/>
        </w:rPr>
        <w:t>“</w:t>
      </w:r>
      <w:r>
        <w:rPr>
          <w:rFonts w:cs="仿宋_GB2312"/>
          <w:color w:val="auto"/>
          <w:sz w:val="21"/>
          <w:szCs w:val="21"/>
          <w:highlight w:val="none"/>
          <w:u w:val="single"/>
        </w:rPr>
        <w:t>XX</w:t>
      </w:r>
      <w:r>
        <w:rPr>
          <w:rFonts w:hint="eastAsia"/>
          <w:color w:val="auto"/>
          <w:sz w:val="21"/>
          <w:szCs w:val="21"/>
          <w:highlight w:val="none"/>
          <w:u w:val="single"/>
        </w:rPr>
        <w:t>专用章”</w:t>
      </w:r>
      <w:r>
        <w:rPr>
          <w:rFonts w:hint="eastAsia"/>
          <w:color w:val="auto"/>
          <w:sz w:val="21"/>
          <w:szCs w:val="21"/>
          <w:highlight w:val="none"/>
        </w:rPr>
        <w:t>的行为予以完全承认，并愿意承担相应责任。</w:t>
      </w:r>
    </w:p>
    <w:p w14:paraId="1E604706">
      <w:pPr>
        <w:snapToGrid w:val="0"/>
        <w:spacing w:line="288" w:lineRule="auto"/>
        <w:ind w:firstLine="424" w:firstLineChars="202"/>
        <w:rPr>
          <w:color w:val="auto"/>
          <w:sz w:val="21"/>
          <w:szCs w:val="21"/>
          <w:highlight w:val="none"/>
        </w:rPr>
      </w:pPr>
      <w:r>
        <w:rPr>
          <w:rFonts w:hint="eastAsia"/>
          <w:color w:val="auto"/>
          <w:sz w:val="21"/>
          <w:szCs w:val="21"/>
          <w:highlight w:val="none"/>
        </w:rPr>
        <w:t>特此说明。</w:t>
      </w:r>
    </w:p>
    <w:p w14:paraId="6E9161F5">
      <w:pPr>
        <w:snapToGrid w:val="0"/>
        <w:spacing w:line="288" w:lineRule="auto"/>
        <w:ind w:right="480" w:firstLine="424" w:firstLineChars="202"/>
        <w:rPr>
          <w:color w:val="auto"/>
          <w:sz w:val="21"/>
          <w:szCs w:val="21"/>
          <w:highlight w:val="none"/>
        </w:rPr>
      </w:pPr>
      <w:r>
        <w:rPr>
          <w:rFonts w:hint="eastAsia"/>
          <w:color w:val="auto"/>
          <w:sz w:val="21"/>
          <w:szCs w:val="21"/>
          <w:highlight w:val="none"/>
        </w:rPr>
        <w:t>供应商（法定名称章）：</w:t>
      </w:r>
    </w:p>
    <w:p w14:paraId="5A67D75C">
      <w:pPr>
        <w:snapToGrid w:val="0"/>
        <w:spacing w:line="288" w:lineRule="auto"/>
        <w:ind w:right="1440" w:firstLine="424" w:firstLineChars="202"/>
        <w:rPr>
          <w:color w:val="auto"/>
          <w:sz w:val="21"/>
          <w:szCs w:val="21"/>
          <w:highlight w:val="none"/>
        </w:rPr>
      </w:pPr>
      <w:r>
        <w:rPr>
          <w:color w:val="auto"/>
          <w:sz w:val="21"/>
          <w:szCs w:val="21"/>
          <w:highlight w:val="none"/>
        </w:rPr>
        <w:t>日期：       年     月     日</w:t>
      </w:r>
    </w:p>
    <w:p w14:paraId="5CBDB8DD">
      <w:pPr>
        <w:snapToGrid w:val="0"/>
        <w:spacing w:line="288" w:lineRule="auto"/>
        <w:rPr>
          <w:b/>
          <w:bCs/>
          <w:color w:val="auto"/>
          <w:sz w:val="21"/>
          <w:szCs w:val="21"/>
          <w:highlight w:val="none"/>
        </w:rPr>
      </w:pPr>
    </w:p>
    <w:p w14:paraId="7569EB52">
      <w:pPr>
        <w:snapToGrid w:val="0"/>
        <w:spacing w:line="288" w:lineRule="auto"/>
        <w:rPr>
          <w:color w:val="auto"/>
          <w:sz w:val="21"/>
          <w:szCs w:val="21"/>
          <w:highlight w:val="none"/>
        </w:rPr>
      </w:pPr>
      <w:r>
        <w:rPr>
          <w:rFonts w:hint="eastAsia"/>
          <w:b/>
          <w:bCs/>
          <w:color w:val="auto"/>
          <w:sz w:val="21"/>
          <w:szCs w:val="21"/>
          <w:highlight w:val="none"/>
        </w:rPr>
        <w:t>附：</w:t>
      </w:r>
      <w:r>
        <w:rPr>
          <w:rFonts w:hint="eastAsia"/>
          <w:color w:val="auto"/>
          <w:sz w:val="21"/>
          <w:szCs w:val="21"/>
          <w:highlight w:val="none"/>
        </w:rPr>
        <w:t>供应商法定名称章（印模）</w:t>
      </w:r>
      <w:r>
        <w:rPr>
          <w:color w:val="auto"/>
          <w:sz w:val="21"/>
          <w:szCs w:val="21"/>
          <w:highlight w:val="none"/>
        </w:rPr>
        <w:t xml:space="preserve">                </w:t>
      </w:r>
      <w:r>
        <w:rPr>
          <w:rFonts w:hint="eastAsia"/>
          <w:color w:val="auto"/>
          <w:sz w:val="21"/>
          <w:szCs w:val="21"/>
          <w:highlight w:val="none"/>
        </w:rPr>
        <w:t>供应商“</w:t>
      </w:r>
      <w:r>
        <w:rPr>
          <w:rFonts w:cs="仿宋_GB2312"/>
          <w:color w:val="auto"/>
          <w:sz w:val="21"/>
          <w:szCs w:val="21"/>
          <w:highlight w:val="none"/>
        </w:rPr>
        <w:t>XX</w:t>
      </w:r>
      <w:r>
        <w:rPr>
          <w:rFonts w:hint="eastAsia"/>
          <w:color w:val="auto"/>
          <w:sz w:val="21"/>
          <w:szCs w:val="21"/>
          <w:highlight w:val="none"/>
        </w:rPr>
        <w:t>专用章”（印模）</w:t>
      </w:r>
    </w:p>
    <w:p w14:paraId="7B759E59">
      <w:pPr>
        <w:snapToGrid w:val="0"/>
        <w:spacing w:line="288" w:lineRule="auto"/>
        <w:rPr>
          <w:color w:val="auto"/>
          <w:sz w:val="21"/>
          <w:szCs w:val="21"/>
          <w:highlight w:val="none"/>
        </w:rPr>
      </w:pPr>
      <w:r>
        <w:rPr>
          <w:rFonts w:cs="Times New Roman"/>
          <w:b/>
          <w:bCs/>
          <w:color w:val="auto"/>
          <w:sz w:val="21"/>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color w:val="auto"/>
          <w:sz w:val="21"/>
          <w:szCs w:val="21"/>
          <w:highlight w:val="none"/>
        </w:rPr>
        <w:t xml:space="preserve"> </w:t>
      </w:r>
      <w:r>
        <w:rPr>
          <w:rFonts w:cs="Times New Roman"/>
          <w:b/>
          <w:bCs/>
          <w:color w:val="auto"/>
          <w:sz w:val="21"/>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6A48BC62">
      <w:pPr>
        <w:widowControl/>
        <w:jc w:val="left"/>
        <w:rPr>
          <w:b/>
          <w:color w:val="auto"/>
          <w:spacing w:val="-6"/>
          <w:sz w:val="21"/>
          <w:szCs w:val="21"/>
          <w:highlight w:val="none"/>
        </w:rPr>
      </w:pPr>
      <w:r>
        <w:rPr>
          <w:b/>
          <w:color w:val="auto"/>
          <w:spacing w:val="-6"/>
          <w:sz w:val="21"/>
          <w:szCs w:val="21"/>
          <w:highlight w:val="none"/>
        </w:rPr>
        <w:br w:type="page"/>
      </w:r>
    </w:p>
    <w:p w14:paraId="036FE5C7">
      <w:pPr>
        <w:snapToGrid w:val="0"/>
        <w:spacing w:line="288" w:lineRule="auto"/>
        <w:jc w:val="center"/>
        <w:outlineLvl w:val="2"/>
        <w:rPr>
          <w:rFonts w:cs="仿宋_GB2312"/>
          <w:b/>
          <w:color w:val="auto"/>
          <w:kern w:val="0"/>
          <w:sz w:val="21"/>
          <w:szCs w:val="21"/>
          <w:highlight w:val="none"/>
          <w:lang w:val="zh-CN"/>
        </w:rPr>
      </w:pPr>
      <w:r>
        <w:rPr>
          <w:rFonts w:hint="eastAsia" w:cs="仿宋_GB2312"/>
          <w:b/>
          <w:color w:val="auto"/>
          <w:kern w:val="0"/>
          <w:sz w:val="21"/>
          <w:szCs w:val="21"/>
          <w:highlight w:val="none"/>
          <w:lang w:val="zh-CN"/>
        </w:rPr>
        <w:t>附件2</w:t>
      </w:r>
      <w:r>
        <w:rPr>
          <w:rFonts w:cs="仿宋_GB2312"/>
          <w:b/>
          <w:color w:val="auto"/>
          <w:kern w:val="0"/>
          <w:sz w:val="21"/>
          <w:szCs w:val="21"/>
          <w:highlight w:val="none"/>
          <w:lang w:val="zh-CN"/>
        </w:rPr>
        <w:t>：</w:t>
      </w:r>
      <w:r>
        <w:rPr>
          <w:rFonts w:hint="eastAsia" w:cs="仿宋_GB2312"/>
          <w:b/>
          <w:color w:val="auto"/>
          <w:kern w:val="0"/>
          <w:sz w:val="21"/>
          <w:szCs w:val="21"/>
          <w:highlight w:val="none"/>
          <w:lang w:val="zh-CN"/>
        </w:rPr>
        <w:t>联合协议</w:t>
      </w:r>
    </w:p>
    <w:p w14:paraId="76CEC587">
      <w:pPr>
        <w:widowControl/>
        <w:snapToGrid w:val="0"/>
        <w:spacing w:line="288" w:lineRule="auto"/>
        <w:ind w:firstLine="424" w:firstLineChars="201"/>
        <w:jc w:val="left"/>
        <w:rPr>
          <w:rFonts w:cs="仿宋_GB2312"/>
          <w:b/>
          <w:color w:val="auto"/>
          <w:sz w:val="21"/>
          <w:szCs w:val="21"/>
          <w:highlight w:val="none"/>
        </w:rPr>
      </w:pPr>
      <w:r>
        <w:rPr>
          <w:rFonts w:hint="eastAsia" w:cs="仿宋_GB2312"/>
          <w:b/>
          <w:color w:val="auto"/>
          <w:sz w:val="21"/>
          <w:szCs w:val="21"/>
          <w:highlight w:val="none"/>
        </w:rPr>
        <w:t>（以联合体形式响应的，提供联合协议；本项目不接受联合体响应或者供应商不以联合体形式响应的，则不需要提供）</w:t>
      </w:r>
    </w:p>
    <w:p w14:paraId="757CBBC2">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（联合体所有成员名称）</w:t>
      </w:r>
      <w:r>
        <w:rPr>
          <w:rFonts w:hint="eastAsia" w:cs="仿宋_GB2312"/>
          <w:color w:val="auto"/>
          <w:kern w:val="0"/>
          <w:sz w:val="21"/>
          <w:szCs w:val="21"/>
          <w:highlight w:val="none"/>
        </w:rPr>
        <w:t>自愿</w:t>
      </w:r>
      <w:r>
        <w:rPr>
          <w:rFonts w:hint="eastAsia" w:cs="仿宋_GB2312"/>
          <w:color w:val="auto"/>
          <w:kern w:val="0"/>
          <w:sz w:val="21"/>
          <w:szCs w:val="21"/>
          <w:highlight w:val="none"/>
          <w:lang w:val="zh-CN"/>
        </w:rPr>
        <w:t>组成一个联合体，以一个供应商的身份</w:t>
      </w:r>
      <w:r>
        <w:rPr>
          <w:rFonts w:hint="eastAsia" w:cs="仿宋_GB2312"/>
          <w:color w:val="auto"/>
          <w:kern w:val="0"/>
          <w:sz w:val="21"/>
          <w:szCs w:val="21"/>
          <w:highlight w:val="none"/>
        </w:rPr>
        <w:t>参加</w:t>
      </w:r>
      <w:r>
        <w:rPr>
          <w:rFonts w:hint="eastAsia" w:cs="仿宋_GB2312"/>
          <w:color w:val="auto"/>
          <w:sz w:val="21"/>
          <w:szCs w:val="21"/>
          <w:highlight w:val="none"/>
        </w:rPr>
        <w:t>（项目名称）【招标编号：</w:t>
      </w:r>
      <w:r>
        <w:rPr>
          <w:rFonts w:hint="eastAsia" w:cs="Times New Roman"/>
          <w:color w:val="auto"/>
          <w:sz w:val="21"/>
          <w:szCs w:val="21"/>
          <w:highlight w:val="none"/>
        </w:rPr>
        <w:t>（采购编号）</w:t>
      </w:r>
      <w:r>
        <w:rPr>
          <w:rFonts w:hint="eastAsia" w:cs="仿宋_GB2312"/>
          <w:color w:val="auto"/>
          <w:sz w:val="21"/>
          <w:szCs w:val="21"/>
          <w:highlight w:val="none"/>
        </w:rPr>
        <w:t>】</w:t>
      </w:r>
      <w:r>
        <w:rPr>
          <w:rFonts w:hint="eastAsia" w:cs="仿宋_GB2312"/>
          <w:color w:val="auto"/>
          <w:kern w:val="0"/>
          <w:sz w:val="21"/>
          <w:szCs w:val="21"/>
          <w:highlight w:val="none"/>
          <w:lang w:val="zh-CN"/>
        </w:rPr>
        <w:t>响应。</w:t>
      </w:r>
    </w:p>
    <w:p w14:paraId="4D3BFB16">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一、各方一致决定，</w:t>
      </w:r>
      <w:r>
        <w:rPr>
          <w:rFonts w:hint="eastAsia" w:cs="仿宋_GB2312"/>
          <w:color w:val="auto"/>
          <w:kern w:val="0"/>
          <w:sz w:val="21"/>
          <w:szCs w:val="21"/>
          <w:highlight w:val="none"/>
          <w:u w:val="single"/>
        </w:rPr>
        <w:t>（某联合体成员名称）</w:t>
      </w:r>
      <w:r>
        <w:rPr>
          <w:rFonts w:hint="eastAsia" w:cs="仿宋_GB2312"/>
          <w:color w:val="auto"/>
          <w:kern w:val="0"/>
          <w:sz w:val="21"/>
          <w:szCs w:val="21"/>
          <w:highlight w:val="none"/>
        </w:rPr>
        <w:t>为联合体</w:t>
      </w:r>
      <w:r>
        <w:rPr>
          <w:rFonts w:hint="eastAsia" w:cs="仿宋_GB2312"/>
          <w:color w:val="auto"/>
          <w:kern w:val="0"/>
          <w:sz w:val="21"/>
          <w:szCs w:val="21"/>
          <w:highlight w:val="none"/>
          <w:lang w:val="zh-CN"/>
        </w:rPr>
        <w:t>牵头人</w:t>
      </w:r>
      <w:r>
        <w:rPr>
          <w:rFonts w:hint="eastAsia" w:cs="Arial"/>
          <w:color w:val="auto"/>
          <w:sz w:val="21"/>
          <w:szCs w:val="21"/>
          <w:highlight w:val="none"/>
        </w:rPr>
        <w:t>，代表所有联合体成员负责响应和合同实施阶段的主办、协调工作</w:t>
      </w:r>
      <w:r>
        <w:rPr>
          <w:rFonts w:hint="eastAsia" w:cs="仿宋_GB2312"/>
          <w:color w:val="auto"/>
          <w:kern w:val="0"/>
          <w:sz w:val="21"/>
          <w:szCs w:val="21"/>
          <w:highlight w:val="none"/>
          <w:lang w:val="zh-CN"/>
        </w:rPr>
        <w:t>。</w:t>
      </w:r>
    </w:p>
    <w:p w14:paraId="111C4D57">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二、</w:t>
      </w:r>
      <w:r>
        <w:rPr>
          <w:rFonts w:hint="eastAsia" w:cs="Arial"/>
          <w:color w:val="auto"/>
          <w:sz w:val="21"/>
          <w:szCs w:val="21"/>
          <w:highlight w:val="none"/>
        </w:rPr>
        <w:t>所有联合体成员各方签署授权书，授权书载明的</w:t>
      </w:r>
      <w:r>
        <w:rPr>
          <w:rFonts w:hint="eastAsia" w:cs="仿宋_GB2312"/>
          <w:color w:val="auto"/>
          <w:kern w:val="0"/>
          <w:sz w:val="21"/>
          <w:szCs w:val="21"/>
          <w:highlight w:val="none"/>
          <w:lang w:val="zh-CN"/>
        </w:rPr>
        <w:t>授权代表根据磋商文件规定及响应内容而对采购人、采购机构所作的任何合法承诺，包括书面澄清及相应等均对联合响应各方产生约束力。</w:t>
      </w:r>
    </w:p>
    <w:p w14:paraId="05CFCDFD">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三、本次联合响应中，分工如下：</w:t>
      </w:r>
      <w:r>
        <w:rPr>
          <w:rFonts w:hint="eastAsia" w:cs="仿宋_GB2312"/>
          <w:color w:val="auto"/>
          <w:kern w:val="0"/>
          <w:sz w:val="21"/>
          <w:szCs w:val="21"/>
          <w:highlight w:val="none"/>
          <w:u w:val="single"/>
        </w:rPr>
        <w:t>（联合体其中一方成员名称）</w:t>
      </w:r>
      <w:r>
        <w:rPr>
          <w:rFonts w:hint="eastAsia" w:cs="仿宋_GB2312"/>
          <w:color w:val="auto"/>
          <w:kern w:val="0"/>
          <w:sz w:val="21"/>
          <w:szCs w:val="21"/>
          <w:highlight w:val="none"/>
          <w:lang w:val="zh-CN"/>
        </w:rPr>
        <w:t>承担的工作和义务为：</w:t>
      </w:r>
      <w:r>
        <w:rPr>
          <w:rFonts w:cs="Times New Roman"/>
          <w:color w:val="auto"/>
          <w:sz w:val="21"/>
          <w:szCs w:val="21"/>
          <w:highlight w:val="none"/>
          <w:u w:val="single"/>
        </w:rPr>
        <w:t xml:space="preserve">             </w:t>
      </w:r>
      <w:r>
        <w:rPr>
          <w:rFonts w:hint="eastAsia" w:cs="仿宋_GB2312"/>
          <w:color w:val="auto"/>
          <w:kern w:val="0"/>
          <w:sz w:val="21"/>
          <w:szCs w:val="21"/>
          <w:highlight w:val="none"/>
          <w:lang w:val="zh-CN"/>
        </w:rPr>
        <w:t>；</w:t>
      </w:r>
      <w:r>
        <w:rPr>
          <w:rFonts w:cs="仿宋_GB2312"/>
          <w:color w:val="auto"/>
          <w:kern w:val="0"/>
          <w:sz w:val="21"/>
          <w:szCs w:val="21"/>
          <w:highlight w:val="none"/>
          <w:lang w:val="zh-CN"/>
        </w:rPr>
        <w:t>……。</w:t>
      </w:r>
    </w:p>
    <w:p w14:paraId="101E0C0D">
      <w:pPr>
        <w:snapToGrid w:val="0"/>
        <w:spacing w:line="288" w:lineRule="auto"/>
        <w:ind w:firstLine="422" w:firstLineChars="201"/>
        <w:rPr>
          <w:rFonts w:cs="仿宋_GB2312"/>
          <w:b/>
          <w:color w:val="auto"/>
          <w:kern w:val="0"/>
          <w:sz w:val="21"/>
          <w:szCs w:val="21"/>
          <w:highlight w:val="none"/>
          <w:lang w:val="zh-CN"/>
        </w:rPr>
      </w:pPr>
      <w:r>
        <w:rPr>
          <w:rFonts w:hint="eastAsia" w:cs="仿宋_GB2312"/>
          <w:color w:val="auto"/>
          <w:kern w:val="0"/>
          <w:sz w:val="21"/>
          <w:szCs w:val="21"/>
          <w:highlight w:val="none"/>
          <w:lang w:val="zh-CN"/>
        </w:rPr>
        <w:t>四、</w:t>
      </w:r>
      <w:r>
        <w:rPr>
          <w:rFonts w:hint="eastAsia" w:cs="仿宋_GB2312"/>
          <w:color w:val="auto"/>
          <w:kern w:val="0"/>
          <w:sz w:val="21"/>
          <w:szCs w:val="21"/>
          <w:highlight w:val="none"/>
          <w:u w:val="single"/>
        </w:rPr>
        <w:t>（联合体其中一方成员名称）</w:t>
      </w:r>
      <w:r>
        <w:rPr>
          <w:rFonts w:hint="eastAsia" w:cs="仿宋_GB2312"/>
          <w:color w:val="auto"/>
          <w:kern w:val="0"/>
          <w:sz w:val="21"/>
          <w:szCs w:val="21"/>
          <w:highlight w:val="none"/>
        </w:rPr>
        <w:t>提供的全部货物由小微企业制造，其合同份额占到合同总金额</w:t>
      </w:r>
      <w:r>
        <w:rPr>
          <w:rFonts w:cs="仿宋_GB2312"/>
          <w:color w:val="auto"/>
          <w:kern w:val="0"/>
          <w:sz w:val="21"/>
          <w:szCs w:val="21"/>
          <w:highlight w:val="none"/>
          <w:u w:val="single"/>
        </w:rPr>
        <w:t xml:space="preserve">     </w:t>
      </w:r>
      <w:r>
        <w:rPr>
          <w:rFonts w:cs="仿宋_GB2312"/>
          <w:color w:val="auto"/>
          <w:kern w:val="0"/>
          <w:sz w:val="21"/>
          <w:szCs w:val="21"/>
          <w:highlight w:val="none"/>
        </w:rPr>
        <w:t>%以上；</w:t>
      </w:r>
      <w:r>
        <w:rPr>
          <w:rFonts w:hint="eastAsia" w:cs="仿宋_GB2312"/>
          <w:color w:val="auto"/>
          <w:kern w:val="0"/>
          <w:sz w:val="21"/>
          <w:szCs w:val="21"/>
          <w:highlight w:val="none"/>
          <w:lang w:val="zh-CN"/>
        </w:rPr>
        <w:t>……。</w:t>
      </w:r>
      <w:r>
        <w:rPr>
          <w:rFonts w:hint="eastAsia" w:cs="仿宋_GB2312"/>
          <w:b/>
          <w:color w:val="auto"/>
          <w:kern w:val="0"/>
          <w:sz w:val="21"/>
          <w:szCs w:val="21"/>
          <w:highlight w:val="none"/>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cs="仿宋_GB2312"/>
          <w:b/>
          <w:color w:val="auto"/>
          <w:kern w:val="0"/>
          <w:sz w:val="21"/>
          <w:szCs w:val="21"/>
          <w:highlight w:val="none"/>
          <w:lang w:val="zh-CN"/>
        </w:rPr>
        <w:t xml:space="preserve"> 30%以上</w:t>
      </w:r>
      <w:r>
        <w:rPr>
          <w:rFonts w:hint="eastAsia" w:cs="仿宋_GB2312"/>
          <w:b/>
          <w:color w:val="auto"/>
          <w:kern w:val="0"/>
          <w:sz w:val="21"/>
          <w:szCs w:val="21"/>
          <w:highlight w:val="none"/>
          <w:lang w:val="zh-CN"/>
        </w:rPr>
        <w:t>，对联合体报价给予</w:t>
      </w:r>
      <w:r>
        <w:rPr>
          <w:rFonts w:cs="仿宋_GB2312"/>
          <w:b/>
          <w:color w:val="auto"/>
          <w:kern w:val="0"/>
          <w:sz w:val="21"/>
          <w:szCs w:val="21"/>
          <w:highlight w:val="none"/>
          <w:lang w:val="zh-CN"/>
        </w:rPr>
        <w:t>6%的扣除</w:t>
      </w:r>
      <w:r>
        <w:rPr>
          <w:rFonts w:hint="eastAsia" w:cs="仿宋_GB2312"/>
          <w:b/>
          <w:color w:val="auto"/>
          <w:kern w:val="0"/>
          <w:sz w:val="21"/>
          <w:szCs w:val="21"/>
          <w:highlight w:val="none"/>
          <w:lang w:val="zh-CN"/>
        </w:rPr>
        <w:t>）</w:t>
      </w:r>
    </w:p>
    <w:p w14:paraId="6BC0F77B">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五、如果成交，</w:t>
      </w:r>
      <w:r>
        <w:rPr>
          <w:rFonts w:hint="eastAsia" w:cs="Times New Roman"/>
          <w:color w:val="auto"/>
          <w:sz w:val="21"/>
          <w:szCs w:val="21"/>
          <w:highlight w:val="none"/>
        </w:rPr>
        <w:t>联合体各成员方共同与采购人签订合同，并就采购合同约定的事项对采购人承担连带责任。</w:t>
      </w:r>
    </w:p>
    <w:p w14:paraId="64E322B1">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六、有关本次联合响应的其他事宜：</w:t>
      </w:r>
    </w:p>
    <w:p w14:paraId="78B6C7A0">
      <w:pPr>
        <w:snapToGrid w:val="0"/>
        <w:spacing w:line="288" w:lineRule="auto"/>
        <w:ind w:firstLine="422" w:firstLineChars="201"/>
        <w:rPr>
          <w:rFonts w:cs="仿宋_GB2312"/>
          <w:color w:val="auto"/>
          <w:kern w:val="0"/>
          <w:sz w:val="21"/>
          <w:szCs w:val="21"/>
          <w:highlight w:val="none"/>
          <w:lang w:val="zh-CN"/>
        </w:rPr>
      </w:pPr>
      <w:r>
        <w:rPr>
          <w:rFonts w:cs="仿宋_GB2312"/>
          <w:color w:val="auto"/>
          <w:kern w:val="0"/>
          <w:sz w:val="21"/>
          <w:szCs w:val="21"/>
          <w:highlight w:val="none"/>
          <w:lang w:val="zh-CN"/>
        </w:rPr>
        <w:t>1、联合体各方不再单独参加或者与其</w:t>
      </w:r>
      <w:r>
        <w:rPr>
          <w:rFonts w:hint="eastAsia" w:cs="仿宋_GB2312"/>
          <w:color w:val="auto"/>
          <w:kern w:val="0"/>
          <w:sz w:val="21"/>
          <w:szCs w:val="21"/>
          <w:highlight w:val="none"/>
          <w:lang w:val="zh-CN"/>
        </w:rPr>
        <w:t>他供应商另外组成联合体参加同一合同项下的政府采购活动。</w:t>
      </w:r>
    </w:p>
    <w:p w14:paraId="17153179">
      <w:pPr>
        <w:snapToGrid w:val="0"/>
        <w:spacing w:line="288" w:lineRule="auto"/>
        <w:ind w:firstLine="422" w:firstLineChars="201"/>
        <w:rPr>
          <w:rFonts w:cs="仿宋_GB2312"/>
          <w:color w:val="auto"/>
          <w:kern w:val="0"/>
          <w:sz w:val="21"/>
          <w:szCs w:val="21"/>
          <w:highlight w:val="none"/>
          <w:lang w:val="zh-CN"/>
        </w:rPr>
      </w:pPr>
      <w:r>
        <w:rPr>
          <w:rFonts w:cs="仿宋_GB2312"/>
          <w:color w:val="auto"/>
          <w:kern w:val="0"/>
          <w:sz w:val="21"/>
          <w:szCs w:val="21"/>
          <w:highlight w:val="none"/>
          <w:lang w:val="zh-CN"/>
        </w:rPr>
        <w:t>2、联合体中有同类资质的各方按照联合体分工承担相同工作的，按照资质等级较低的供应商确定资质等级。</w:t>
      </w:r>
    </w:p>
    <w:p w14:paraId="2317BB9C">
      <w:pPr>
        <w:snapToGrid w:val="0"/>
        <w:spacing w:line="288" w:lineRule="auto"/>
        <w:ind w:firstLine="422" w:firstLineChars="201"/>
        <w:rPr>
          <w:rFonts w:cs="仿宋_GB2312"/>
          <w:color w:val="auto"/>
          <w:kern w:val="0"/>
          <w:sz w:val="21"/>
          <w:szCs w:val="21"/>
          <w:highlight w:val="none"/>
          <w:lang w:val="zh-CN"/>
        </w:rPr>
      </w:pPr>
      <w:r>
        <w:rPr>
          <w:rFonts w:cs="仿宋_GB2312"/>
          <w:color w:val="auto"/>
          <w:kern w:val="0"/>
          <w:sz w:val="21"/>
          <w:szCs w:val="21"/>
          <w:highlight w:val="none"/>
          <w:lang w:val="zh-CN"/>
        </w:rPr>
        <w:t>3、本协议提交采购人、采购机构后，联合体各方不得以任何形式对上述内容进行修改或撤销。</w:t>
      </w:r>
    </w:p>
    <w:p w14:paraId="6085228A">
      <w:pPr>
        <w:snapToGrid w:val="0"/>
        <w:spacing w:line="288" w:lineRule="auto"/>
        <w:ind w:firstLine="422" w:firstLineChars="201"/>
        <w:rPr>
          <w:rFonts w:cs="仿宋_GB2312"/>
          <w:color w:val="auto"/>
          <w:kern w:val="0"/>
          <w:sz w:val="21"/>
          <w:szCs w:val="21"/>
          <w:highlight w:val="none"/>
          <w:lang w:val="zh-CN"/>
        </w:rPr>
      </w:pPr>
    </w:p>
    <w:p w14:paraId="6E8B0449">
      <w:pPr>
        <w:snapToGrid w:val="0"/>
        <w:spacing w:line="288" w:lineRule="auto"/>
        <w:ind w:firstLine="422" w:firstLineChars="201"/>
        <w:rPr>
          <w:rFonts w:cs="仿宋_GB2312"/>
          <w:color w:val="auto"/>
          <w:kern w:val="0"/>
          <w:sz w:val="21"/>
          <w:szCs w:val="21"/>
          <w:highlight w:val="none"/>
          <w:lang w:val="zh-CN"/>
        </w:rPr>
      </w:pPr>
    </w:p>
    <w:p w14:paraId="663063E5">
      <w:pPr>
        <w:snapToGrid w:val="0"/>
        <w:spacing w:line="288" w:lineRule="auto"/>
        <w:ind w:firstLine="424" w:firstLineChars="201"/>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联合体成员名称</w:t>
      </w:r>
      <w:r>
        <w:rPr>
          <w:rFonts w:cs="仿宋_GB2312"/>
          <w:b/>
          <w:bCs/>
          <w:color w:val="auto"/>
          <w:kern w:val="0"/>
          <w:sz w:val="21"/>
          <w:szCs w:val="21"/>
          <w:highlight w:val="none"/>
          <w:lang w:val="zh-CN"/>
        </w:rPr>
        <w:t>(电子签名/公章)：</w:t>
      </w:r>
    </w:p>
    <w:p w14:paraId="6975404D">
      <w:pPr>
        <w:snapToGrid w:val="0"/>
        <w:spacing w:line="288" w:lineRule="auto"/>
        <w:ind w:firstLine="424" w:firstLineChars="201"/>
        <w:rPr>
          <w:rFonts w:cs="仿宋_GB2312"/>
          <w:b/>
          <w:bCs/>
          <w:color w:val="auto"/>
          <w:kern w:val="0"/>
          <w:sz w:val="21"/>
          <w:szCs w:val="21"/>
          <w:highlight w:val="none"/>
          <w:lang w:val="zh-CN"/>
        </w:rPr>
      </w:pPr>
    </w:p>
    <w:p w14:paraId="5230AA54">
      <w:pPr>
        <w:snapToGrid w:val="0"/>
        <w:spacing w:line="288" w:lineRule="auto"/>
        <w:ind w:firstLine="424" w:firstLineChars="201"/>
        <w:rPr>
          <w:rFonts w:cs="Times New Roman"/>
          <w:b/>
          <w:bCs/>
          <w:color w:val="auto"/>
          <w:sz w:val="21"/>
          <w:szCs w:val="21"/>
          <w:highlight w:val="none"/>
        </w:rPr>
      </w:pPr>
    </w:p>
    <w:p w14:paraId="300348FC">
      <w:pPr>
        <w:snapToGrid w:val="0"/>
        <w:spacing w:line="288" w:lineRule="auto"/>
        <w:ind w:firstLine="424" w:firstLineChars="201"/>
        <w:rPr>
          <w:rFonts w:cs="仿宋_GB2312"/>
          <w:b/>
          <w:bCs/>
          <w:color w:val="auto"/>
          <w:kern w:val="0"/>
          <w:sz w:val="21"/>
          <w:szCs w:val="21"/>
          <w:highlight w:val="none"/>
          <w:lang w:val="zh-CN"/>
        </w:rPr>
      </w:pPr>
      <w:r>
        <w:rPr>
          <w:rFonts w:cs="仿宋_GB2312"/>
          <w:b/>
          <w:bCs/>
          <w:color w:val="auto"/>
          <w:kern w:val="0"/>
          <w:sz w:val="21"/>
          <w:szCs w:val="21"/>
          <w:highlight w:val="none"/>
          <w:lang w:val="zh-CN"/>
        </w:rPr>
        <w:t>日期：  年  月   日</w:t>
      </w:r>
    </w:p>
    <w:p w14:paraId="0913B7AD">
      <w:pPr>
        <w:widowControl/>
        <w:jc w:val="left"/>
        <w:rPr>
          <w:rFonts w:cs="仿宋_GB2312"/>
          <w:b/>
          <w:color w:val="auto"/>
          <w:kern w:val="0"/>
          <w:sz w:val="21"/>
          <w:szCs w:val="21"/>
          <w:highlight w:val="none"/>
        </w:rPr>
      </w:pPr>
      <w:r>
        <w:rPr>
          <w:rFonts w:cs="仿宋_GB2312"/>
          <w:b/>
          <w:color w:val="auto"/>
          <w:kern w:val="0"/>
          <w:sz w:val="21"/>
          <w:szCs w:val="21"/>
          <w:highlight w:val="none"/>
        </w:rPr>
        <w:br w:type="page"/>
      </w:r>
    </w:p>
    <w:p w14:paraId="547A304D">
      <w:pPr>
        <w:snapToGrid w:val="0"/>
        <w:spacing w:line="288" w:lineRule="auto"/>
        <w:jc w:val="center"/>
        <w:outlineLvl w:val="2"/>
        <w:rPr>
          <w:rFonts w:cs="仿宋_GB2312"/>
          <w:b/>
          <w:color w:val="auto"/>
          <w:kern w:val="0"/>
          <w:sz w:val="21"/>
          <w:szCs w:val="21"/>
          <w:highlight w:val="none"/>
        </w:rPr>
      </w:pPr>
      <w:r>
        <w:rPr>
          <w:rFonts w:hint="eastAsia" w:cs="仿宋_GB2312"/>
          <w:b/>
          <w:color w:val="auto"/>
          <w:kern w:val="0"/>
          <w:sz w:val="21"/>
          <w:szCs w:val="21"/>
          <w:highlight w:val="none"/>
        </w:rPr>
        <w:t>附件3</w:t>
      </w:r>
      <w:r>
        <w:rPr>
          <w:rFonts w:cs="仿宋_GB2312"/>
          <w:b/>
          <w:color w:val="auto"/>
          <w:kern w:val="0"/>
          <w:sz w:val="21"/>
          <w:szCs w:val="21"/>
          <w:highlight w:val="none"/>
        </w:rPr>
        <w:t>：</w:t>
      </w:r>
      <w:r>
        <w:rPr>
          <w:rFonts w:hint="eastAsia" w:cs="仿宋_GB2312"/>
          <w:b/>
          <w:color w:val="auto"/>
          <w:kern w:val="0"/>
          <w:sz w:val="21"/>
          <w:szCs w:val="21"/>
          <w:highlight w:val="none"/>
        </w:rPr>
        <w:t>分包意向协议</w:t>
      </w:r>
    </w:p>
    <w:p w14:paraId="6E9BEC9C">
      <w:pPr>
        <w:widowControl/>
        <w:snapToGrid w:val="0"/>
        <w:spacing w:line="288" w:lineRule="auto"/>
        <w:ind w:firstLine="422" w:firstLineChars="201"/>
        <w:jc w:val="left"/>
        <w:rPr>
          <w:rFonts w:cs="仿宋_GB2312"/>
          <w:color w:val="auto"/>
          <w:sz w:val="21"/>
          <w:szCs w:val="21"/>
          <w:highlight w:val="none"/>
        </w:rPr>
      </w:pPr>
      <w:r>
        <w:rPr>
          <w:rFonts w:hint="eastAsia" w:cs="仿宋_GB2312"/>
          <w:color w:val="auto"/>
          <w:sz w:val="21"/>
          <w:szCs w:val="21"/>
          <w:highlight w:val="none"/>
        </w:rPr>
        <w:t>（</w:t>
      </w:r>
      <w:r>
        <w:rPr>
          <w:rFonts w:hint="eastAsia" w:cs="仿宋_GB2312"/>
          <w:b/>
          <w:color w:val="auto"/>
          <w:sz w:val="21"/>
          <w:szCs w:val="21"/>
          <w:highlight w:val="none"/>
        </w:rPr>
        <w:t>成交后以分包方式履行合同的，提供分包意向协议；采购人不同意分包或者供应商成交后不以分包方式履行合同的，则不需要提供。</w:t>
      </w:r>
      <w:r>
        <w:rPr>
          <w:rFonts w:hint="eastAsia" w:cs="仿宋_GB2312"/>
          <w:color w:val="auto"/>
          <w:sz w:val="21"/>
          <w:szCs w:val="21"/>
          <w:highlight w:val="none"/>
        </w:rPr>
        <w:t>）</w:t>
      </w:r>
    </w:p>
    <w:p w14:paraId="6ED1196D">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lang w:val="zh-CN"/>
        </w:rPr>
        <w:t>若成为</w:t>
      </w:r>
      <w:r>
        <w:rPr>
          <w:rFonts w:hint="eastAsia" w:cs="仿宋_GB2312"/>
          <w:color w:val="auto"/>
          <w:sz w:val="21"/>
          <w:szCs w:val="21"/>
          <w:highlight w:val="none"/>
        </w:rPr>
        <w:t>（项目名称）【招标编号：</w:t>
      </w:r>
      <w:r>
        <w:rPr>
          <w:rFonts w:hint="eastAsia" w:cs="Times New Roman"/>
          <w:color w:val="auto"/>
          <w:sz w:val="21"/>
          <w:szCs w:val="21"/>
          <w:highlight w:val="none"/>
        </w:rPr>
        <w:t>（采购编号）</w:t>
      </w:r>
      <w:r>
        <w:rPr>
          <w:rFonts w:hint="eastAsia" w:cs="仿宋_GB2312"/>
          <w:color w:val="auto"/>
          <w:sz w:val="21"/>
          <w:szCs w:val="21"/>
          <w:highlight w:val="none"/>
        </w:rPr>
        <w:t>】</w:t>
      </w:r>
      <w:r>
        <w:rPr>
          <w:rFonts w:hint="eastAsia" w:cs="仿宋_GB2312"/>
          <w:color w:val="auto"/>
          <w:kern w:val="0"/>
          <w:sz w:val="21"/>
          <w:szCs w:val="21"/>
          <w:highlight w:val="none"/>
          <w:lang w:val="zh-CN"/>
        </w:rPr>
        <w:t>的成交供应商，将依法采取分包方式履行合同。</w:t>
      </w: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rPr>
        <w:t>与</w:t>
      </w:r>
      <w:r>
        <w:rPr>
          <w:rFonts w:hint="eastAsia" w:cs="仿宋_GB2312"/>
          <w:color w:val="auto"/>
          <w:kern w:val="0"/>
          <w:sz w:val="21"/>
          <w:szCs w:val="21"/>
          <w:highlight w:val="none"/>
          <w:u w:val="single"/>
        </w:rPr>
        <w:t>（所有分包供应商名称）</w:t>
      </w:r>
      <w:r>
        <w:rPr>
          <w:rFonts w:hint="eastAsia" w:cs="仿宋_GB2312"/>
          <w:color w:val="auto"/>
          <w:kern w:val="0"/>
          <w:sz w:val="21"/>
          <w:szCs w:val="21"/>
          <w:highlight w:val="none"/>
        </w:rPr>
        <w:t>达成分包意向协议</w:t>
      </w:r>
      <w:r>
        <w:rPr>
          <w:rFonts w:hint="eastAsia" w:cs="仿宋_GB2312"/>
          <w:color w:val="auto"/>
          <w:kern w:val="0"/>
          <w:sz w:val="21"/>
          <w:szCs w:val="21"/>
          <w:highlight w:val="none"/>
          <w:lang w:val="zh-CN"/>
        </w:rPr>
        <w:t>。</w:t>
      </w:r>
      <w:r>
        <w:rPr>
          <w:rFonts w:cs="仿宋_GB2312"/>
          <w:color w:val="auto"/>
          <w:kern w:val="0"/>
          <w:sz w:val="21"/>
          <w:szCs w:val="21"/>
          <w:highlight w:val="none"/>
          <w:lang w:val="zh-CN"/>
        </w:rPr>
        <w:t xml:space="preserve"> </w:t>
      </w:r>
    </w:p>
    <w:p w14:paraId="66C95512">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一、分包标的及数量</w:t>
      </w:r>
    </w:p>
    <w:p w14:paraId="54D171B9">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lang w:val="zh-CN"/>
        </w:rPr>
        <w:t>将</w:t>
      </w:r>
      <w:r>
        <w:rPr>
          <w:rFonts w:cs="Times New Roman"/>
          <w:color w:val="auto"/>
          <w:sz w:val="21"/>
          <w:szCs w:val="21"/>
          <w:highlight w:val="none"/>
          <w:u w:val="single"/>
        </w:rPr>
        <w:t xml:space="preserve">   XX工作内容   </w:t>
      </w:r>
      <w:r>
        <w:rPr>
          <w:rFonts w:hint="eastAsia" w:cs="Arial"/>
          <w:color w:val="auto"/>
          <w:sz w:val="21"/>
          <w:szCs w:val="21"/>
          <w:highlight w:val="none"/>
        </w:rPr>
        <w:t>分包给</w:t>
      </w:r>
      <w:r>
        <w:rPr>
          <w:rFonts w:hint="eastAsia" w:cs="仿宋_GB2312"/>
          <w:color w:val="auto"/>
          <w:kern w:val="0"/>
          <w:sz w:val="21"/>
          <w:szCs w:val="21"/>
          <w:highlight w:val="none"/>
          <w:u w:val="single"/>
        </w:rPr>
        <w:t>（某分包供应商名称）</w:t>
      </w:r>
      <w:r>
        <w:rPr>
          <w:rFonts w:hint="eastAsia" w:cs="仿宋_GB2312"/>
          <w:color w:val="auto"/>
          <w:kern w:val="0"/>
          <w:sz w:val="21"/>
          <w:szCs w:val="21"/>
          <w:highlight w:val="none"/>
          <w:lang w:val="zh-CN"/>
        </w:rPr>
        <w:t>，</w:t>
      </w:r>
      <w:r>
        <w:rPr>
          <w:rFonts w:hint="eastAsia" w:cs="仿宋_GB2312"/>
          <w:color w:val="auto"/>
          <w:kern w:val="0"/>
          <w:sz w:val="21"/>
          <w:szCs w:val="21"/>
          <w:highlight w:val="none"/>
          <w:u w:val="single"/>
        </w:rPr>
        <w:t>（某分包供应商名称），</w:t>
      </w:r>
      <w:r>
        <w:rPr>
          <w:rFonts w:hint="eastAsia" w:cs="仿宋_GB2312"/>
          <w:color w:val="auto"/>
          <w:kern w:val="0"/>
          <w:sz w:val="21"/>
          <w:szCs w:val="21"/>
          <w:highlight w:val="none"/>
          <w:lang w:val="zh-CN"/>
        </w:rPr>
        <w:t>具备承</w:t>
      </w:r>
      <w:r>
        <w:rPr>
          <w:rFonts w:hint="eastAsia" w:cs="仿宋_GB2312"/>
          <w:color w:val="auto"/>
          <w:kern w:val="0"/>
          <w:sz w:val="21"/>
          <w:szCs w:val="21"/>
          <w:highlight w:val="none"/>
        </w:rPr>
        <w:t>担</w:t>
      </w:r>
      <w:r>
        <w:rPr>
          <w:rFonts w:cs="仿宋_GB2312"/>
          <w:color w:val="auto"/>
          <w:kern w:val="0"/>
          <w:sz w:val="21"/>
          <w:szCs w:val="21"/>
          <w:highlight w:val="none"/>
          <w:u w:val="single"/>
          <w:lang w:val="zh-CN"/>
        </w:rPr>
        <w:t>XX工作内容</w:t>
      </w:r>
      <w:r>
        <w:rPr>
          <w:rFonts w:hint="eastAsia" w:cs="仿宋_GB2312"/>
          <w:color w:val="auto"/>
          <w:kern w:val="0"/>
          <w:sz w:val="21"/>
          <w:szCs w:val="21"/>
          <w:highlight w:val="none"/>
          <w:lang w:val="zh-CN"/>
        </w:rPr>
        <w:t>相应资质条件且不得再次分包；</w:t>
      </w:r>
    </w:p>
    <w:p w14:paraId="0204AC6A">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w:t>
      </w:r>
    </w:p>
    <w:p w14:paraId="085708B2">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二、分包工作履行期限、地点、方式</w:t>
      </w:r>
    </w:p>
    <w:p w14:paraId="0DF55243">
      <w:pPr>
        <w:snapToGrid w:val="0"/>
        <w:spacing w:line="288" w:lineRule="auto"/>
        <w:ind w:firstLine="422" w:firstLineChars="201"/>
        <w:rPr>
          <w:rFonts w:cs="Times New Roman"/>
          <w:color w:val="auto"/>
          <w:sz w:val="21"/>
          <w:szCs w:val="21"/>
          <w:highlight w:val="none"/>
          <w:u w:val="single"/>
        </w:rPr>
      </w:pPr>
      <w:r>
        <w:rPr>
          <w:rFonts w:cs="Times New Roman"/>
          <w:color w:val="auto"/>
          <w:sz w:val="21"/>
          <w:szCs w:val="21"/>
          <w:highlight w:val="none"/>
          <w:u w:val="single"/>
        </w:rPr>
        <w:t xml:space="preserve">                                                                                  </w:t>
      </w:r>
    </w:p>
    <w:p w14:paraId="1761844A">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三、质量</w:t>
      </w:r>
    </w:p>
    <w:p w14:paraId="131CB8B4">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14:paraId="4FE69ADB">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四、价款或者报酬</w:t>
      </w:r>
    </w:p>
    <w:p w14:paraId="5CCFB45D">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14:paraId="27472C0D">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五、违约责任</w:t>
      </w:r>
    </w:p>
    <w:p w14:paraId="7071C783">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14:paraId="57FFCFCB">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六、争议解决的办法</w:t>
      </w:r>
    </w:p>
    <w:p w14:paraId="0BD38B78">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14:paraId="4D9A4393">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七、其他</w:t>
      </w:r>
    </w:p>
    <w:p w14:paraId="321F3518">
      <w:pPr>
        <w:snapToGrid w:val="0"/>
        <w:spacing w:line="288" w:lineRule="auto"/>
        <w:ind w:firstLine="422" w:firstLineChars="201"/>
        <w:rPr>
          <w:rFonts w:cs="仿宋_GB2312"/>
          <w:b/>
          <w:color w:val="auto"/>
          <w:kern w:val="0"/>
          <w:sz w:val="21"/>
          <w:szCs w:val="21"/>
          <w:highlight w:val="none"/>
          <w:lang w:val="zh-CN"/>
        </w:rPr>
      </w:pPr>
      <w:r>
        <w:rPr>
          <w:rFonts w:hint="eastAsia" w:cs="仿宋_GB2312"/>
          <w:color w:val="auto"/>
          <w:kern w:val="0"/>
          <w:sz w:val="21"/>
          <w:szCs w:val="21"/>
          <w:highlight w:val="none"/>
          <w:u w:val="single"/>
        </w:rPr>
        <w:t>（分包供应商名称）提供的货物全部由小微企业制造，</w:t>
      </w:r>
      <w:r>
        <w:rPr>
          <w:rFonts w:hint="eastAsia" w:cs="仿宋_GB2312"/>
          <w:color w:val="auto"/>
          <w:kern w:val="0"/>
          <w:sz w:val="21"/>
          <w:szCs w:val="21"/>
          <w:highlight w:val="none"/>
        </w:rPr>
        <w:t>其合同份额占到合同总金额</w:t>
      </w:r>
      <w:r>
        <w:rPr>
          <w:rFonts w:cs="仿宋_GB2312"/>
          <w:color w:val="auto"/>
          <w:kern w:val="0"/>
          <w:sz w:val="21"/>
          <w:szCs w:val="21"/>
          <w:highlight w:val="none"/>
          <w:u w:val="single"/>
        </w:rPr>
        <w:t xml:space="preserve">     </w:t>
      </w:r>
      <w:r>
        <w:rPr>
          <w:rFonts w:cs="仿宋_GB2312"/>
          <w:color w:val="auto"/>
          <w:kern w:val="0"/>
          <w:sz w:val="21"/>
          <w:szCs w:val="21"/>
          <w:highlight w:val="none"/>
        </w:rPr>
        <w:t>%以上</w:t>
      </w:r>
      <w:r>
        <w:rPr>
          <w:rFonts w:hint="eastAsia" w:cs="Times New Roman"/>
          <w:color w:val="auto"/>
          <w:sz w:val="21"/>
          <w:szCs w:val="21"/>
          <w:highlight w:val="none"/>
        </w:rPr>
        <w:t>。</w:t>
      </w:r>
      <w:r>
        <w:rPr>
          <w:rFonts w:hint="eastAsia" w:cs="仿宋_GB2312"/>
          <w:b/>
          <w:color w:val="auto"/>
          <w:kern w:val="0"/>
          <w:sz w:val="21"/>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color w:val="auto"/>
          <w:kern w:val="0"/>
          <w:sz w:val="21"/>
          <w:szCs w:val="21"/>
          <w:highlight w:val="none"/>
          <w:lang w:val="zh-CN"/>
        </w:rPr>
        <w:t xml:space="preserve"> 30%以上</w:t>
      </w:r>
      <w:r>
        <w:rPr>
          <w:rFonts w:hint="eastAsia" w:cs="仿宋_GB2312"/>
          <w:b/>
          <w:color w:val="auto"/>
          <w:kern w:val="0"/>
          <w:sz w:val="21"/>
          <w:szCs w:val="21"/>
          <w:highlight w:val="none"/>
          <w:lang w:val="zh-CN"/>
        </w:rPr>
        <w:t>的，对大中型企业的报价给予</w:t>
      </w:r>
      <w:r>
        <w:rPr>
          <w:rFonts w:cs="仿宋_GB2312"/>
          <w:b/>
          <w:color w:val="auto"/>
          <w:kern w:val="0"/>
          <w:sz w:val="21"/>
          <w:szCs w:val="21"/>
          <w:highlight w:val="none"/>
          <w:lang w:val="zh-CN"/>
        </w:rPr>
        <w:t>6%的扣除</w:t>
      </w:r>
      <w:r>
        <w:rPr>
          <w:rFonts w:hint="eastAsia" w:cs="仿宋_GB2312"/>
          <w:b/>
          <w:color w:val="auto"/>
          <w:kern w:val="0"/>
          <w:sz w:val="21"/>
          <w:szCs w:val="21"/>
          <w:highlight w:val="none"/>
          <w:lang w:val="zh-CN"/>
        </w:rPr>
        <w:t>）</w:t>
      </w:r>
    </w:p>
    <w:p w14:paraId="7244B9A0">
      <w:pPr>
        <w:snapToGrid w:val="0"/>
        <w:spacing w:line="288" w:lineRule="auto"/>
        <w:rPr>
          <w:rFonts w:cs="仿宋_GB2312"/>
          <w:color w:val="auto"/>
          <w:kern w:val="0"/>
          <w:sz w:val="21"/>
          <w:szCs w:val="21"/>
          <w:highlight w:val="none"/>
          <w:lang w:val="zh-CN"/>
        </w:rPr>
      </w:pPr>
    </w:p>
    <w:p w14:paraId="51921C25">
      <w:pPr>
        <w:snapToGrid w:val="0"/>
        <w:spacing w:line="288" w:lineRule="auto"/>
        <w:ind w:firstLine="422" w:firstLineChars="200"/>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供应商名称（电子签名</w:t>
      </w:r>
      <w:r>
        <w:rPr>
          <w:rFonts w:cs="仿宋_GB2312"/>
          <w:b/>
          <w:bCs/>
          <w:color w:val="auto"/>
          <w:kern w:val="0"/>
          <w:sz w:val="21"/>
          <w:szCs w:val="21"/>
          <w:highlight w:val="none"/>
          <w:lang w:val="zh-CN"/>
        </w:rPr>
        <w:t>/公章）：</w:t>
      </w:r>
    </w:p>
    <w:p w14:paraId="6D4E9C5E">
      <w:pPr>
        <w:snapToGrid w:val="0"/>
        <w:spacing w:line="288" w:lineRule="auto"/>
        <w:ind w:firstLine="424" w:firstLineChars="201"/>
        <w:rPr>
          <w:rFonts w:cs="仿宋_GB2312"/>
          <w:b/>
          <w:bCs/>
          <w:color w:val="auto"/>
          <w:kern w:val="0"/>
          <w:sz w:val="21"/>
          <w:szCs w:val="21"/>
          <w:highlight w:val="none"/>
          <w:lang w:val="zh-CN"/>
        </w:rPr>
      </w:pPr>
    </w:p>
    <w:p w14:paraId="7BD1B5AF">
      <w:pPr>
        <w:snapToGrid w:val="0"/>
        <w:spacing w:line="288" w:lineRule="auto"/>
        <w:ind w:firstLine="424" w:firstLineChars="201"/>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分包供应商名称：</w:t>
      </w:r>
    </w:p>
    <w:p w14:paraId="3733FE60">
      <w:pPr>
        <w:snapToGrid w:val="0"/>
        <w:spacing w:line="288" w:lineRule="auto"/>
        <w:rPr>
          <w:rFonts w:cs="仿宋_GB2312"/>
          <w:b/>
          <w:bCs/>
          <w:color w:val="auto"/>
          <w:kern w:val="0"/>
          <w:sz w:val="21"/>
          <w:szCs w:val="21"/>
          <w:highlight w:val="none"/>
          <w:lang w:val="zh-CN"/>
        </w:rPr>
      </w:pPr>
    </w:p>
    <w:p w14:paraId="60B26FD5">
      <w:pPr>
        <w:snapToGrid w:val="0"/>
        <w:spacing w:line="288" w:lineRule="auto"/>
        <w:ind w:firstLine="424" w:firstLineChars="201"/>
        <w:rPr>
          <w:rFonts w:cs="仿宋_GB2312"/>
          <w:b/>
          <w:bCs/>
          <w:color w:val="auto"/>
          <w:kern w:val="0"/>
          <w:sz w:val="21"/>
          <w:szCs w:val="21"/>
          <w:highlight w:val="none"/>
          <w:lang w:val="zh-CN"/>
        </w:rPr>
      </w:pPr>
      <w:r>
        <w:rPr>
          <w:rFonts w:cs="仿宋_GB2312"/>
          <w:b/>
          <w:bCs/>
          <w:color w:val="auto"/>
          <w:kern w:val="0"/>
          <w:sz w:val="21"/>
          <w:szCs w:val="21"/>
          <w:highlight w:val="none"/>
          <w:lang w:val="zh-CN"/>
        </w:rPr>
        <w:t>日期：  年  月   日</w:t>
      </w:r>
    </w:p>
    <w:p w14:paraId="387918BE">
      <w:pPr>
        <w:rPr>
          <w:color w:val="auto"/>
          <w:highlight w:val="none"/>
        </w:rPr>
      </w:pPr>
    </w:p>
    <w:sectPr>
      <w:pgSz w:w="11906" w:h="16838"/>
      <w:pgMar w:top="1247" w:right="1247" w:bottom="1247" w:left="1247" w:header="142" w:footer="725" w:gutter="0"/>
      <w:pgNumType w:start="7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F7FFAEFF" w:usb1="F9DFFFFF" w:usb2="0000007F" w:usb3="00000000" w:csb0="203F01FF" w:csb1="D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Cambria Bold">
    <w:altName w:val="Cambria"/>
    <w:panose1 w:val="02040803050406030204"/>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C0E43">
    <w:pPr>
      <w:pStyle w:val="20"/>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9A6C1">
    <w:pPr>
      <w:snapToGrid w:val="0"/>
      <w:jc w:val="left"/>
      <w:rPr>
        <w:rFonts w:ascii="Times New Roman" w:hAnsi="Times New Roman" w:cs="Times New Roman"/>
        <w:sz w:val="18"/>
        <w:szCs w:val="18"/>
      </w:rPr>
    </w:pPr>
    <w:r>
      <w:rPr>
        <w:rFonts w:ascii="Times New Roman" w:hAnsi="Times New Roman" w:cs="Times New Roman"/>
        <w:sz w:val="18"/>
        <w:szCs w:val="18"/>
      </w:rPr>
      <mc:AlternateContent>
        <mc:Choice Requires="wps">
          <w:drawing>
            <wp:anchor distT="0" distB="0" distL="114300" distR="114300" simplePos="0" relativeHeight="251660288" behindDoc="0" locked="0" layoutInCell="1" allowOverlap="1">
              <wp:simplePos x="0" y="0"/>
              <wp:positionH relativeFrom="margin">
                <wp:posOffset>2501265</wp:posOffset>
              </wp:positionH>
              <wp:positionV relativeFrom="paragraph">
                <wp:posOffset>-495300</wp:posOffset>
              </wp:positionV>
              <wp:extent cx="974090" cy="6432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74090" cy="643255"/>
                      </a:xfrm>
                      <a:prstGeom prst="rect">
                        <a:avLst/>
                      </a:prstGeom>
                      <a:noFill/>
                      <a:ln w="15875">
                        <a:noFill/>
                      </a:ln>
                    </wps:spPr>
                    <wps:txbx>
                      <w:txbxContent>
                        <w:p w14:paraId="45E89AC9">
                          <w:pPr>
                            <w:snapToGrid w:val="0"/>
                            <w:rPr>
                              <w:rFonts w:ascii="Times New Roman" w:hAnsi="Times New Roman" w:cs="Times New Roman"/>
                              <w:sz w:val="18"/>
                              <w:szCs w:val="18"/>
                            </w:rPr>
                          </w:pPr>
                          <w:r>
                            <w:rPr>
                              <w:rFonts w:hint="eastAsia" w:ascii="Times New Roman" w:hAnsi="Times New Roman" w:cs="Times New Roman"/>
                              <w:sz w:val="18"/>
                              <w:szCs w:val="18"/>
                            </w:rPr>
                            <w:fldChar w:fldCharType="begin"/>
                          </w:r>
                          <w:r>
                            <w:rPr>
                              <w:rFonts w:hint="eastAsia" w:ascii="Times New Roman" w:hAnsi="Times New Roman" w:cs="Times New Roman"/>
                              <w:sz w:val="18"/>
                              <w:szCs w:val="18"/>
                            </w:rPr>
                            <w:instrText xml:space="preserve"> PAGE  \* MERGEFORMAT </w:instrText>
                          </w:r>
                          <w:r>
                            <w:rPr>
                              <w:rFonts w:hint="eastAsia" w:ascii="Times New Roman" w:hAnsi="Times New Roman" w:cs="Times New Roman"/>
                              <w:sz w:val="18"/>
                              <w:szCs w:val="18"/>
                            </w:rPr>
                            <w:fldChar w:fldCharType="separate"/>
                          </w:r>
                          <w:r>
                            <w:rPr>
                              <w:rFonts w:ascii="Times New Roman" w:hAnsi="Times New Roman" w:cs="Times New Roman"/>
                              <w:sz w:val="18"/>
                              <w:szCs w:val="18"/>
                            </w:rPr>
                            <w:t>20</w:t>
                          </w:r>
                          <w:r>
                            <w:rPr>
                              <w:rFonts w:hint="eastAsia" w:ascii="Times New Roman" w:hAnsi="Times New Roman" w:cs="Times New Roman"/>
                              <w:sz w:val="18"/>
                              <w:szCs w:val="18"/>
                            </w:rPr>
                            <w:fldChar w:fldCharType="end"/>
                          </w:r>
                        </w:p>
                      </w:txbxContent>
                    </wps:txbx>
                    <wps:bodyPr lIns="0" tIns="0" rIns="0" bIns="0"/>
                  </wps:wsp>
                </a:graphicData>
              </a:graphic>
            </wp:anchor>
          </w:drawing>
        </mc:Choice>
        <mc:Fallback>
          <w:pict>
            <v:shape id="_x0000_s1026" o:spid="_x0000_s1026" o:spt="202" type="#_x0000_t202" style="position:absolute;left:0pt;margin-left:196.95pt;margin-top:-39pt;height:50.65pt;width:76.7pt;mso-position-horizontal-relative:margin;z-index:251660288;mso-width-relative:page;mso-height-relative:page;" filled="f" stroked="f" coordsize="21600,21600" o:gfxdata="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Hef7G2QAAAAoBAAAPAAAAAAAAAAEAIAAAACIAAABkcnMvZG93bnJldi54bWxQ&#10;SwECFAAUAAAACACHTuJAHrBCBL0BAABvAwAADgAAAAAAAAABACAAAAAoAQAAZHJzL2Uyb0RvYy54&#10;bWxQSwUGAAAAAAYABgBZAQAAVwUAAAAA&#10;">
              <v:fill on="f" focussize="0,0"/>
              <v:stroke on="f" weight="1.25pt"/>
              <v:imagedata o:title=""/>
              <o:lock v:ext="edit" aspectratio="f"/>
              <v:textbox inset="0mm,0mm,0mm,0mm">
                <w:txbxContent>
                  <w:p w14:paraId="45E89AC9">
                    <w:pPr>
                      <w:snapToGrid w:val="0"/>
                      <w:rPr>
                        <w:rFonts w:ascii="Times New Roman" w:hAnsi="Times New Roman" w:cs="Times New Roman"/>
                        <w:sz w:val="18"/>
                        <w:szCs w:val="18"/>
                      </w:rPr>
                    </w:pPr>
                    <w:r>
                      <w:rPr>
                        <w:rFonts w:hint="eastAsia" w:ascii="Times New Roman" w:hAnsi="Times New Roman" w:cs="Times New Roman"/>
                        <w:sz w:val="18"/>
                        <w:szCs w:val="18"/>
                      </w:rPr>
                      <w:fldChar w:fldCharType="begin"/>
                    </w:r>
                    <w:r>
                      <w:rPr>
                        <w:rFonts w:hint="eastAsia" w:ascii="Times New Roman" w:hAnsi="Times New Roman" w:cs="Times New Roman"/>
                        <w:sz w:val="18"/>
                        <w:szCs w:val="18"/>
                      </w:rPr>
                      <w:instrText xml:space="preserve"> PAGE  \* MERGEFORMAT </w:instrText>
                    </w:r>
                    <w:r>
                      <w:rPr>
                        <w:rFonts w:hint="eastAsia" w:ascii="Times New Roman" w:hAnsi="Times New Roman" w:cs="Times New Roman"/>
                        <w:sz w:val="18"/>
                        <w:szCs w:val="18"/>
                      </w:rPr>
                      <w:fldChar w:fldCharType="separate"/>
                    </w:r>
                    <w:r>
                      <w:rPr>
                        <w:rFonts w:ascii="Times New Roman" w:hAnsi="Times New Roman" w:cs="Times New Roman"/>
                        <w:sz w:val="18"/>
                        <w:szCs w:val="18"/>
                      </w:rPr>
                      <w:t>20</w:t>
                    </w:r>
                    <w:r>
                      <w:rPr>
                        <w:rFonts w:hint="eastAsia" w:ascii="Times New Roman" w:hAnsi="Times New Roman" w:cs="Times New Roman"/>
                        <w:sz w:val="1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51FEE">
    <w:pPr>
      <w:pStyle w:val="2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FC3DC">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621BB">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887B6"/>
    <w:multiLevelType w:val="singleLevel"/>
    <w:tmpl w:val="ACB887B6"/>
    <w:lvl w:ilvl="0" w:tentative="0">
      <w:start w:val="1"/>
      <w:numFmt w:val="decimal"/>
      <w:lvlText w:val="(%1)"/>
      <w:lvlJc w:val="left"/>
      <w:pPr>
        <w:tabs>
          <w:tab w:val="left" w:pos="312"/>
        </w:tabs>
      </w:pPr>
    </w:lvl>
  </w:abstractNum>
  <w:abstractNum w:abstractNumId="1">
    <w:nsid w:val="FFFFFF7E"/>
    <w:multiLevelType w:val="singleLevel"/>
    <w:tmpl w:val="FFFFFF7E"/>
    <w:lvl w:ilvl="0" w:tentative="0">
      <w:start w:val="1"/>
      <w:numFmt w:val="decimal"/>
      <w:pStyle w:val="9"/>
      <w:lvlText w:val="%1."/>
      <w:lvlJc w:val="left"/>
      <w:pPr>
        <w:tabs>
          <w:tab w:val="left" w:pos="1200"/>
        </w:tabs>
        <w:ind w:left="1200" w:leftChars="400" w:hanging="360" w:hangingChars="200"/>
      </w:pPr>
    </w:lvl>
  </w:abstractNum>
  <w:abstractNum w:abstractNumId="2">
    <w:nsid w:val="FFFFFF7F"/>
    <w:multiLevelType w:val="singleLevel"/>
    <w:tmpl w:val="FFFFFF7F"/>
    <w:lvl w:ilvl="0" w:tentative="0">
      <w:start w:val="1"/>
      <w:numFmt w:val="decimal"/>
      <w:lvlText w:val="%1."/>
      <w:lvlJc w:val="left"/>
      <w:pPr>
        <w:tabs>
          <w:tab w:val="left" w:pos="780"/>
        </w:tabs>
        <w:ind w:left="780" w:leftChars="200" w:hanging="360" w:hangingChars="200"/>
      </w:pPr>
    </w:lvl>
  </w:abstractNum>
  <w:abstractNum w:abstractNumId="3">
    <w:nsid w:val="FFFFFF88"/>
    <w:multiLevelType w:val="singleLevel"/>
    <w:tmpl w:val="FFFFFF88"/>
    <w:lvl w:ilvl="0" w:tentative="0">
      <w:start w:val="1"/>
      <w:numFmt w:val="decimal"/>
      <w:lvlText w:val="%1."/>
      <w:lvlJc w:val="left"/>
      <w:pPr>
        <w:tabs>
          <w:tab w:val="left" w:pos="360"/>
        </w:tabs>
        <w:ind w:left="360" w:hanging="360" w:hangingChars="20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0ODFiMzU2NzlkZWIyZmRmODJjMTJlMGUxOTc1NDUifQ=="/>
  </w:docVars>
  <w:rsids>
    <w:rsidRoot w:val="0035197B"/>
    <w:rsid w:val="00001683"/>
    <w:rsid w:val="0001104B"/>
    <w:rsid w:val="000275B5"/>
    <w:rsid w:val="00040EC8"/>
    <w:rsid w:val="000509DE"/>
    <w:rsid w:val="0005798E"/>
    <w:rsid w:val="00076A27"/>
    <w:rsid w:val="000838BE"/>
    <w:rsid w:val="00084B40"/>
    <w:rsid w:val="000856B1"/>
    <w:rsid w:val="00087A12"/>
    <w:rsid w:val="000C0227"/>
    <w:rsid w:val="000E1817"/>
    <w:rsid w:val="000E48E4"/>
    <w:rsid w:val="00101FB6"/>
    <w:rsid w:val="001101B8"/>
    <w:rsid w:val="00111624"/>
    <w:rsid w:val="00135905"/>
    <w:rsid w:val="00140262"/>
    <w:rsid w:val="00155438"/>
    <w:rsid w:val="00161E84"/>
    <w:rsid w:val="00165BE9"/>
    <w:rsid w:val="00175059"/>
    <w:rsid w:val="0017776E"/>
    <w:rsid w:val="0018113A"/>
    <w:rsid w:val="00181F0E"/>
    <w:rsid w:val="00185494"/>
    <w:rsid w:val="00185DAE"/>
    <w:rsid w:val="0019618D"/>
    <w:rsid w:val="001A02BC"/>
    <w:rsid w:val="001A71F4"/>
    <w:rsid w:val="001B6A2B"/>
    <w:rsid w:val="001C1E63"/>
    <w:rsid w:val="001D0ECB"/>
    <w:rsid w:val="001E3835"/>
    <w:rsid w:val="001E4154"/>
    <w:rsid w:val="00214668"/>
    <w:rsid w:val="00215143"/>
    <w:rsid w:val="0021524B"/>
    <w:rsid w:val="00215824"/>
    <w:rsid w:val="00216C31"/>
    <w:rsid w:val="00231A02"/>
    <w:rsid w:val="0023200E"/>
    <w:rsid w:val="00232E27"/>
    <w:rsid w:val="0024062D"/>
    <w:rsid w:val="00252BBD"/>
    <w:rsid w:val="00256B2D"/>
    <w:rsid w:val="00263735"/>
    <w:rsid w:val="0026429E"/>
    <w:rsid w:val="00283588"/>
    <w:rsid w:val="002871C9"/>
    <w:rsid w:val="002877B8"/>
    <w:rsid w:val="002B4786"/>
    <w:rsid w:val="002D250B"/>
    <w:rsid w:val="002D795F"/>
    <w:rsid w:val="002E3481"/>
    <w:rsid w:val="002F0514"/>
    <w:rsid w:val="002F0873"/>
    <w:rsid w:val="002F5175"/>
    <w:rsid w:val="002F7386"/>
    <w:rsid w:val="003072B1"/>
    <w:rsid w:val="00312253"/>
    <w:rsid w:val="00321DDC"/>
    <w:rsid w:val="00325E65"/>
    <w:rsid w:val="0033543C"/>
    <w:rsid w:val="0035197B"/>
    <w:rsid w:val="00370738"/>
    <w:rsid w:val="00370ADF"/>
    <w:rsid w:val="00382063"/>
    <w:rsid w:val="003B2B77"/>
    <w:rsid w:val="003C4095"/>
    <w:rsid w:val="003D3B73"/>
    <w:rsid w:val="003E2642"/>
    <w:rsid w:val="00460820"/>
    <w:rsid w:val="00494ECD"/>
    <w:rsid w:val="004B1E8E"/>
    <w:rsid w:val="004C0BDE"/>
    <w:rsid w:val="004C1947"/>
    <w:rsid w:val="004D4B5A"/>
    <w:rsid w:val="004D59ED"/>
    <w:rsid w:val="005057BE"/>
    <w:rsid w:val="00530F87"/>
    <w:rsid w:val="00543D6A"/>
    <w:rsid w:val="0055045F"/>
    <w:rsid w:val="00592AF5"/>
    <w:rsid w:val="00594BBA"/>
    <w:rsid w:val="00594F9C"/>
    <w:rsid w:val="00596CE2"/>
    <w:rsid w:val="005A7F23"/>
    <w:rsid w:val="005B142B"/>
    <w:rsid w:val="005E0425"/>
    <w:rsid w:val="005E27D0"/>
    <w:rsid w:val="005E44F1"/>
    <w:rsid w:val="005F5B44"/>
    <w:rsid w:val="00605C23"/>
    <w:rsid w:val="00626610"/>
    <w:rsid w:val="00626C54"/>
    <w:rsid w:val="006500FA"/>
    <w:rsid w:val="006543E8"/>
    <w:rsid w:val="00655FF5"/>
    <w:rsid w:val="006565F0"/>
    <w:rsid w:val="006639E9"/>
    <w:rsid w:val="006733B3"/>
    <w:rsid w:val="00681924"/>
    <w:rsid w:val="00694420"/>
    <w:rsid w:val="006A206A"/>
    <w:rsid w:val="006B0046"/>
    <w:rsid w:val="006B0EB5"/>
    <w:rsid w:val="006C5779"/>
    <w:rsid w:val="006E6002"/>
    <w:rsid w:val="00713433"/>
    <w:rsid w:val="007205D8"/>
    <w:rsid w:val="00723439"/>
    <w:rsid w:val="00742B14"/>
    <w:rsid w:val="00746E6D"/>
    <w:rsid w:val="00764E56"/>
    <w:rsid w:val="0077000C"/>
    <w:rsid w:val="00772D0E"/>
    <w:rsid w:val="007817C8"/>
    <w:rsid w:val="00792093"/>
    <w:rsid w:val="007A67A8"/>
    <w:rsid w:val="007B71AC"/>
    <w:rsid w:val="007D4FE5"/>
    <w:rsid w:val="007E24D2"/>
    <w:rsid w:val="007F20BD"/>
    <w:rsid w:val="00810815"/>
    <w:rsid w:val="00811C21"/>
    <w:rsid w:val="00813E3D"/>
    <w:rsid w:val="0085109B"/>
    <w:rsid w:val="00855401"/>
    <w:rsid w:val="0087016D"/>
    <w:rsid w:val="008747E2"/>
    <w:rsid w:val="008772E5"/>
    <w:rsid w:val="008956C4"/>
    <w:rsid w:val="008A1CC3"/>
    <w:rsid w:val="008A5726"/>
    <w:rsid w:val="008B3B2C"/>
    <w:rsid w:val="008C0F5C"/>
    <w:rsid w:val="008D6327"/>
    <w:rsid w:val="00913E41"/>
    <w:rsid w:val="009429A3"/>
    <w:rsid w:val="00942A1F"/>
    <w:rsid w:val="009510F5"/>
    <w:rsid w:val="00961336"/>
    <w:rsid w:val="009639D1"/>
    <w:rsid w:val="0096732E"/>
    <w:rsid w:val="009675F7"/>
    <w:rsid w:val="00974472"/>
    <w:rsid w:val="009864BB"/>
    <w:rsid w:val="0099113E"/>
    <w:rsid w:val="009A06C1"/>
    <w:rsid w:val="009A2935"/>
    <w:rsid w:val="009A29CC"/>
    <w:rsid w:val="009A7D7C"/>
    <w:rsid w:val="009C02E6"/>
    <w:rsid w:val="009C7E78"/>
    <w:rsid w:val="009E2016"/>
    <w:rsid w:val="009E30C1"/>
    <w:rsid w:val="009E6894"/>
    <w:rsid w:val="00A03752"/>
    <w:rsid w:val="00A11CD5"/>
    <w:rsid w:val="00A16548"/>
    <w:rsid w:val="00A2083E"/>
    <w:rsid w:val="00A21FB5"/>
    <w:rsid w:val="00A229F3"/>
    <w:rsid w:val="00A2354A"/>
    <w:rsid w:val="00A33F4A"/>
    <w:rsid w:val="00A44F25"/>
    <w:rsid w:val="00A454C1"/>
    <w:rsid w:val="00A545E9"/>
    <w:rsid w:val="00A570E3"/>
    <w:rsid w:val="00A81554"/>
    <w:rsid w:val="00A86BED"/>
    <w:rsid w:val="00A91679"/>
    <w:rsid w:val="00A91AC5"/>
    <w:rsid w:val="00A92132"/>
    <w:rsid w:val="00A94DDE"/>
    <w:rsid w:val="00AB3577"/>
    <w:rsid w:val="00AB51AE"/>
    <w:rsid w:val="00AC1A95"/>
    <w:rsid w:val="00AC7948"/>
    <w:rsid w:val="00AE2412"/>
    <w:rsid w:val="00AE592F"/>
    <w:rsid w:val="00AE5F71"/>
    <w:rsid w:val="00AE7589"/>
    <w:rsid w:val="00AF591C"/>
    <w:rsid w:val="00B004AC"/>
    <w:rsid w:val="00B46DB3"/>
    <w:rsid w:val="00B67293"/>
    <w:rsid w:val="00B71C8D"/>
    <w:rsid w:val="00B91FF7"/>
    <w:rsid w:val="00B92FC6"/>
    <w:rsid w:val="00B95BBD"/>
    <w:rsid w:val="00B967B2"/>
    <w:rsid w:val="00B9740B"/>
    <w:rsid w:val="00BA0249"/>
    <w:rsid w:val="00BB2B24"/>
    <w:rsid w:val="00BB31A4"/>
    <w:rsid w:val="00BC2E33"/>
    <w:rsid w:val="00BD007E"/>
    <w:rsid w:val="00BD0AA5"/>
    <w:rsid w:val="00BD5E66"/>
    <w:rsid w:val="00BD7D80"/>
    <w:rsid w:val="00BF00A1"/>
    <w:rsid w:val="00C001EA"/>
    <w:rsid w:val="00C2442D"/>
    <w:rsid w:val="00C245DB"/>
    <w:rsid w:val="00C44792"/>
    <w:rsid w:val="00C51003"/>
    <w:rsid w:val="00C51431"/>
    <w:rsid w:val="00C73367"/>
    <w:rsid w:val="00C766F5"/>
    <w:rsid w:val="00C81FED"/>
    <w:rsid w:val="00C84597"/>
    <w:rsid w:val="00C916A4"/>
    <w:rsid w:val="00C94DA7"/>
    <w:rsid w:val="00C96D8A"/>
    <w:rsid w:val="00C97794"/>
    <w:rsid w:val="00CB6735"/>
    <w:rsid w:val="00CC0E27"/>
    <w:rsid w:val="00CC229E"/>
    <w:rsid w:val="00CE7806"/>
    <w:rsid w:val="00CE7C67"/>
    <w:rsid w:val="00D00DFD"/>
    <w:rsid w:val="00D103FA"/>
    <w:rsid w:val="00D15E96"/>
    <w:rsid w:val="00D16917"/>
    <w:rsid w:val="00D24582"/>
    <w:rsid w:val="00D648FF"/>
    <w:rsid w:val="00D7208F"/>
    <w:rsid w:val="00D73B59"/>
    <w:rsid w:val="00D82F60"/>
    <w:rsid w:val="00D84757"/>
    <w:rsid w:val="00D96544"/>
    <w:rsid w:val="00D9733D"/>
    <w:rsid w:val="00D97ECD"/>
    <w:rsid w:val="00DB5768"/>
    <w:rsid w:val="00DB66DE"/>
    <w:rsid w:val="00DB6FCF"/>
    <w:rsid w:val="00DC2571"/>
    <w:rsid w:val="00DE0C5F"/>
    <w:rsid w:val="00E0373F"/>
    <w:rsid w:val="00E10009"/>
    <w:rsid w:val="00E11154"/>
    <w:rsid w:val="00E24E35"/>
    <w:rsid w:val="00E25509"/>
    <w:rsid w:val="00E27F2F"/>
    <w:rsid w:val="00E35518"/>
    <w:rsid w:val="00E36355"/>
    <w:rsid w:val="00E46EC2"/>
    <w:rsid w:val="00E52B31"/>
    <w:rsid w:val="00E65248"/>
    <w:rsid w:val="00E73F4C"/>
    <w:rsid w:val="00E7586A"/>
    <w:rsid w:val="00E8510B"/>
    <w:rsid w:val="00EA66E8"/>
    <w:rsid w:val="00EC091A"/>
    <w:rsid w:val="00EC4ED9"/>
    <w:rsid w:val="00ED1230"/>
    <w:rsid w:val="00ED577F"/>
    <w:rsid w:val="00F112EE"/>
    <w:rsid w:val="00F156DB"/>
    <w:rsid w:val="00F3383F"/>
    <w:rsid w:val="00F866F9"/>
    <w:rsid w:val="00F927C0"/>
    <w:rsid w:val="00F95A74"/>
    <w:rsid w:val="00FA3106"/>
    <w:rsid w:val="00FA4778"/>
    <w:rsid w:val="00FA4978"/>
    <w:rsid w:val="00FB73FE"/>
    <w:rsid w:val="00FC2099"/>
    <w:rsid w:val="00FC6242"/>
    <w:rsid w:val="00FC669A"/>
    <w:rsid w:val="00FD14BC"/>
    <w:rsid w:val="00FD175D"/>
    <w:rsid w:val="00FD2264"/>
    <w:rsid w:val="00FD2C1D"/>
    <w:rsid w:val="00FF5C84"/>
    <w:rsid w:val="02454BDF"/>
    <w:rsid w:val="02912A07"/>
    <w:rsid w:val="02F36971"/>
    <w:rsid w:val="04977E91"/>
    <w:rsid w:val="05114EE3"/>
    <w:rsid w:val="05A446DE"/>
    <w:rsid w:val="070D46CE"/>
    <w:rsid w:val="073E1402"/>
    <w:rsid w:val="087419B2"/>
    <w:rsid w:val="0AA2297C"/>
    <w:rsid w:val="0C1E2A75"/>
    <w:rsid w:val="0C802CE0"/>
    <w:rsid w:val="0D39125D"/>
    <w:rsid w:val="11E673C6"/>
    <w:rsid w:val="14385785"/>
    <w:rsid w:val="15594E50"/>
    <w:rsid w:val="17F35CD0"/>
    <w:rsid w:val="19363CB0"/>
    <w:rsid w:val="1942304B"/>
    <w:rsid w:val="19A16159"/>
    <w:rsid w:val="1A88736A"/>
    <w:rsid w:val="1C882256"/>
    <w:rsid w:val="1CB74BD7"/>
    <w:rsid w:val="1E521269"/>
    <w:rsid w:val="1EC40E90"/>
    <w:rsid w:val="1FB738B4"/>
    <w:rsid w:val="1FC659BB"/>
    <w:rsid w:val="206E6959"/>
    <w:rsid w:val="28B33346"/>
    <w:rsid w:val="28DF3BE7"/>
    <w:rsid w:val="29114058"/>
    <w:rsid w:val="29251C96"/>
    <w:rsid w:val="2A4F678A"/>
    <w:rsid w:val="2C7C3B84"/>
    <w:rsid w:val="2C886E21"/>
    <w:rsid w:val="2D04177A"/>
    <w:rsid w:val="2E087E33"/>
    <w:rsid w:val="2EA65A56"/>
    <w:rsid w:val="2EF80B08"/>
    <w:rsid w:val="321512AC"/>
    <w:rsid w:val="32A768D7"/>
    <w:rsid w:val="332E1F71"/>
    <w:rsid w:val="35C60E4A"/>
    <w:rsid w:val="36001DA7"/>
    <w:rsid w:val="372C3336"/>
    <w:rsid w:val="3737254A"/>
    <w:rsid w:val="3BEE5E8F"/>
    <w:rsid w:val="3C38685F"/>
    <w:rsid w:val="3C7F448B"/>
    <w:rsid w:val="3C834E15"/>
    <w:rsid w:val="3DC71AB6"/>
    <w:rsid w:val="3E516EF8"/>
    <w:rsid w:val="3EF318AB"/>
    <w:rsid w:val="3F6C3481"/>
    <w:rsid w:val="40646634"/>
    <w:rsid w:val="426E2BFE"/>
    <w:rsid w:val="434703D0"/>
    <w:rsid w:val="473A2575"/>
    <w:rsid w:val="490D761B"/>
    <w:rsid w:val="4AD41724"/>
    <w:rsid w:val="4BA31C4F"/>
    <w:rsid w:val="4C5632AF"/>
    <w:rsid w:val="4C893D9C"/>
    <w:rsid w:val="4EAE3578"/>
    <w:rsid w:val="4F732AC8"/>
    <w:rsid w:val="51AB6CF1"/>
    <w:rsid w:val="51CE252E"/>
    <w:rsid w:val="54DF3D86"/>
    <w:rsid w:val="55520B08"/>
    <w:rsid w:val="55DC34C5"/>
    <w:rsid w:val="57B65B66"/>
    <w:rsid w:val="57DF2E42"/>
    <w:rsid w:val="5A6A7E2E"/>
    <w:rsid w:val="5BA232ED"/>
    <w:rsid w:val="5D2863C7"/>
    <w:rsid w:val="5DF333C6"/>
    <w:rsid w:val="5E4B4B1A"/>
    <w:rsid w:val="606D40ED"/>
    <w:rsid w:val="60A45A55"/>
    <w:rsid w:val="63181856"/>
    <w:rsid w:val="63C64863"/>
    <w:rsid w:val="64677CEB"/>
    <w:rsid w:val="64C74079"/>
    <w:rsid w:val="6595291A"/>
    <w:rsid w:val="66DE43EE"/>
    <w:rsid w:val="66FE2995"/>
    <w:rsid w:val="68354055"/>
    <w:rsid w:val="69DD3507"/>
    <w:rsid w:val="6A2817EE"/>
    <w:rsid w:val="6B564308"/>
    <w:rsid w:val="6CF66663"/>
    <w:rsid w:val="6FE52410"/>
    <w:rsid w:val="70333CAF"/>
    <w:rsid w:val="75462D3B"/>
    <w:rsid w:val="759252EF"/>
    <w:rsid w:val="77070218"/>
    <w:rsid w:val="7A5F6143"/>
    <w:rsid w:val="7A977FEB"/>
    <w:rsid w:val="7B147763"/>
    <w:rsid w:val="7B7F464C"/>
    <w:rsid w:val="7CFD7D00"/>
    <w:rsid w:val="7DB825BA"/>
    <w:rsid w:val="7E0720B5"/>
    <w:rsid w:val="7F2A6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nhideWhenUsed="0"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宋体" w:eastAsia="宋体" w:cs="宋体"/>
      <w:kern w:val="2"/>
      <w:sz w:val="24"/>
      <w:szCs w:val="24"/>
      <w:lang w:val="en-US" w:eastAsia="zh-CN" w:bidi="ar-SA"/>
    </w:rPr>
  </w:style>
  <w:style w:type="paragraph" w:styleId="3">
    <w:name w:val="heading 1"/>
    <w:basedOn w:val="1"/>
    <w:next w:val="1"/>
    <w:link w:val="57"/>
    <w:autoRedefine/>
    <w:qFormat/>
    <w:uiPriority w:val="0"/>
    <w:pPr>
      <w:keepNext/>
      <w:keepLines/>
      <w:spacing w:before="340" w:after="330" w:line="578" w:lineRule="auto"/>
      <w:outlineLvl w:val="0"/>
    </w:pPr>
    <w:rPr>
      <w:rFonts w:ascii="Times New Roman" w:hAnsi="Times New Roman" w:cs="Times New Roman"/>
      <w:kern w:val="44"/>
      <w:sz w:val="44"/>
      <w:szCs w:val="44"/>
    </w:rPr>
  </w:style>
  <w:style w:type="paragraph" w:styleId="4">
    <w:name w:val="heading 2"/>
    <w:basedOn w:val="1"/>
    <w:next w:val="1"/>
    <w:link w:val="58"/>
    <w:autoRedefine/>
    <w:qFormat/>
    <w:uiPriority w:val="0"/>
    <w:pPr>
      <w:keepNext/>
      <w:keepLines/>
      <w:spacing w:before="260" w:after="260" w:line="416" w:lineRule="auto"/>
      <w:outlineLvl w:val="1"/>
    </w:pPr>
    <w:rPr>
      <w:rFonts w:ascii="Cambria" w:hAnsi="Cambria" w:cs="Times New Roman"/>
      <w:b/>
      <w:bCs/>
      <w:sz w:val="32"/>
      <w:szCs w:val="32"/>
    </w:rPr>
  </w:style>
  <w:style w:type="paragraph" w:styleId="5">
    <w:name w:val="heading 3"/>
    <w:basedOn w:val="1"/>
    <w:next w:val="1"/>
    <w:autoRedefine/>
    <w:unhideWhenUsed/>
    <w:qFormat/>
    <w:uiPriority w:val="9"/>
    <w:pPr>
      <w:keepNext/>
      <w:keepLines/>
      <w:spacing w:before="260" w:after="260" w:line="413" w:lineRule="auto"/>
      <w:outlineLvl w:val="2"/>
    </w:pPr>
    <w:rPr>
      <w:b/>
      <w:sz w:val="32"/>
    </w:rPr>
  </w:style>
  <w:style w:type="paragraph" w:styleId="6">
    <w:name w:val="heading 4"/>
    <w:basedOn w:val="1"/>
    <w:next w:val="1"/>
    <w:link w:val="59"/>
    <w:autoRedefine/>
    <w:qFormat/>
    <w:uiPriority w:val="0"/>
    <w:pPr>
      <w:keepNext/>
      <w:keepLines/>
      <w:numPr>
        <w:ilvl w:val="3"/>
        <w:numId w:val="1"/>
      </w:numPr>
      <w:tabs>
        <w:tab w:val="left" w:pos="360"/>
        <w:tab w:val="left" w:pos="864"/>
      </w:tab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60"/>
    <w:autoRedefine/>
    <w:qFormat/>
    <w:uiPriority w:val="0"/>
    <w:pPr>
      <w:keepNext/>
      <w:keepLines/>
      <w:numPr>
        <w:ilvl w:val="4"/>
        <w:numId w:val="2"/>
      </w:numPr>
      <w:tabs>
        <w:tab w:val="left" w:pos="780"/>
      </w:tabs>
      <w:spacing w:before="280" w:after="290" w:line="376" w:lineRule="auto"/>
      <w:outlineLvl w:val="4"/>
    </w:pPr>
    <w:rPr>
      <w:rFonts w:ascii="Times New Roman" w:hAnsi="Times New Roman" w:cs="Times New Roman"/>
      <w:b/>
      <w:bCs/>
      <w:sz w:val="28"/>
      <w:szCs w:val="28"/>
    </w:rPr>
  </w:style>
  <w:style w:type="paragraph" w:styleId="8">
    <w:name w:val="heading 6"/>
    <w:basedOn w:val="1"/>
    <w:next w:val="1"/>
    <w:autoRedefine/>
    <w:unhideWhenUsed/>
    <w:qFormat/>
    <w:uiPriority w:val="9"/>
    <w:pPr>
      <w:keepNext/>
      <w:keepLines/>
      <w:spacing w:before="240" w:after="64" w:line="317" w:lineRule="auto"/>
      <w:outlineLvl w:val="5"/>
    </w:pPr>
    <w:rPr>
      <w:rFonts w:ascii="Arial" w:hAnsi="Arial" w:eastAsia="黑体"/>
      <w:b/>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9">
    <w:name w:val="List Number"/>
    <w:basedOn w:val="1"/>
    <w:autoRedefine/>
    <w:qFormat/>
    <w:uiPriority w:val="0"/>
    <w:pPr>
      <w:widowControl/>
      <w:numPr>
        <w:ilvl w:val="0"/>
        <w:numId w:val="3"/>
      </w:numPr>
      <w:tabs>
        <w:tab w:val="left" w:pos="454"/>
      </w:tabs>
      <w:spacing w:after="156" w:afterLines="50"/>
      <w:ind w:left="454" w:hanging="284"/>
      <w:jc w:val="left"/>
    </w:pPr>
    <w:rPr>
      <w:rFonts w:ascii="Times New Roman" w:hAnsi="Times New Roman" w:cs="Times New Roman"/>
      <w:kern w:val="0"/>
      <w:szCs w:val="20"/>
    </w:rPr>
  </w:style>
  <w:style w:type="paragraph" w:styleId="10">
    <w:name w:val="Normal Indent"/>
    <w:basedOn w:val="1"/>
    <w:next w:val="1"/>
    <w:link w:val="61"/>
    <w:autoRedefine/>
    <w:qFormat/>
    <w:uiPriority w:val="0"/>
    <w:pPr>
      <w:ind w:firstLine="420"/>
    </w:pPr>
    <w:rPr>
      <w:rFonts w:ascii="Times New Roman" w:hAnsi="Times New Roman" w:cs="Times New Roman"/>
      <w:sz w:val="21"/>
      <w:szCs w:val="20"/>
    </w:rPr>
  </w:style>
  <w:style w:type="paragraph" w:styleId="11">
    <w:name w:val="caption"/>
    <w:basedOn w:val="1"/>
    <w:next w:val="1"/>
    <w:autoRedefine/>
    <w:qFormat/>
    <w:uiPriority w:val="0"/>
    <w:pPr>
      <w:spacing w:before="152" w:after="160"/>
    </w:pPr>
    <w:rPr>
      <w:rFonts w:ascii="Arial" w:hAnsi="Arial" w:eastAsia="黑体" w:cs="Arial"/>
      <w:sz w:val="20"/>
      <w:szCs w:val="20"/>
    </w:rPr>
  </w:style>
  <w:style w:type="paragraph" w:styleId="12">
    <w:name w:val="annotation text"/>
    <w:basedOn w:val="1"/>
    <w:link w:val="43"/>
    <w:autoRedefine/>
    <w:unhideWhenUsed/>
    <w:qFormat/>
    <w:uiPriority w:val="0"/>
    <w:pPr>
      <w:jc w:val="left"/>
    </w:pPr>
    <w:rPr>
      <w:rFonts w:ascii="Times New Roman" w:hAnsi="Times New Roman" w:cs="Times New Roman"/>
      <w:sz w:val="28"/>
    </w:rPr>
  </w:style>
  <w:style w:type="paragraph" w:styleId="13">
    <w:name w:val="Body Text"/>
    <w:basedOn w:val="1"/>
    <w:next w:val="1"/>
    <w:link w:val="55"/>
    <w:autoRedefine/>
    <w:qFormat/>
    <w:uiPriority w:val="0"/>
    <w:pPr>
      <w:spacing w:after="120"/>
    </w:pPr>
  </w:style>
  <w:style w:type="paragraph" w:styleId="14">
    <w:name w:val="Body Text Indent"/>
    <w:basedOn w:val="1"/>
    <w:link w:val="46"/>
    <w:autoRedefine/>
    <w:qFormat/>
    <w:uiPriority w:val="0"/>
    <w:pPr>
      <w:spacing w:line="200" w:lineRule="atLeast"/>
      <w:ind w:firstLine="301"/>
    </w:pPr>
    <w:rPr>
      <w:rFonts w:hAnsi="Courier New" w:cs="Times New Roman"/>
      <w:spacing w:val="-4"/>
      <w:sz w:val="18"/>
      <w:szCs w:val="20"/>
    </w:rPr>
  </w:style>
  <w:style w:type="paragraph" w:styleId="15">
    <w:name w:val="List 2"/>
    <w:basedOn w:val="1"/>
    <w:autoRedefine/>
    <w:qFormat/>
    <w:uiPriority w:val="0"/>
    <w:pPr>
      <w:ind w:left="100" w:leftChars="200" w:hanging="200" w:hangingChars="200"/>
      <w:contextualSpacing/>
    </w:pPr>
    <w:rPr>
      <w:rFonts w:ascii="Times New Roman" w:hAnsi="Times New Roman" w:cs="Times New Roman"/>
      <w:sz w:val="28"/>
    </w:rPr>
  </w:style>
  <w:style w:type="paragraph" w:styleId="16">
    <w:name w:val="Block Text"/>
    <w:basedOn w:val="1"/>
    <w:autoRedefine/>
    <w:qFormat/>
    <w:uiPriority w:val="0"/>
    <w:pPr>
      <w:spacing w:after="120"/>
      <w:ind w:left="1440" w:leftChars="700" w:right="1440" w:rightChars="700"/>
    </w:pPr>
    <w:rPr>
      <w:rFonts w:ascii="Times New Roman" w:hAnsi="Times New Roman" w:cs="Times New Roman"/>
      <w:sz w:val="28"/>
    </w:rPr>
  </w:style>
  <w:style w:type="paragraph" w:styleId="17">
    <w:name w:val="Plain Text"/>
    <w:basedOn w:val="1"/>
    <w:link w:val="56"/>
    <w:autoRedefine/>
    <w:unhideWhenUsed/>
    <w:qFormat/>
    <w:uiPriority w:val="0"/>
    <w:rPr>
      <w:rFonts w:hAnsi="Courier New" w:cs="Courier New" w:asciiTheme="minorEastAsia" w:eastAsiaTheme="minorEastAsia"/>
    </w:rPr>
  </w:style>
  <w:style w:type="paragraph" w:styleId="18">
    <w:name w:val="Date"/>
    <w:basedOn w:val="1"/>
    <w:next w:val="1"/>
    <w:link w:val="64"/>
    <w:autoRedefine/>
    <w:qFormat/>
    <w:uiPriority w:val="0"/>
    <w:pPr>
      <w:ind w:left="2500" w:leftChars="2500"/>
    </w:pPr>
    <w:rPr>
      <w:rFonts w:ascii="Times New Roman" w:hAnsi="Times New Roman" w:eastAsia="楷体_GB2312" w:cs="Times New Roman"/>
      <w:sz w:val="32"/>
      <w:szCs w:val="20"/>
    </w:rPr>
  </w:style>
  <w:style w:type="paragraph" w:styleId="19">
    <w:name w:val="Balloon Text"/>
    <w:basedOn w:val="1"/>
    <w:link w:val="45"/>
    <w:autoRedefine/>
    <w:qFormat/>
    <w:uiPriority w:val="0"/>
    <w:rPr>
      <w:sz w:val="18"/>
      <w:szCs w:val="18"/>
    </w:rPr>
  </w:style>
  <w:style w:type="paragraph" w:styleId="20">
    <w:name w:val="footer"/>
    <w:basedOn w:val="1"/>
    <w:link w:val="42"/>
    <w:autoRedefine/>
    <w:unhideWhenUsed/>
    <w:qFormat/>
    <w:uiPriority w:val="0"/>
    <w:pPr>
      <w:tabs>
        <w:tab w:val="center" w:pos="4153"/>
        <w:tab w:val="right" w:pos="8306"/>
      </w:tabs>
      <w:snapToGrid w:val="0"/>
      <w:jc w:val="left"/>
    </w:pPr>
    <w:rPr>
      <w:sz w:val="18"/>
      <w:szCs w:val="18"/>
    </w:rPr>
  </w:style>
  <w:style w:type="paragraph" w:styleId="21">
    <w:name w:val="envelope return"/>
    <w:basedOn w:val="1"/>
    <w:autoRedefine/>
    <w:qFormat/>
    <w:uiPriority w:val="0"/>
    <w:pPr>
      <w:snapToGrid w:val="0"/>
    </w:pPr>
    <w:rPr>
      <w:rFonts w:ascii="Arial" w:hAnsi="Arial" w:cs="Times New Roman"/>
      <w:sz w:val="28"/>
    </w:rPr>
  </w:style>
  <w:style w:type="paragraph" w:styleId="22">
    <w:name w:val="header"/>
    <w:basedOn w:val="1"/>
    <w:link w:val="4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pPr>
      <w:widowControl/>
      <w:spacing w:after="100" w:line="259" w:lineRule="auto"/>
    </w:pPr>
    <w:rPr>
      <w:rFonts w:ascii="等线" w:hAnsi="等线" w:eastAsia="等线"/>
      <w:sz w:val="22"/>
      <w:szCs w:val="22"/>
    </w:rPr>
  </w:style>
  <w:style w:type="paragraph" w:styleId="24">
    <w:name w:val="List"/>
    <w:basedOn w:val="1"/>
    <w:autoRedefine/>
    <w:qFormat/>
    <w:uiPriority w:val="0"/>
    <w:pPr>
      <w:ind w:left="200" w:hanging="200" w:hangingChars="200"/>
    </w:pPr>
    <w:rPr>
      <w:rFonts w:ascii="Times New Roman" w:hAnsi="Times New Roman" w:cs="Times New Roman"/>
      <w:sz w:val="28"/>
    </w:rPr>
  </w:style>
  <w:style w:type="paragraph" w:styleId="25">
    <w:name w:val="index 7"/>
    <w:basedOn w:val="1"/>
    <w:next w:val="1"/>
    <w:qFormat/>
    <w:uiPriority w:val="0"/>
    <w:pPr>
      <w:ind w:left="1200" w:leftChars="1200"/>
    </w:pPr>
  </w:style>
  <w:style w:type="paragraph" w:styleId="26">
    <w:name w:val="Body Text 2"/>
    <w:basedOn w:val="1"/>
    <w:link w:val="62"/>
    <w:autoRedefine/>
    <w:qFormat/>
    <w:uiPriority w:val="0"/>
    <w:pPr>
      <w:widowControl/>
      <w:snapToGrid w:val="0"/>
      <w:spacing w:before="50" w:after="156" w:afterLines="50" w:line="400" w:lineRule="atLeast"/>
      <w:jc w:val="left"/>
    </w:pPr>
    <w:rPr>
      <w:rFonts w:hint="eastAsia" w:cs="Times New Roman"/>
      <w:color w:val="000000"/>
    </w:rPr>
  </w:style>
  <w:style w:type="paragraph" w:styleId="27">
    <w:name w:val="HTML Preformatted"/>
    <w:basedOn w:val="1"/>
    <w:link w:val="6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kern w:val="0"/>
    </w:rPr>
  </w:style>
  <w:style w:type="paragraph" w:styleId="28">
    <w:name w:val="Normal (Web)"/>
    <w:basedOn w:val="1"/>
    <w:autoRedefine/>
    <w:unhideWhenUsed/>
    <w:qFormat/>
    <w:uiPriority w:val="0"/>
    <w:pPr>
      <w:widowControl/>
      <w:spacing w:before="100" w:beforeAutospacing="1" w:after="100" w:afterAutospacing="1"/>
      <w:jc w:val="left"/>
    </w:pPr>
    <w:rPr>
      <w:kern w:val="0"/>
    </w:rPr>
  </w:style>
  <w:style w:type="paragraph" w:styleId="29">
    <w:name w:val="Title"/>
    <w:basedOn w:val="1"/>
    <w:link w:val="68"/>
    <w:autoRedefine/>
    <w:qFormat/>
    <w:uiPriority w:val="0"/>
    <w:pPr>
      <w:spacing w:before="240" w:after="60"/>
      <w:jc w:val="center"/>
      <w:outlineLvl w:val="0"/>
    </w:pPr>
    <w:rPr>
      <w:rFonts w:ascii="Calibri Light" w:hAnsi="Calibri Light" w:eastAsia="Calibri Light" w:cs="Times New Roman"/>
      <w:b/>
      <w:bCs/>
      <w:kern w:val="0"/>
      <w:sz w:val="32"/>
      <w:szCs w:val="32"/>
    </w:rPr>
  </w:style>
  <w:style w:type="paragraph" w:styleId="30">
    <w:name w:val="annotation subject"/>
    <w:basedOn w:val="12"/>
    <w:next w:val="12"/>
    <w:link w:val="53"/>
    <w:autoRedefine/>
    <w:unhideWhenUsed/>
    <w:qFormat/>
    <w:uiPriority w:val="0"/>
    <w:rPr>
      <w:rFonts w:ascii="宋体" w:hAnsi="宋体" w:cs="宋体"/>
      <w:b/>
      <w:bCs/>
      <w:sz w:val="24"/>
    </w:rPr>
  </w:style>
  <w:style w:type="paragraph" w:styleId="31">
    <w:name w:val="Body Text First Indent"/>
    <w:basedOn w:val="13"/>
    <w:link w:val="69"/>
    <w:autoRedefine/>
    <w:qFormat/>
    <w:uiPriority w:val="0"/>
    <w:pPr>
      <w:ind w:firstLine="420" w:firstLineChars="100"/>
    </w:pPr>
    <w:rPr>
      <w:rFonts w:ascii="Calibri" w:hAnsi="Calibri" w:cs="Times New Roman"/>
      <w:sz w:val="21"/>
    </w:rPr>
  </w:style>
  <w:style w:type="paragraph" w:styleId="32">
    <w:name w:val="Body Text First Indent 2"/>
    <w:basedOn w:val="14"/>
    <w:link w:val="63"/>
    <w:autoRedefine/>
    <w:qFormat/>
    <w:uiPriority w:val="0"/>
    <w:pPr>
      <w:ind w:firstLine="420"/>
    </w:pPr>
    <w:rPr>
      <w:rFonts w:ascii="Times New Roman" w:hAnsi="Times New Roman"/>
    </w:rPr>
  </w:style>
  <w:style w:type="table" w:styleId="34">
    <w:name w:val="Table Grid"/>
    <w:basedOn w:val="3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autoRedefine/>
    <w:qFormat/>
    <w:uiPriority w:val="0"/>
    <w:rPr>
      <w:rFonts w:ascii="Times New Roman" w:hAnsi="Times New Roman" w:eastAsia="宋体" w:cs="Times New Roman"/>
      <w:b/>
      <w:bCs/>
    </w:rPr>
  </w:style>
  <w:style w:type="character" w:styleId="37">
    <w:name w:val="page number"/>
    <w:autoRedefine/>
    <w:qFormat/>
    <w:uiPriority w:val="0"/>
    <w:rPr>
      <w:rFonts w:ascii="Times New Roman" w:hAnsi="Times New Roman" w:eastAsia="宋体" w:cs="Times New Roman"/>
    </w:rPr>
  </w:style>
  <w:style w:type="character" w:styleId="38">
    <w:name w:val="FollowedHyperlink"/>
    <w:autoRedefine/>
    <w:qFormat/>
    <w:uiPriority w:val="0"/>
    <w:rPr>
      <w:rFonts w:ascii="Times New Roman" w:hAnsi="Times New Roman" w:eastAsia="宋体" w:cs="Times New Roman"/>
      <w:color w:val="5579A7"/>
      <w:u w:val="none"/>
    </w:rPr>
  </w:style>
  <w:style w:type="character" w:styleId="39">
    <w:name w:val="Hyperlink"/>
    <w:basedOn w:val="35"/>
    <w:autoRedefine/>
    <w:unhideWhenUsed/>
    <w:qFormat/>
    <w:uiPriority w:val="0"/>
    <w:rPr>
      <w:color w:val="0000FF"/>
      <w:u w:val="single"/>
    </w:rPr>
  </w:style>
  <w:style w:type="character" w:styleId="40">
    <w:name w:val="annotation reference"/>
    <w:autoRedefine/>
    <w:unhideWhenUsed/>
    <w:qFormat/>
    <w:uiPriority w:val="0"/>
    <w:rPr>
      <w:sz w:val="21"/>
      <w:szCs w:val="21"/>
    </w:rPr>
  </w:style>
  <w:style w:type="character" w:customStyle="1" w:styleId="41">
    <w:name w:val="页眉 字符"/>
    <w:basedOn w:val="35"/>
    <w:link w:val="22"/>
    <w:autoRedefine/>
    <w:qFormat/>
    <w:uiPriority w:val="0"/>
    <w:rPr>
      <w:sz w:val="18"/>
      <w:szCs w:val="18"/>
    </w:rPr>
  </w:style>
  <w:style w:type="character" w:customStyle="1" w:styleId="42">
    <w:name w:val="页脚 字符"/>
    <w:basedOn w:val="35"/>
    <w:link w:val="20"/>
    <w:autoRedefine/>
    <w:qFormat/>
    <w:uiPriority w:val="0"/>
    <w:rPr>
      <w:sz w:val="18"/>
      <w:szCs w:val="18"/>
    </w:rPr>
  </w:style>
  <w:style w:type="character" w:customStyle="1" w:styleId="43">
    <w:name w:val="批注文字 字符"/>
    <w:basedOn w:val="35"/>
    <w:link w:val="12"/>
    <w:autoRedefine/>
    <w:qFormat/>
    <w:uiPriority w:val="0"/>
    <w:rPr>
      <w:rFonts w:ascii="Times New Roman" w:hAnsi="Times New Roman" w:eastAsia="宋体" w:cs="Times New Roman"/>
      <w:sz w:val="28"/>
      <w:szCs w:val="24"/>
    </w:rPr>
  </w:style>
  <w:style w:type="character" w:customStyle="1" w:styleId="44">
    <w:name w:val="正文文本缩进 字符"/>
    <w:basedOn w:val="35"/>
    <w:autoRedefine/>
    <w:qFormat/>
    <w:uiPriority w:val="0"/>
    <w:rPr>
      <w:rFonts w:ascii="宋体" w:hAnsi="宋体" w:eastAsia="宋体" w:cs="宋体"/>
      <w:sz w:val="24"/>
      <w:szCs w:val="24"/>
    </w:rPr>
  </w:style>
  <w:style w:type="character" w:customStyle="1" w:styleId="45">
    <w:name w:val="批注框文本 字符"/>
    <w:basedOn w:val="35"/>
    <w:link w:val="19"/>
    <w:autoRedefine/>
    <w:qFormat/>
    <w:uiPriority w:val="0"/>
    <w:rPr>
      <w:rFonts w:ascii="宋体" w:hAnsi="宋体" w:eastAsia="宋体" w:cs="宋体"/>
      <w:sz w:val="18"/>
      <w:szCs w:val="18"/>
    </w:rPr>
  </w:style>
  <w:style w:type="character" w:customStyle="1" w:styleId="46">
    <w:name w:val="正文文本缩进 字符1"/>
    <w:link w:val="14"/>
    <w:autoRedefine/>
    <w:qFormat/>
    <w:uiPriority w:val="0"/>
    <w:rPr>
      <w:rFonts w:ascii="宋体" w:hAnsi="Courier New" w:eastAsia="宋体" w:cs="Times New Roman"/>
      <w:spacing w:val="-4"/>
      <w:sz w:val="18"/>
      <w:szCs w:val="20"/>
    </w:rPr>
  </w:style>
  <w:style w:type="character" w:customStyle="1" w:styleId="47">
    <w:name w:val="正文文本缩进 字符2"/>
    <w:autoRedefine/>
    <w:qFormat/>
    <w:uiPriority w:val="0"/>
    <w:rPr>
      <w:rFonts w:ascii="宋体" w:hAnsi="Courier New"/>
      <w:spacing w:val="-4"/>
      <w:kern w:val="2"/>
      <w:sz w:val="18"/>
    </w:rPr>
  </w:style>
  <w:style w:type="character" w:customStyle="1" w:styleId="48">
    <w:name w:val="未处理的提及1"/>
    <w:basedOn w:val="35"/>
    <w:autoRedefine/>
    <w:semiHidden/>
    <w:unhideWhenUsed/>
    <w:qFormat/>
    <w:uiPriority w:val="99"/>
    <w:rPr>
      <w:color w:val="605E5C"/>
      <w:shd w:val="clear" w:color="auto" w:fill="E1DFDD"/>
    </w:rPr>
  </w:style>
  <w:style w:type="paragraph" w:styleId="49">
    <w:name w:val="List Paragraph"/>
    <w:basedOn w:val="1"/>
    <w:autoRedefine/>
    <w:qFormat/>
    <w:uiPriority w:val="0"/>
    <w:pPr>
      <w:ind w:firstLine="420" w:firstLineChars="200"/>
    </w:pPr>
  </w:style>
  <w:style w:type="paragraph" w:customStyle="1" w:styleId="50">
    <w:name w:val="纯文本1"/>
    <w:basedOn w:val="1"/>
    <w:next w:val="17"/>
    <w:link w:val="52"/>
    <w:autoRedefine/>
    <w:qFormat/>
    <w:uiPriority w:val="0"/>
    <w:pPr>
      <w:spacing w:before="156" w:beforeLines="50" w:after="156" w:afterLines="50" w:line="400" w:lineRule="atLeast"/>
    </w:pPr>
    <w:rPr>
      <w:rFonts w:hAnsi="Courier New" w:cs="Times New Roman"/>
    </w:rPr>
  </w:style>
  <w:style w:type="character" w:customStyle="1" w:styleId="51">
    <w:name w:val="纯文本 字符"/>
    <w:basedOn w:val="35"/>
    <w:autoRedefine/>
    <w:qFormat/>
    <w:uiPriority w:val="0"/>
    <w:rPr>
      <w:rFonts w:ascii="宋体" w:hAnsi="Courier New" w:eastAsia="宋体" w:cs="Courier New"/>
      <w:kern w:val="2"/>
      <w:sz w:val="24"/>
      <w:szCs w:val="24"/>
    </w:rPr>
  </w:style>
  <w:style w:type="character" w:customStyle="1" w:styleId="52">
    <w:name w:val="纯文本 字符1"/>
    <w:link w:val="50"/>
    <w:autoRedefine/>
    <w:qFormat/>
    <w:uiPriority w:val="0"/>
    <w:rPr>
      <w:rFonts w:ascii="宋体" w:hAnsi="Courier New" w:eastAsia="宋体" w:cs="Times New Roman"/>
      <w:kern w:val="2"/>
      <w:sz w:val="24"/>
      <w:szCs w:val="24"/>
    </w:rPr>
  </w:style>
  <w:style w:type="character" w:customStyle="1" w:styleId="53">
    <w:name w:val="批注主题 字符"/>
    <w:basedOn w:val="43"/>
    <w:link w:val="30"/>
    <w:autoRedefine/>
    <w:qFormat/>
    <w:uiPriority w:val="0"/>
    <w:rPr>
      <w:rFonts w:ascii="宋体" w:hAnsi="宋体" w:eastAsia="宋体" w:cs="宋体"/>
      <w:b/>
      <w:bCs/>
      <w:sz w:val="24"/>
      <w:szCs w:val="24"/>
    </w:rPr>
  </w:style>
  <w:style w:type="character" w:customStyle="1" w:styleId="54">
    <w:name w:val="未处理的提及2"/>
    <w:basedOn w:val="35"/>
    <w:autoRedefine/>
    <w:semiHidden/>
    <w:unhideWhenUsed/>
    <w:qFormat/>
    <w:uiPriority w:val="99"/>
    <w:rPr>
      <w:color w:val="605E5C"/>
      <w:shd w:val="clear" w:color="auto" w:fill="E1DFDD"/>
    </w:rPr>
  </w:style>
  <w:style w:type="character" w:customStyle="1" w:styleId="55">
    <w:name w:val="正文文本 字符"/>
    <w:basedOn w:val="35"/>
    <w:link w:val="13"/>
    <w:autoRedefine/>
    <w:qFormat/>
    <w:uiPriority w:val="0"/>
    <w:rPr>
      <w:rFonts w:ascii="宋体" w:hAnsi="宋体" w:eastAsia="宋体" w:cs="宋体"/>
      <w:sz w:val="24"/>
      <w:szCs w:val="24"/>
    </w:rPr>
  </w:style>
  <w:style w:type="character" w:customStyle="1" w:styleId="56">
    <w:name w:val="纯文本 字符2"/>
    <w:basedOn w:val="35"/>
    <w:link w:val="17"/>
    <w:autoRedefine/>
    <w:semiHidden/>
    <w:qFormat/>
    <w:uiPriority w:val="99"/>
    <w:rPr>
      <w:rFonts w:hAnsi="Courier New" w:cs="Courier New" w:asciiTheme="minorEastAsia"/>
      <w:sz w:val="24"/>
      <w:szCs w:val="24"/>
    </w:rPr>
  </w:style>
  <w:style w:type="character" w:customStyle="1" w:styleId="57">
    <w:name w:val="标题 1 字符"/>
    <w:basedOn w:val="35"/>
    <w:link w:val="3"/>
    <w:autoRedefine/>
    <w:qFormat/>
    <w:uiPriority w:val="0"/>
    <w:rPr>
      <w:rFonts w:ascii="Times New Roman" w:hAnsi="Times New Roman" w:eastAsia="宋体" w:cs="Times New Roman"/>
      <w:kern w:val="44"/>
      <w:sz w:val="44"/>
      <w:szCs w:val="44"/>
    </w:rPr>
  </w:style>
  <w:style w:type="character" w:customStyle="1" w:styleId="58">
    <w:name w:val="标题 2 字符"/>
    <w:basedOn w:val="35"/>
    <w:link w:val="4"/>
    <w:autoRedefine/>
    <w:qFormat/>
    <w:uiPriority w:val="0"/>
    <w:rPr>
      <w:rFonts w:ascii="Cambria" w:hAnsi="Cambria" w:eastAsia="宋体" w:cs="Times New Roman"/>
      <w:b/>
      <w:bCs/>
      <w:sz w:val="32"/>
      <w:szCs w:val="32"/>
    </w:rPr>
  </w:style>
  <w:style w:type="character" w:customStyle="1" w:styleId="59">
    <w:name w:val="标题 4 字符"/>
    <w:basedOn w:val="35"/>
    <w:link w:val="6"/>
    <w:autoRedefine/>
    <w:qFormat/>
    <w:uiPriority w:val="0"/>
    <w:rPr>
      <w:rFonts w:ascii="Arial" w:hAnsi="Arial" w:eastAsia="黑体" w:cs="Times New Roman"/>
      <w:b/>
      <w:bCs/>
      <w:sz w:val="28"/>
      <w:szCs w:val="28"/>
    </w:rPr>
  </w:style>
  <w:style w:type="character" w:customStyle="1" w:styleId="60">
    <w:name w:val="标题 5 字符"/>
    <w:basedOn w:val="35"/>
    <w:link w:val="7"/>
    <w:autoRedefine/>
    <w:qFormat/>
    <w:uiPriority w:val="0"/>
    <w:rPr>
      <w:rFonts w:ascii="Times New Roman" w:hAnsi="Times New Roman" w:eastAsia="宋体" w:cs="Times New Roman"/>
      <w:b/>
      <w:bCs/>
      <w:sz w:val="28"/>
      <w:szCs w:val="28"/>
    </w:rPr>
  </w:style>
  <w:style w:type="character" w:customStyle="1" w:styleId="61">
    <w:name w:val="正文缩进 字符"/>
    <w:link w:val="10"/>
    <w:autoRedefine/>
    <w:qFormat/>
    <w:uiPriority w:val="0"/>
    <w:rPr>
      <w:rFonts w:ascii="Times New Roman" w:hAnsi="Times New Roman" w:eastAsia="宋体" w:cs="Times New Roman"/>
      <w:szCs w:val="20"/>
    </w:rPr>
  </w:style>
  <w:style w:type="character" w:customStyle="1" w:styleId="62">
    <w:name w:val="正文文本 2 字符"/>
    <w:basedOn w:val="35"/>
    <w:link w:val="26"/>
    <w:autoRedefine/>
    <w:qFormat/>
    <w:uiPriority w:val="0"/>
    <w:rPr>
      <w:rFonts w:ascii="宋体" w:hAnsi="宋体" w:eastAsia="宋体" w:cs="Times New Roman"/>
      <w:color w:val="000000"/>
      <w:sz w:val="24"/>
      <w:szCs w:val="24"/>
    </w:rPr>
  </w:style>
  <w:style w:type="character" w:customStyle="1" w:styleId="63">
    <w:name w:val="正文文本首行缩进 2 字符"/>
    <w:basedOn w:val="46"/>
    <w:link w:val="32"/>
    <w:autoRedefine/>
    <w:qFormat/>
    <w:uiPriority w:val="0"/>
    <w:rPr>
      <w:rFonts w:ascii="Times New Roman" w:hAnsi="Times New Roman" w:eastAsia="宋体" w:cs="Times New Roman"/>
      <w:spacing w:val="-4"/>
      <w:sz w:val="18"/>
      <w:szCs w:val="20"/>
    </w:rPr>
  </w:style>
  <w:style w:type="character" w:customStyle="1" w:styleId="64">
    <w:name w:val="日期 字符"/>
    <w:basedOn w:val="35"/>
    <w:link w:val="18"/>
    <w:autoRedefine/>
    <w:qFormat/>
    <w:uiPriority w:val="0"/>
    <w:rPr>
      <w:rFonts w:ascii="Times New Roman" w:hAnsi="Times New Roman" w:eastAsia="楷体_GB2312" w:cs="Times New Roman"/>
      <w:sz w:val="32"/>
      <w:szCs w:val="20"/>
    </w:rPr>
  </w:style>
  <w:style w:type="character" w:customStyle="1" w:styleId="65">
    <w:name w:val="页脚 字符1"/>
    <w:autoRedefine/>
    <w:qFormat/>
    <w:uiPriority w:val="0"/>
    <w:rPr>
      <w:rFonts w:ascii="Times New Roman" w:hAnsi="Times New Roman" w:eastAsia="宋体" w:cs="Times New Roman"/>
      <w:kern w:val="2"/>
      <w:sz w:val="18"/>
      <w:szCs w:val="18"/>
    </w:rPr>
  </w:style>
  <w:style w:type="character" w:customStyle="1" w:styleId="66">
    <w:name w:val="页眉 字符1"/>
    <w:autoRedefine/>
    <w:qFormat/>
    <w:uiPriority w:val="0"/>
    <w:rPr>
      <w:rFonts w:ascii="Times New Roman" w:hAnsi="Times New Roman" w:eastAsia="宋体" w:cs="Times New Roman"/>
      <w:kern w:val="2"/>
      <w:sz w:val="18"/>
      <w:szCs w:val="18"/>
    </w:rPr>
  </w:style>
  <w:style w:type="character" w:customStyle="1" w:styleId="67">
    <w:name w:val="HTML 预设格式 字符"/>
    <w:basedOn w:val="35"/>
    <w:link w:val="27"/>
    <w:autoRedefine/>
    <w:qFormat/>
    <w:uiPriority w:val="0"/>
    <w:rPr>
      <w:rFonts w:ascii="宋体" w:hAnsi="宋体" w:eastAsia="宋体" w:cs="宋体"/>
      <w:kern w:val="0"/>
      <w:sz w:val="24"/>
      <w:szCs w:val="24"/>
    </w:rPr>
  </w:style>
  <w:style w:type="character" w:customStyle="1" w:styleId="68">
    <w:name w:val="标题 字符"/>
    <w:basedOn w:val="35"/>
    <w:link w:val="29"/>
    <w:autoRedefine/>
    <w:qFormat/>
    <w:uiPriority w:val="0"/>
    <w:rPr>
      <w:rFonts w:ascii="Calibri Light" w:hAnsi="Calibri Light" w:eastAsia="Calibri Light" w:cs="Times New Roman"/>
      <w:b/>
      <w:bCs/>
      <w:kern w:val="0"/>
      <w:sz w:val="32"/>
      <w:szCs w:val="32"/>
    </w:rPr>
  </w:style>
  <w:style w:type="character" w:customStyle="1" w:styleId="69">
    <w:name w:val="正文文本首行缩进 字符"/>
    <w:basedOn w:val="55"/>
    <w:link w:val="31"/>
    <w:autoRedefine/>
    <w:qFormat/>
    <w:uiPriority w:val="99"/>
    <w:rPr>
      <w:rFonts w:ascii="Calibri" w:hAnsi="Calibri" w:eastAsia="宋体" w:cs="Times New Roman"/>
      <w:sz w:val="24"/>
      <w:szCs w:val="24"/>
    </w:rPr>
  </w:style>
  <w:style w:type="paragraph" w:customStyle="1" w:styleId="70">
    <w:name w:val="Normal Indent1"/>
    <w:autoRedefine/>
    <w:qFormat/>
    <w:uiPriority w:val="0"/>
    <w:pPr>
      <w:ind w:firstLine="420"/>
    </w:pPr>
    <w:rPr>
      <w:rFonts w:ascii="Times New Roman" w:hAnsi="Times New Roman" w:eastAsia="仿宋_GB2312" w:cs="宋体"/>
      <w:b/>
      <w:bCs/>
      <w:color w:val="000000"/>
      <w:sz w:val="21"/>
      <w:lang w:val="en-US" w:eastAsia="zh-CN" w:bidi="ar-SA"/>
    </w:rPr>
  </w:style>
  <w:style w:type="paragraph" w:customStyle="1" w:styleId="71">
    <w:name w:val="首行缩进"/>
    <w:basedOn w:val="1"/>
    <w:autoRedefine/>
    <w:qFormat/>
    <w:uiPriority w:val="0"/>
    <w:pPr>
      <w:spacing w:line="360" w:lineRule="auto"/>
      <w:ind w:firstLine="480" w:firstLineChars="200"/>
    </w:pPr>
    <w:rPr>
      <w:rFonts w:ascii="Times New Roman"/>
    </w:rPr>
  </w:style>
  <w:style w:type="character" w:customStyle="1" w:styleId="72">
    <w:name w:val="jbox-icon-loading"/>
    <w:autoRedefine/>
    <w:qFormat/>
    <w:uiPriority w:val="0"/>
    <w:rPr>
      <w:rFonts w:ascii="Times New Roman" w:hAnsi="Times New Roman" w:eastAsia="宋体" w:cs="Times New Roman"/>
    </w:rPr>
  </w:style>
  <w:style w:type="character" w:customStyle="1" w:styleId="73">
    <w:name w:val="正文文本缩进 Char"/>
    <w:autoRedefine/>
    <w:qFormat/>
    <w:uiPriority w:val="0"/>
    <w:rPr>
      <w:rFonts w:ascii="宋体" w:hAnsi="Courier New" w:eastAsia="宋体" w:cs="Times New Roman"/>
      <w:spacing w:val="-4"/>
      <w:kern w:val="2"/>
      <w:sz w:val="18"/>
    </w:rPr>
  </w:style>
  <w:style w:type="character" w:customStyle="1" w:styleId="74">
    <w:name w:val="maywed421"/>
    <w:autoRedefine/>
    <w:qFormat/>
    <w:uiPriority w:val="0"/>
    <w:rPr>
      <w:rFonts w:ascii="Times New Roman" w:hAnsi="Times New Roman" w:eastAsia="宋体" w:cs="Times New Roman"/>
      <w:color w:val="366FB6"/>
      <w:u w:val="none"/>
    </w:rPr>
  </w:style>
  <w:style w:type="character" w:customStyle="1" w:styleId="75">
    <w:name w:val="jbox-icon-success"/>
    <w:autoRedefine/>
    <w:qFormat/>
    <w:uiPriority w:val="0"/>
    <w:rPr>
      <w:rFonts w:ascii="Times New Roman" w:hAnsi="Times New Roman" w:eastAsia="宋体" w:cs="Times New Roman"/>
    </w:rPr>
  </w:style>
  <w:style w:type="character" w:customStyle="1" w:styleId="76">
    <w:name w:val="jbox-icon-error"/>
    <w:autoRedefine/>
    <w:qFormat/>
    <w:uiPriority w:val="0"/>
    <w:rPr>
      <w:rFonts w:ascii="Times New Roman" w:hAnsi="Times New Roman" w:eastAsia="宋体" w:cs="Times New Roman"/>
    </w:rPr>
  </w:style>
  <w:style w:type="character" w:customStyle="1" w:styleId="77">
    <w:name w:val="z-窗体底端 字符"/>
    <w:link w:val="78"/>
    <w:autoRedefine/>
    <w:qFormat/>
    <w:uiPriority w:val="0"/>
    <w:rPr>
      <w:rFonts w:ascii="Arial" w:hAnsi="Arial" w:eastAsia="宋体" w:cs="Times New Roman"/>
      <w:vanish/>
      <w:sz w:val="16"/>
      <w:szCs w:val="16"/>
    </w:rPr>
  </w:style>
  <w:style w:type="paragraph" w:customStyle="1" w:styleId="78">
    <w:name w:val="z-窗体底端1"/>
    <w:basedOn w:val="1"/>
    <w:next w:val="1"/>
    <w:link w:val="77"/>
    <w:autoRedefine/>
    <w:qFormat/>
    <w:uiPriority w:val="0"/>
    <w:pPr>
      <w:widowControl/>
      <w:pBdr>
        <w:top w:val="single" w:color="auto" w:sz="6" w:space="1"/>
      </w:pBdr>
      <w:jc w:val="center"/>
    </w:pPr>
    <w:rPr>
      <w:rFonts w:ascii="Arial" w:hAnsi="Arial" w:cs="Times New Roman"/>
      <w:vanish/>
      <w:sz w:val="16"/>
      <w:szCs w:val="16"/>
    </w:rPr>
  </w:style>
  <w:style w:type="character" w:customStyle="1" w:styleId="79">
    <w:name w:val="z-窗体底端 字符1"/>
    <w:basedOn w:val="35"/>
    <w:autoRedefine/>
    <w:semiHidden/>
    <w:qFormat/>
    <w:uiPriority w:val="99"/>
    <w:rPr>
      <w:rFonts w:ascii="Arial" w:hAnsi="Arial" w:eastAsia="宋体" w:cs="Arial"/>
      <w:vanish/>
      <w:sz w:val="16"/>
      <w:szCs w:val="16"/>
    </w:rPr>
  </w:style>
  <w:style w:type="character" w:customStyle="1" w:styleId="80">
    <w:name w:val="Plain Text Char Char"/>
    <w:autoRedefine/>
    <w:qFormat/>
    <w:uiPriority w:val="0"/>
    <w:rPr>
      <w:rFonts w:ascii="宋体" w:hAnsi="Courier New" w:eastAsia="宋体" w:cs="宋体"/>
    </w:rPr>
  </w:style>
  <w:style w:type="character" w:customStyle="1" w:styleId="81">
    <w:name w:val="jbox-icon-question"/>
    <w:autoRedefine/>
    <w:qFormat/>
    <w:uiPriority w:val="0"/>
    <w:rPr>
      <w:rFonts w:ascii="Times New Roman" w:hAnsi="Times New Roman" w:eastAsia="宋体" w:cs="Times New Roman"/>
    </w:rPr>
  </w:style>
  <w:style w:type="character" w:customStyle="1" w:styleId="82">
    <w:name w:val="jbox-icon-none"/>
    <w:autoRedefine/>
    <w:qFormat/>
    <w:uiPriority w:val="0"/>
    <w:rPr>
      <w:rFonts w:ascii="Times New Roman" w:hAnsi="Times New Roman" w:eastAsia="宋体" w:cs="Times New Roman"/>
      <w:vanish/>
    </w:rPr>
  </w:style>
  <w:style w:type="character" w:customStyle="1" w:styleId="83">
    <w:name w:val="纯文本 Char1"/>
    <w:autoRedefine/>
    <w:qFormat/>
    <w:uiPriority w:val="0"/>
    <w:rPr>
      <w:rFonts w:ascii="宋体" w:hAnsi="Courier New" w:eastAsia="宋体" w:cs="Times New Roman"/>
      <w:kern w:val="2"/>
      <w:sz w:val="21"/>
    </w:rPr>
  </w:style>
  <w:style w:type="character" w:customStyle="1" w:styleId="84">
    <w:name w:val="font51"/>
    <w:autoRedefine/>
    <w:qFormat/>
    <w:uiPriority w:val="0"/>
    <w:rPr>
      <w:rFonts w:hint="eastAsia" w:ascii="宋体" w:hAnsi="宋体" w:eastAsia="宋体" w:cs="宋体"/>
      <w:color w:val="000000"/>
      <w:sz w:val="21"/>
      <w:szCs w:val="21"/>
      <w:u w:val="none"/>
    </w:rPr>
  </w:style>
  <w:style w:type="character" w:customStyle="1" w:styleId="85">
    <w:name w:val="正方框图 Char Char Char"/>
    <w:link w:val="86"/>
    <w:autoRedefine/>
    <w:qFormat/>
    <w:uiPriority w:val="0"/>
    <w:rPr>
      <w:rFonts w:ascii="Times New Roman" w:hAnsi="Times New Roman" w:eastAsia="宋体" w:cs="Times New Roman"/>
      <w:szCs w:val="21"/>
    </w:rPr>
  </w:style>
  <w:style w:type="paragraph" w:customStyle="1" w:styleId="86">
    <w:name w:val="正方框图 Char Char"/>
    <w:basedOn w:val="1"/>
    <w:link w:val="85"/>
    <w:autoRedefine/>
    <w:qFormat/>
    <w:uiPriority w:val="0"/>
    <w:pPr>
      <w:snapToGrid w:val="0"/>
      <w:jc w:val="center"/>
    </w:pPr>
    <w:rPr>
      <w:rFonts w:ascii="Times New Roman" w:hAnsi="Times New Roman" w:cs="Times New Roman"/>
      <w:sz w:val="21"/>
      <w:szCs w:val="21"/>
    </w:rPr>
  </w:style>
  <w:style w:type="character" w:customStyle="1" w:styleId="87">
    <w:name w:val="black601"/>
    <w:autoRedefine/>
    <w:qFormat/>
    <w:uiPriority w:val="0"/>
    <w:rPr>
      <w:rFonts w:ascii="Times New Roman" w:hAnsi="Times New Roman" w:eastAsia="宋体" w:cs="Times New Roman"/>
      <w:color w:val="666666"/>
    </w:rPr>
  </w:style>
  <w:style w:type="character" w:customStyle="1" w:styleId="88">
    <w:name w:val="标题 1 Char Char"/>
    <w:autoRedefine/>
    <w:qFormat/>
    <w:uiPriority w:val="0"/>
    <w:rPr>
      <w:rFonts w:ascii="Times New Roman" w:hAnsi="Times New Roman" w:eastAsia="宋体" w:cs="Times New Roman"/>
      <w:b/>
      <w:spacing w:val="-2"/>
      <w:sz w:val="24"/>
      <w:lang w:val="en-US" w:eastAsia="zh-CN" w:bidi="ar-SA"/>
    </w:rPr>
  </w:style>
  <w:style w:type="character" w:customStyle="1" w:styleId="89">
    <w:name w:val="jbox-icon-warning"/>
    <w:autoRedefine/>
    <w:qFormat/>
    <w:uiPriority w:val="0"/>
    <w:rPr>
      <w:rFonts w:ascii="Times New Roman" w:hAnsi="Times New Roman" w:eastAsia="宋体" w:cs="Times New Roman"/>
    </w:rPr>
  </w:style>
  <w:style w:type="character" w:customStyle="1" w:styleId="90">
    <w:name w:val="纯文本 Char2"/>
    <w:autoRedefine/>
    <w:qFormat/>
    <w:uiPriority w:val="0"/>
    <w:rPr>
      <w:rFonts w:ascii="宋体" w:hAnsi="Courier New" w:eastAsia="宋体" w:cs="Times New Roman"/>
      <w:kern w:val="2"/>
      <w:sz w:val="24"/>
      <w:szCs w:val="24"/>
    </w:rPr>
  </w:style>
  <w:style w:type="character" w:customStyle="1" w:styleId="91">
    <w:name w:val="jbox-icon-info"/>
    <w:autoRedefine/>
    <w:qFormat/>
    <w:uiPriority w:val="0"/>
    <w:rPr>
      <w:rFonts w:ascii="Times New Roman" w:hAnsi="Times New Roman" w:eastAsia="宋体" w:cs="Times New Roman"/>
    </w:rPr>
  </w:style>
  <w:style w:type="character" w:customStyle="1" w:styleId="92">
    <w:name w:val="z-窗体顶端 字符"/>
    <w:link w:val="93"/>
    <w:autoRedefine/>
    <w:qFormat/>
    <w:uiPriority w:val="0"/>
    <w:rPr>
      <w:rFonts w:ascii="Arial" w:hAnsi="Arial" w:eastAsia="宋体" w:cs="Times New Roman"/>
      <w:vanish/>
      <w:sz w:val="16"/>
      <w:szCs w:val="16"/>
    </w:rPr>
  </w:style>
  <w:style w:type="paragraph" w:customStyle="1" w:styleId="93">
    <w:name w:val="z-窗体顶端1"/>
    <w:basedOn w:val="1"/>
    <w:next w:val="1"/>
    <w:link w:val="92"/>
    <w:autoRedefine/>
    <w:qFormat/>
    <w:uiPriority w:val="0"/>
    <w:pPr>
      <w:widowControl/>
      <w:pBdr>
        <w:bottom w:val="single" w:color="auto" w:sz="6" w:space="1"/>
      </w:pBdr>
      <w:jc w:val="center"/>
    </w:pPr>
    <w:rPr>
      <w:rFonts w:ascii="Arial" w:hAnsi="Arial" w:cs="Times New Roman"/>
      <w:vanish/>
      <w:sz w:val="16"/>
      <w:szCs w:val="16"/>
    </w:rPr>
  </w:style>
  <w:style w:type="character" w:customStyle="1" w:styleId="94">
    <w:name w:val="z-窗体顶端 字符1"/>
    <w:basedOn w:val="35"/>
    <w:autoRedefine/>
    <w:semiHidden/>
    <w:qFormat/>
    <w:uiPriority w:val="99"/>
    <w:rPr>
      <w:rFonts w:ascii="Arial" w:hAnsi="Arial" w:eastAsia="宋体" w:cs="Arial"/>
      <w:vanish/>
      <w:sz w:val="16"/>
      <w:szCs w:val="16"/>
    </w:rPr>
  </w:style>
  <w:style w:type="character" w:customStyle="1" w:styleId="95">
    <w:name w:val="批注文字 Char"/>
    <w:autoRedefine/>
    <w:qFormat/>
    <w:uiPriority w:val="0"/>
    <w:rPr>
      <w:rFonts w:ascii="Times New Roman" w:hAnsi="Times New Roman" w:eastAsia="宋体" w:cs="Times New Roman"/>
      <w:kern w:val="2"/>
      <w:sz w:val="28"/>
      <w:szCs w:val="24"/>
    </w:rPr>
  </w:style>
  <w:style w:type="character" w:customStyle="1" w:styleId="96">
    <w:name w:val="jbox-icon"/>
    <w:autoRedefine/>
    <w:qFormat/>
    <w:uiPriority w:val="0"/>
    <w:rPr>
      <w:rFonts w:ascii="Times New Roman" w:hAnsi="Times New Roman" w:eastAsia="宋体" w:cs="Times New Roman"/>
    </w:rPr>
  </w:style>
  <w:style w:type="paragraph" w:customStyle="1" w:styleId="97">
    <w:name w:val="列出段落1"/>
    <w:basedOn w:val="1"/>
    <w:autoRedefine/>
    <w:qFormat/>
    <w:uiPriority w:val="0"/>
    <w:pPr>
      <w:ind w:firstLine="420" w:firstLineChars="200"/>
    </w:pPr>
    <w:rPr>
      <w:rFonts w:ascii="Calibri" w:hAnsi="Calibri" w:cs="Times New Roman"/>
      <w:sz w:val="28"/>
    </w:rPr>
  </w:style>
  <w:style w:type="paragraph" w:customStyle="1" w:styleId="98">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9">
    <w:name w:val="列表段落1"/>
    <w:basedOn w:val="1"/>
    <w:autoRedefine/>
    <w:qFormat/>
    <w:uiPriority w:val="0"/>
    <w:pPr>
      <w:ind w:firstLine="200" w:firstLineChars="200"/>
    </w:pPr>
    <w:rPr>
      <w:rFonts w:ascii="Calibri" w:hAnsi="Calibri" w:cs="Arial"/>
      <w:sz w:val="28"/>
    </w:rPr>
  </w:style>
  <w:style w:type="paragraph" w:customStyle="1" w:styleId="100">
    <w:name w:val="p16"/>
    <w:basedOn w:val="1"/>
    <w:autoRedefine/>
    <w:qFormat/>
    <w:uiPriority w:val="0"/>
    <w:pPr>
      <w:widowControl/>
      <w:spacing w:before="100" w:after="100"/>
      <w:jc w:val="left"/>
    </w:pPr>
    <w:rPr>
      <w:color w:val="000000"/>
      <w:kern w:val="0"/>
    </w:rPr>
  </w:style>
  <w:style w:type="paragraph" w:styleId="101">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2">
    <w:name w:val="样式 标题 2 + Times New Roman 四号 非加粗 段前: 5 磅 段后: 0 磅 行距: 固定值 20..."/>
    <w:autoRedefine/>
    <w:qFormat/>
    <w:uiPriority w:val="0"/>
    <w:pPr>
      <w:keepNext/>
      <w:keepLines/>
      <w:widowControl w:val="0"/>
      <w:spacing w:before="100" w:line="400" w:lineRule="exact"/>
      <w:jc w:val="both"/>
      <w:outlineLvl w:val="1"/>
    </w:pPr>
    <w:rPr>
      <w:rFonts w:ascii="Times New Roman" w:hAnsi="Times New Roman" w:eastAsia="宋体" w:cs="Times New Roman"/>
      <w:kern w:val="2"/>
      <w:sz w:val="28"/>
      <w:szCs w:val="28"/>
      <w:lang w:val="en-US" w:eastAsia="zh-CN" w:bidi="ar-SA"/>
    </w:rPr>
  </w:style>
  <w:style w:type="paragraph" w:customStyle="1" w:styleId="103">
    <w:name w:val="样式 标题 3 + (中文) 黑体 小四 非加粗 段前: 7.8 磅 段后: 0 磅 行距: 固定值 20 磅"/>
    <w:autoRedefine/>
    <w:qFormat/>
    <w:uiPriority w:val="0"/>
    <w:pPr>
      <w:widowControl w:val="0"/>
      <w:spacing w:line="400" w:lineRule="exact"/>
      <w:ind w:left="2220" w:hanging="420"/>
      <w:jc w:val="both"/>
      <w:outlineLvl w:val="2"/>
    </w:pPr>
    <w:rPr>
      <w:rFonts w:ascii="Times New Roman" w:hAnsi="Times New Roman" w:eastAsia="黑体" w:cs="Times New Roman"/>
      <w:b/>
      <w:kern w:val="2"/>
      <w:sz w:val="24"/>
      <w:szCs w:val="24"/>
      <w:lang w:val="en-US" w:eastAsia="zh-CN" w:bidi="ar-SA"/>
    </w:rPr>
  </w:style>
  <w:style w:type="paragraph" w:customStyle="1" w:styleId="104">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List Paragraph1"/>
    <w:basedOn w:val="1"/>
    <w:autoRedefine/>
    <w:qFormat/>
    <w:uiPriority w:val="0"/>
    <w:pPr>
      <w:ind w:firstLine="420" w:firstLineChars="200"/>
    </w:pPr>
    <w:rPr>
      <w:rFonts w:ascii="Times New Roman" w:hAnsi="Times New Roman" w:cs="Times New Roman"/>
      <w:sz w:val="21"/>
    </w:rPr>
  </w:style>
  <w:style w:type="paragraph" w:customStyle="1" w:styleId="106">
    <w:name w:val="目录 71"/>
    <w:next w:val="1"/>
    <w:autoRedefine/>
    <w:qFormat/>
    <w:uiPriority w:val="0"/>
    <w:pPr>
      <w:wordWrap w:val="0"/>
      <w:ind w:left="2550"/>
      <w:jc w:val="both"/>
    </w:pPr>
    <w:rPr>
      <w:rFonts w:ascii="Calibri" w:hAnsi="Calibri" w:eastAsia="宋体" w:cs="Times New Roman"/>
      <w:sz w:val="21"/>
      <w:lang w:val="en-US" w:eastAsia="zh-CN" w:bidi="ar-SA"/>
    </w:rPr>
  </w:style>
  <w:style w:type="paragraph" w:customStyle="1" w:styleId="107">
    <w:name w:val="修订1"/>
    <w:autoRedefine/>
    <w:semiHidden/>
    <w:qFormat/>
    <w:uiPriority w:val="99"/>
    <w:rPr>
      <w:rFonts w:ascii="Times New Roman" w:hAnsi="Times New Roman" w:eastAsia="宋体" w:cs="Times New Roman"/>
      <w:kern w:val="2"/>
      <w:sz w:val="28"/>
      <w:szCs w:val="24"/>
      <w:lang w:val="en-US" w:eastAsia="zh-CN" w:bidi="ar-SA"/>
    </w:rPr>
  </w:style>
  <w:style w:type="paragraph" w:customStyle="1" w:styleId="108">
    <w:name w:val="正文 A"/>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109">
    <w:name w:val="Blockquote"/>
    <w:basedOn w:val="1"/>
    <w:autoRedefine/>
    <w:qFormat/>
    <w:uiPriority w:val="0"/>
    <w:pPr>
      <w:autoSpaceDE w:val="0"/>
      <w:autoSpaceDN w:val="0"/>
      <w:adjustRightInd w:val="0"/>
      <w:spacing w:before="100" w:after="100"/>
      <w:ind w:left="360" w:right="360"/>
      <w:jc w:val="left"/>
    </w:pPr>
    <w:rPr>
      <w:rFonts w:ascii="Times New Roman" w:hAnsi="Times New Roman" w:cs="Times New Roman"/>
      <w:kern w:val="0"/>
    </w:rPr>
  </w:style>
  <w:style w:type="paragraph" w:customStyle="1" w:styleId="110">
    <w:name w:val="正文段"/>
    <w:basedOn w:val="1"/>
    <w:autoRedefine/>
    <w:qFormat/>
    <w:uiPriority w:val="0"/>
    <w:pPr>
      <w:widowControl/>
      <w:snapToGrid w:val="0"/>
      <w:spacing w:after="156" w:afterLines="50"/>
      <w:ind w:firstLine="200" w:firstLineChars="200"/>
    </w:pPr>
    <w:rPr>
      <w:rFonts w:ascii="Times New Roman" w:hAnsi="Times New Roman" w:cs="Times New Roman"/>
      <w:kern w:val="0"/>
      <w:szCs w:val="20"/>
    </w:rPr>
  </w:style>
  <w:style w:type="paragraph" w:customStyle="1" w:styleId="111">
    <w:name w:val="Char Char Char Char"/>
    <w:basedOn w:val="1"/>
    <w:autoRedefine/>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112">
    <w:name w:val="xl25"/>
    <w:basedOn w:val="1"/>
    <w:autoRedefine/>
    <w:qFormat/>
    <w:uiPriority w:val="0"/>
    <w:pPr>
      <w:widowControl/>
      <w:spacing w:before="100" w:beforeAutospacing="1" w:after="100" w:afterAutospacing="1"/>
      <w:jc w:val="center"/>
      <w:textAlignment w:val="center"/>
    </w:pPr>
    <w:rPr>
      <w:rFonts w:hint="eastAsia" w:ascii="楷体_GB2312" w:eastAsia="楷体_GB2312" w:cs="Times New Roman"/>
      <w:kern w:val="0"/>
    </w:rPr>
  </w:style>
  <w:style w:type="paragraph" w:customStyle="1" w:styleId="113">
    <w:name w:val="标题 10"/>
    <w:basedOn w:val="4"/>
    <w:autoRedefine/>
    <w:qFormat/>
    <w:uiPriority w:val="0"/>
    <w:pPr>
      <w:jc w:val="center"/>
    </w:pPr>
    <w:rPr>
      <w:rFonts w:ascii="Times New Roman" w:hAnsi="Times New Roman"/>
      <w:kern w:val="0"/>
    </w:rPr>
  </w:style>
  <w:style w:type="paragraph" w:customStyle="1" w:styleId="114">
    <w:name w:val="默认段落字体 Para Char Char Char Char Char Char Char Char Char1 Char Char Char Char"/>
    <w:basedOn w:val="1"/>
    <w:autoRedefine/>
    <w:qFormat/>
    <w:uiPriority w:val="0"/>
    <w:rPr>
      <w:rFonts w:ascii="Tahoma" w:hAnsi="Tahoma" w:cs="Times New Roman"/>
      <w:szCs w:val="20"/>
    </w:rPr>
  </w:style>
  <w:style w:type="paragraph" w:customStyle="1" w:styleId="115">
    <w:name w:val="列表段落2"/>
    <w:basedOn w:val="1"/>
    <w:autoRedefine/>
    <w:qFormat/>
    <w:uiPriority w:val="0"/>
    <w:pPr>
      <w:ind w:firstLine="420" w:firstLineChars="200"/>
    </w:pPr>
    <w:rPr>
      <w:rFonts w:ascii="Calibri" w:hAnsi="Calibri" w:cs="Times New Roman"/>
      <w:sz w:val="21"/>
    </w:rPr>
  </w:style>
  <w:style w:type="paragraph" w:customStyle="1" w:styleId="116">
    <w:name w:val="表内文字"/>
    <w:basedOn w:val="1"/>
    <w:autoRedefine/>
    <w:qFormat/>
    <w:uiPriority w:val="0"/>
    <w:pPr>
      <w:tabs>
        <w:tab w:val="left" w:pos="1418"/>
      </w:tabs>
      <w:spacing w:line="360" w:lineRule="auto"/>
      <w:jc w:val="center"/>
    </w:pPr>
    <w:rPr>
      <w:rFonts w:hint="eastAsia" w:ascii="仿宋_GB2312" w:hAnsi="Times New Roman" w:eastAsia="仿宋_GB2312" w:cs="Times New Roman"/>
      <w:spacing w:val="-20"/>
      <w:kern w:val="0"/>
    </w:rPr>
  </w:style>
  <w:style w:type="paragraph" w:customStyle="1" w:styleId="117">
    <w:name w:val="正文1"/>
    <w:autoRedefine/>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118">
    <w:name w:val="标准正文"/>
    <w:basedOn w:val="1"/>
    <w:autoRedefine/>
    <w:qFormat/>
    <w:uiPriority w:val="0"/>
    <w:pPr>
      <w:widowControl/>
      <w:spacing w:before="156" w:after="156" w:line="360" w:lineRule="auto"/>
      <w:ind w:firstLine="480" w:firstLineChars="200"/>
      <w:jc w:val="left"/>
    </w:pPr>
    <w:rPr>
      <w:rFonts w:ascii="Times New Roman" w:hAnsi="Times New Roman" w:cs="Times New Roman"/>
      <w:kern w:val="0"/>
    </w:rPr>
  </w:style>
  <w:style w:type="paragraph" w:customStyle="1" w:styleId="119">
    <w:name w:val="Table Paragraph"/>
    <w:basedOn w:val="1"/>
    <w:autoRedefine/>
    <w:qFormat/>
    <w:uiPriority w:val="1"/>
    <w:rPr>
      <w:sz w:val="28"/>
      <w:lang w:val="zh-CN" w:bidi="zh-CN"/>
    </w:rPr>
  </w:style>
  <w:style w:type="paragraph" w:customStyle="1" w:styleId="120">
    <w:name w:val="表格文字"/>
    <w:basedOn w:val="17"/>
    <w:next w:val="13"/>
    <w:autoRedefine/>
    <w:qFormat/>
    <w:uiPriority w:val="0"/>
    <w:pPr>
      <w:adjustRightInd w:val="0"/>
      <w:spacing w:before="156" w:beforeLines="50" w:after="156" w:afterLines="50" w:line="420" w:lineRule="atLeast"/>
      <w:textAlignment w:val="baseline"/>
    </w:pPr>
    <w:rPr>
      <w:rFonts w:ascii="宋体" w:eastAsia="宋体" w:cs="Times New Roman"/>
    </w:rPr>
  </w:style>
  <w:style w:type="character" w:customStyle="1" w:styleId="121">
    <w:name w:val="font41"/>
    <w:autoRedefine/>
    <w:qFormat/>
    <w:uiPriority w:val="0"/>
    <w:rPr>
      <w:rFonts w:hint="default" w:ascii="Times New Roman" w:hAnsi="Times New Roman" w:cs="Times New Roman"/>
      <w:color w:val="000000"/>
      <w:sz w:val="24"/>
      <w:szCs w:val="24"/>
      <w:u w:val="none"/>
    </w:rPr>
  </w:style>
  <w:style w:type="character" w:customStyle="1" w:styleId="122">
    <w:name w:val="font31"/>
    <w:autoRedefine/>
    <w:qFormat/>
    <w:uiPriority w:val="0"/>
    <w:rPr>
      <w:rFonts w:hint="eastAsia" w:ascii="宋体" w:hAnsi="宋体" w:eastAsia="宋体" w:cs="宋体"/>
      <w:color w:val="000000"/>
      <w:sz w:val="24"/>
      <w:szCs w:val="24"/>
      <w:u w:val="none"/>
    </w:rPr>
  </w:style>
  <w:style w:type="paragraph" w:customStyle="1" w:styleId="123">
    <w:name w:val="修订2"/>
    <w:autoRedefine/>
    <w:hidden/>
    <w:semiHidden/>
    <w:qFormat/>
    <w:uiPriority w:val="99"/>
    <w:rPr>
      <w:rFonts w:ascii="宋体" w:hAnsi="宋体" w:eastAsia="宋体" w:cs="宋体"/>
      <w:kern w:val="2"/>
      <w:sz w:val="24"/>
      <w:szCs w:val="24"/>
      <w:lang w:val="en-US" w:eastAsia="zh-CN" w:bidi="ar-SA"/>
    </w:rPr>
  </w:style>
  <w:style w:type="paragraph" w:customStyle="1" w:styleId="124">
    <w:name w:val="修订3"/>
    <w:autoRedefine/>
    <w:hidden/>
    <w:semiHidden/>
    <w:qFormat/>
    <w:uiPriority w:val="99"/>
    <w:rPr>
      <w:rFonts w:ascii="宋体" w:hAnsi="宋体" w:eastAsia="宋体" w:cs="宋体"/>
      <w:kern w:val="2"/>
      <w:sz w:val="24"/>
      <w:szCs w:val="24"/>
      <w:lang w:val="en-US" w:eastAsia="zh-CN" w:bidi="ar-SA"/>
    </w:rPr>
  </w:style>
  <w:style w:type="paragraph" w:customStyle="1" w:styleId="125">
    <w:name w:val="修订4"/>
    <w:autoRedefine/>
    <w:hidden/>
    <w:semiHidden/>
    <w:qFormat/>
    <w:uiPriority w:val="99"/>
    <w:rPr>
      <w:rFonts w:ascii="宋体" w:hAnsi="宋体" w:eastAsia="宋体" w:cs="宋体"/>
      <w:kern w:val="2"/>
      <w:sz w:val="24"/>
      <w:szCs w:val="24"/>
      <w:lang w:val="en-US" w:eastAsia="zh-CN" w:bidi="ar-SA"/>
    </w:rPr>
  </w:style>
  <w:style w:type="table" w:customStyle="1" w:styleId="126">
    <w:name w:val="网格型1"/>
    <w:basedOn w:val="33"/>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7">
    <w:name w:val="标题 4_0"/>
    <w:basedOn w:val="104"/>
    <w:next w:val="104"/>
    <w:autoRedefine/>
    <w:qFormat/>
    <w:uiPriority w:val="99"/>
    <w:pPr>
      <w:keepNext/>
      <w:keepLines/>
      <w:spacing w:before="280" w:after="290" w:line="374" w:lineRule="auto"/>
      <w:outlineLvl w:val="3"/>
    </w:pPr>
    <w:rPr>
      <w:rFonts w:ascii="Cambria Bold" w:hAnsi="Cambria Bold" w:eastAsia="ヒラギノ角ゴ Pro W3"/>
      <w:color w:val="000000"/>
      <w:sz w:val="28"/>
    </w:rPr>
  </w:style>
  <w:style w:type="paragraph" w:customStyle="1" w:styleId="128">
    <w:name w:val="纯文本_0"/>
    <w:autoRedefine/>
    <w:qFormat/>
    <w:uiPriority w:val="0"/>
    <w:pPr>
      <w:widowControl w:val="0"/>
      <w:jc w:val="both"/>
    </w:pPr>
    <w:rPr>
      <w:rFonts w:ascii="Arial Unicode MS" w:hAnsi="Arial Unicode MS" w:eastAsia="ヒラギノ角ゴ Pro W3" w:cstheme="minorBidi"/>
      <w:color w:val="000000"/>
      <w:kern w:val="2"/>
      <w:sz w:val="21"/>
      <w:szCs w:val="22"/>
      <w:lang w:val="en-US" w:eastAsia="zh-CN" w:bidi="ar-SA"/>
    </w:rPr>
  </w:style>
  <w:style w:type="paragraph" w:customStyle="1" w:styleId="129">
    <w:name w:val="样式 正文文本"/>
    <w:basedOn w:val="1"/>
    <w:autoRedefine/>
    <w:qFormat/>
    <w:uiPriority w:val="0"/>
    <w:pPr>
      <w:adjustRightInd w:val="0"/>
      <w:snapToGrid w:val="0"/>
      <w:spacing w:line="400" w:lineRule="exact"/>
      <w:ind w:firstLine="200" w:firstLineChars="200"/>
    </w:pPr>
    <w:rPr>
      <w:rFonts w:ascii="Arial" w:hAnsi="Arial" w:cs="Arial"/>
      <w:color w:val="000000"/>
    </w:rPr>
  </w:style>
  <w:style w:type="character" w:customStyle="1" w:styleId="130">
    <w:name w:val="zbggmain style9"/>
    <w:autoRedefine/>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C9F117-9608-4482-A33D-455AE83FD336}">
  <ds:schemaRefs/>
</ds:datastoreItem>
</file>

<file path=docProps/app.xml><?xml version="1.0" encoding="utf-8"?>
<Properties xmlns="http://schemas.openxmlformats.org/officeDocument/2006/extended-properties" xmlns:vt="http://schemas.openxmlformats.org/officeDocument/2006/docPropsVTypes">
  <Template>Normal</Template>
  <Pages>82</Pages>
  <Words>48502</Words>
  <Characters>51840</Characters>
  <Lines>430</Lines>
  <Paragraphs>121</Paragraphs>
  <TotalTime>12</TotalTime>
  <ScaleCrop>false</ScaleCrop>
  <LinksUpToDate>false</LinksUpToDate>
  <CharactersWithSpaces>56027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2023-05-07T01:51:00Z</dcterms:created>
  <dc:creator>j hj</dc:creator>
  <cp:lastModifiedBy>yaoiyao</cp:lastModifiedBy>
  <dcterms:modified xsi:type="dcterms:W3CDTF">2024-10-08T12:24:36Z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78AD0938CDFF4B2B8C1911ADAAB874F8_13</vt:lpwstr>
  </property>
</Properties>
</file>