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24"/>
        </w:rPr>
      </w:pPr>
      <w:bookmarkStart w:id="89" w:name="_GoBack"/>
    </w:p>
    <w:p>
      <w:pPr>
        <w:pStyle w:val="9"/>
        <w:rPr>
          <w:rFonts w:ascii="宋体" w:hAnsi="宋体" w:cs="宋体"/>
          <w:b/>
          <w:color w:val="auto"/>
          <w:kern w:val="0"/>
          <w:sz w:val="24"/>
          <w:szCs w:val="24"/>
        </w:rPr>
      </w:pPr>
    </w:p>
    <w:p>
      <w:pPr>
        <w:pStyle w:val="9"/>
        <w:rPr>
          <w:rFonts w:ascii="宋体" w:hAnsi="宋体" w:cs="宋体"/>
          <w:b/>
          <w:color w:val="auto"/>
          <w:kern w:val="0"/>
          <w:sz w:val="24"/>
          <w:szCs w:val="24"/>
        </w:rPr>
      </w:pPr>
    </w:p>
    <w:p>
      <w:pPr>
        <w:pStyle w:val="9"/>
        <w:rPr>
          <w:rFonts w:ascii="宋体" w:hAnsi="宋体" w:cs="宋体"/>
          <w:b/>
          <w:color w:val="auto"/>
          <w:kern w:val="0"/>
          <w:sz w:val="24"/>
          <w:szCs w:val="24"/>
        </w:rPr>
      </w:pPr>
    </w:p>
    <w:p>
      <w:pPr>
        <w:pStyle w:val="9"/>
        <w:rPr>
          <w:rFonts w:ascii="宋体" w:hAnsi="宋体" w:cs="宋体"/>
          <w:b/>
          <w:color w:val="auto"/>
          <w:kern w:val="0"/>
          <w:sz w:val="24"/>
          <w:szCs w:val="24"/>
        </w:rPr>
      </w:pPr>
    </w:p>
    <w:p>
      <w:pPr>
        <w:pStyle w:val="9"/>
        <w:rPr>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rPr>
      </w:pPr>
      <w:r>
        <w:rPr>
          <w:rFonts w:hint="eastAsia" w:ascii="宋体" w:hAnsi="宋体" w:cs="宋体"/>
          <w:b/>
          <w:color w:val="auto"/>
          <w:kern w:val="0"/>
          <w:sz w:val="52"/>
          <w:szCs w:val="52"/>
        </w:rPr>
        <w:t>台州市</w:t>
      </w:r>
      <w:r>
        <w:rPr>
          <w:rFonts w:hint="eastAsia" w:ascii="宋体" w:hAnsi="宋体" w:cs="宋体"/>
          <w:b/>
          <w:color w:val="auto"/>
          <w:kern w:val="0"/>
          <w:sz w:val="52"/>
          <w:szCs w:val="52"/>
          <w:lang w:eastAsia="zh-CN"/>
        </w:rPr>
        <w:t>椒江区</w:t>
      </w:r>
      <w:r>
        <w:rPr>
          <w:rFonts w:hint="eastAsia" w:ascii="宋体" w:hAnsi="宋体" w:cs="宋体"/>
          <w:b/>
          <w:color w:val="auto"/>
          <w:kern w:val="0"/>
          <w:sz w:val="52"/>
          <w:szCs w:val="52"/>
        </w:rPr>
        <w:t>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rPr>
      </w:pPr>
      <w:r>
        <w:rPr>
          <w:rFonts w:hint="eastAsia" w:ascii="宋体"/>
          <w:b/>
          <w:color w:val="auto"/>
          <w:kern w:val="0"/>
          <w:sz w:val="52"/>
          <w:szCs w:val="52"/>
        </w:rPr>
        <w:t>公开</w:t>
      </w:r>
      <w:r>
        <w:rPr>
          <w:rFonts w:hint="eastAsia" w:ascii="宋体" w:hAnsi="宋体" w:cs="宋体"/>
          <w:b/>
          <w:color w:val="auto"/>
          <w:kern w:val="0"/>
          <w:sz w:val="52"/>
          <w:szCs w:val="52"/>
        </w:rPr>
        <w:t>招标文件</w:t>
      </w:r>
    </w:p>
    <w:p>
      <w:pPr>
        <w:pStyle w:val="9"/>
        <w:ind w:firstLine="0"/>
        <w:jc w:val="center"/>
        <w:rPr>
          <w:color w:val="auto"/>
        </w:rPr>
      </w:pPr>
      <w:r>
        <w:rPr>
          <w:rFonts w:hint="eastAsia" w:ascii="宋体"/>
          <w:b/>
          <w:color w:val="auto"/>
          <w:kern w:val="0"/>
          <w:sz w:val="52"/>
          <w:szCs w:val="52"/>
        </w:rPr>
        <w:t>（电子交易）</w:t>
      </w:r>
    </w:p>
    <w:p>
      <w:pPr>
        <w:pStyle w:val="9"/>
        <w:rPr>
          <w:color w:val="auto"/>
        </w:rPr>
      </w:pPr>
    </w:p>
    <w:p>
      <w:pPr>
        <w:pStyle w:val="9"/>
        <w:rPr>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TZTX-2024-</w:t>
      </w:r>
      <w:r>
        <w:rPr>
          <w:rFonts w:hint="eastAsia" w:ascii="宋体" w:hAnsi="宋体" w:cs="宋体"/>
          <w:b/>
          <w:color w:val="auto"/>
          <w:kern w:val="0"/>
          <w:sz w:val="32"/>
          <w:szCs w:val="32"/>
          <w:highlight w:val="none"/>
          <w:lang w:eastAsia="zh-CN"/>
        </w:rPr>
        <w:t>GK030</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rPr>
      </w:pPr>
    </w:p>
    <w:p>
      <w:pPr>
        <w:autoSpaceDE w:val="0"/>
        <w:autoSpaceDN w:val="0"/>
        <w:adjustRightInd w:val="0"/>
        <w:spacing w:line="360" w:lineRule="auto"/>
        <w:rPr>
          <w:rFonts w:ascii="宋体" w:hAnsi="宋体" w:cs="宋体"/>
          <w:b/>
          <w:color w:val="auto"/>
          <w:kern w:val="0"/>
          <w:sz w:val="24"/>
        </w:rPr>
      </w:pPr>
    </w:p>
    <w:p>
      <w:pPr>
        <w:pStyle w:val="9"/>
        <w:ind w:firstLine="0"/>
        <w:rPr>
          <w:rFonts w:ascii="宋体" w:hAnsi="宋体" w:cs="宋体"/>
          <w:color w:val="auto"/>
          <w:kern w:val="0"/>
          <w:sz w:val="24"/>
          <w:szCs w:val="24"/>
        </w:rPr>
      </w:pPr>
    </w:p>
    <w:p>
      <w:pPr>
        <w:pStyle w:val="9"/>
        <w:ind w:firstLine="0"/>
        <w:rPr>
          <w:rFonts w:ascii="宋体" w:hAnsi="宋体" w:cs="宋体"/>
          <w:color w:val="auto"/>
          <w:kern w:val="0"/>
          <w:sz w:val="24"/>
          <w:szCs w:val="24"/>
        </w:rPr>
      </w:pPr>
    </w:p>
    <w:p>
      <w:pPr>
        <w:pStyle w:val="9"/>
        <w:ind w:firstLine="0"/>
        <w:rPr>
          <w:color w:val="auto"/>
        </w:rPr>
      </w:pPr>
    </w:p>
    <w:p>
      <w:pPr>
        <w:autoSpaceDE w:val="0"/>
        <w:autoSpaceDN w:val="0"/>
        <w:adjustRightInd w:val="0"/>
        <w:spacing w:line="360" w:lineRule="auto"/>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采购项目：</w:t>
      </w:r>
      <w:r>
        <w:rPr>
          <w:rFonts w:hint="eastAsia" w:ascii="宋体" w:hAnsi="宋体" w:cs="宋体"/>
          <w:color w:val="auto"/>
          <w:kern w:val="0"/>
          <w:sz w:val="28"/>
          <w:szCs w:val="28"/>
          <w:highlight w:val="none"/>
          <w:lang w:eastAsia="zh-CN"/>
        </w:rPr>
        <w:t>《椒江政协履职实践》丛书出版</w:t>
      </w:r>
      <w:r>
        <w:rPr>
          <w:rFonts w:hint="eastAsia" w:ascii="宋体" w:hAnsi="宋体" w:cs="宋体"/>
          <w:b w:val="0"/>
          <w:bCs w:val="0"/>
          <w:color w:val="auto"/>
          <w:kern w:val="0"/>
          <w:sz w:val="28"/>
          <w:szCs w:val="28"/>
          <w:highlight w:val="none"/>
          <w:lang w:eastAsia="zh-CN"/>
        </w:rPr>
        <w:t>印刷</w:t>
      </w:r>
      <w:r>
        <w:rPr>
          <w:rFonts w:hint="eastAsia" w:ascii="宋体" w:hAnsi="宋体" w:cs="宋体"/>
          <w:color w:val="auto"/>
          <w:kern w:val="0"/>
          <w:sz w:val="28"/>
          <w:szCs w:val="28"/>
          <w:highlight w:val="none"/>
          <w:lang w:eastAsia="zh-CN"/>
        </w:rPr>
        <w:t>项目</w:t>
      </w:r>
    </w:p>
    <w:p>
      <w:pPr>
        <w:autoSpaceDE w:val="0"/>
        <w:autoSpaceDN w:val="0"/>
        <w:adjustRightInd w:val="0"/>
        <w:spacing w:line="360" w:lineRule="auto"/>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采 购 人：</w:t>
      </w:r>
      <w:r>
        <w:rPr>
          <w:rFonts w:hint="eastAsia" w:ascii="宋体" w:hAnsi="宋体" w:cs="宋体"/>
          <w:color w:val="auto"/>
          <w:kern w:val="0"/>
          <w:sz w:val="28"/>
          <w:szCs w:val="28"/>
          <w:highlight w:val="none"/>
          <w:lang w:eastAsia="zh-CN"/>
        </w:rPr>
        <w:t>中国人民政治协商会议台州市椒江区委员会办公室</w:t>
      </w:r>
    </w:p>
    <w:p>
      <w:pPr>
        <w:autoSpaceDE w:val="0"/>
        <w:autoSpaceDN w:val="0"/>
        <w:adjustRightInd w:val="0"/>
        <w:spacing w:line="360" w:lineRule="auto"/>
        <w:rPr>
          <w:rFonts w:ascii="宋体" w:hAnsi="宋体" w:cs="宋体"/>
          <w:color w:val="auto"/>
          <w:kern w:val="0"/>
          <w:sz w:val="24"/>
        </w:rPr>
      </w:pPr>
    </w:p>
    <w:p>
      <w:pPr>
        <w:autoSpaceDE w:val="0"/>
        <w:autoSpaceDN w:val="0"/>
        <w:adjustRightInd w:val="0"/>
        <w:spacing w:line="360" w:lineRule="auto"/>
        <w:rPr>
          <w:rFonts w:ascii="宋体" w:hAnsi="宋体" w:cs="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rPr>
      </w:pPr>
    </w:p>
    <w:p>
      <w:pPr>
        <w:pStyle w:val="9"/>
        <w:rPr>
          <w:color w:val="auto"/>
        </w:rPr>
      </w:pPr>
    </w:p>
    <w:p>
      <w:pPr>
        <w:pStyle w:val="9"/>
        <w:rPr>
          <w:rFonts w:ascii="宋体" w:hAnsi="宋体" w:cs="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70"/>
        <w:jc w:val="center"/>
        <w:rPr>
          <w:rFonts w:ascii="宋体" w:hAnsi="宋体" w:cs="宋体"/>
          <w:color w:val="auto"/>
          <w:kern w:val="0"/>
          <w:sz w:val="28"/>
          <w:szCs w:val="28"/>
        </w:rPr>
      </w:pPr>
      <w:r>
        <w:rPr>
          <w:rFonts w:hint="eastAsia" w:ascii="宋体" w:hAnsi="宋体" w:cs="宋体"/>
          <w:color w:val="auto"/>
          <w:kern w:val="0"/>
          <w:sz w:val="28"/>
          <w:szCs w:val="28"/>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70"/>
        <w:jc w:val="center"/>
        <w:rPr>
          <w:rFonts w:ascii="宋体" w:hAnsi="宋体" w:cs="宋体"/>
          <w:color w:val="auto"/>
          <w:sz w:val="28"/>
          <w:szCs w:val="28"/>
        </w:rPr>
      </w:pPr>
      <w:r>
        <w:rPr>
          <w:rFonts w:hint="eastAsia" w:ascii="宋体" w:hAnsi="宋体" w:cs="宋体"/>
          <w:color w:val="auto"/>
          <w:kern w:val="0"/>
          <w:sz w:val="28"/>
          <w:szCs w:val="28"/>
        </w:rPr>
        <w:t>2024年</w:t>
      </w:r>
      <w:r>
        <w:rPr>
          <w:rFonts w:hint="eastAsia" w:ascii="宋体" w:hAnsi="宋体" w:cs="宋体"/>
          <w:color w:val="auto"/>
          <w:kern w:val="0"/>
          <w:sz w:val="28"/>
          <w:szCs w:val="28"/>
          <w:lang w:val="en-US" w:eastAsia="zh-CN"/>
        </w:rPr>
        <w:t>09</w:t>
      </w:r>
      <w:r>
        <w:rPr>
          <w:rFonts w:hint="eastAsia" w:ascii="宋体" w:hAnsi="宋体" w:cs="宋体"/>
          <w:color w:val="auto"/>
          <w:kern w:val="0"/>
          <w:sz w:val="28"/>
          <w:szCs w:val="28"/>
        </w:rPr>
        <w:t>月</w:t>
      </w:r>
    </w:p>
    <w:p>
      <w:pPr>
        <w:rPr>
          <w:color w:val="auto"/>
        </w:rPr>
      </w:pPr>
    </w:p>
    <w:p>
      <w:pPr>
        <w:pStyle w:val="19"/>
        <w:ind w:left="0" w:leftChars="0" w:firstLine="0"/>
        <w:rPr>
          <w:color w:val="auto"/>
        </w:rPr>
      </w:pPr>
      <w:bookmarkStart w:id="0" w:name="_Toc25017_WPSOffice_Type1"/>
    </w:p>
    <w:p>
      <w:pPr>
        <w:rPr>
          <w:color w:val="auto"/>
        </w:rPr>
      </w:pPr>
    </w:p>
    <w:p>
      <w:pPr>
        <w:pStyle w:val="9"/>
        <w:rPr>
          <w:color w:val="auto"/>
        </w:rPr>
      </w:pPr>
    </w:p>
    <w:p>
      <w:pPr>
        <w:pStyle w:val="9"/>
        <w:rPr>
          <w:color w:val="auto"/>
        </w:rPr>
      </w:pPr>
    </w:p>
    <w:p>
      <w:pPr>
        <w:pStyle w:val="9"/>
        <w:rPr>
          <w:color w:val="auto"/>
        </w:rPr>
      </w:pPr>
    </w:p>
    <w:p>
      <w:pPr>
        <w:pStyle w:val="9"/>
        <w:rPr>
          <w:color w:val="auto"/>
        </w:rPr>
      </w:pPr>
    </w:p>
    <w:p>
      <w:pPr>
        <w:spacing w:line="480" w:lineRule="auto"/>
        <w:jc w:val="center"/>
        <w:rPr>
          <w:rFonts w:ascii="宋体" w:hAnsi="宋体" w:cs="宋体"/>
          <w:color w:val="auto"/>
          <w:sz w:val="28"/>
          <w:szCs w:val="28"/>
        </w:rPr>
      </w:pPr>
      <w:r>
        <w:rPr>
          <w:rFonts w:hint="eastAsia" w:ascii="宋体" w:hAnsi="宋体" w:cs="宋体"/>
          <w:b/>
          <w:bCs/>
          <w:color w:val="auto"/>
          <w:sz w:val="28"/>
          <w:szCs w:val="28"/>
        </w:rPr>
        <w:t>目  录</w:t>
      </w:r>
    </w:p>
    <w:p>
      <w:pPr>
        <w:pStyle w:val="47"/>
        <w:tabs>
          <w:tab w:val="right" w:leader="dot" w:pos="8300"/>
        </w:tabs>
        <w:spacing w:line="480" w:lineRule="auto"/>
        <w:jc w:val="center"/>
        <w:rPr>
          <w:rFonts w:ascii="宋体" w:hAnsi="宋体" w:cs="宋体"/>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ascii="宋体" w:hAnsi="宋体" w:cs="宋体"/>
          <w:color w:val="auto"/>
          <w:sz w:val="28"/>
          <w:szCs w:val="28"/>
        </w:rPr>
        <w:t xml:space="preserve">第一章 </w:t>
      </w:r>
      <w:r>
        <w:rPr>
          <w:rFonts w:hint="eastAsia" w:ascii="宋体" w:hAnsi="宋体" w:cs="宋体"/>
          <w:color w:val="auto"/>
          <w:sz w:val="28"/>
          <w:szCs w:val="28"/>
          <w:lang w:eastAsia="zh-CN"/>
        </w:rPr>
        <w:t>公开招标公告</w:t>
      </w:r>
      <w:r>
        <w:rPr>
          <w:rFonts w:hint="eastAsia" w:ascii="宋体" w:hAnsi="宋体" w:cs="宋体"/>
          <w:color w:val="auto"/>
          <w:sz w:val="28"/>
          <w:szCs w:val="28"/>
        </w:rPr>
        <w:tab/>
      </w:r>
      <w:bookmarkStart w:id="1" w:name="_Toc4350_WPSOffice_Level1Page"/>
      <w:r>
        <w:rPr>
          <w:rFonts w:hint="eastAsia" w:ascii="宋体" w:hAnsi="宋体" w:cs="宋体"/>
          <w:color w:val="auto"/>
          <w:sz w:val="28"/>
          <w:szCs w:val="28"/>
        </w:rPr>
        <w:t>3</w:t>
      </w:r>
      <w:bookmarkEnd w:id="1"/>
      <w:r>
        <w:rPr>
          <w:rFonts w:hint="eastAsia" w:ascii="宋体" w:hAnsi="宋体" w:cs="宋体"/>
          <w:color w:val="auto"/>
          <w:sz w:val="28"/>
          <w:szCs w:val="28"/>
        </w:rPr>
        <w:fldChar w:fldCharType="end"/>
      </w:r>
    </w:p>
    <w:p>
      <w:pPr>
        <w:pStyle w:val="47"/>
        <w:tabs>
          <w:tab w:val="right" w:leader="dot" w:pos="8300"/>
        </w:tabs>
        <w:spacing w:line="480" w:lineRule="auto"/>
        <w:jc w:val="center"/>
        <w:rPr>
          <w:rFonts w:ascii="宋体" w:hAnsi="宋体" w:cs="宋体"/>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ascii="宋体" w:hAnsi="宋体" w:cs="宋体"/>
          <w:color w:val="auto"/>
          <w:sz w:val="28"/>
          <w:szCs w:val="28"/>
        </w:rPr>
        <w:t>第二章 投标人须知</w:t>
      </w:r>
      <w:r>
        <w:rPr>
          <w:rFonts w:hint="eastAsia" w:ascii="宋体" w:hAnsi="宋体" w:cs="宋体"/>
          <w:color w:val="auto"/>
          <w:sz w:val="28"/>
          <w:szCs w:val="28"/>
        </w:rPr>
        <w:tab/>
      </w:r>
      <w:r>
        <w:rPr>
          <w:rFonts w:hint="eastAsia" w:ascii="宋体" w:hAnsi="宋体" w:cs="宋体"/>
          <w:color w:val="auto"/>
          <w:sz w:val="28"/>
          <w:szCs w:val="28"/>
        </w:rPr>
        <w:t>5</w:t>
      </w:r>
      <w:r>
        <w:rPr>
          <w:rFonts w:hint="eastAsia" w:ascii="宋体" w:hAnsi="宋体" w:cs="宋体"/>
          <w:color w:val="auto"/>
          <w:sz w:val="28"/>
          <w:szCs w:val="28"/>
        </w:rPr>
        <w:fldChar w:fldCharType="end"/>
      </w:r>
    </w:p>
    <w:p>
      <w:pPr>
        <w:pStyle w:val="47"/>
        <w:tabs>
          <w:tab w:val="right" w:leader="dot" w:pos="8300"/>
        </w:tabs>
        <w:spacing w:line="480" w:lineRule="auto"/>
        <w:jc w:val="center"/>
        <w:rPr>
          <w:rFonts w:ascii="宋体" w:hAnsi="宋体" w:cs="宋体"/>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ascii="宋体" w:hAnsi="宋体" w:cs="宋体"/>
          <w:color w:val="auto"/>
          <w:sz w:val="28"/>
          <w:szCs w:val="28"/>
        </w:rPr>
        <w:t>第三章 招标需求</w:t>
      </w:r>
      <w:r>
        <w:rPr>
          <w:rFonts w:hint="eastAsia" w:ascii="宋体" w:hAnsi="宋体" w:cs="宋体"/>
          <w:color w:val="auto"/>
          <w:sz w:val="28"/>
          <w:szCs w:val="28"/>
        </w:rPr>
        <w:tab/>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t>3</w:t>
      </w:r>
    </w:p>
    <w:p>
      <w:pPr>
        <w:pStyle w:val="47"/>
        <w:tabs>
          <w:tab w:val="right" w:leader="dot" w:pos="8300"/>
        </w:tabs>
        <w:spacing w:line="480" w:lineRule="auto"/>
        <w:jc w:val="center"/>
        <w:rPr>
          <w:rFonts w:ascii="宋体" w:hAnsi="宋体" w:cs="宋体"/>
          <w:color w:val="auto"/>
          <w:sz w:val="28"/>
          <w:szCs w:val="28"/>
        </w:rPr>
      </w:pPr>
      <w:r>
        <w:rPr>
          <w:color w:val="auto"/>
        </w:rPr>
        <w:fldChar w:fldCharType="begin"/>
      </w:r>
      <w:r>
        <w:rPr>
          <w:color w:val="auto"/>
        </w:rPr>
        <w:instrText xml:space="preserve"> HYPERLINK \l "_Toc31173_WPSOffice_Level1" </w:instrText>
      </w:r>
      <w:r>
        <w:rPr>
          <w:color w:val="auto"/>
        </w:rPr>
        <w:fldChar w:fldCharType="separate"/>
      </w:r>
      <w:r>
        <w:rPr>
          <w:rFonts w:hint="eastAsia" w:ascii="宋体" w:hAnsi="宋体" w:cs="宋体"/>
          <w:color w:val="auto"/>
          <w:sz w:val="28"/>
          <w:szCs w:val="28"/>
        </w:rPr>
        <w:t>第四章 评标</w:t>
      </w:r>
      <w:r>
        <w:rPr>
          <w:rFonts w:hint="eastAsia" w:ascii="宋体" w:hAnsi="宋体" w:cs="宋体"/>
          <w:color w:val="auto"/>
          <w:sz w:val="28"/>
          <w:szCs w:val="28"/>
        </w:rPr>
        <w:tab/>
      </w:r>
      <w:r>
        <w:rPr>
          <w:rFonts w:hint="eastAsia" w:ascii="宋体" w:hAnsi="宋体" w:cs="宋体"/>
          <w:color w:val="auto"/>
          <w:sz w:val="28"/>
          <w:szCs w:val="28"/>
        </w:rPr>
        <w:t>16</w:t>
      </w:r>
      <w:r>
        <w:rPr>
          <w:rFonts w:hint="eastAsia" w:ascii="宋体" w:hAnsi="宋体" w:cs="宋体"/>
          <w:color w:val="auto"/>
          <w:sz w:val="28"/>
          <w:szCs w:val="28"/>
        </w:rPr>
        <w:fldChar w:fldCharType="end"/>
      </w:r>
    </w:p>
    <w:p>
      <w:pPr>
        <w:pStyle w:val="47"/>
        <w:tabs>
          <w:tab w:val="right" w:leader="dot" w:pos="8300"/>
        </w:tabs>
        <w:spacing w:line="480" w:lineRule="auto"/>
        <w:jc w:val="center"/>
        <w:rPr>
          <w:rFonts w:ascii="宋体" w:hAnsi="宋体" w:cs="宋体"/>
          <w:color w:val="auto"/>
          <w:sz w:val="28"/>
          <w:szCs w:val="28"/>
        </w:rPr>
      </w:pPr>
      <w:r>
        <w:rPr>
          <w:color w:val="auto"/>
        </w:rPr>
        <w:fldChar w:fldCharType="begin"/>
      </w:r>
      <w:r>
        <w:rPr>
          <w:color w:val="auto"/>
        </w:rPr>
        <w:instrText xml:space="preserve"> HYPERLINK \l "_Toc27944_WPSOffice_Level1" </w:instrText>
      </w:r>
      <w:r>
        <w:rPr>
          <w:color w:val="auto"/>
        </w:rPr>
        <w:fldChar w:fldCharType="separate"/>
      </w:r>
      <w:r>
        <w:rPr>
          <w:rFonts w:hint="eastAsia" w:ascii="宋体" w:hAnsi="宋体" w:cs="宋体"/>
          <w:color w:val="auto"/>
          <w:sz w:val="28"/>
          <w:szCs w:val="28"/>
        </w:rPr>
        <w:t>第五章 拟签订的合同文本</w:t>
      </w:r>
      <w:r>
        <w:rPr>
          <w:rFonts w:hint="eastAsia" w:ascii="宋体" w:hAnsi="宋体" w:cs="宋体"/>
          <w:color w:val="auto"/>
          <w:sz w:val="28"/>
          <w:szCs w:val="28"/>
        </w:rPr>
        <w:tab/>
      </w:r>
      <w:r>
        <w:rPr>
          <w:rFonts w:hint="eastAsia" w:ascii="宋体" w:hAnsi="宋体" w:cs="宋体"/>
          <w:color w:val="auto"/>
          <w:sz w:val="28"/>
          <w:szCs w:val="28"/>
        </w:rPr>
        <w:t>22</w:t>
      </w:r>
      <w:r>
        <w:rPr>
          <w:rFonts w:hint="eastAsia" w:ascii="宋体" w:hAnsi="宋体" w:cs="宋体"/>
          <w:color w:val="auto"/>
          <w:sz w:val="28"/>
          <w:szCs w:val="28"/>
        </w:rPr>
        <w:fldChar w:fldCharType="end"/>
      </w:r>
    </w:p>
    <w:p>
      <w:pPr>
        <w:pStyle w:val="47"/>
        <w:tabs>
          <w:tab w:val="right" w:leader="dot" w:pos="8300"/>
        </w:tabs>
        <w:spacing w:line="480" w:lineRule="auto"/>
        <w:jc w:val="center"/>
        <w:rPr>
          <w:rFonts w:ascii="宋体" w:hAnsi="宋体" w:cs="宋体"/>
          <w:color w:val="auto"/>
          <w:sz w:val="28"/>
          <w:szCs w:val="28"/>
        </w:rPr>
      </w:pPr>
      <w:r>
        <w:rPr>
          <w:color w:val="auto"/>
        </w:rPr>
        <w:fldChar w:fldCharType="begin"/>
      </w:r>
      <w:r>
        <w:rPr>
          <w:color w:val="auto"/>
        </w:rPr>
        <w:instrText xml:space="preserve"> HYPERLINK \l "_Toc5481_WPSOffice_Level1" </w:instrText>
      </w:r>
      <w:r>
        <w:rPr>
          <w:color w:val="auto"/>
        </w:rPr>
        <w:fldChar w:fldCharType="separate"/>
      </w:r>
      <w:r>
        <w:rPr>
          <w:rFonts w:hint="eastAsia" w:ascii="宋体" w:hAnsi="宋体" w:cs="宋体"/>
          <w:color w:val="auto"/>
          <w:sz w:val="28"/>
          <w:szCs w:val="28"/>
        </w:rPr>
        <w:t>第六章 投标文件格式</w:t>
      </w:r>
      <w:r>
        <w:rPr>
          <w:rFonts w:hint="eastAsia" w:ascii="宋体" w:hAnsi="宋体" w:cs="宋体"/>
          <w:color w:val="auto"/>
          <w:sz w:val="28"/>
          <w:szCs w:val="28"/>
        </w:rPr>
        <w:tab/>
      </w:r>
      <w:r>
        <w:rPr>
          <w:rFonts w:hint="eastAsia" w:ascii="宋体" w:hAnsi="宋体" w:cs="宋体"/>
          <w:color w:val="auto"/>
          <w:sz w:val="28"/>
          <w:szCs w:val="28"/>
        </w:rPr>
        <w:t>26</w:t>
      </w:r>
      <w:r>
        <w:rPr>
          <w:rFonts w:hint="eastAsia" w:ascii="宋体" w:hAnsi="宋体" w:cs="宋体"/>
          <w:color w:val="auto"/>
          <w:sz w:val="28"/>
          <w:szCs w:val="28"/>
        </w:rPr>
        <w:fldChar w:fldCharType="end"/>
      </w:r>
    </w:p>
    <w:bookmarkEnd w:id="0"/>
    <w:p>
      <w:pPr>
        <w:spacing w:line="480" w:lineRule="auto"/>
        <w:rPr>
          <w:rFonts w:ascii="宋体" w:hAnsi="宋体" w:cs="宋体"/>
          <w:color w:val="auto"/>
          <w:sz w:val="28"/>
          <w:szCs w:val="28"/>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9"/>
        <w:rPr>
          <w:color w:val="auto"/>
        </w:rPr>
      </w:pP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rPr>
      </w:pPr>
      <w:r>
        <w:rPr>
          <w:rFonts w:hint="eastAsia" w:ascii="宋体" w:hAnsi="宋体" w:cs="宋体"/>
          <w:b/>
          <w:color w:val="auto"/>
          <w:kern w:val="0"/>
          <w:sz w:val="36"/>
          <w:szCs w:val="36"/>
          <w:lang w:eastAsia="zh-CN"/>
        </w:rPr>
        <w:t>公开招标公告</w:t>
      </w:r>
    </w:p>
    <w:p>
      <w:pPr>
        <w:spacing w:line="360" w:lineRule="auto"/>
        <w:ind w:firstLine="480" w:firstLineChars="200"/>
        <w:jc w:val="left"/>
        <w:rPr>
          <w:rFonts w:ascii="宋体" w:hAnsi="宋体" w:cs="宋体"/>
          <w:color w:val="auto"/>
          <w:kern w:val="0"/>
          <w:sz w:val="24"/>
        </w:rPr>
      </w:pPr>
      <w:bookmarkStart w:id="2" w:name="_Toc35393621"/>
      <w:bookmarkStart w:id="3" w:name="_Toc35393790"/>
      <w:bookmarkStart w:id="4" w:name="_Toc28359079"/>
      <w:bookmarkStart w:id="5" w:name="_Toc28359002"/>
      <w:bookmarkStart w:id="6" w:name="_Hlk24379207"/>
      <w:r>
        <w:rPr>
          <w:rFonts w:hint="eastAsia" w:ascii="宋体" w:hAnsi="宋体" w:cs="宋体"/>
          <w:color w:val="auto"/>
          <w:kern w:val="0"/>
          <w:sz w:val="24"/>
        </w:rPr>
        <w:t>根据《中华人民共和国政府采购法》</w:t>
      </w:r>
      <w:r>
        <w:rPr>
          <w:rFonts w:hint="eastAsia" w:ascii="宋体"/>
          <w:color w:val="auto"/>
          <w:kern w:val="0"/>
          <w:sz w:val="24"/>
        </w:rPr>
        <w:t>、《中华人民共和国政府采购法实施条例》</w:t>
      </w:r>
      <w:r>
        <w:rPr>
          <w:rFonts w:hint="eastAsia" w:ascii="宋体" w:hAnsi="宋体"/>
          <w:color w:val="auto"/>
          <w:kern w:val="0"/>
          <w:sz w:val="24"/>
        </w:rPr>
        <w:t>和财政部令第87号《政府采购货物和服务招标投标管理办法》</w:t>
      </w:r>
      <w:r>
        <w:rPr>
          <w:rFonts w:hint="eastAsia" w:ascii="宋体" w:hAnsi="宋体" w:cs="宋体"/>
          <w:color w:val="auto"/>
          <w:sz w:val="24"/>
        </w:rPr>
        <w:t>等</w:t>
      </w:r>
      <w:r>
        <w:rPr>
          <w:rFonts w:hint="eastAsia" w:ascii="宋体" w:hAnsi="宋体" w:cs="宋体"/>
          <w:color w:val="auto"/>
          <w:kern w:val="0"/>
          <w:sz w:val="24"/>
        </w:rPr>
        <w:t>有关规定及区级</w:t>
      </w:r>
      <w:r>
        <w:rPr>
          <w:rFonts w:hint="eastAsia" w:ascii="宋体" w:hAnsi="宋体"/>
          <w:color w:val="auto"/>
          <w:sz w:val="24"/>
        </w:rPr>
        <w:t>政府采购（分散采购）预算执行确认书（椒财采确</w:t>
      </w:r>
      <w:r>
        <w:rPr>
          <w:rFonts w:hint="eastAsia" w:ascii="宋体" w:hAnsi="宋体"/>
          <w:b/>
          <w:bCs/>
          <w:color w:val="auto"/>
          <w:sz w:val="24"/>
          <w:lang w:eastAsia="zh-CN"/>
        </w:rPr>
        <w:t>临</w:t>
      </w:r>
      <w:r>
        <w:rPr>
          <w:rFonts w:hint="eastAsia" w:ascii="宋体" w:hAnsi="宋体"/>
          <w:b/>
          <w:color w:val="auto"/>
          <w:sz w:val="24"/>
        </w:rPr>
        <w:t>【2024】</w:t>
      </w:r>
      <w:r>
        <w:rPr>
          <w:rFonts w:hint="eastAsia" w:ascii="宋体" w:hAnsi="宋体"/>
          <w:b/>
          <w:color w:val="auto"/>
          <w:sz w:val="24"/>
          <w:lang w:val="en-US" w:eastAsia="zh-CN"/>
        </w:rPr>
        <w:t>1732</w:t>
      </w:r>
      <w:r>
        <w:rPr>
          <w:rFonts w:hint="eastAsia" w:ascii="宋体" w:hAnsi="宋体"/>
          <w:b/>
          <w:color w:val="auto"/>
          <w:sz w:val="24"/>
        </w:rPr>
        <w:t>号</w:t>
      </w:r>
      <w:r>
        <w:rPr>
          <w:rFonts w:hint="eastAsia" w:ascii="宋体" w:hAnsi="宋体"/>
          <w:color w:val="auto"/>
          <w:sz w:val="24"/>
        </w:rPr>
        <w:t>）</w:t>
      </w:r>
      <w:r>
        <w:rPr>
          <w:rFonts w:hint="eastAsia" w:ascii="宋体" w:hAnsi="宋体" w:cs="宋体"/>
          <w:color w:val="auto"/>
          <w:kern w:val="0"/>
          <w:sz w:val="24"/>
        </w:rPr>
        <w:t>，</w:t>
      </w:r>
      <w:r>
        <w:rPr>
          <w:rFonts w:hint="eastAsia" w:ascii="宋体" w:hAnsi="宋体"/>
          <w:color w:val="auto"/>
          <w:sz w:val="24"/>
        </w:rPr>
        <w:t>台州天兴工程管理咨询有限公司</w:t>
      </w:r>
      <w:r>
        <w:rPr>
          <w:rFonts w:hint="eastAsia" w:ascii="宋体" w:hAnsi="宋体" w:cs="宋体"/>
          <w:color w:val="auto"/>
          <w:kern w:val="0"/>
          <w:sz w:val="24"/>
        </w:rPr>
        <w:t>受</w:t>
      </w:r>
      <w:r>
        <w:rPr>
          <w:rFonts w:hint="eastAsia" w:ascii="宋体" w:hAnsi="宋体" w:cs="宋体"/>
          <w:color w:val="auto"/>
          <w:sz w:val="24"/>
        </w:rPr>
        <w:t>采购人</w:t>
      </w:r>
      <w:r>
        <w:rPr>
          <w:rFonts w:hint="eastAsia" w:ascii="宋体" w:hAnsi="宋体" w:cs="宋体"/>
          <w:color w:val="auto"/>
          <w:kern w:val="0"/>
          <w:sz w:val="24"/>
        </w:rPr>
        <w:t>的委托，</w:t>
      </w:r>
      <w:r>
        <w:rPr>
          <w:rFonts w:hint="eastAsia" w:ascii="宋体"/>
          <w:color w:val="auto"/>
          <w:kern w:val="0"/>
          <w:sz w:val="24"/>
        </w:rPr>
        <w:t>就</w:t>
      </w:r>
      <w:r>
        <w:rPr>
          <w:rFonts w:hint="eastAsia" w:ascii="宋体" w:hAnsi="宋体" w:cs="宋体"/>
          <w:color w:val="auto"/>
          <w:sz w:val="24"/>
          <w:u w:val="single"/>
          <w:lang w:eastAsia="zh-CN"/>
        </w:rPr>
        <w:t>《椒江政协履职实践》丛书出版印刷项目</w:t>
      </w:r>
      <w:r>
        <w:rPr>
          <w:rFonts w:hint="eastAsia" w:ascii="宋体" w:hAnsi="宋体" w:cs="宋体"/>
          <w:color w:val="auto"/>
          <w:kern w:val="0"/>
          <w:sz w:val="24"/>
        </w:rPr>
        <w:t>进行公开招标</w:t>
      </w:r>
      <w:r>
        <w:rPr>
          <w:rFonts w:hint="eastAsia" w:ascii="宋体" w:hAnsi="宋体"/>
          <w:color w:val="auto"/>
          <w:kern w:val="0"/>
          <w:sz w:val="24"/>
        </w:rPr>
        <w:t>，欢迎符合资格条件的国内投标人参加投标。</w:t>
      </w:r>
    </w:p>
    <w:p>
      <w:pPr>
        <w:pStyle w:val="4"/>
        <w:ind w:firstLine="482" w:firstLineChars="200"/>
        <w:rPr>
          <w:rFonts w:cs="宋体"/>
          <w:bCs/>
          <w:color w:val="auto"/>
          <w:sz w:val="24"/>
          <w:szCs w:val="24"/>
        </w:rPr>
      </w:pPr>
      <w:r>
        <w:rPr>
          <w:rFonts w:hint="eastAsia" w:cs="宋体"/>
          <w:bCs/>
          <w:color w:val="auto"/>
          <w:sz w:val="24"/>
          <w:szCs w:val="24"/>
        </w:rPr>
        <w:t>一、项目基本情况</w:t>
      </w:r>
      <w:bookmarkEnd w:id="2"/>
      <w:bookmarkEnd w:id="3"/>
      <w:bookmarkEnd w:id="4"/>
      <w:bookmarkEnd w:id="5"/>
    </w:p>
    <w:p>
      <w:pPr>
        <w:spacing w:line="360" w:lineRule="auto"/>
        <w:ind w:firstLine="480" w:firstLineChars="200"/>
        <w:rPr>
          <w:rFonts w:hint="eastAsia" w:ascii="宋体" w:hAnsi="宋体" w:eastAsia="宋体" w:cs="宋体"/>
          <w:color w:val="auto"/>
          <w:sz w:val="24"/>
          <w:highlight w:val="yellow"/>
          <w:lang w:eastAsia="zh-CN"/>
        </w:rPr>
      </w:pPr>
      <w:r>
        <w:rPr>
          <w:rFonts w:hint="eastAsia" w:ascii="宋体" w:hAnsi="宋体" w:cs="宋体"/>
          <w:color w:val="auto"/>
          <w:sz w:val="24"/>
        </w:rPr>
        <w:t>项目编号</w:t>
      </w:r>
      <w:r>
        <w:rPr>
          <w:rFonts w:hint="eastAsia" w:ascii="宋体" w:hAnsi="宋体" w:cs="宋体"/>
          <w:color w:val="auto"/>
          <w:sz w:val="24"/>
          <w:highlight w:val="none"/>
        </w:rPr>
        <w:t>：</w:t>
      </w:r>
      <w:r>
        <w:rPr>
          <w:rFonts w:hint="eastAsia" w:ascii="宋体" w:hAnsi="宋体" w:cs="宋体"/>
          <w:b/>
          <w:color w:val="auto"/>
          <w:sz w:val="24"/>
          <w:highlight w:val="none"/>
        </w:rPr>
        <w:t>TZTX-2024-</w:t>
      </w:r>
      <w:r>
        <w:rPr>
          <w:rFonts w:hint="eastAsia" w:ascii="宋体" w:hAnsi="宋体" w:cs="宋体"/>
          <w:b/>
          <w:color w:val="auto"/>
          <w:sz w:val="24"/>
          <w:highlight w:val="none"/>
          <w:lang w:eastAsia="zh-CN"/>
        </w:rPr>
        <w:t>GK030</w:t>
      </w:r>
    </w:p>
    <w:bookmarkEnd w:id="6"/>
    <w:p>
      <w:pPr>
        <w:spacing w:line="360" w:lineRule="auto"/>
        <w:ind w:firstLine="480" w:firstLineChars="200"/>
        <w:rPr>
          <w:rFonts w:hint="eastAsia" w:ascii="宋体" w:hAnsi="宋体" w:eastAsia="宋体" w:cs="宋体"/>
          <w:b/>
          <w:color w:val="auto"/>
          <w:sz w:val="24"/>
          <w:highlight w:val="yellow"/>
          <w:lang w:eastAsia="zh-CN"/>
        </w:rPr>
      </w:pPr>
      <w:r>
        <w:rPr>
          <w:rFonts w:hint="eastAsia" w:ascii="宋体" w:hAnsi="宋体" w:cs="宋体"/>
          <w:color w:val="auto"/>
          <w:sz w:val="24"/>
        </w:rPr>
        <w:t>项目名</w:t>
      </w:r>
      <w:r>
        <w:rPr>
          <w:rFonts w:hint="eastAsia" w:ascii="宋体" w:hAnsi="宋体" w:cs="宋体"/>
          <w:color w:val="auto"/>
          <w:sz w:val="24"/>
          <w:highlight w:val="none"/>
        </w:rPr>
        <w:t>称：</w:t>
      </w:r>
      <w:r>
        <w:rPr>
          <w:rFonts w:hint="eastAsia" w:ascii="宋体" w:hAnsi="宋体" w:cs="宋体"/>
          <w:b/>
          <w:color w:val="auto"/>
          <w:sz w:val="24"/>
          <w:highlight w:val="none"/>
          <w:lang w:eastAsia="zh-CN"/>
        </w:rPr>
        <w:t>《椒江政协履职实践》丛书出版印刷项目</w:t>
      </w:r>
    </w:p>
    <w:tbl>
      <w:tblPr>
        <w:tblStyle w:val="20"/>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628"/>
        <w:gridCol w:w="1662"/>
        <w:gridCol w:w="108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28"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标项号</w:t>
            </w:r>
          </w:p>
        </w:tc>
        <w:tc>
          <w:tcPr>
            <w:tcW w:w="2628" w:type="dxa"/>
            <w:vAlign w:val="center"/>
          </w:tcPr>
          <w:p>
            <w:pPr>
              <w:tabs>
                <w:tab w:val="left" w:pos="8280"/>
              </w:tabs>
              <w:autoSpaceDE w:val="0"/>
              <w:autoSpaceDN w:val="0"/>
              <w:adjustRightInd w:val="0"/>
              <w:ind w:firstLine="120" w:firstLineChars="50"/>
              <w:jc w:val="center"/>
              <w:rPr>
                <w:rFonts w:ascii="宋体" w:hAnsi="宋体" w:cs="宋体"/>
                <w:b/>
                <w:color w:val="auto"/>
                <w:sz w:val="24"/>
              </w:rPr>
            </w:pPr>
            <w:r>
              <w:rPr>
                <w:rFonts w:hint="eastAsia" w:ascii="宋体" w:hAnsi="宋体" w:cs="宋体"/>
                <w:b/>
                <w:color w:val="auto"/>
                <w:sz w:val="24"/>
              </w:rPr>
              <w:t>标项名称</w:t>
            </w:r>
          </w:p>
        </w:tc>
        <w:tc>
          <w:tcPr>
            <w:tcW w:w="1662" w:type="dxa"/>
            <w:vAlign w:val="center"/>
          </w:tcPr>
          <w:p>
            <w:pPr>
              <w:tabs>
                <w:tab w:val="left" w:pos="8280"/>
              </w:tabs>
              <w:autoSpaceDE w:val="0"/>
              <w:autoSpaceDN w:val="0"/>
              <w:adjustRightInd w:val="0"/>
              <w:jc w:val="center"/>
              <w:rPr>
                <w:rFonts w:ascii="宋体" w:hAnsi="宋体" w:cs="宋体"/>
                <w:b/>
                <w:color w:val="auto"/>
                <w:kern w:val="0"/>
                <w:sz w:val="24"/>
              </w:rPr>
            </w:pPr>
            <w:r>
              <w:rPr>
                <w:rFonts w:hint="eastAsia" w:ascii="宋体" w:hAnsi="宋体" w:cs="宋体"/>
                <w:b/>
                <w:color w:val="auto"/>
                <w:kern w:val="0"/>
                <w:sz w:val="24"/>
              </w:rPr>
              <w:t>简要技术要求</w:t>
            </w:r>
          </w:p>
        </w:tc>
        <w:tc>
          <w:tcPr>
            <w:tcW w:w="1086"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kern w:val="0"/>
                <w:sz w:val="24"/>
              </w:rPr>
              <w:t>数量</w:t>
            </w:r>
          </w:p>
        </w:tc>
        <w:tc>
          <w:tcPr>
            <w:tcW w:w="1559" w:type="dxa"/>
            <w:vAlign w:val="center"/>
          </w:tcPr>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预算金额</w:t>
            </w:r>
          </w:p>
          <w:p>
            <w:pPr>
              <w:tabs>
                <w:tab w:val="left" w:pos="8280"/>
              </w:tabs>
              <w:autoSpaceDE w:val="0"/>
              <w:autoSpaceDN w:val="0"/>
              <w:adjustRightInd w:val="0"/>
              <w:jc w:val="center"/>
              <w:rPr>
                <w:rFonts w:ascii="宋体" w:hAnsi="宋体" w:cs="宋体"/>
                <w:b/>
                <w:color w:val="auto"/>
                <w:sz w:val="24"/>
              </w:rPr>
            </w:pPr>
            <w:r>
              <w:rPr>
                <w:rFonts w:hint="eastAsia" w:ascii="宋体" w:hAnsi="宋体" w:cs="宋体"/>
                <w:b/>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28" w:type="dxa"/>
            <w:vAlign w:val="center"/>
          </w:tcPr>
          <w:p>
            <w:pPr>
              <w:tabs>
                <w:tab w:val="left" w:pos="8280"/>
              </w:tabs>
              <w:autoSpaceDE w:val="0"/>
              <w:autoSpaceDN w:val="0"/>
              <w:adjustRightInd w:val="0"/>
              <w:jc w:val="center"/>
              <w:rPr>
                <w:rFonts w:ascii="宋体" w:hAnsi="宋体" w:cs="宋体"/>
                <w:color w:val="auto"/>
                <w:sz w:val="24"/>
              </w:rPr>
            </w:pPr>
            <w:r>
              <w:rPr>
                <w:rFonts w:hint="eastAsia" w:ascii="宋体" w:hAnsi="宋体" w:cs="宋体"/>
                <w:color w:val="auto"/>
                <w:sz w:val="24"/>
              </w:rPr>
              <w:t>1</w:t>
            </w:r>
          </w:p>
        </w:tc>
        <w:tc>
          <w:tcPr>
            <w:tcW w:w="2628" w:type="dxa"/>
            <w:vAlign w:val="center"/>
          </w:tcPr>
          <w:p>
            <w:pPr>
              <w:tabs>
                <w:tab w:val="left" w:pos="8280"/>
              </w:tabs>
              <w:autoSpaceDE w:val="0"/>
              <w:autoSpaceDN w:val="0"/>
              <w:adjustRightInd w:val="0"/>
              <w:jc w:val="center"/>
              <w:rPr>
                <w:rFonts w:ascii="宋体" w:hAnsi="宋体" w:cs="宋体"/>
                <w:bCs/>
                <w:color w:val="auto"/>
                <w:sz w:val="24"/>
              </w:rPr>
            </w:pPr>
            <w:r>
              <w:rPr>
                <w:rFonts w:hint="eastAsia" w:ascii="宋体" w:hAnsi="宋体" w:cs="宋体"/>
                <w:b/>
                <w:color w:val="auto"/>
                <w:sz w:val="24"/>
                <w:highlight w:val="none"/>
                <w:lang w:eastAsia="zh-CN"/>
              </w:rPr>
              <w:t>《椒江政协履职实践》丛书出版印刷项目</w:t>
            </w:r>
          </w:p>
        </w:tc>
        <w:tc>
          <w:tcPr>
            <w:tcW w:w="1662" w:type="dxa"/>
            <w:vAlign w:val="center"/>
          </w:tcPr>
          <w:p>
            <w:pPr>
              <w:tabs>
                <w:tab w:val="left" w:pos="8280"/>
              </w:tabs>
              <w:autoSpaceDE w:val="0"/>
              <w:autoSpaceDN w:val="0"/>
              <w:adjustRightInd w:val="0"/>
              <w:rPr>
                <w:rFonts w:ascii="宋体" w:hAnsi="宋体" w:cs="宋体"/>
                <w:bCs/>
                <w:color w:val="auto"/>
                <w:sz w:val="24"/>
              </w:rPr>
            </w:pPr>
            <w:r>
              <w:rPr>
                <w:rFonts w:hint="eastAsia" w:ascii="宋体" w:hAnsi="宋体" w:cs="宋体"/>
                <w:bCs/>
                <w:color w:val="auto"/>
                <w:sz w:val="24"/>
              </w:rPr>
              <w:t>详见第三章招标需求</w:t>
            </w:r>
          </w:p>
        </w:tc>
        <w:tc>
          <w:tcPr>
            <w:tcW w:w="1086" w:type="dxa"/>
            <w:vAlign w:val="center"/>
          </w:tcPr>
          <w:p>
            <w:pPr>
              <w:tabs>
                <w:tab w:val="left" w:pos="8280"/>
              </w:tabs>
              <w:autoSpaceDE w:val="0"/>
              <w:autoSpaceDN w:val="0"/>
              <w:adjustRightInd w:val="0"/>
              <w:ind w:firstLine="240"/>
              <w:jc w:val="center"/>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1批</w:t>
            </w:r>
          </w:p>
        </w:tc>
        <w:tc>
          <w:tcPr>
            <w:tcW w:w="1559" w:type="dxa"/>
            <w:vAlign w:val="center"/>
          </w:tcPr>
          <w:p>
            <w:pPr>
              <w:tabs>
                <w:tab w:val="left" w:pos="8280"/>
              </w:tabs>
              <w:autoSpaceDE w:val="0"/>
              <w:autoSpaceDN w:val="0"/>
              <w:adjustRightInd w:val="0"/>
              <w:jc w:val="center"/>
              <w:rPr>
                <w:rFonts w:hint="default" w:ascii="宋体" w:hAnsi="宋体" w:eastAsia="宋体" w:cs="宋体"/>
                <w:b/>
                <w:bCs/>
                <w:color w:val="auto"/>
                <w:sz w:val="24"/>
                <w:lang w:val="en-US" w:eastAsia="zh-CN"/>
              </w:rPr>
            </w:pPr>
            <w:r>
              <w:rPr>
                <w:rFonts w:hint="eastAsia" w:ascii="宋体" w:hAnsi="宋体" w:cs="宋体"/>
                <w:b/>
                <w:bCs/>
                <w:color w:val="auto"/>
                <w:sz w:val="24"/>
                <w:szCs w:val="24"/>
                <w:lang w:val="en-US" w:eastAsia="zh-CN"/>
              </w:rPr>
              <w:t>30.9800</w:t>
            </w:r>
          </w:p>
        </w:tc>
      </w:tr>
    </w:tbl>
    <w:p>
      <w:pPr>
        <w:pStyle w:val="4"/>
        <w:ind w:right="0" w:firstLine="482" w:firstLineChars="200"/>
        <w:rPr>
          <w:rFonts w:cs="宋体"/>
          <w:bCs/>
          <w:color w:val="auto"/>
          <w:sz w:val="24"/>
          <w:szCs w:val="24"/>
        </w:rPr>
      </w:pPr>
      <w:bookmarkStart w:id="7" w:name="_Toc28359003"/>
      <w:bookmarkStart w:id="8" w:name="_Toc28359080"/>
      <w:bookmarkStart w:id="9" w:name="_Toc35393791"/>
      <w:bookmarkStart w:id="10" w:name="_Toc35393622"/>
      <w:r>
        <w:rPr>
          <w:rFonts w:hint="eastAsia" w:cs="宋体"/>
          <w:bCs/>
          <w:color w:val="auto"/>
          <w:sz w:val="24"/>
          <w:szCs w:val="24"/>
        </w:rPr>
        <w:t>二、投标人的资格要求</w:t>
      </w:r>
      <w:bookmarkEnd w:id="7"/>
      <w:bookmarkEnd w:id="8"/>
      <w:bookmarkEnd w:id="9"/>
      <w:bookmarkEnd w:id="10"/>
    </w:p>
    <w:p>
      <w:pPr>
        <w:spacing w:line="360" w:lineRule="auto"/>
        <w:ind w:firstLine="480" w:firstLineChars="200"/>
        <w:rPr>
          <w:rFonts w:ascii="宋体" w:hAnsi="宋体" w:cs="宋体"/>
          <w:color w:val="auto"/>
          <w:sz w:val="24"/>
        </w:rPr>
      </w:pPr>
      <w:r>
        <w:rPr>
          <w:rFonts w:hint="eastAsia" w:ascii="宋体" w:hAnsi="宋体" w:cs="宋体"/>
          <w:color w:val="auto"/>
          <w:sz w:val="24"/>
        </w:rPr>
        <w:t>（一）满足《中华人民共和国政府采购法》第二十二条规定</w:t>
      </w:r>
      <w:bookmarkStart w:id="11" w:name="_Toc35393792"/>
      <w:bookmarkStart w:id="12" w:name="_Toc28359081"/>
      <w:bookmarkStart w:id="13" w:name="_Toc35393623"/>
      <w:bookmarkStart w:id="14" w:name="_Toc28359004"/>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（二）本项目的特定资格要求：</w:t>
      </w:r>
      <w:r>
        <w:rPr>
          <w:rFonts w:hint="eastAsia" w:ascii="宋体" w:hAnsi="宋体" w:cs="宋体"/>
          <w:b/>
          <w:color w:val="auto"/>
          <w:sz w:val="24"/>
          <w:lang w:eastAsia="zh-CN"/>
        </w:rPr>
        <w:t>无</w:t>
      </w:r>
      <w:r>
        <w:rPr>
          <w:rFonts w:hint="eastAsia" w:ascii="宋体" w:hAnsi="宋体" w:cs="宋体"/>
          <w:b/>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（三）本项目</w:t>
      </w:r>
      <w:r>
        <w:rPr>
          <w:rFonts w:hint="eastAsia" w:ascii="宋体" w:hAnsi="宋体" w:cs="宋体"/>
          <w:color w:val="auto"/>
          <w:sz w:val="24"/>
          <w:lang w:val="en-US" w:eastAsia="zh-CN"/>
        </w:rPr>
        <w:t xml:space="preserve"> </w:t>
      </w:r>
      <w:r>
        <w:rPr>
          <w:rFonts w:hint="eastAsia" w:ascii="宋体" w:hAnsi="宋体" w:cs="宋体"/>
          <w:b/>
          <w:bCs/>
          <w:color w:val="auto"/>
          <w:sz w:val="24"/>
        </w:rPr>
        <w:t>不接受</w:t>
      </w:r>
      <w:r>
        <w:rPr>
          <w:rFonts w:hint="eastAsia" w:ascii="宋体" w:hAnsi="宋体" w:cs="宋体"/>
          <w:b/>
          <w:bCs/>
          <w:color w:val="auto"/>
          <w:sz w:val="24"/>
          <w:lang w:val="en-US" w:eastAsia="zh-CN"/>
        </w:rPr>
        <w:t xml:space="preserve"> </w:t>
      </w:r>
      <w:r>
        <w:rPr>
          <w:rFonts w:hint="eastAsia" w:ascii="宋体" w:hAnsi="宋体" w:cs="宋体"/>
          <w:color w:val="auto"/>
          <w:sz w:val="24"/>
        </w:rPr>
        <w:t>联合体投标。</w:t>
      </w:r>
    </w:p>
    <w:p>
      <w:pPr>
        <w:spacing w:line="360" w:lineRule="auto"/>
        <w:ind w:firstLine="480" w:firstLineChars="200"/>
        <w:rPr>
          <w:rFonts w:ascii="宋体" w:hAnsi="宋体" w:cs="宋体"/>
          <w:color w:val="auto"/>
          <w:sz w:val="24"/>
        </w:rPr>
      </w:pPr>
      <w:r>
        <w:rPr>
          <w:rFonts w:hint="eastAsia" w:ascii="宋体" w:hAnsi="宋体" w:cs="宋体"/>
          <w:color w:val="auto"/>
          <w:sz w:val="24"/>
        </w:rPr>
        <w:t>（四）本项目</w:t>
      </w:r>
      <w:r>
        <w:rPr>
          <w:rFonts w:hint="eastAsia" w:ascii="宋体" w:hAnsi="宋体" w:cs="宋体"/>
          <w:b/>
          <w:bCs/>
          <w:color w:val="auto"/>
          <w:sz w:val="24"/>
          <w:lang w:eastAsia="zh-CN"/>
        </w:rPr>
        <w:t>专门面向</w:t>
      </w:r>
      <w:r>
        <w:rPr>
          <w:rFonts w:hint="eastAsia" w:ascii="宋体" w:hAnsi="宋体" w:cs="宋体"/>
          <w:b/>
          <w:bCs/>
          <w:color w:val="auto"/>
          <w:sz w:val="24"/>
        </w:rPr>
        <w:t>中小企业</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（五）信用记录：未被“信用中国”（www.creditchina.gov.cn)、中国政府采购网（www.ccgp.gov.cn）列入失信被执行人、重大税收违法失信主体、政府采购严重违法失信行为记录名单。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（六）法律、行政法规规定的其他条件：单位负责人为同一人或者存在直接控股、管理关系的不同供应商，不得同时参加同一项目投标。</w:t>
      </w:r>
      <w:r>
        <w:rPr>
          <w:rFonts w:hint="eastAsia" w:ascii="宋体" w:hAnsi="宋体" w:cs="宋体"/>
          <w:b w:val="0"/>
          <w:bCs w:val="0"/>
          <w:color w:val="auto"/>
          <w:sz w:val="24"/>
        </w:rPr>
        <w:t>为</w:t>
      </w:r>
      <w:r>
        <w:rPr>
          <w:rFonts w:hint="eastAsia" w:ascii="宋体" w:hAnsi="宋体" w:cs="宋体"/>
          <w:b w:val="0"/>
          <w:bCs w:val="0"/>
          <w:color w:val="auto"/>
          <w:sz w:val="24"/>
          <w:lang w:eastAsia="zh-CN"/>
        </w:rPr>
        <w:t>本</w:t>
      </w:r>
      <w:r>
        <w:rPr>
          <w:rFonts w:hint="eastAsia" w:ascii="宋体" w:hAnsi="宋体" w:cs="宋体"/>
          <w:b w:val="0"/>
          <w:bCs w:val="0"/>
          <w:color w:val="auto"/>
          <w:sz w:val="24"/>
        </w:rPr>
        <w:t>项目提供整体设计、规范编制或者项目管理、监理、检测等服务的供应商，不得再参</w:t>
      </w:r>
      <w:r>
        <w:rPr>
          <w:rFonts w:hint="eastAsia" w:ascii="宋体" w:hAnsi="宋体" w:cs="宋体"/>
          <w:b w:val="0"/>
          <w:bCs w:val="0"/>
          <w:color w:val="auto"/>
          <w:sz w:val="24"/>
          <w:lang w:eastAsia="zh-CN"/>
        </w:rPr>
        <w:t>与本</w:t>
      </w:r>
      <w:r>
        <w:rPr>
          <w:rFonts w:hint="eastAsia" w:ascii="宋体" w:hAnsi="宋体" w:cs="宋体"/>
          <w:b w:val="0"/>
          <w:bCs w:val="0"/>
          <w:color w:val="auto"/>
          <w:sz w:val="24"/>
        </w:rPr>
        <w:t>项目</w:t>
      </w:r>
      <w:r>
        <w:rPr>
          <w:rFonts w:hint="eastAsia" w:ascii="宋体" w:hAnsi="宋体" w:cs="宋体"/>
          <w:b w:val="0"/>
          <w:bCs w:val="0"/>
          <w:color w:val="auto"/>
          <w:sz w:val="24"/>
          <w:lang w:eastAsia="zh-CN"/>
        </w:rPr>
        <w:t>投标</w:t>
      </w:r>
      <w:r>
        <w:rPr>
          <w:rFonts w:hint="eastAsia" w:ascii="宋体" w:hAnsi="宋体" w:cs="宋体"/>
          <w:b w:val="0"/>
          <w:bCs w:val="0"/>
          <w:color w:val="auto"/>
          <w:sz w:val="24"/>
        </w:rPr>
        <w:t>。</w:t>
      </w:r>
    </w:p>
    <w:p>
      <w:pPr>
        <w:pStyle w:val="4"/>
        <w:ind w:right="0" w:firstLine="482" w:firstLineChars="200"/>
        <w:rPr>
          <w:rFonts w:cs="宋体"/>
          <w:bCs/>
          <w:color w:val="auto"/>
          <w:sz w:val="24"/>
          <w:szCs w:val="24"/>
        </w:rPr>
      </w:pPr>
      <w:r>
        <w:rPr>
          <w:rFonts w:hint="eastAsia" w:cs="宋体"/>
          <w:bCs/>
          <w:color w:val="auto"/>
          <w:sz w:val="24"/>
          <w:szCs w:val="24"/>
        </w:rPr>
        <w:t>三、获取招标文件</w:t>
      </w:r>
      <w:bookmarkEnd w:id="11"/>
      <w:bookmarkEnd w:id="12"/>
      <w:bookmarkEnd w:id="13"/>
      <w:bookmarkEnd w:id="14"/>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rPr>
        <w:t>公告发布时间</w:t>
      </w:r>
      <w:r>
        <w:rPr>
          <w:rFonts w:hint="eastAsia" w:ascii="宋体" w:hAnsi="宋体" w:cs="宋体"/>
          <w:color w:val="auto"/>
          <w:sz w:val="24"/>
        </w:rPr>
        <w:t xml:space="preserve"> 至 </w:t>
      </w:r>
      <w:r>
        <w:rPr>
          <w:rFonts w:hint="eastAsia" w:ascii="宋体" w:hAnsi="宋体" w:cs="宋体"/>
          <w:color w:val="auto"/>
          <w:sz w:val="24"/>
          <w:u w:val="single"/>
        </w:rPr>
        <w:t>投标截止时间</w:t>
      </w:r>
    </w:p>
    <w:p>
      <w:pPr>
        <w:pStyle w:val="26"/>
        <w:spacing w:line="360" w:lineRule="auto"/>
        <w:ind w:firstLine="480" w:firstLineChars="200"/>
        <w:jc w:val="both"/>
        <w:rPr>
          <w:rFonts w:ascii="宋体" w:hAnsi="宋体" w:eastAsia="宋体"/>
          <w:color w:val="auto"/>
          <w:sz w:val="24"/>
          <w:szCs w:val="24"/>
        </w:rPr>
      </w:pPr>
      <w:r>
        <w:rPr>
          <w:rFonts w:hint="eastAsia" w:ascii="宋体" w:hAnsi="宋体" w:eastAsia="宋体"/>
          <w:color w:val="auto"/>
          <w:sz w:val="24"/>
          <w:szCs w:val="24"/>
        </w:rPr>
        <w:t>（二）方式：浙江政府采购网</w:t>
      </w:r>
      <w:r>
        <w:rPr>
          <w:rFonts w:hint="eastAsia" w:ascii="宋体" w:hAnsi="宋体" w:eastAsia="宋体"/>
          <w:color w:val="auto"/>
          <w:kern w:val="2"/>
          <w:sz w:val="24"/>
          <w:szCs w:val="24"/>
        </w:rPr>
        <w:t>（https://zfcg.czt.zj.gov.cn）</w:t>
      </w:r>
      <w:r>
        <w:rPr>
          <w:rFonts w:hint="eastAsia" w:ascii="宋体" w:hAnsi="宋体" w:eastAsia="宋体"/>
          <w:color w:val="auto"/>
          <w:sz w:val="24"/>
          <w:szCs w:val="24"/>
        </w:rPr>
        <w:t>免费下载</w:t>
      </w:r>
    </w:p>
    <w:p>
      <w:pPr>
        <w:pStyle w:val="4"/>
        <w:ind w:right="0" w:firstLine="482" w:firstLineChars="200"/>
        <w:rPr>
          <w:rFonts w:cs="宋体"/>
          <w:bCs/>
          <w:color w:val="auto"/>
          <w:sz w:val="24"/>
          <w:szCs w:val="24"/>
        </w:rPr>
      </w:pPr>
      <w:bookmarkStart w:id="15" w:name="_Toc28359082"/>
      <w:bookmarkStart w:id="16" w:name="_Toc35393624"/>
      <w:bookmarkStart w:id="17" w:name="_Toc28359005"/>
      <w:bookmarkStart w:id="18" w:name="_Toc35393793"/>
      <w:r>
        <w:rPr>
          <w:rFonts w:hint="eastAsia" w:cs="宋体"/>
          <w:bCs/>
          <w:color w:val="auto"/>
          <w:sz w:val="24"/>
          <w:szCs w:val="24"/>
        </w:rPr>
        <w:t>四、提交投标文件</w:t>
      </w:r>
      <w:bookmarkEnd w:id="15"/>
      <w:bookmarkEnd w:id="16"/>
      <w:bookmarkEnd w:id="17"/>
      <w:bookmarkEnd w:id="18"/>
    </w:p>
    <w:p>
      <w:pPr>
        <w:spacing w:line="360" w:lineRule="auto"/>
        <w:ind w:firstLine="480" w:firstLineChars="200"/>
        <w:rPr>
          <w:rFonts w:ascii="宋体" w:hAnsi="宋体" w:cs="宋体"/>
          <w:iCs/>
          <w:color w:val="auto"/>
          <w:sz w:val="24"/>
          <w:u w:val="single"/>
        </w:rPr>
      </w:pPr>
      <w:bookmarkStart w:id="19" w:name="_Toc35393625"/>
      <w:bookmarkStart w:id="20" w:name="_Toc28359007"/>
      <w:bookmarkStart w:id="21" w:name="_Toc28359084"/>
      <w:bookmarkStart w:id="22" w:name="_Toc35393794"/>
      <w:r>
        <w:rPr>
          <w:rFonts w:hint="eastAsia" w:ascii="宋体" w:hAnsi="宋体" w:cs="宋体"/>
          <w:color w:val="auto"/>
          <w:sz w:val="24"/>
        </w:rPr>
        <w:t>（一）截止时间（开标时间）：</w:t>
      </w:r>
      <w:r>
        <w:rPr>
          <w:rFonts w:hint="eastAsia" w:ascii="宋体" w:hAnsi="宋体" w:cs="宋体"/>
          <w:b/>
          <w:bCs/>
          <w:color w:val="auto"/>
          <w:sz w:val="24"/>
          <w:u w:val="single"/>
        </w:rPr>
        <w:t>2024年</w:t>
      </w:r>
      <w:r>
        <w:rPr>
          <w:rFonts w:hint="eastAsia" w:ascii="宋体" w:hAnsi="宋体" w:cs="宋体"/>
          <w:b/>
          <w:bCs/>
          <w:color w:val="auto"/>
          <w:sz w:val="24"/>
          <w:u w:val="single"/>
          <w:lang w:val="en-US" w:eastAsia="zh-CN"/>
        </w:rPr>
        <w:t>10</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15</w:t>
      </w:r>
      <w:r>
        <w:rPr>
          <w:rFonts w:hint="eastAsia" w:ascii="宋体" w:hAnsi="宋体" w:cs="宋体"/>
          <w:b/>
          <w:bCs/>
          <w:color w:val="auto"/>
          <w:sz w:val="24"/>
          <w:u w:val="single"/>
        </w:rPr>
        <w:t>日</w:t>
      </w:r>
      <w:r>
        <w:rPr>
          <w:rFonts w:hint="eastAsia" w:ascii="宋体" w:hAnsi="宋体" w:cs="宋体"/>
          <w:b/>
          <w:bCs/>
          <w:color w:val="auto"/>
          <w:sz w:val="24"/>
          <w:u w:val="single"/>
          <w:lang w:val="en-US" w:eastAsia="zh-CN"/>
        </w:rPr>
        <w:t>14</w:t>
      </w:r>
      <w:r>
        <w:rPr>
          <w:rFonts w:hint="eastAsia" w:ascii="宋体" w:hAnsi="宋体" w:cs="宋体"/>
          <w:b/>
          <w:bCs/>
          <w:color w:val="auto"/>
          <w:sz w:val="24"/>
          <w:u w:val="single"/>
        </w:rPr>
        <w:t>:</w:t>
      </w:r>
      <w:r>
        <w:rPr>
          <w:rFonts w:hint="eastAsia" w:ascii="宋体" w:hAnsi="宋体" w:cs="宋体"/>
          <w:b/>
          <w:bCs/>
          <w:color w:val="auto"/>
          <w:sz w:val="24"/>
          <w:u w:val="single"/>
          <w:lang w:val="en-US" w:eastAsia="zh-CN"/>
        </w:rPr>
        <w:t>00</w:t>
      </w:r>
      <w:r>
        <w:rPr>
          <w:rFonts w:hint="eastAsia" w:ascii="宋体" w:hAnsi="宋体" w:cs="宋体"/>
          <w:bCs/>
          <w:color w:val="auto"/>
          <w:sz w:val="24"/>
        </w:rPr>
        <w:t>（北京时间）</w:t>
      </w:r>
      <w:r>
        <w:rPr>
          <w:rFonts w:hint="eastAsia" w:ascii="宋体" w:hAnsi="宋体" w:cs="宋体"/>
          <w:b/>
          <w:bCs/>
          <w:color w:val="auto"/>
          <w:sz w:val="24"/>
        </w:rPr>
        <w:t xml:space="preserve"> </w:t>
      </w:r>
    </w:p>
    <w:p>
      <w:pPr>
        <w:pStyle w:val="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（二）投标网址：浙江政府采购云平台（http://www.zcygov.cn）</w:t>
      </w:r>
    </w:p>
    <w:bookmarkEnd w:id="19"/>
    <w:bookmarkEnd w:id="20"/>
    <w:bookmarkEnd w:id="21"/>
    <w:bookmarkEnd w:id="22"/>
    <w:p>
      <w:pPr>
        <w:pStyle w:val="19"/>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19"/>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p>
    <w:p>
      <w:pPr>
        <w:pStyle w:val="19"/>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本公告期限自发布之日起五个工作日。</w:t>
      </w:r>
    </w:p>
    <w:p>
      <w:pPr>
        <w:pStyle w:val="4"/>
        <w:ind w:right="0" w:firstLine="482" w:firstLineChars="200"/>
        <w:rPr>
          <w:rFonts w:cs="宋体"/>
          <w:bCs/>
          <w:color w:val="auto"/>
          <w:sz w:val="24"/>
          <w:szCs w:val="24"/>
        </w:rPr>
      </w:pPr>
      <w:bookmarkStart w:id="23" w:name="_Toc35393795"/>
      <w:bookmarkStart w:id="24" w:name="_Toc35393626"/>
      <w:r>
        <w:rPr>
          <w:rFonts w:hint="eastAsia" w:cs="宋体"/>
          <w:bCs/>
          <w:color w:val="auto"/>
          <w:sz w:val="24"/>
          <w:szCs w:val="24"/>
        </w:rPr>
        <w:t>六、</w:t>
      </w:r>
      <w:bookmarkEnd w:id="23"/>
      <w:bookmarkEnd w:id="24"/>
      <w:r>
        <w:rPr>
          <w:rFonts w:hint="eastAsia" w:cs="宋体"/>
          <w:bCs/>
          <w:color w:val="auto"/>
          <w:sz w:val="24"/>
          <w:szCs w:val="24"/>
        </w:rPr>
        <w:t>注册报名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投标人需登录浙江政府采购网（https://zfcg.czt.zj.gov.cn/）进行注册后报名。</w:t>
      </w:r>
    </w:p>
    <w:p>
      <w:pPr>
        <w:tabs>
          <w:tab w:val="left" w:pos="180"/>
          <w:tab w:val="left" w:pos="360"/>
          <w:tab w:val="left" w:pos="540"/>
          <w:tab w:val="left" w:pos="8280"/>
        </w:tabs>
        <w:autoSpaceDE w:val="0"/>
        <w:autoSpaceDN w:val="0"/>
        <w:adjustRightInd w:val="0"/>
        <w:spacing w:line="360" w:lineRule="auto"/>
        <w:ind w:firstLine="482" w:firstLineChars="200"/>
        <w:jc w:val="left"/>
        <w:rPr>
          <w:rFonts w:cs="宋体"/>
          <w:b/>
          <w:bCs/>
          <w:color w:val="auto"/>
          <w:sz w:val="24"/>
        </w:rPr>
      </w:pPr>
      <w:r>
        <w:rPr>
          <w:rFonts w:hint="eastAsia" w:ascii="宋体" w:hAnsi="宋体" w:cs="宋体"/>
          <w:b/>
          <w:color w:val="auto"/>
          <w:sz w:val="24"/>
        </w:rPr>
        <w:t>七、</w:t>
      </w:r>
      <w:bookmarkStart w:id="25" w:name="_Toc35393796"/>
      <w:bookmarkStart w:id="26" w:name="_Toc28359008"/>
      <w:bookmarkStart w:id="27" w:name="_Toc28359085"/>
      <w:bookmarkStart w:id="28" w:name="_Toc35393627"/>
      <w:r>
        <w:rPr>
          <w:rFonts w:hint="eastAsia" w:cs="宋体"/>
          <w:b/>
          <w:bCs/>
          <w:color w:val="auto"/>
          <w:sz w:val="24"/>
        </w:rPr>
        <w:t>联系</w:t>
      </w:r>
      <w:bookmarkEnd w:id="25"/>
      <w:bookmarkEnd w:id="26"/>
      <w:bookmarkEnd w:id="27"/>
      <w:bookmarkEnd w:id="28"/>
      <w:r>
        <w:rPr>
          <w:rFonts w:hint="eastAsia" w:cs="宋体"/>
          <w:b/>
          <w:bCs/>
          <w:color w:val="auto"/>
          <w:sz w:val="24"/>
        </w:rPr>
        <w:t>方式</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（一）采购人（受理招标文件相关质疑及答复） </w:t>
      </w:r>
    </w:p>
    <w:p>
      <w:pPr>
        <w:spacing w:line="360" w:lineRule="auto"/>
        <w:ind w:firstLine="480" w:firstLineChars="200"/>
        <w:jc w:val="left"/>
        <w:rPr>
          <w:rFonts w:hint="eastAsia" w:ascii="宋体" w:hAnsi="宋体" w:eastAsia="宋体" w:cs="宋体"/>
          <w:color w:val="auto"/>
          <w:sz w:val="24"/>
          <w:highlight w:val="yellow"/>
          <w:lang w:eastAsia="zh-CN"/>
        </w:rPr>
      </w:pPr>
      <w:r>
        <w:rPr>
          <w:rFonts w:hint="eastAsia" w:ascii="宋体" w:hAnsi="宋体" w:cs="宋体"/>
          <w:color w:val="auto"/>
          <w:sz w:val="24"/>
        </w:rPr>
        <w:t>名</w:t>
      </w:r>
      <w:r>
        <w:rPr>
          <w:rFonts w:hint="eastAsia" w:ascii="宋体" w:hAnsi="宋体" w:cs="宋体"/>
          <w:color w:val="auto"/>
          <w:sz w:val="24"/>
          <w:highlight w:val="none"/>
        </w:rPr>
        <w:t>称：</w:t>
      </w:r>
      <w:r>
        <w:rPr>
          <w:rFonts w:hint="eastAsia" w:ascii="宋体" w:hAnsi="宋体" w:cs="宋体"/>
          <w:color w:val="auto"/>
          <w:sz w:val="24"/>
          <w:highlight w:val="none"/>
          <w:lang w:eastAsia="zh-CN"/>
        </w:rPr>
        <w:t>中国人民政治协商会议台州市椒江区委员会办公室</w:t>
      </w:r>
    </w:p>
    <w:p>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t>地址：浙江省台州市椒江区青年路404号</w:t>
      </w:r>
    </w:p>
    <w:p>
      <w:pPr>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徐老师</w:t>
      </w:r>
    </w:p>
    <w:p>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项目联系方式（询问）：0576-</w:t>
      </w:r>
      <w:r>
        <w:rPr>
          <w:rFonts w:hint="eastAsia" w:ascii="宋体" w:hAnsi="宋体" w:cs="宋体"/>
          <w:color w:val="auto"/>
          <w:sz w:val="24"/>
          <w:highlight w:val="none"/>
          <w:lang w:val="en-US" w:eastAsia="zh-CN"/>
        </w:rPr>
        <w:t xml:space="preserve">88831661 </w:t>
      </w:r>
    </w:p>
    <w:p>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缪老师</w:t>
      </w:r>
      <w:r>
        <w:rPr>
          <w:rFonts w:hint="eastAsia" w:ascii="宋体" w:hAnsi="宋体" w:cs="宋体"/>
          <w:color w:val="auto"/>
          <w:sz w:val="24"/>
          <w:highlight w:val="none"/>
          <w:lang w:val="en-US" w:eastAsia="zh-CN"/>
        </w:rPr>
        <w:t xml:space="preserve"> </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质疑联系方式：0576-</w:t>
      </w:r>
      <w:r>
        <w:rPr>
          <w:rFonts w:hint="eastAsia" w:ascii="宋体" w:hAnsi="宋体" w:cs="宋体"/>
          <w:color w:val="auto"/>
          <w:sz w:val="24"/>
          <w:highlight w:val="none"/>
          <w:lang w:val="en-US" w:eastAsia="zh-CN"/>
        </w:rPr>
        <w:t xml:space="preserve">88831661 </w:t>
      </w:r>
    </w:p>
    <w:p>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（二）采购组织机构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名 称：台州天兴工程管理咨询有限公司</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地址：浙江省台州市椒江区海门街道建设路105-16号</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项目联系人：</w:t>
      </w:r>
      <w:bookmarkStart w:id="29" w:name="_Toc28359010"/>
      <w:bookmarkStart w:id="30" w:name="_Toc28359087"/>
      <w:r>
        <w:rPr>
          <w:rFonts w:hint="eastAsia" w:ascii="宋体" w:hAnsi="宋体" w:cs="宋体"/>
          <w:color w:val="auto"/>
          <w:sz w:val="24"/>
        </w:rPr>
        <w:t>金女士    联系电话：0576-88322665</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受理联系人：洪先生（受理注册、中标结果相关质疑及答复）</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联系电话：0576-88322665</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（三）同级政府采购监管机构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w:t>
      </w:r>
      <w:r>
        <w:rPr>
          <w:rFonts w:hint="eastAsia" w:ascii="宋体" w:hAnsi="宋体" w:cs="Arial"/>
          <w:color w:val="auto"/>
          <w:sz w:val="24"/>
        </w:rPr>
        <w:t>台州市椒江区财政局政府采购监管科</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w:t>
      </w:r>
      <w:r>
        <w:rPr>
          <w:rFonts w:ascii="宋体" w:hAnsi="宋体" w:cs="宋体"/>
          <w:color w:val="auto"/>
          <w:kern w:val="0"/>
          <w:sz w:val="24"/>
        </w:rPr>
        <w:t>浙江省</w:t>
      </w:r>
      <w:r>
        <w:rPr>
          <w:rFonts w:hint="eastAsia" w:ascii="宋体" w:hAnsi="宋体" w:cs="宋体"/>
          <w:color w:val="auto"/>
          <w:kern w:val="0"/>
          <w:sz w:val="24"/>
        </w:rPr>
        <w:t>台州市椒江区建设路</w:t>
      </w:r>
      <w:r>
        <w:rPr>
          <w:rFonts w:ascii="宋体" w:hAnsi="宋体" w:cs="宋体"/>
          <w:color w:val="auto"/>
          <w:kern w:val="0"/>
          <w:sz w:val="24"/>
        </w:rPr>
        <w:t>6号</w:t>
      </w:r>
    </w:p>
    <w:p>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kern w:val="0"/>
          <w:sz w:val="24"/>
        </w:rPr>
        <w:t>李老师</w:t>
      </w:r>
      <w:r>
        <w:rPr>
          <w:rStyle w:val="50"/>
          <w:rFonts w:hint="eastAsia" w:ascii="宋体" w:hAnsi="宋体"/>
          <w:color w:val="auto"/>
          <w:sz w:val="24"/>
        </w:rPr>
        <w:t>/</w:t>
      </w:r>
      <w:r>
        <w:rPr>
          <w:rFonts w:hint="eastAsia" w:ascii="宋体" w:hAnsi="宋体" w:cs="宋体"/>
          <w:color w:val="auto"/>
          <w:kern w:val="0"/>
          <w:sz w:val="24"/>
        </w:rPr>
        <w:t>王老师</w:t>
      </w:r>
      <w:r>
        <w:rPr>
          <w:rFonts w:hint="eastAsia" w:ascii="宋体" w:hAnsi="宋体" w:cs="宋体"/>
          <w:color w:val="auto"/>
          <w:kern w:val="0"/>
          <w:sz w:val="24"/>
          <w:lang w:val="en-US" w:eastAsia="zh-CN"/>
        </w:rPr>
        <w:t xml:space="preserve"> </w:t>
      </w:r>
    </w:p>
    <w:p>
      <w:pPr>
        <w:spacing w:line="360" w:lineRule="auto"/>
        <w:ind w:firstLine="480" w:firstLineChars="200"/>
        <w:rPr>
          <w:rStyle w:val="50"/>
          <w:rFonts w:ascii="宋体" w:hAnsi="宋体"/>
          <w:color w:val="auto"/>
          <w:sz w:val="24"/>
          <w:lang w:bidi="en-US"/>
        </w:rPr>
      </w:pPr>
      <w:r>
        <w:rPr>
          <w:rFonts w:hint="eastAsia" w:ascii="宋体" w:hAnsi="宋体" w:cs="宋体"/>
          <w:color w:val="auto"/>
          <w:sz w:val="24"/>
        </w:rPr>
        <w:t>联系电话：</w:t>
      </w:r>
      <w:r>
        <w:rPr>
          <w:rStyle w:val="50"/>
          <w:rFonts w:ascii="宋体" w:hAnsi="宋体"/>
          <w:color w:val="auto"/>
          <w:sz w:val="24"/>
          <w:lang w:bidi="en-US"/>
        </w:rPr>
        <w:t>0576-</w:t>
      </w:r>
      <w:r>
        <w:rPr>
          <w:rStyle w:val="50"/>
          <w:rFonts w:hint="eastAsia" w:ascii="宋体" w:hAnsi="宋体"/>
          <w:color w:val="auto"/>
          <w:sz w:val="24"/>
          <w:lang w:bidi="en-US"/>
        </w:rPr>
        <w:t>88553889</w:t>
      </w:r>
      <w:r>
        <w:rPr>
          <w:rStyle w:val="50"/>
          <w:rFonts w:ascii="宋体" w:hAnsi="宋体"/>
          <w:color w:val="auto"/>
          <w:sz w:val="24"/>
          <w:lang w:bidi="en-US"/>
        </w:rPr>
        <w:t>/0576-</w:t>
      </w:r>
      <w:r>
        <w:rPr>
          <w:rFonts w:hint="eastAsia" w:ascii="宋体" w:hAnsi="宋体" w:cs="Arial"/>
          <w:color w:val="auto"/>
          <w:sz w:val="24"/>
        </w:rPr>
        <w:t>88225817</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（四）政采云平台</w:t>
      </w:r>
    </w:p>
    <w:p>
      <w:pPr>
        <w:spacing w:line="360" w:lineRule="auto"/>
        <w:ind w:firstLine="480" w:firstLineChars="200"/>
        <w:rPr>
          <w:color w:val="auto"/>
        </w:rPr>
      </w:pPr>
      <w:r>
        <w:rPr>
          <w:rFonts w:hint="eastAsia" w:ascii="宋体" w:hAnsi="宋体" w:cs="宋体"/>
          <w:color w:val="auto"/>
          <w:sz w:val="24"/>
        </w:rPr>
        <w:t xml:space="preserve">联系电话：95763 </w:t>
      </w:r>
    </w:p>
    <w:p>
      <w:pPr>
        <w:pStyle w:val="19"/>
        <w:ind w:firstLine="0"/>
        <w:rPr>
          <w:color w:val="auto"/>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color w:val="auto"/>
          <w:sz w:val="24"/>
          <w:shd w:val="clear" w:color="auto" w:fill="FFFFFF"/>
        </w:rPr>
        <w:t>台州天兴工程管理咨询有限公司</w:t>
      </w:r>
    </w:p>
    <w:p>
      <w:pPr>
        <w:widowControl/>
        <w:spacing w:line="360" w:lineRule="auto"/>
        <w:jc w:val="right"/>
        <w:rPr>
          <w:rFonts w:ascii="宋体" w:hAnsi="宋体" w:cs="宋体"/>
          <w:color w:val="auto"/>
          <w:sz w:val="24"/>
        </w:rPr>
      </w:pPr>
      <w:r>
        <w:rPr>
          <w:rFonts w:hint="eastAsia" w:ascii="宋体" w:hAnsi="宋体" w:cs="宋体"/>
          <w:color w:val="auto"/>
          <w:kern w:val="0"/>
          <w:sz w:val="24"/>
        </w:rPr>
        <w:t xml:space="preserve">   2024年</w:t>
      </w:r>
      <w:r>
        <w:rPr>
          <w:rFonts w:hint="eastAsia" w:ascii="宋体" w:hAnsi="宋体" w:cs="宋体"/>
          <w:color w:val="auto"/>
          <w:sz w:val="24"/>
          <w:lang w:val="en-US" w:eastAsia="zh-CN"/>
        </w:rPr>
        <w:t>09</w:t>
      </w:r>
      <w:r>
        <w:rPr>
          <w:rFonts w:hint="eastAsia" w:ascii="宋体" w:hAnsi="宋体" w:cs="宋体"/>
          <w:color w:val="auto"/>
          <w:sz w:val="24"/>
        </w:rPr>
        <w:t>月</w:t>
      </w:r>
    </w:p>
    <w:p>
      <w:pPr>
        <w:pStyle w:val="9"/>
        <w:rPr>
          <w:color w:val="auto"/>
        </w:rPr>
      </w:pPr>
    </w:p>
    <w:bookmarkEnd w:id="29"/>
    <w:bookmarkEnd w:id="30"/>
    <w:p>
      <w:pPr>
        <w:numPr>
          <w:ilvl w:val="0"/>
          <w:numId w:val="5"/>
        </w:numPr>
        <w:spacing w:line="360" w:lineRule="auto"/>
        <w:jc w:val="center"/>
        <w:rPr>
          <w:rFonts w:ascii="宋体" w:hAnsi="宋体" w:cs="宋体"/>
          <w:b/>
          <w:color w:val="auto"/>
          <w:sz w:val="36"/>
          <w:szCs w:val="36"/>
          <w:highlight w:val="none"/>
        </w:rPr>
      </w:pPr>
      <w:bookmarkStart w:id="31" w:name="_Toc25017_WPSOffice_Level1"/>
      <w:r>
        <w:rPr>
          <w:rFonts w:hint="eastAsia" w:ascii="宋体" w:hAnsi="宋体" w:cs="宋体"/>
          <w:b/>
          <w:color w:val="auto"/>
          <w:sz w:val="36"/>
          <w:szCs w:val="36"/>
        </w:rPr>
        <w:t>投标人须知</w:t>
      </w:r>
      <w:bookmarkEnd w:id="31"/>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一、前附表</w:t>
      </w:r>
    </w:p>
    <w:tbl>
      <w:tblPr>
        <w:tblStyle w:val="2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事项</w:t>
            </w:r>
          </w:p>
        </w:tc>
        <w:tc>
          <w:tcPr>
            <w:tcW w:w="6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是否接受联合体</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是否允许分包</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是否包含政府强制采购节能产品</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7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是否允许进口产品</w:t>
            </w:r>
          </w:p>
        </w:tc>
        <w:tc>
          <w:tcPr>
            <w:tcW w:w="67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投标文件的制作和投标</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请投标人在投标前仔细阅读“政府采购项目电子交易操作指南”。</w:t>
            </w:r>
          </w:p>
          <w:p>
            <w:pPr>
              <w:rPr>
                <w:rFonts w:ascii="宋体" w:hAnsi="宋体" w:cs="宋体"/>
                <w:color w:val="auto"/>
                <w:sz w:val="24"/>
                <w:highlight w:val="none"/>
              </w:rPr>
            </w:pPr>
            <w:r>
              <w:rPr>
                <w:rFonts w:hint="eastAsia" w:ascii="宋体" w:hAnsi="宋体" w:cs="宋体"/>
                <w:color w:val="auto"/>
                <w:sz w:val="24"/>
                <w:highlight w:val="none"/>
              </w:rPr>
              <w:t>1.投标文件的制作：投标人按照本项目招标文件和政采云平台的要求,通过“政采云电子交易客户端”编制、加密并递交投标文件（下载网址：https://zfcg.czt.zj.gov.cn/download/index.html）。</w:t>
            </w:r>
          </w:p>
          <w:p>
            <w:pPr>
              <w:rPr>
                <w:rFonts w:ascii="宋体" w:hAnsi="宋体" w:cs="宋体"/>
                <w:color w:val="auto"/>
                <w:sz w:val="24"/>
                <w:highlight w:val="none"/>
              </w:rPr>
            </w:pPr>
            <w:r>
              <w:rPr>
                <w:rFonts w:hint="eastAsia" w:ascii="宋体" w:hAnsi="宋体" w:cs="宋体"/>
                <w:color w:val="auto"/>
                <w:sz w:val="24"/>
                <w:highlight w:val="none"/>
              </w:rPr>
              <w:t>2.投标：投标人应当在投标截止时间前（开标当天北京时间</w:t>
            </w:r>
            <w:r>
              <w:rPr>
                <w:rFonts w:hint="eastAsia" w:ascii="宋体" w:hAnsi="宋体" w:cs="宋体"/>
                <w:b/>
                <w:bCs w:val="0"/>
                <w:color w:val="auto"/>
                <w:sz w:val="24"/>
                <w:highlight w:val="none"/>
                <w:u w:val="single"/>
                <w:lang w:val="en-US" w:eastAsia="zh-CN"/>
              </w:rPr>
              <w:t>14</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00</w:t>
            </w:r>
            <w:r>
              <w:rPr>
                <w:rFonts w:hint="eastAsia" w:ascii="宋体" w:hAnsi="宋体" w:cs="宋体"/>
                <w:color w:val="auto"/>
                <w:sz w:val="24"/>
                <w:highlight w:val="none"/>
              </w:rPr>
              <w:t>）完成投标文件的传输递交，逾期上传的投标文件恕不接受。补充或者修改投标文件的，应当先行撤回原文件，补充、修改后重新传输递交。投标截止时间前未完成上传的，视为撤回投标文件。</w:t>
            </w:r>
          </w:p>
          <w:p>
            <w:pPr>
              <w:ind w:left="240" w:hanging="240" w:hangingChars="100"/>
              <w:rPr>
                <w:rFonts w:ascii="宋体" w:hAnsi="宋体" w:cs="宋体"/>
                <w:color w:val="auto"/>
                <w:kern w:val="0"/>
                <w:sz w:val="24"/>
                <w:highlight w:val="none"/>
              </w:rPr>
            </w:pPr>
            <w:r>
              <w:rPr>
                <w:rFonts w:hint="eastAsia" w:ascii="宋体" w:hAnsi="宋体" w:cs="宋体"/>
                <w:color w:val="auto"/>
                <w:sz w:val="24"/>
                <w:highlight w:val="none"/>
              </w:rPr>
              <w:t>3.投标文件解密：投标人应在开标当天北京时间</w:t>
            </w:r>
            <w:r>
              <w:rPr>
                <w:rFonts w:hint="eastAsia" w:ascii="宋体" w:hAnsi="宋体" w:cs="宋体"/>
                <w:b/>
                <w:bCs w:val="0"/>
                <w:color w:val="auto"/>
                <w:sz w:val="24"/>
                <w:highlight w:val="none"/>
                <w:u w:val="single"/>
                <w:lang w:val="en-US" w:eastAsia="zh-CN"/>
              </w:rPr>
              <w:t>14</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00</w:t>
            </w:r>
            <w:r>
              <w:rPr>
                <w:rFonts w:hint="eastAsia" w:ascii="宋体" w:hAnsi="宋体" w:cs="宋体"/>
                <w:b/>
                <w:bCs w:val="0"/>
                <w:color w:val="auto"/>
                <w:sz w:val="24"/>
                <w:highlight w:val="none"/>
              </w:rPr>
              <w:t>至</w:t>
            </w:r>
            <w:r>
              <w:rPr>
                <w:rFonts w:hint="eastAsia" w:ascii="宋体" w:hAnsi="宋体" w:cs="宋体"/>
                <w:b/>
                <w:bCs w:val="0"/>
                <w:color w:val="auto"/>
                <w:sz w:val="24"/>
                <w:highlight w:val="none"/>
                <w:u w:val="single"/>
                <w:lang w:val="en-US" w:eastAsia="zh-CN"/>
              </w:rPr>
              <w:t>14</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 xml:space="preserve">30 </w:t>
            </w:r>
            <w:r>
              <w:rPr>
                <w:rFonts w:hint="eastAsia" w:ascii="宋体" w:hAnsi="宋体" w:cs="宋体"/>
                <w:b/>
                <w:bCs w:val="0"/>
                <w:color w:val="auto"/>
                <w:sz w:val="24"/>
                <w:highlight w:val="none"/>
                <w:u w:val="single"/>
                <w:lang w:val="en-US" w:eastAsia="zh-CN"/>
              </w:rPr>
              <w:t xml:space="preserve"> </w:t>
            </w:r>
            <w:r>
              <w:rPr>
                <w:rFonts w:hint="eastAsia" w:ascii="宋体" w:hAnsi="宋体" w:cs="宋体"/>
                <w:color w:val="auto"/>
                <w:sz w:val="24"/>
                <w:highlight w:val="none"/>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19"/>
              <w:spacing w:after="0"/>
              <w:ind w:left="0" w:leftChars="0" w:firstLine="0"/>
              <w:rPr>
                <w:rFonts w:ascii="宋体" w:hAnsi="宋体" w:cs="宋体"/>
                <w:color w:val="auto"/>
                <w:kern w:val="0"/>
                <w:sz w:val="24"/>
                <w:highlight w:val="none"/>
              </w:rPr>
            </w:pPr>
            <w:r>
              <w:rPr>
                <w:rFonts w:hint="eastAsia" w:ascii="宋体" w:hAnsi="宋体" w:cs="宋体"/>
                <w:color w:val="auto"/>
                <w:sz w:val="24"/>
                <w:highlight w:val="none"/>
              </w:rPr>
              <w:t>备份投标文件的递交</w:t>
            </w:r>
          </w:p>
        </w:tc>
        <w:tc>
          <w:tcPr>
            <w:tcW w:w="6748" w:type="dxa"/>
            <w:tcBorders>
              <w:top w:val="single" w:color="auto" w:sz="4" w:space="0"/>
              <w:left w:val="single" w:color="auto" w:sz="4" w:space="0"/>
              <w:bottom w:val="single" w:color="auto" w:sz="4" w:space="0"/>
              <w:right w:val="single" w:color="auto" w:sz="4" w:space="0"/>
            </w:tcBorders>
            <w:vAlign w:val="center"/>
          </w:tcPr>
          <w:p>
            <w:pPr>
              <w:pStyle w:val="19"/>
              <w:spacing w:after="0"/>
              <w:ind w:left="0" w:leftChars="0" w:firstLine="0"/>
              <w:rPr>
                <w:rFonts w:ascii="宋体" w:hAnsi="宋体" w:cs="宋体"/>
                <w:color w:val="auto"/>
                <w:sz w:val="24"/>
                <w:highlight w:val="none"/>
              </w:rPr>
            </w:pPr>
            <w:r>
              <w:rPr>
                <w:rFonts w:hint="eastAsia" w:ascii="宋体" w:hAnsi="宋体" w:cs="宋体"/>
                <w:color w:val="auto"/>
                <w:sz w:val="24"/>
                <w:highlight w:val="none"/>
              </w:rPr>
              <w:t>备份投标文件是通过政采云电子交易客户端制作投标文件产生的备份文件</w:t>
            </w:r>
            <w:r>
              <w:rPr>
                <w:rFonts w:hint="eastAsia" w:ascii="宋体" w:hAnsi="宋体" w:cs="宋体"/>
                <w:b/>
                <w:color w:val="auto"/>
                <w:sz w:val="24"/>
                <w:highlight w:val="none"/>
              </w:rPr>
              <w:t xml:space="preserve"> [文件格式.bfbs]</w:t>
            </w:r>
            <w:r>
              <w:rPr>
                <w:rFonts w:hint="eastAsia" w:ascii="宋体" w:hAnsi="宋体" w:cs="宋体"/>
                <w:color w:val="auto"/>
                <w:sz w:val="24"/>
                <w:highlight w:val="none"/>
              </w:rPr>
              <w:t>，其他方式编制的视为无效的电子备份投标文件。</w:t>
            </w:r>
          </w:p>
          <w:p>
            <w:pPr>
              <w:pStyle w:val="19"/>
              <w:spacing w:after="0"/>
              <w:ind w:left="0" w:leftChars="0" w:firstLine="0"/>
              <w:rPr>
                <w:rFonts w:ascii="宋体" w:hAnsi="宋体" w:cs="宋体"/>
                <w:color w:val="auto"/>
                <w:sz w:val="24"/>
                <w:highlight w:val="none"/>
              </w:rPr>
            </w:pPr>
            <w:r>
              <w:rPr>
                <w:rFonts w:hint="eastAsia" w:ascii="宋体" w:hAnsi="宋体" w:cs="宋体"/>
                <w:color w:val="auto"/>
                <w:sz w:val="24"/>
                <w:highlight w:val="none"/>
              </w:rPr>
              <w:t>1.使用前提：投标人自行在线解密操作失败无法按时寻求技术人员帮助解密，或者投标人寻求技术人员帮助仍无法按时完成解密。</w:t>
            </w:r>
          </w:p>
          <w:p>
            <w:pPr>
              <w:pStyle w:val="19"/>
              <w:spacing w:after="0"/>
              <w:ind w:left="0" w:leftChars="0" w:firstLine="0"/>
              <w:rPr>
                <w:rFonts w:ascii="宋体" w:hAnsi="宋体" w:cs="宋体"/>
                <w:color w:val="auto"/>
                <w:sz w:val="24"/>
                <w:highlight w:val="none"/>
              </w:rPr>
            </w:pPr>
            <w:r>
              <w:rPr>
                <w:rFonts w:hint="eastAsia" w:ascii="宋体" w:hAnsi="宋体" w:cs="宋体"/>
                <w:color w:val="auto"/>
                <w:sz w:val="24"/>
                <w:highlight w:val="none"/>
              </w:rPr>
              <w:t>2.递交截止时间：开标当天</w:t>
            </w:r>
            <w:r>
              <w:rPr>
                <w:rFonts w:hint="eastAsia" w:ascii="宋体" w:hAnsi="宋体" w:cs="宋体"/>
                <w:b/>
                <w:color w:val="auto"/>
                <w:sz w:val="24"/>
                <w:highlight w:val="none"/>
                <w:u w:val="single"/>
                <w:lang w:val="en-US" w:eastAsia="zh-CN"/>
              </w:rPr>
              <w:t>14</w:t>
            </w:r>
            <w:r>
              <w:rPr>
                <w:rFonts w:hint="eastAsia" w:ascii="宋体" w:hAnsi="宋体" w:cs="宋体"/>
                <w:b/>
                <w:color w:val="auto"/>
                <w:sz w:val="24"/>
                <w:highlight w:val="none"/>
                <w:u w:val="single"/>
              </w:rPr>
              <w:t>:</w:t>
            </w:r>
            <w:r>
              <w:rPr>
                <w:rFonts w:hint="eastAsia" w:ascii="宋体" w:hAnsi="宋体" w:cs="宋体"/>
                <w:b/>
                <w:color w:val="auto"/>
                <w:sz w:val="24"/>
                <w:highlight w:val="none"/>
                <w:u w:val="single"/>
                <w:lang w:val="en-US" w:eastAsia="zh-CN"/>
              </w:rPr>
              <w:t>00</w:t>
            </w:r>
            <w:r>
              <w:rPr>
                <w:rFonts w:hint="eastAsia" w:ascii="宋体" w:hAnsi="宋体" w:cs="宋体"/>
                <w:color w:val="auto"/>
                <w:sz w:val="24"/>
                <w:highlight w:val="none"/>
              </w:rPr>
              <w:t>（北京时间）</w:t>
            </w:r>
          </w:p>
          <w:p>
            <w:pPr>
              <w:pStyle w:val="19"/>
              <w:spacing w:after="0"/>
              <w:ind w:left="0" w:leftChars="0" w:firstLine="0"/>
              <w:rPr>
                <w:rFonts w:ascii="宋体" w:hAnsi="宋体" w:cs="宋体"/>
                <w:color w:val="auto"/>
                <w:sz w:val="24"/>
                <w:highlight w:val="none"/>
              </w:rPr>
            </w:pPr>
            <w:r>
              <w:rPr>
                <w:rFonts w:hint="eastAsia" w:ascii="宋体" w:hAnsi="宋体" w:cs="宋体"/>
                <w:color w:val="auto"/>
                <w:sz w:val="24"/>
                <w:highlight w:val="none"/>
              </w:rPr>
              <w:t>3.投递邮箱：2821919349@qq.com</w:t>
            </w:r>
          </w:p>
          <w:p>
            <w:pPr>
              <w:pStyle w:val="19"/>
              <w:spacing w:after="0"/>
              <w:ind w:left="0" w:leftChars="0" w:firstLine="0"/>
              <w:rPr>
                <w:rFonts w:ascii="宋体" w:hAnsi="宋体" w:cs="宋体"/>
                <w:color w:val="auto"/>
                <w:kern w:val="0"/>
                <w:sz w:val="24"/>
                <w:highlight w:val="none"/>
              </w:rPr>
            </w:pPr>
            <w:r>
              <w:rPr>
                <w:rFonts w:hint="eastAsia" w:ascii="宋体" w:hAnsi="宋体" w:cs="宋体"/>
                <w:color w:val="auto"/>
                <w:sz w:val="24"/>
                <w:highlight w:val="none"/>
              </w:rPr>
              <w:t>4.未按上述要求递交备份投标文件或所提供的备份投标文件不符合要求的视同放弃，后果由投标人自行承担。</w:t>
            </w:r>
            <w:r>
              <w:rPr>
                <w:rFonts w:hint="eastAsia" w:ascii="宋体" w:hAnsi="宋体" w:cs="宋体"/>
                <w:bCs/>
                <w:color w:val="auto"/>
                <w:sz w:val="24"/>
                <w:highlight w:val="none"/>
              </w:rPr>
              <w:t>▲</w:t>
            </w:r>
            <w:r>
              <w:rPr>
                <w:rFonts w:hint="eastAsia" w:ascii="宋体" w:hAnsi="宋体" w:cs="宋体"/>
                <w:color w:val="auto"/>
                <w:sz w:val="24"/>
                <w:highlight w:val="none"/>
              </w:rPr>
              <w:t>仅提交备份投标文件但未于政采云平台正式上传投标文件</w:t>
            </w:r>
            <w:r>
              <w:rPr>
                <w:rFonts w:hint="eastAsia" w:ascii="宋体" w:hAnsi="宋体" w:cs="宋体"/>
                <w:color w:val="auto"/>
                <w:sz w:val="24"/>
                <w:highlight w:val="none"/>
                <w:shd w:val="clear" w:color="auto" w:fill="FFFFFF"/>
              </w:rPr>
              <w:t>的，</w:t>
            </w:r>
            <w:r>
              <w:rPr>
                <w:rFonts w:hint="eastAsia" w:ascii="宋体" w:hAnsi="宋体" w:cs="宋体"/>
                <w:color w:val="auto"/>
                <w:sz w:val="24"/>
                <w:highlight w:val="none"/>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19"/>
              <w:spacing w:after="0"/>
              <w:ind w:left="0" w:leftChars="0" w:firstLine="0"/>
              <w:rPr>
                <w:rFonts w:ascii="宋体" w:hAnsi="宋体" w:cs="宋体"/>
                <w:color w:val="auto"/>
                <w:sz w:val="24"/>
                <w:highlight w:val="none"/>
              </w:rPr>
            </w:pPr>
            <w:r>
              <w:rPr>
                <w:rFonts w:hint="eastAsia" w:ascii="宋体" w:hAnsi="宋体" w:cs="宋体"/>
                <w:color w:val="auto"/>
                <w:sz w:val="24"/>
                <w:highlight w:val="none"/>
              </w:rPr>
              <w:t>中标人存档纸质投标文件的要求</w:t>
            </w:r>
          </w:p>
        </w:tc>
        <w:tc>
          <w:tcPr>
            <w:tcW w:w="6748" w:type="dxa"/>
            <w:tcBorders>
              <w:top w:val="single" w:color="auto" w:sz="4" w:space="0"/>
              <w:left w:val="single" w:color="auto" w:sz="4" w:space="0"/>
              <w:bottom w:val="single" w:color="auto" w:sz="4" w:space="0"/>
              <w:right w:val="single" w:color="auto" w:sz="4" w:space="0"/>
            </w:tcBorders>
            <w:vAlign w:val="center"/>
          </w:tcPr>
          <w:p>
            <w:pPr>
              <w:pStyle w:val="19"/>
              <w:spacing w:after="0"/>
              <w:ind w:left="0" w:leftChars="0" w:firstLine="0"/>
              <w:rPr>
                <w:rFonts w:ascii="宋体" w:hAnsi="宋体" w:cs="宋体"/>
                <w:color w:val="auto"/>
                <w:sz w:val="24"/>
                <w:highlight w:val="none"/>
              </w:rPr>
            </w:pPr>
            <w:r>
              <w:rPr>
                <w:rFonts w:hint="eastAsia" w:ascii="宋体" w:hAnsi="宋体" w:cs="宋体"/>
                <w:color w:val="auto"/>
                <w:sz w:val="24"/>
                <w:highlight w:val="none"/>
              </w:rPr>
              <w:t>1.存档纸质投标文件是中标人中标后提供给采购组织机构的用于本项目纸质存档备案用途的文件。</w:t>
            </w:r>
          </w:p>
          <w:p>
            <w:pPr>
              <w:pStyle w:val="19"/>
              <w:spacing w:after="0"/>
              <w:ind w:left="0" w:leftChars="0" w:firstLine="0"/>
              <w:rPr>
                <w:rFonts w:ascii="宋体" w:hAnsi="宋体" w:cs="宋体"/>
                <w:color w:val="auto"/>
                <w:sz w:val="24"/>
                <w:highlight w:val="none"/>
              </w:rPr>
            </w:pPr>
            <w:r>
              <w:rPr>
                <w:rFonts w:hint="eastAsia" w:ascii="宋体" w:hAnsi="宋体" w:cs="宋体"/>
                <w:color w:val="auto"/>
                <w:sz w:val="24"/>
                <w:highlight w:val="none"/>
              </w:rPr>
              <w:t>2.存档纸质投标文件的装订要求：纸质投标文件系电子投标文件纸质版，两者内容应一致；数量合计2</w:t>
            </w:r>
            <w:r>
              <w:rPr>
                <w:rFonts w:hint="eastAsia" w:ascii="宋体" w:hAnsi="宋体" w:cs="宋体"/>
                <w:color w:val="auto"/>
                <w:sz w:val="24"/>
                <w:highlight w:val="none"/>
                <w:lang w:eastAsia="zh-CN"/>
              </w:rPr>
              <w:t>套（资格证明文件、商务与技术文件、报价文件各</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份）</w:t>
            </w:r>
            <w:r>
              <w:rPr>
                <w:rFonts w:hint="eastAsia" w:ascii="宋体" w:hAnsi="宋体" w:cs="宋体"/>
                <w:color w:val="auto"/>
                <w:sz w:val="24"/>
                <w:highlight w:val="none"/>
              </w:rPr>
              <w:t>。邮寄到浙江省台州市椒江区海门街道建设路105-16号，收件人金女士，联系电话15355602733。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投标与开标注意事项</w:t>
            </w:r>
          </w:p>
        </w:tc>
        <w:tc>
          <w:tcPr>
            <w:tcW w:w="67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auto"/>
                <w:sz w:val="24"/>
                <w:highlight w:val="none"/>
              </w:rPr>
            </w:pPr>
            <w:r>
              <w:rPr>
                <w:rFonts w:hint="eastAsia" w:ascii="宋体" w:hAnsi="宋体" w:cs="宋体"/>
                <w:bCs/>
                <w:color w:val="auto"/>
                <w:sz w:val="24"/>
                <w:highlight w:val="none"/>
              </w:rPr>
              <w:t>1.本项目实行电子</w:t>
            </w:r>
            <w:r>
              <w:rPr>
                <w:rFonts w:hint="eastAsia" w:ascii="宋体" w:hAnsi="宋体" w:cs="Arial"/>
                <w:color w:val="auto"/>
                <w:sz w:val="24"/>
                <w:highlight w:val="none"/>
              </w:rPr>
              <w:t>投标</w:t>
            </w:r>
            <w:r>
              <w:rPr>
                <w:rFonts w:hint="eastAsia" w:ascii="宋体" w:hAnsi="宋体" w:cs="宋体"/>
                <w:bCs/>
                <w:color w:val="auto"/>
                <w:sz w:val="24"/>
                <w:highlight w:val="none"/>
              </w:rPr>
              <w:t>，投标人自行承担</w:t>
            </w:r>
            <w:r>
              <w:rPr>
                <w:rFonts w:hint="eastAsia" w:ascii="宋体" w:hAnsi="宋体" w:cs="Arial"/>
                <w:color w:val="auto"/>
                <w:sz w:val="24"/>
                <w:highlight w:val="none"/>
              </w:rPr>
              <w:t>投标</w:t>
            </w:r>
            <w:r>
              <w:rPr>
                <w:rFonts w:hint="eastAsia" w:ascii="宋体" w:hAnsi="宋体" w:cs="宋体"/>
                <w:bCs/>
                <w:color w:val="auto"/>
                <w:sz w:val="24"/>
                <w:highlight w:val="none"/>
              </w:rPr>
              <w:t>一切费用。</w:t>
            </w:r>
          </w:p>
          <w:p>
            <w:pPr>
              <w:spacing w:line="400" w:lineRule="exact"/>
              <w:rPr>
                <w:rFonts w:ascii="宋体" w:hAnsi="宋体" w:cs="宋体"/>
                <w:color w:val="auto"/>
                <w:sz w:val="24"/>
                <w:highlight w:val="none"/>
              </w:rPr>
            </w:pPr>
            <w:r>
              <w:rPr>
                <w:rFonts w:hint="eastAsia" w:ascii="宋体" w:hAnsi="宋体" w:cs="宋体"/>
                <w:bCs/>
                <w:color w:val="auto"/>
                <w:sz w:val="24"/>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760" w:type="dxa"/>
            <w:tcBorders>
              <w:top w:val="single" w:color="auto" w:sz="4" w:space="0"/>
              <w:left w:val="single" w:color="auto" w:sz="4" w:space="0"/>
              <w:bottom w:val="single" w:color="auto" w:sz="4" w:space="0"/>
              <w:right w:val="single" w:color="auto" w:sz="4" w:space="0"/>
            </w:tcBorders>
            <w:vAlign w:val="center"/>
          </w:tcPr>
          <w:p>
            <w:pPr>
              <w:pStyle w:val="9"/>
              <w:ind w:firstLine="0"/>
              <w:rPr>
                <w:rFonts w:ascii="宋体" w:hAnsi="宋体" w:cs="宋体"/>
                <w:color w:val="auto"/>
                <w:kern w:val="0"/>
                <w:sz w:val="24"/>
                <w:szCs w:val="24"/>
                <w:highlight w:val="none"/>
              </w:rPr>
            </w:pPr>
            <w:r>
              <w:rPr>
                <w:rFonts w:hint="eastAsia" w:ascii="宋体" w:hAnsi="宋体" w:cs="宋体"/>
                <w:color w:val="auto"/>
                <w:sz w:val="24"/>
                <w:szCs w:val="24"/>
                <w:highlight w:val="none"/>
              </w:rPr>
              <w:t>不见面开标</w:t>
            </w:r>
          </w:p>
        </w:tc>
        <w:tc>
          <w:tcPr>
            <w:tcW w:w="6748" w:type="dxa"/>
            <w:tcBorders>
              <w:top w:val="single" w:color="auto" w:sz="4" w:space="0"/>
              <w:left w:val="single" w:color="auto" w:sz="4" w:space="0"/>
              <w:bottom w:val="single" w:color="auto" w:sz="4" w:space="0"/>
              <w:right w:val="single" w:color="auto" w:sz="4" w:space="0"/>
            </w:tcBorders>
            <w:vAlign w:val="center"/>
          </w:tcPr>
          <w:p>
            <w:pPr>
              <w:pStyle w:val="18"/>
              <w:spacing w:before="0" w:beforeAutospacing="0" w:after="0" w:afterAutospacing="0"/>
              <w:jc w:val="both"/>
              <w:rPr>
                <w:rFonts w:hint="default" w:cs="宋体"/>
                <w:color w:val="auto"/>
                <w:highlight w:val="none"/>
              </w:rPr>
            </w:pPr>
            <w:r>
              <w:rPr>
                <w:rFonts w:cs="宋体"/>
                <w:color w:val="auto"/>
                <w:highlight w:val="none"/>
              </w:rPr>
              <w:t>采购组织机构按照招标文件规定的时间通过“政采云平台”组织开标，所有投标人均应当准时在线参加。如未参加，</w:t>
            </w:r>
            <w:r>
              <w:rPr>
                <w:rFonts w:cs="宋体"/>
                <w:bCs/>
                <w:color w:val="auto"/>
                <w:highlight w:val="none"/>
              </w:rPr>
              <w:t>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样品递交要求</w:t>
            </w:r>
          </w:p>
        </w:tc>
        <w:tc>
          <w:tcPr>
            <w:tcW w:w="6748" w:type="dxa"/>
            <w:tcBorders>
              <w:top w:val="single" w:color="auto" w:sz="4" w:space="0"/>
              <w:left w:val="single" w:color="auto" w:sz="4" w:space="0"/>
              <w:bottom w:val="single" w:color="auto" w:sz="4" w:space="0"/>
              <w:right w:val="single" w:color="auto" w:sz="4" w:space="0"/>
            </w:tcBorders>
            <w:vAlign w:val="center"/>
          </w:tcPr>
          <w:p>
            <w:pPr>
              <w:pStyle w:val="10"/>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远程在线演示要求</w:t>
            </w:r>
          </w:p>
        </w:tc>
        <w:tc>
          <w:tcPr>
            <w:tcW w:w="6748" w:type="dxa"/>
            <w:tcBorders>
              <w:top w:val="single" w:color="auto" w:sz="4" w:space="0"/>
              <w:left w:val="single" w:color="auto" w:sz="4" w:space="0"/>
              <w:bottom w:val="single" w:color="auto" w:sz="4" w:space="0"/>
              <w:right w:val="single" w:color="auto" w:sz="4" w:space="0"/>
            </w:tcBorders>
            <w:vAlign w:val="center"/>
          </w:tcPr>
          <w:p>
            <w:pPr>
              <w:pStyle w:val="10"/>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信用信息查询渠道</w:t>
            </w:r>
          </w:p>
        </w:tc>
        <w:tc>
          <w:tcPr>
            <w:tcW w:w="674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http://www.creditchina.gov.cn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napToGrid w:val="0"/>
              <w:rPr>
                <w:rFonts w:ascii="宋体" w:hAnsi="宋体" w:cs="宋体"/>
                <w:color w:val="auto"/>
                <w:sz w:val="24"/>
                <w:highlight w:val="none"/>
              </w:rPr>
            </w:pPr>
            <w:r>
              <w:rPr>
                <w:rFonts w:hint="eastAsia" w:ascii="宋体" w:hAnsi="宋体" w:cs="宋体"/>
                <w:color w:val="auto"/>
                <w:sz w:val="24"/>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中小企业预留份额情况</w:t>
            </w:r>
          </w:p>
        </w:tc>
        <w:tc>
          <w:tcPr>
            <w:tcW w:w="674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highlight w:val="none"/>
                <w:shd w:val="clear" w:color="auto" w:fill="FFFFFF"/>
              </w:rPr>
            </w:pPr>
            <w:r>
              <w:rPr>
                <w:rFonts w:hint="eastAsia" w:ascii="宋体" w:hAnsi="宋体" w:cs="宋体"/>
                <w:color w:val="auto"/>
                <w:sz w:val="24"/>
                <w:highlight w:val="none"/>
              </w:rPr>
              <w:t>根据《政府采购促进中小企业发展管理办法》财库〔2020〕46号文件的规定，本项目属于</w:t>
            </w:r>
            <w:r>
              <w:rPr>
                <w:rFonts w:hint="eastAsia" w:ascii="宋体" w:hAnsi="宋体" w:cs="宋体"/>
                <w:b/>
                <w:color w:val="auto"/>
                <w:sz w:val="24"/>
                <w:highlight w:val="none"/>
              </w:rPr>
              <w:t>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中小企业优惠措施</w:t>
            </w:r>
          </w:p>
        </w:tc>
        <w:tc>
          <w:tcPr>
            <w:tcW w:w="67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1.项目属性</w:t>
            </w:r>
            <w:r>
              <w:rPr>
                <w:rFonts w:hint="eastAsia" w:ascii="宋体" w:hAnsi="宋体" w:cs="宋体"/>
                <w:b/>
                <w:color w:val="auto"/>
                <w:sz w:val="24"/>
                <w:highlight w:val="none"/>
              </w:rPr>
              <w:t>（服务类）</w:t>
            </w:r>
          </w:p>
          <w:p>
            <w:pPr>
              <w:jc w:val="left"/>
              <w:rPr>
                <w:rFonts w:ascii="宋体" w:hAnsi="宋体" w:cs="宋体"/>
                <w:color w:val="auto"/>
                <w:sz w:val="24"/>
                <w:highlight w:val="none"/>
              </w:rPr>
            </w:pPr>
            <w:r>
              <w:rPr>
                <w:rFonts w:hint="eastAsia" w:ascii="宋体" w:hAnsi="宋体" w:cs="宋体"/>
                <w:color w:val="auto"/>
                <w:sz w:val="24"/>
                <w:highlight w:val="none"/>
              </w:rPr>
              <w:t>2.中小企业划分标准所属行业（具体根据《中小企业划型标准规定》执行）</w:t>
            </w:r>
          </w:p>
          <w:p>
            <w:pPr>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rPr>
              <w:t>采购标的：</w:t>
            </w:r>
            <w:r>
              <w:rPr>
                <w:rFonts w:hint="eastAsia" w:ascii="宋体" w:hAnsi="宋体" w:cs="宋体"/>
                <w:b/>
                <w:bCs/>
                <w:color w:val="auto"/>
                <w:sz w:val="24"/>
                <w:highlight w:val="none"/>
                <w:u w:val="single"/>
                <w:lang w:eastAsia="zh-CN"/>
              </w:rPr>
              <w:t>《椒江政协履职实践》丛书出版印刷</w:t>
            </w:r>
            <w:r>
              <w:rPr>
                <w:rFonts w:hint="eastAsia" w:ascii="宋体" w:hAnsi="宋体" w:cs="宋体"/>
                <w:b/>
                <w:bCs/>
                <w:color w:val="auto"/>
                <w:sz w:val="24"/>
                <w:highlight w:val="none"/>
                <w:lang w:eastAsia="zh-CN"/>
              </w:rPr>
              <w:t>；</w:t>
            </w:r>
          </w:p>
          <w:p>
            <w:pPr>
              <w:jc w:val="left"/>
              <w:rPr>
                <w:rFonts w:ascii="宋体" w:hAnsi="宋体" w:cs="宋体"/>
                <w:b/>
                <w:bCs/>
                <w:color w:val="auto"/>
                <w:sz w:val="24"/>
                <w:highlight w:val="none"/>
              </w:rPr>
            </w:pPr>
            <w:r>
              <w:rPr>
                <w:rFonts w:hint="eastAsia" w:ascii="宋体" w:hAnsi="宋体" w:cs="宋体"/>
                <w:b/>
                <w:bCs/>
                <w:color w:val="auto"/>
                <w:sz w:val="24"/>
                <w:highlight w:val="none"/>
              </w:rPr>
              <w:t>所属行业：</w:t>
            </w:r>
            <w:r>
              <w:rPr>
                <w:rFonts w:hint="eastAsia" w:ascii="宋体" w:hAnsi="宋体" w:cs="宋体"/>
                <w:b/>
                <w:bCs/>
                <w:color w:val="auto"/>
                <w:sz w:val="24"/>
                <w:highlight w:val="none"/>
                <w:u w:val="single"/>
              </w:rPr>
              <w:t>其他未列明行业</w:t>
            </w:r>
            <w:r>
              <w:rPr>
                <w:rFonts w:hint="eastAsia" w:ascii="宋体" w:hAnsi="宋体" w:cs="宋体"/>
                <w:b/>
                <w:bCs/>
                <w:color w:val="auto"/>
                <w:sz w:val="24"/>
                <w:highlight w:val="none"/>
              </w:rPr>
              <w:t>。</w:t>
            </w:r>
          </w:p>
          <w:p>
            <w:pPr>
              <w:jc w:val="left"/>
              <w:rPr>
                <w:rFonts w:ascii="宋体" w:hAnsi="宋体" w:cs="宋体"/>
                <w:b/>
                <w:bCs/>
                <w:color w:val="auto"/>
                <w:sz w:val="24"/>
                <w:highlight w:val="none"/>
              </w:rPr>
            </w:pPr>
            <w:r>
              <w:rPr>
                <w:rFonts w:hint="eastAsia" w:ascii="黑体" w:hAnsi="黑体" w:eastAsia="黑体" w:cs="宋体"/>
                <w:b/>
                <w:bCs/>
                <w:color w:val="auto"/>
                <w:sz w:val="24"/>
                <w:highlight w:val="none"/>
                <w:u w:val="single"/>
              </w:rPr>
              <w:t>划分标准如下：从业人员300人以下的为中小微型企业。其中，从业人员100人及以上的为中型企业；从业人员10人及以上的为小型企业；从业人员10人以下的为微型企业。</w:t>
            </w:r>
          </w:p>
          <w:p>
            <w:pPr>
              <w:jc w:val="left"/>
              <w:rPr>
                <w:rFonts w:ascii="宋体" w:hAnsi="宋体" w:cs="宋体"/>
                <w:color w:val="auto"/>
                <w:sz w:val="24"/>
                <w:highlight w:val="none"/>
              </w:rPr>
            </w:pPr>
            <w:r>
              <w:rPr>
                <w:rFonts w:hint="eastAsia" w:ascii="宋体" w:hAnsi="宋体" w:cs="宋体"/>
                <w:color w:val="auto"/>
                <w:sz w:val="24"/>
                <w:highlight w:val="none"/>
              </w:rPr>
              <w:t>3.根据财库[2017]141号的相关规定，在政府采购活动中，残疾人福利性单位视同小型、微型企业。属于享受政府采购支持政策的残疾人福利性单位，应满足财库</w:t>
            </w:r>
            <w:r>
              <w:rPr>
                <w:rFonts w:hint="eastAsia" w:cs="宋体"/>
                <w:bCs/>
                <w:color w:val="auto"/>
                <w:sz w:val="24"/>
                <w:highlight w:val="none"/>
              </w:rPr>
              <w:t>〔</w:t>
            </w:r>
            <w:r>
              <w:rPr>
                <w:rFonts w:hint="eastAsia" w:ascii="宋体" w:hAnsi="宋体" w:cs="宋体"/>
                <w:color w:val="auto"/>
                <w:sz w:val="24"/>
                <w:highlight w:val="none"/>
              </w:rPr>
              <w:t>2017〕141号文件第一条的规定，并在投标文件中提供残疾人福利性单位声明函（见附件）。</w:t>
            </w:r>
          </w:p>
          <w:p>
            <w:pPr>
              <w:jc w:val="left"/>
              <w:rPr>
                <w:rFonts w:ascii="宋体" w:hAnsi="宋体" w:cs="宋体"/>
                <w:color w:val="auto"/>
                <w:sz w:val="24"/>
                <w:highlight w:val="none"/>
              </w:rPr>
            </w:pPr>
            <w:r>
              <w:rPr>
                <w:rFonts w:hint="eastAsia" w:ascii="宋体" w:hAnsi="宋体" w:cs="宋体"/>
                <w:color w:val="auto"/>
                <w:sz w:val="24"/>
                <w:highlight w:val="none"/>
              </w:rPr>
              <w:t>4.根据财库</w:t>
            </w:r>
            <w:r>
              <w:rPr>
                <w:rFonts w:hint="eastAsia" w:cs="宋体"/>
                <w:bCs/>
                <w:color w:val="auto"/>
                <w:sz w:val="24"/>
                <w:highlight w:val="none"/>
              </w:rPr>
              <w:t>〔</w:t>
            </w:r>
            <w:r>
              <w:rPr>
                <w:rFonts w:hint="eastAsia" w:ascii="宋体" w:hAnsi="宋体" w:cs="宋体"/>
                <w:color w:val="auto"/>
                <w:sz w:val="24"/>
                <w:highlight w:val="none"/>
              </w:rPr>
              <w:t>2014〕68号的相关规定，在政府采购活动中，监狱企业视同小型、微型企业，在投标文件中提供由省级以上监狱管理局、戒毒管理局（含新疆生产建设兵团）出具的属于监狱企业的证明文件（格式自拟）。</w:t>
            </w:r>
          </w:p>
          <w:p>
            <w:pPr>
              <w:pStyle w:val="9"/>
              <w:spacing w:afterLines="20"/>
              <w:ind w:firstLine="0"/>
              <w:rPr>
                <w:rFonts w:ascii="宋体" w:hAnsi="宋体" w:cs="宋体"/>
                <w:color w:val="auto"/>
                <w:sz w:val="24"/>
                <w:szCs w:val="24"/>
                <w:highlight w:val="none"/>
                <w:u w:val="single"/>
              </w:rPr>
            </w:pPr>
            <w:r>
              <w:rPr>
                <w:rFonts w:hint="eastAsia" w:ascii="宋体" w:hAnsi="宋体" w:cs="宋体"/>
                <w:color w:val="auto"/>
                <w:sz w:val="24"/>
                <w:highlight w:val="none"/>
              </w:rPr>
              <w:t>(注：未提供以上材料或未填写必要内容的，均不享受政府采购支持政策）。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履约保证金</w:t>
            </w:r>
          </w:p>
        </w:tc>
        <w:tc>
          <w:tcPr>
            <w:tcW w:w="674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0" w:left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采购代理机构代理费用的收取标准和方式</w:t>
            </w:r>
          </w:p>
        </w:tc>
        <w:tc>
          <w:tcPr>
            <w:tcW w:w="6748"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本项目</w:t>
            </w:r>
            <w:r>
              <w:rPr>
                <w:rFonts w:hint="eastAsia" w:ascii="宋体" w:hAnsi="宋体" w:cs="宋体"/>
                <w:color w:val="auto"/>
                <w:sz w:val="24"/>
                <w:highlight w:val="none"/>
              </w:rPr>
              <w:t>采购代理服务费</w:t>
            </w:r>
            <w:r>
              <w:rPr>
                <w:rFonts w:hint="eastAsia"/>
                <w:color w:val="auto"/>
                <w:highlight w:val="none"/>
                <w:lang w:val="en-US" w:eastAsia="zh-CN"/>
              </w:rPr>
              <w:t>100万以内的</w:t>
            </w:r>
            <w:r>
              <w:rPr>
                <w:rFonts w:hint="eastAsia" w:ascii="宋体" w:hAnsi="宋体" w:cs="宋体"/>
                <w:color w:val="auto"/>
                <w:sz w:val="24"/>
                <w:highlight w:val="none"/>
              </w:rPr>
              <w:t>按</w:t>
            </w:r>
            <w:r>
              <w:rPr>
                <w:rFonts w:hint="eastAsia" w:ascii="宋体" w:hAnsi="宋体" w:cs="宋体"/>
                <w:color w:val="auto"/>
                <w:sz w:val="24"/>
                <w:highlight w:val="none"/>
                <w:lang w:eastAsia="zh-CN"/>
              </w:rPr>
              <w:t>中标价的</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收取</w:t>
            </w:r>
            <w:r>
              <w:rPr>
                <w:rFonts w:hint="eastAsia" w:ascii="宋体" w:hAnsi="宋体" w:cs="宋体"/>
                <w:color w:val="auto"/>
                <w:sz w:val="24"/>
                <w:highlight w:val="none"/>
              </w:rPr>
              <w:t>，</w:t>
            </w:r>
            <w:r>
              <w:rPr>
                <w:rFonts w:hint="eastAsia" w:ascii="宋体" w:hAnsi="宋体" w:cs="宋体"/>
                <w:color w:val="auto"/>
                <w:sz w:val="24"/>
                <w:highlight w:val="none"/>
                <w:lang w:eastAsia="zh-CN"/>
              </w:rPr>
              <w:t>不足</w:t>
            </w:r>
            <w:r>
              <w:rPr>
                <w:rFonts w:hint="eastAsia" w:ascii="宋体" w:hAnsi="宋体" w:cs="宋体"/>
                <w:color w:val="auto"/>
                <w:sz w:val="24"/>
                <w:highlight w:val="none"/>
                <w:lang w:val="en-US" w:eastAsia="zh-CN"/>
              </w:rPr>
              <w:t>6000元的，</w:t>
            </w:r>
            <w:r>
              <w:rPr>
                <w:rFonts w:hint="eastAsia" w:ascii="宋体" w:hAnsi="宋体" w:cs="宋体"/>
                <w:b w:val="0"/>
                <w:bCs w:val="0"/>
                <w:color w:val="auto"/>
                <w:sz w:val="24"/>
                <w:highlight w:val="none"/>
                <w:lang w:val="en-US" w:eastAsia="zh-CN"/>
              </w:rPr>
              <w:t>按</w:t>
            </w:r>
            <w:r>
              <w:rPr>
                <w:rFonts w:hint="eastAsia" w:ascii="宋体" w:hAnsi="宋体" w:cs="宋体"/>
                <w:b/>
                <w:bCs/>
                <w:color w:val="auto"/>
                <w:sz w:val="24"/>
                <w:highlight w:val="none"/>
                <w:lang w:eastAsia="zh-CN"/>
              </w:rPr>
              <w:t>陆仟元整收取</w:t>
            </w:r>
            <w:r>
              <w:rPr>
                <w:rFonts w:hint="eastAsia" w:ascii="宋体" w:hAnsi="宋体" w:cs="宋体"/>
                <w:color w:val="auto"/>
                <w:sz w:val="24"/>
                <w:highlight w:val="none"/>
              </w:rPr>
              <w:t>，由中标人在中标结果公示后五个工作日内现金或转账支付给采购代理机构。</w:t>
            </w:r>
          </w:p>
          <w:p>
            <w:pPr>
              <w:jc w:val="left"/>
              <w:rPr>
                <w:rFonts w:ascii="宋体" w:hAnsi="宋体" w:cs="宋体"/>
                <w:color w:val="auto"/>
                <w:sz w:val="24"/>
                <w:highlight w:val="none"/>
              </w:rPr>
            </w:pPr>
            <w:r>
              <w:rPr>
                <w:rFonts w:hint="eastAsia" w:ascii="宋体" w:hAnsi="宋体" w:cs="宋体"/>
                <w:color w:val="auto"/>
                <w:sz w:val="24"/>
                <w:highlight w:val="none"/>
              </w:rPr>
              <w:t>2.服务费缴纳账户信息：</w:t>
            </w:r>
          </w:p>
          <w:p>
            <w:pPr>
              <w:jc w:val="left"/>
              <w:rPr>
                <w:rFonts w:ascii="宋体" w:hAnsi="宋体" w:cs="宋体"/>
                <w:color w:val="auto"/>
                <w:sz w:val="24"/>
                <w:highlight w:val="none"/>
              </w:rPr>
            </w:pPr>
            <w:r>
              <w:rPr>
                <w:rFonts w:hint="eastAsia" w:ascii="宋体" w:hAnsi="宋体" w:cs="宋体"/>
                <w:color w:val="auto"/>
                <w:sz w:val="24"/>
                <w:highlight w:val="none"/>
              </w:rPr>
              <w:t>开户行：台州银行椒江支行    账号：540017383000015</w:t>
            </w:r>
          </w:p>
          <w:p>
            <w:pPr>
              <w:jc w:val="left"/>
              <w:rPr>
                <w:rFonts w:ascii="宋体" w:hAnsi="宋体" w:cs="宋体"/>
                <w:color w:val="auto"/>
                <w:sz w:val="24"/>
                <w:highlight w:val="none"/>
              </w:rPr>
            </w:pPr>
            <w:r>
              <w:rPr>
                <w:rFonts w:hint="eastAsia" w:ascii="宋体" w:hAnsi="宋体" w:cs="宋体"/>
                <w:color w:val="auto"/>
                <w:sz w:val="24"/>
                <w:highlight w:val="none"/>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主要性能参数</w:t>
            </w:r>
          </w:p>
        </w:tc>
        <w:tc>
          <w:tcPr>
            <w:tcW w:w="6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书面形式</w:t>
            </w:r>
          </w:p>
        </w:tc>
        <w:tc>
          <w:tcPr>
            <w:tcW w:w="6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解释权</w:t>
            </w:r>
          </w:p>
        </w:tc>
        <w:tc>
          <w:tcPr>
            <w:tcW w:w="6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本招标文件解释权属于采购人和采购组织机构</w:t>
            </w:r>
          </w:p>
        </w:tc>
      </w:tr>
    </w:tbl>
    <w:p>
      <w:pPr>
        <w:pStyle w:val="14"/>
        <w:snapToGrid w:val="0"/>
        <w:spacing w:line="312" w:lineRule="auto"/>
        <w:ind w:firstLine="482" w:firstLineChars="200"/>
        <w:rPr>
          <w:rFonts w:hAnsi="宋体"/>
          <w:b/>
          <w:color w:val="auto"/>
          <w:sz w:val="24"/>
          <w:highlight w:val="none"/>
        </w:rPr>
      </w:pPr>
      <w:r>
        <w:rPr>
          <w:rFonts w:hint="eastAsia" w:hAnsi="宋体"/>
          <w:b/>
          <w:color w:val="auto"/>
          <w:sz w:val="24"/>
          <w:highlight w:val="none"/>
        </w:rPr>
        <w:t>二、说 明</w:t>
      </w:r>
    </w:p>
    <w:p>
      <w:pPr>
        <w:pStyle w:val="14"/>
        <w:snapToGrid w:val="0"/>
        <w:spacing w:line="312" w:lineRule="auto"/>
        <w:ind w:firstLine="482" w:firstLineChars="200"/>
        <w:rPr>
          <w:rFonts w:hAnsi="宋体"/>
          <w:b/>
          <w:color w:val="auto"/>
          <w:sz w:val="24"/>
          <w:highlight w:val="none"/>
        </w:rPr>
      </w:pPr>
      <w:r>
        <w:rPr>
          <w:rFonts w:hint="eastAsia" w:hAnsi="宋体"/>
          <w:b/>
          <w:color w:val="auto"/>
          <w:sz w:val="24"/>
          <w:highlight w:val="none"/>
        </w:rPr>
        <w:t>（一）总则</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依据《中华人民共和国政府采购法》、《中华人民共和国政府采购法实施条例》（国务院令第658号）和《政府采购货物和服务招标投标管理办法》（财政部令第87号）及国家和浙江省有关法律、法规、规章编制。</w:t>
      </w:r>
    </w:p>
    <w:p>
      <w:pPr>
        <w:tabs>
          <w:tab w:val="left" w:pos="7980"/>
        </w:tabs>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pPr>
        <w:snapToGrid w:val="0"/>
        <w:spacing w:line="312"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（二）适用范围</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本招标文件适用于</w:t>
      </w:r>
      <w:r>
        <w:rPr>
          <w:rFonts w:hint="eastAsia" w:ascii="宋体" w:hAnsi="宋体" w:cs="宋体"/>
          <w:bCs/>
          <w:color w:val="auto"/>
          <w:sz w:val="24"/>
          <w:highlight w:val="none"/>
        </w:rPr>
        <w:t>本次</w:t>
      </w:r>
      <w:r>
        <w:rPr>
          <w:rFonts w:hint="eastAsia" w:ascii="宋体" w:hAnsi="宋体" w:cs="宋体"/>
          <w:color w:val="auto"/>
          <w:sz w:val="24"/>
          <w:highlight w:val="none"/>
        </w:rPr>
        <w:t>项目的招标、投标、评标、定标、验收、合同履约、付款等行为（法律、法规另有规定的，从其规定）。</w:t>
      </w:r>
    </w:p>
    <w:p>
      <w:pPr>
        <w:pStyle w:val="11"/>
        <w:spacing w:line="312" w:lineRule="auto"/>
        <w:ind w:firstLine="480" w:firstLineChars="200"/>
        <w:rPr>
          <w:rFonts w:ascii="宋体" w:hAnsi="宋体" w:cs="宋体"/>
          <w:color w:val="auto"/>
          <w:highlight w:val="none"/>
        </w:rPr>
      </w:pPr>
      <w:r>
        <w:rPr>
          <w:rFonts w:hint="eastAsia" w:ascii="宋体" w:hAnsi="宋体" w:cs="宋体"/>
          <w:color w:val="auto"/>
          <w:highlight w:val="none"/>
        </w:rPr>
        <w:t>本招标文件仅适用于本次招标公告中所涉及的项目和内容。</w:t>
      </w:r>
    </w:p>
    <w:p>
      <w:pPr>
        <w:snapToGrid w:val="0"/>
        <w:spacing w:line="312"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（三）当事人</w:t>
      </w:r>
    </w:p>
    <w:p>
      <w:pPr>
        <w:pStyle w:val="5"/>
        <w:keepNext w:val="0"/>
        <w:keepLines w:val="0"/>
        <w:tabs>
          <w:tab w:val="left" w:pos="0"/>
          <w:tab w:val="left" w:pos="851"/>
        </w:tabs>
        <w:snapToGrid w:val="0"/>
        <w:spacing w:before="0" w:after="0" w:line="312" w:lineRule="auto"/>
        <w:ind w:firstLine="480" w:firstLineChars="200"/>
        <w:rPr>
          <w:rFonts w:ascii="宋体" w:hAnsi="宋体" w:cs="宋体"/>
          <w:bCs w:val="0"/>
          <w:color w:val="auto"/>
          <w:sz w:val="24"/>
          <w:szCs w:val="24"/>
          <w:highlight w:val="none"/>
        </w:rPr>
      </w:pPr>
      <w:r>
        <w:rPr>
          <w:rFonts w:hint="eastAsia" w:ascii="宋体" w:hAnsi="宋体" w:cs="宋体"/>
          <w:color w:val="auto"/>
          <w:sz w:val="24"/>
          <w:szCs w:val="24"/>
          <w:highlight w:val="none"/>
        </w:rPr>
        <w:t>1.</w:t>
      </w:r>
      <w:r>
        <w:rPr>
          <w:rFonts w:hint="eastAsia" w:ascii="宋体" w:hAnsi="宋体" w:cs="宋体"/>
          <w:bCs w:val="0"/>
          <w:color w:val="auto"/>
          <w:sz w:val="24"/>
          <w:szCs w:val="24"/>
          <w:highlight w:val="none"/>
          <w:lang w:val="zh-CN"/>
        </w:rPr>
        <w:t>采购组织机构：</w:t>
      </w:r>
      <w:r>
        <w:rPr>
          <w:rFonts w:hint="eastAsia" w:ascii="宋体" w:hAnsi="宋体" w:cs="宋体"/>
          <w:bCs w:val="0"/>
          <w:color w:val="auto"/>
          <w:sz w:val="24"/>
          <w:szCs w:val="24"/>
          <w:highlight w:val="none"/>
        </w:rPr>
        <w:t>是</w:t>
      </w:r>
      <w:r>
        <w:rPr>
          <w:rFonts w:hint="eastAsia" w:ascii="宋体" w:hAnsi="宋体" w:cs="宋体"/>
          <w:bCs w:val="0"/>
          <w:color w:val="auto"/>
          <w:sz w:val="24"/>
          <w:szCs w:val="24"/>
          <w:highlight w:val="none"/>
          <w:lang w:val="zh-CN"/>
        </w:rPr>
        <w:t>指采购人委托组织招标的集中采购机构</w:t>
      </w:r>
      <w:r>
        <w:rPr>
          <w:rFonts w:hint="eastAsia" w:ascii="宋体" w:hAnsi="宋体" w:cs="宋体"/>
          <w:bCs w:val="0"/>
          <w:color w:val="auto"/>
          <w:sz w:val="24"/>
          <w:szCs w:val="24"/>
          <w:highlight w:val="none"/>
        </w:rPr>
        <w:t>或</w:t>
      </w:r>
      <w:r>
        <w:rPr>
          <w:rFonts w:hint="eastAsia" w:ascii="宋体" w:hAnsi="宋体" w:cs="宋体"/>
          <w:bCs w:val="0"/>
          <w:color w:val="auto"/>
          <w:sz w:val="24"/>
          <w:szCs w:val="24"/>
          <w:highlight w:val="none"/>
          <w:lang w:val="zh-CN"/>
        </w:rPr>
        <w:t>采购代理机构。</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2.采购人：是指依法进行政府采购的国家机关、事业单位和团体组织。</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3.投标人：是指响应招标、参加投标竞争的法人、其他组织或者自然人。</w:t>
      </w:r>
    </w:p>
    <w:p>
      <w:pPr>
        <w:snapToGrid w:val="0"/>
        <w:spacing w:line="312"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中标</w:t>
      </w:r>
      <w:r>
        <w:rPr>
          <w:rFonts w:hint="eastAsia" w:ascii="宋体" w:hAnsi="宋体" w:cs="宋体"/>
          <w:color w:val="auto"/>
          <w:sz w:val="24"/>
          <w:highlight w:val="none"/>
        </w:rPr>
        <w:t>人</w:t>
      </w:r>
      <w:r>
        <w:rPr>
          <w:rFonts w:hint="eastAsia" w:ascii="宋体" w:hAnsi="宋体" w:cs="宋体"/>
          <w:color w:val="auto"/>
          <w:sz w:val="24"/>
          <w:highlight w:val="none"/>
          <w:lang w:val="zh-CN"/>
        </w:rPr>
        <w:t>：是指经评</w:t>
      </w:r>
      <w:r>
        <w:rPr>
          <w:rFonts w:hint="eastAsia" w:ascii="宋体" w:hAnsi="宋体" w:cs="宋体"/>
          <w:color w:val="auto"/>
          <w:sz w:val="24"/>
          <w:highlight w:val="none"/>
        </w:rPr>
        <w:t>标</w:t>
      </w:r>
      <w:r>
        <w:rPr>
          <w:rFonts w:hint="eastAsia" w:ascii="宋体" w:hAnsi="宋体" w:cs="宋体"/>
          <w:color w:val="auto"/>
          <w:sz w:val="24"/>
          <w:highlight w:val="none"/>
          <w:lang w:val="zh-CN"/>
        </w:rPr>
        <w:t>委员会评审确定的对招标文件</w:t>
      </w:r>
      <w:r>
        <w:rPr>
          <w:rFonts w:hint="eastAsia" w:ascii="宋体" w:hAnsi="宋体" w:cs="宋体"/>
          <w:color w:val="auto"/>
          <w:sz w:val="24"/>
          <w:highlight w:val="none"/>
        </w:rPr>
        <w:t>作</w:t>
      </w:r>
      <w:r>
        <w:rPr>
          <w:rFonts w:hint="eastAsia" w:ascii="宋体" w:hAnsi="宋体" w:cs="宋体"/>
          <w:color w:val="auto"/>
          <w:sz w:val="24"/>
          <w:highlight w:val="none"/>
          <w:lang w:val="zh-CN"/>
        </w:rPr>
        <w:t>出实质性响应，经采购人按照规定在评</w:t>
      </w:r>
      <w:r>
        <w:rPr>
          <w:rFonts w:hint="eastAsia" w:ascii="宋体" w:hAnsi="宋体" w:cs="宋体"/>
          <w:color w:val="auto"/>
          <w:sz w:val="24"/>
          <w:highlight w:val="none"/>
        </w:rPr>
        <w:t>标</w:t>
      </w:r>
      <w:r>
        <w:rPr>
          <w:rFonts w:hint="eastAsia" w:ascii="宋体" w:hAnsi="宋体" w:cs="宋体"/>
          <w:color w:val="auto"/>
          <w:sz w:val="24"/>
          <w:highlight w:val="none"/>
          <w:lang w:val="zh-CN"/>
        </w:rPr>
        <w:t>委员会推荐的中标候选人中确定的或受采购人委托直接确认的，与采购人签订合同资格的投标</w:t>
      </w:r>
      <w:r>
        <w:rPr>
          <w:rFonts w:hint="eastAsia" w:ascii="宋体" w:hAnsi="宋体" w:cs="宋体"/>
          <w:color w:val="auto"/>
          <w:sz w:val="24"/>
          <w:highlight w:val="none"/>
        </w:rPr>
        <w:t>人</w:t>
      </w:r>
      <w:r>
        <w:rPr>
          <w:rFonts w:hint="eastAsia" w:ascii="宋体" w:hAnsi="宋体" w:cs="宋体"/>
          <w:color w:val="auto"/>
          <w:sz w:val="24"/>
          <w:highlight w:val="none"/>
          <w:lang w:val="zh-CN"/>
        </w:rPr>
        <w:t>。</w:t>
      </w:r>
    </w:p>
    <w:p>
      <w:pPr>
        <w:pStyle w:val="19"/>
        <w:spacing w:after="0" w:line="360" w:lineRule="auto"/>
        <w:ind w:left="0" w:leftChars="0" w:firstLine="480" w:firstLineChars="200"/>
        <w:rPr>
          <w:color w:val="auto"/>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两个或两个以上法人或者其他组织可以组成一个联合体，以一个投标人的身份共同投标。</w:t>
      </w:r>
    </w:p>
    <w:p>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（四）语言文字以及度量衡单位</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2.所有计量均采用中国法定的计量单位。</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3.所有报价一律使用人民币，货币单位：元。</w:t>
      </w:r>
    </w:p>
    <w:p>
      <w:pPr>
        <w:pStyle w:val="27"/>
        <w:tabs>
          <w:tab w:val="left" w:pos="437"/>
        </w:tabs>
        <w:spacing w:line="312" w:lineRule="auto"/>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（五）现场踏勘</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1.招标文件规定组织踏勘现场的，采购人按招标文件规定的时间、地点组织投标人踏勘项目现场。</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2.投标人自行承担踏勘现场发生的责任、风险和自身费用。</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3.采购人在踏勘现场中介绍的资料和数据等，不构成对招标文件的修改或不作为投标人编制投标文件的依据。</w:t>
      </w:r>
    </w:p>
    <w:p>
      <w:pPr>
        <w:pStyle w:val="14"/>
        <w:snapToGrid w:val="0"/>
        <w:spacing w:line="312" w:lineRule="auto"/>
        <w:ind w:firstLine="482" w:firstLineChars="200"/>
        <w:rPr>
          <w:rFonts w:hAnsi="宋体"/>
          <w:b/>
          <w:color w:val="auto"/>
          <w:sz w:val="24"/>
          <w:highlight w:val="none"/>
        </w:rPr>
      </w:pPr>
      <w:r>
        <w:rPr>
          <w:rFonts w:hint="eastAsia" w:hAnsi="宋体"/>
          <w:b/>
          <w:color w:val="auto"/>
          <w:sz w:val="24"/>
          <w:highlight w:val="none"/>
        </w:rPr>
        <w:t>（六）特别说明</w:t>
      </w:r>
    </w:p>
    <w:p>
      <w:pPr>
        <w:pStyle w:val="14"/>
        <w:snapToGrid w:val="0"/>
        <w:spacing w:line="312" w:lineRule="auto"/>
        <w:ind w:firstLine="480" w:firstLineChars="200"/>
        <w:rPr>
          <w:rFonts w:hAnsi="宋体"/>
          <w:color w:val="auto"/>
          <w:sz w:val="24"/>
          <w:highlight w:val="none"/>
        </w:rPr>
      </w:pPr>
      <w:r>
        <w:rPr>
          <w:rFonts w:hint="eastAsia" w:hAnsi="宋体"/>
          <w:color w:val="auto"/>
          <w:sz w:val="24"/>
          <w:highlight w:val="none"/>
        </w:rPr>
        <w:t>1.投标人投标所使用的资格、信誉、荣誉、业绩与企业认证必须为本法人所拥有且所提供的资料都是真实有效的。投标人投标所使用的采购项目实施人员必须为本法人员工。</w:t>
      </w:r>
      <w:r>
        <w:rPr>
          <w:rFonts w:hint="eastAsia" w:ascii="宋体" w:hAnsi="宋体" w:cs="宋体"/>
          <w:bCs/>
          <w:color w:val="auto"/>
          <w:sz w:val="24"/>
          <w:highlight w:val="none"/>
        </w:rPr>
        <w:t>▲</w:t>
      </w:r>
      <w:r>
        <w:rPr>
          <w:rFonts w:hint="eastAsia" w:hAnsi="宋体"/>
          <w:color w:val="auto"/>
          <w:sz w:val="24"/>
          <w:highlight w:val="none"/>
        </w:rPr>
        <w:t>其中涉及资格条件的如非本法人所拥有，则投标无效。</w:t>
      </w:r>
    </w:p>
    <w:p>
      <w:pPr>
        <w:pStyle w:val="27"/>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应提供具体有效的证明材料。</w:t>
      </w:r>
    </w:p>
    <w:p>
      <w:pPr>
        <w:pStyle w:val="27"/>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12"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三、招标文件</w:t>
      </w:r>
    </w:p>
    <w:p>
      <w:pPr>
        <w:pStyle w:val="27"/>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pPr>
        <w:pStyle w:val="27"/>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（二）投标人在规定的时间内未对招标文件提出疑问、质疑或要求澄清的，将视其为无异议。</w:t>
      </w:r>
    </w:p>
    <w:p>
      <w:pPr>
        <w:pStyle w:val="27"/>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（三）对招标文件中描述有歧义或前后不一致的地方，评标委员会有权进行评判，但对同一条款的评判应适用于每个投标人。</w:t>
      </w:r>
    </w:p>
    <w:p>
      <w:pPr>
        <w:pStyle w:val="27"/>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12"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四、投标文件</w:t>
      </w:r>
    </w:p>
    <w:p>
      <w:pPr>
        <w:pStyle w:val="9"/>
        <w:spacing w:line="312"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（一）投标文件的编制</w:t>
      </w:r>
    </w:p>
    <w:p>
      <w:pPr>
        <w:pStyle w:val="9"/>
        <w:spacing w:line="312" w:lineRule="auto"/>
        <w:ind w:firstLine="480" w:firstLineChars="200"/>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 xml:space="preserve"> 投标人接到招标文件后，按照采购组织机构的要求提供：资格证明文件、商务与技术文件和报价</w:t>
      </w:r>
      <w:r>
        <w:rPr>
          <w:rFonts w:hint="eastAsia" w:ascii="宋体" w:hAnsi="宋体" w:cs="宋体"/>
          <w:color w:val="auto"/>
          <w:kern w:val="0"/>
          <w:sz w:val="24"/>
          <w:szCs w:val="24"/>
          <w:highlight w:val="none"/>
          <w:lang w:val="zh-CN"/>
        </w:rPr>
        <w:t>文件。【特别提示：如在投标时有要求提供资料原件的，将原件扫描放入投标文件。】本招标文件中若有多标项的，若参与多标项投标的，则按每个标项分别独立编制投标文件。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财务报告、依法缴纳税收和社会保障资金的相关材料。</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6"/>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提供采购公告中符合供应商特定条件的有效资质证书扫描件（投标供应商特定条件中有要求的必须提供），以及需要说明的其他资料。</w:t>
      </w:r>
    </w:p>
    <w:p>
      <w:pPr>
        <w:pStyle w:val="9"/>
        <w:rPr>
          <w:color w:val="auto"/>
          <w:highlight w:val="none"/>
        </w:rPr>
      </w:pPr>
      <w:r>
        <w:rPr>
          <w:rFonts w:hint="eastAsia"/>
          <w:color w:val="auto"/>
          <w:highlight w:val="none"/>
        </w:rPr>
        <w:t>（7）</w:t>
      </w:r>
      <w:r>
        <w:rPr>
          <w:rFonts w:hint="eastAsia" w:asciiTheme="minorEastAsia" w:hAnsiTheme="minorEastAsia" w:eastAsiaTheme="minorEastAsia"/>
          <w:color w:val="auto"/>
          <w:kern w:val="0"/>
          <w:sz w:val="24"/>
          <w:highlight w:val="none"/>
        </w:rPr>
        <w:t>中小企业等声明函。</w:t>
      </w:r>
    </w:p>
    <w:p>
      <w:pPr>
        <w:widowControl/>
        <w:spacing w:line="288" w:lineRule="auto"/>
        <w:ind w:right="62" w:firstLine="442" w:firstLineChars="200"/>
        <w:jc w:val="left"/>
        <w:outlineLvl w:val="0"/>
        <w:rPr>
          <w:rFonts w:ascii="宋体" w:hAnsi="宋体" w:cs="宋体"/>
          <w:b/>
          <w:color w:val="auto"/>
          <w:sz w:val="22"/>
          <w:highlight w:val="none"/>
          <w:u w:val="single"/>
        </w:rPr>
      </w:pPr>
      <w:r>
        <w:rPr>
          <w:rFonts w:hint="eastAsia" w:ascii="宋体" w:hAnsi="宋体" w:cs="宋体"/>
          <w:b/>
          <w:color w:val="auto"/>
          <w:sz w:val="22"/>
          <w:highlight w:val="none"/>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人</w:t>
      </w:r>
      <w:r>
        <w:rPr>
          <w:rFonts w:hint="eastAsia" w:ascii="宋体" w:hAnsi="宋体" w:cs="宋体"/>
          <w:b/>
          <w:color w:val="auto"/>
          <w:sz w:val="22"/>
          <w:highlight w:val="none"/>
          <w:u w:val="single"/>
        </w:rPr>
        <w:t>属于中小企业范畴的，可以以书面承诺代替相关证明材料。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9"/>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（1）技术方案描述部分</w:t>
      </w:r>
    </w:p>
    <w:p>
      <w:pPr>
        <w:pStyle w:val="9"/>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 MERGEFORMAT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投标人情况介绍（人员与技术力量、企业规模、经营业绩等）</w:t>
      </w:r>
      <w:r>
        <w:rPr>
          <w:rFonts w:hint="eastAsia" w:ascii="宋体" w:hAnsi="宋体" w:cs="宋体"/>
          <w:color w:val="auto"/>
          <w:sz w:val="24"/>
          <w:szCs w:val="24"/>
          <w:highlight w:val="none"/>
          <w:lang w:eastAsia="zh-CN"/>
        </w:rPr>
        <w:t>；</w:t>
      </w:r>
    </w:p>
    <w:p>
      <w:pPr>
        <w:pStyle w:val="9"/>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2 \* GB3 \* MERGEFORMAT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②</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项目需求的理解与分析(投标人对项目现状及需求的理解情况，对项目现状和需求描述的全面性、准确性、针对性，对项目重点、难点的把握，解决方案及合理化建议)</w:t>
      </w:r>
      <w:r>
        <w:rPr>
          <w:rFonts w:hint="eastAsia" w:ascii="宋体" w:hAnsi="宋体" w:cs="宋体"/>
          <w:color w:val="auto"/>
          <w:sz w:val="24"/>
          <w:szCs w:val="24"/>
          <w:highlight w:val="none"/>
          <w:lang w:eastAsia="zh-CN"/>
        </w:rPr>
        <w:t>；</w:t>
      </w:r>
    </w:p>
    <w:p>
      <w:pPr>
        <w:pStyle w:val="9"/>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3 \* GB3 \* MERGEFORMAT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③</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项目组织实施方案（包括项目工期、项目实施进度安排、项目实施人员及项目负责人的资质、类似经验及社保证明等）</w:t>
      </w:r>
      <w:r>
        <w:rPr>
          <w:rFonts w:hint="eastAsia" w:ascii="宋体" w:hAnsi="宋体" w:cs="宋体"/>
          <w:color w:val="auto"/>
          <w:sz w:val="24"/>
          <w:szCs w:val="24"/>
          <w:highlight w:val="none"/>
          <w:lang w:eastAsia="zh-CN"/>
        </w:rPr>
        <w:t>；</w:t>
      </w:r>
    </w:p>
    <w:p>
      <w:pPr>
        <w:pStyle w:val="9"/>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4 \* GB3 \* MERGEFORMAT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④</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技术需求响应表</w:t>
      </w:r>
      <w:r>
        <w:rPr>
          <w:rFonts w:hint="eastAsia" w:ascii="宋体" w:hAnsi="宋体" w:cs="宋体"/>
          <w:color w:val="auto"/>
          <w:sz w:val="24"/>
          <w:szCs w:val="24"/>
          <w:highlight w:val="none"/>
          <w:lang w:eastAsia="zh-CN"/>
        </w:rPr>
        <w:t>；</w:t>
      </w:r>
    </w:p>
    <w:p>
      <w:pPr>
        <w:pStyle w:val="9"/>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⑤项目实施人员一览表</w:t>
      </w:r>
      <w:r>
        <w:rPr>
          <w:rFonts w:hint="eastAsia" w:ascii="宋体" w:hAnsi="宋体" w:cs="宋体"/>
          <w:color w:val="auto"/>
          <w:sz w:val="24"/>
          <w:szCs w:val="24"/>
          <w:highlight w:val="none"/>
          <w:lang w:eastAsia="zh-CN"/>
        </w:rPr>
        <w:t>；</w:t>
      </w:r>
    </w:p>
    <w:p>
      <w:pPr>
        <w:pStyle w:val="9"/>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⑥项目负责人资格情况表</w:t>
      </w:r>
      <w:r>
        <w:rPr>
          <w:rFonts w:hint="eastAsia" w:ascii="宋体" w:hAnsi="宋体" w:cs="宋体"/>
          <w:color w:val="auto"/>
          <w:sz w:val="24"/>
          <w:szCs w:val="24"/>
          <w:highlight w:val="none"/>
          <w:lang w:eastAsia="zh-CN"/>
        </w:rPr>
        <w:t>；</w:t>
      </w:r>
    </w:p>
    <w:p>
      <w:pPr>
        <w:pStyle w:val="9"/>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⑦</w:t>
      </w:r>
      <w:r>
        <w:rPr>
          <w:rFonts w:ascii="宋体" w:hAnsi="宋体"/>
          <w:color w:val="auto"/>
          <w:kern w:val="0"/>
          <w:sz w:val="24"/>
          <w:szCs w:val="24"/>
          <w:highlight w:val="none"/>
        </w:rPr>
        <w:t>交付及</w:t>
      </w:r>
      <w:r>
        <w:rPr>
          <w:rFonts w:asciiTheme="minorEastAsia" w:hAnsiTheme="minorEastAsia" w:eastAsiaTheme="minorEastAsia"/>
          <w:color w:val="auto"/>
          <w:kern w:val="0"/>
          <w:sz w:val="24"/>
          <w:szCs w:val="24"/>
          <w:highlight w:val="none"/>
        </w:rPr>
        <w:t>验收方案</w:t>
      </w:r>
      <w:r>
        <w:rPr>
          <w:rFonts w:hint="eastAsia" w:asciiTheme="minorEastAsia" w:hAnsiTheme="minorEastAsia" w:eastAsiaTheme="minorEastAsia"/>
          <w:color w:val="auto"/>
          <w:kern w:val="0"/>
          <w:sz w:val="24"/>
          <w:szCs w:val="24"/>
          <w:highlight w:val="none"/>
        </w:rPr>
        <w:t>（包括项目验收标准和验收方法等）</w:t>
      </w:r>
      <w:r>
        <w:rPr>
          <w:rFonts w:hint="eastAsia" w:asciiTheme="minorEastAsia" w:hAnsiTheme="minorEastAsia" w:eastAsiaTheme="minorEastAsia"/>
          <w:color w:val="auto"/>
          <w:sz w:val="24"/>
          <w:szCs w:val="24"/>
          <w:highlight w:val="none"/>
        </w:rPr>
        <w:t>和措施</w:t>
      </w:r>
      <w:r>
        <w:rPr>
          <w:rFonts w:hint="eastAsia" w:asciiTheme="minorEastAsia" w:hAnsiTheme="minorEastAsia" w:eastAsiaTheme="minorEastAsia"/>
          <w:color w:val="auto"/>
          <w:sz w:val="24"/>
          <w:szCs w:val="24"/>
          <w:highlight w:val="none"/>
          <w:lang w:eastAsia="zh-CN"/>
        </w:rPr>
        <w:t>；</w:t>
      </w:r>
    </w:p>
    <w:p>
      <w:pPr>
        <w:pStyle w:val="9"/>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⑧投标人</w:t>
      </w:r>
      <w:r>
        <w:rPr>
          <w:rFonts w:ascii="宋体" w:hAnsi="宋体" w:cs="宋体"/>
          <w:color w:val="auto"/>
          <w:sz w:val="24"/>
          <w:szCs w:val="24"/>
          <w:highlight w:val="none"/>
        </w:rPr>
        <w:t>需要说明的其他</w:t>
      </w:r>
      <w:r>
        <w:rPr>
          <w:rFonts w:hint="eastAsia" w:ascii="宋体" w:hAnsi="宋体" w:cs="宋体"/>
          <w:color w:val="auto"/>
          <w:sz w:val="24"/>
          <w:szCs w:val="24"/>
          <w:highlight w:val="none"/>
        </w:rPr>
        <w:t>内容（包括可能影响投标人技术性能评分项的各类证明材料）</w:t>
      </w:r>
      <w:r>
        <w:rPr>
          <w:rFonts w:hint="eastAsia" w:ascii="宋体" w:hAnsi="宋体" w:cs="宋体"/>
          <w:color w:val="auto"/>
          <w:sz w:val="24"/>
          <w:szCs w:val="24"/>
          <w:highlight w:val="none"/>
          <w:lang w:eastAsia="zh-CN"/>
        </w:rPr>
        <w:t>。</w:t>
      </w:r>
    </w:p>
    <w:p>
      <w:pPr>
        <w:autoSpaceDE w:val="0"/>
        <w:autoSpaceDN w:val="0"/>
        <w:adjustRightInd w:val="0"/>
        <w:spacing w:line="360" w:lineRule="auto"/>
        <w:ind w:firstLine="424" w:firstLineChars="177"/>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（2）商务及其他部分</w:t>
      </w:r>
    </w:p>
    <w:p>
      <w:pPr>
        <w:autoSpaceDE w:val="0"/>
        <w:autoSpaceDN w:val="0"/>
        <w:adjustRightInd w:val="0"/>
        <w:spacing w:line="360" w:lineRule="auto"/>
        <w:ind w:firstLine="424" w:firstLineChars="177"/>
        <w:rPr>
          <w:rFonts w:hint="eastAsia" w:ascii="宋体" w:hAnsi="宋体" w:eastAsia="宋体" w:cs="宋体"/>
          <w:color w:val="auto"/>
          <w:sz w:val="24"/>
          <w:highlight w:val="none"/>
          <w:lang w:eastAsia="zh-CN"/>
        </w:rPr>
      </w:pPr>
      <w:r>
        <w:rPr>
          <w:rFonts w:ascii="宋体" w:hAnsi="宋体" w:cs="宋体"/>
          <w:color w:val="auto"/>
          <w:sz w:val="24"/>
          <w:highlight w:val="none"/>
        </w:rPr>
        <w:fldChar w:fldCharType="begin"/>
      </w:r>
      <w:r>
        <w:rPr>
          <w:rFonts w:ascii="宋体" w:hAnsi="宋体" w:cs="宋体"/>
          <w:color w:val="auto"/>
          <w:sz w:val="24"/>
          <w:highlight w:val="none"/>
        </w:rPr>
        <w:instrText xml:space="preserve"> = 1 \* GB3 \* MERGEFORMAT </w:instrText>
      </w:r>
      <w:r>
        <w:rPr>
          <w:rFonts w:ascii="宋体" w:hAnsi="宋体" w:cs="宋体"/>
          <w:color w:val="auto"/>
          <w:sz w:val="24"/>
          <w:highlight w:val="none"/>
        </w:rPr>
        <w:fldChar w:fldCharType="separate"/>
      </w:r>
      <w:r>
        <w:rPr>
          <w:rFonts w:ascii="宋体" w:hAnsi="宋体" w:cs="宋体"/>
          <w:color w:val="auto"/>
          <w:sz w:val="24"/>
          <w:highlight w:val="none"/>
        </w:rPr>
        <w:t>①</w:t>
      </w:r>
      <w:r>
        <w:rPr>
          <w:rFonts w:ascii="宋体" w:hAnsi="宋体" w:cs="宋体"/>
          <w:color w:val="auto"/>
          <w:sz w:val="24"/>
          <w:highlight w:val="none"/>
        </w:rPr>
        <w:fldChar w:fldCharType="end"/>
      </w:r>
      <w:r>
        <w:rPr>
          <w:rFonts w:hint="eastAsia"/>
          <w:color w:val="auto"/>
          <w:sz w:val="24"/>
          <w:highlight w:val="none"/>
        </w:rPr>
        <w:t>证书一览表（</w:t>
      </w:r>
      <w:r>
        <w:rPr>
          <w:rFonts w:hint="eastAsia" w:ascii="宋体" w:hAnsi="宋体" w:cs="宋体"/>
          <w:color w:val="auto"/>
          <w:sz w:val="24"/>
          <w:highlight w:val="none"/>
        </w:rPr>
        <w:t>与本项目相关</w:t>
      </w:r>
      <w:r>
        <w:rPr>
          <w:rFonts w:hint="eastAsia" w:ascii="宋体" w:hAnsi="宋体" w:cs="宋体"/>
          <w:color w:val="auto"/>
          <w:kern w:val="0"/>
          <w:sz w:val="24"/>
          <w:highlight w:val="none"/>
        </w:rPr>
        <w:t>的认证证书或文件</w:t>
      </w:r>
      <w:r>
        <w:rPr>
          <w:rFonts w:hint="eastAsia"/>
          <w:color w:val="auto"/>
          <w:sz w:val="24"/>
          <w:highlight w:val="none"/>
        </w:rPr>
        <w:t>）</w:t>
      </w:r>
      <w:r>
        <w:rPr>
          <w:rFonts w:hint="eastAsia"/>
          <w:color w:val="auto"/>
          <w:sz w:val="24"/>
          <w:highlight w:val="none"/>
          <w:lang w:eastAsia="zh-CN"/>
        </w:rPr>
        <w:t>；</w:t>
      </w:r>
    </w:p>
    <w:p>
      <w:pPr>
        <w:pStyle w:val="9"/>
        <w:widowControl/>
        <w:adjustRightInd w:val="0"/>
        <w:snapToGrid w:val="0"/>
        <w:spacing w:line="360" w:lineRule="auto"/>
        <w:ind w:firstLine="480" w:firstLineChars="200"/>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2 \* GB3 \* MERGEFORMAT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②</w:t>
      </w:r>
      <w:r>
        <w:rPr>
          <w:rFonts w:hint="eastAsia" w:ascii="宋体" w:hAnsi="宋体" w:cs="宋体"/>
          <w:color w:val="auto"/>
          <w:sz w:val="24"/>
          <w:szCs w:val="24"/>
          <w:highlight w:val="none"/>
        </w:rPr>
        <w:fldChar w:fldCharType="end"/>
      </w:r>
      <w:r>
        <w:rPr>
          <w:rFonts w:hint="eastAsia" w:asciiTheme="minorEastAsia" w:hAnsiTheme="minorEastAsia" w:eastAsiaTheme="minorEastAsia"/>
          <w:color w:val="auto"/>
          <w:kern w:val="0"/>
          <w:sz w:val="24"/>
          <w:szCs w:val="24"/>
          <w:highlight w:val="none"/>
        </w:rPr>
        <w:t>近年来类似项目的成功案例</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（投标人类似项目实施情况一览表、合同</w:t>
      </w:r>
      <w:r>
        <w:rPr>
          <w:rFonts w:hint="eastAsia" w:asciiTheme="minorEastAsia" w:hAnsiTheme="minorEastAsia" w:eastAsiaTheme="minorEastAsia"/>
          <w:color w:val="auto"/>
          <w:kern w:val="0"/>
          <w:sz w:val="24"/>
          <w:szCs w:val="24"/>
          <w:highlight w:val="none"/>
          <w:lang w:eastAsia="zh-CN"/>
        </w:rPr>
        <w:t>扫描件</w:t>
      </w:r>
      <w:r>
        <w:rPr>
          <w:rFonts w:hint="eastAsia" w:asciiTheme="minorEastAsia" w:hAnsiTheme="minorEastAsia" w:eastAsiaTheme="minorEastAsia"/>
          <w:color w:val="auto"/>
          <w:kern w:val="0"/>
          <w:sz w:val="24"/>
          <w:szCs w:val="24"/>
          <w:highlight w:val="none"/>
        </w:rPr>
        <w:t>及其相应的发票、用户验收报告等</w:t>
      </w:r>
      <w:r>
        <w:rPr>
          <w:rFonts w:hint="eastAsia" w:asciiTheme="minorEastAsia" w:hAnsiTheme="minorEastAsia" w:eastAsiaTheme="minorEastAsia"/>
          <w:color w:val="auto"/>
          <w:kern w:val="0"/>
          <w:sz w:val="24"/>
          <w:szCs w:val="24"/>
          <w:highlight w:val="none"/>
          <w:lang w:eastAsia="zh-CN"/>
        </w:rPr>
        <w:t>，具体要求详见评分细则对应评分项</w:t>
      </w:r>
      <w:r>
        <w:rPr>
          <w:rFonts w:hint="eastAsia" w:asciiTheme="minorEastAsia" w:hAnsiTheme="minorEastAsia" w:eastAsiaTheme="minorEastAsia"/>
          <w:color w:val="auto"/>
          <w:kern w:val="0"/>
          <w:sz w:val="24"/>
          <w:szCs w:val="24"/>
          <w:highlight w:val="none"/>
        </w:rPr>
        <w:t>）</w:t>
      </w:r>
    </w:p>
    <w:p>
      <w:pPr>
        <w:pStyle w:val="9"/>
        <w:widowControl/>
        <w:adjustRightInd w:val="0"/>
        <w:snapToGrid w:val="0"/>
        <w:spacing w:line="360" w:lineRule="auto"/>
        <w:ind w:left="666" w:firstLine="0"/>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3 \* GB3 \* MERGEFORMAT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③</w:t>
      </w:r>
      <w:r>
        <w:rPr>
          <w:rFonts w:hint="eastAsia" w:ascii="宋体" w:hAnsi="宋体" w:cs="宋体"/>
          <w:color w:val="auto"/>
          <w:sz w:val="24"/>
          <w:szCs w:val="24"/>
          <w:highlight w:val="none"/>
        </w:rPr>
        <w:fldChar w:fldCharType="end"/>
      </w:r>
      <w:r>
        <w:rPr>
          <w:rFonts w:hint="eastAsia"/>
          <w:color w:val="auto"/>
          <w:sz w:val="24"/>
          <w:szCs w:val="24"/>
          <w:highlight w:val="none"/>
        </w:rPr>
        <w:t>商务需求响应表。</w:t>
      </w:r>
    </w:p>
    <w:p>
      <w:pPr>
        <w:autoSpaceDE w:val="0"/>
        <w:autoSpaceDN w:val="0"/>
        <w:adjustRightInd w:val="0"/>
        <w:spacing w:line="312"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12"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p>
    <w:p>
      <w:pPr>
        <w:autoSpaceDE w:val="0"/>
        <w:autoSpaceDN w:val="0"/>
        <w:adjustRightInd w:val="0"/>
        <w:spacing w:line="312"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w:t>
      </w:r>
    </w:p>
    <w:p>
      <w:pPr>
        <w:autoSpaceDE w:val="0"/>
        <w:autoSpaceDN w:val="0"/>
        <w:adjustRightInd w:val="0"/>
        <w:spacing w:line="312"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（3）针对报价投标人认为其他需要说明的。</w:t>
      </w:r>
    </w:p>
    <w:p>
      <w:pPr>
        <w:pStyle w:val="9"/>
        <w:spacing w:line="312"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（二）投标报价</w:t>
      </w:r>
    </w:p>
    <w:p>
      <w:pPr>
        <w:pStyle w:val="9"/>
        <w:spacing w:line="312"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9"/>
        <w:spacing w:line="312" w:lineRule="auto"/>
        <w:ind w:firstLine="480" w:firstLineChars="200"/>
        <w:rPr>
          <w:rFonts w:ascii="宋体" w:hAnsi="宋体"/>
          <w:color w:val="auto"/>
          <w:sz w:val="24"/>
          <w:highlight w:val="none"/>
        </w:rPr>
      </w:pPr>
      <w:r>
        <w:rPr>
          <w:rFonts w:hint="eastAsia" w:ascii="宋体" w:hAnsi="宋体"/>
          <w:color w:val="auto"/>
          <w:sz w:val="24"/>
          <w:highlight w:val="none"/>
        </w:rPr>
        <w:t>2. 投标报价包括本项目采购需求和投入使用的所有费用，包括但不限于本项目</w:t>
      </w:r>
      <w:r>
        <w:rPr>
          <w:rFonts w:hint="eastAsia"/>
          <w:color w:val="auto"/>
          <w:sz w:val="24"/>
          <w:highlight w:val="none"/>
        </w:rPr>
        <w:t>编辑、审校、设计、排版、书号、出版、印刷、</w:t>
      </w:r>
      <w:r>
        <w:rPr>
          <w:rFonts w:hint="eastAsia" w:ascii="宋体" w:hAnsi="宋体"/>
          <w:color w:val="auto"/>
          <w:sz w:val="24"/>
          <w:highlight w:val="none"/>
        </w:rPr>
        <w:t>服务款、货款、专用工具、包装、运输、装卸、保险、验收、税金、货到就位以及合同包含的所有风险责任等各项费用及不可预见费等所需的全部费用。</w:t>
      </w:r>
    </w:p>
    <w:p>
      <w:pPr>
        <w:pStyle w:val="9"/>
        <w:spacing w:line="312"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3.投标报价不得为选择性报价和附有条件的报价。</w:t>
      </w:r>
    </w:p>
    <w:p>
      <w:pPr>
        <w:pStyle w:val="9"/>
        <w:spacing w:line="312"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（三）投标文件的有效期</w:t>
      </w:r>
    </w:p>
    <w:p>
      <w:pPr>
        <w:pStyle w:val="9"/>
        <w:spacing w:line="312" w:lineRule="auto"/>
        <w:ind w:firstLine="480" w:firstLineChars="200"/>
        <w:rPr>
          <w:rFonts w:ascii="宋体" w:hAnsi="宋体" w:cs="宋体"/>
          <w:color w:val="auto"/>
          <w:sz w:val="24"/>
          <w:szCs w:val="24"/>
          <w:highlight w:val="none"/>
          <w:lang w:val="en-GB"/>
        </w:rPr>
      </w:pPr>
      <w:r>
        <w:rPr>
          <w:rFonts w:hint="eastAsia" w:ascii="宋体" w:hAnsi="宋体" w:cs="宋体"/>
          <w:color w:val="auto"/>
          <w:sz w:val="24"/>
          <w:szCs w:val="24"/>
          <w:highlight w:val="none"/>
        </w:rPr>
        <w:t>1.</w:t>
      </w:r>
      <w:r>
        <w:rPr>
          <w:rFonts w:hint="eastAsia" w:ascii="宋体" w:hAnsi="宋体" w:cs="宋体"/>
          <w:b/>
          <w:color w:val="auto"/>
          <w:sz w:val="24"/>
          <w:highlight w:val="none"/>
        </w:rPr>
        <w:t>▲</w:t>
      </w:r>
      <w:r>
        <w:rPr>
          <w:rFonts w:hint="eastAsia" w:ascii="宋体" w:hAnsi="宋体" w:cs="宋体"/>
          <w:color w:val="auto"/>
          <w:sz w:val="24"/>
          <w:szCs w:val="24"/>
          <w:highlight w:val="none"/>
        </w:rPr>
        <w:t>投标文件有效期为</w:t>
      </w:r>
      <w:r>
        <w:rPr>
          <w:rFonts w:hint="eastAsia" w:ascii="宋体" w:hAnsi="宋体" w:cs="宋体"/>
          <w:color w:val="auto"/>
          <w:sz w:val="24"/>
          <w:szCs w:val="24"/>
          <w:highlight w:val="none"/>
          <w:lang w:val="en-GB"/>
        </w:rPr>
        <w:t>投标截止日起90天。</w:t>
      </w:r>
    </w:p>
    <w:p>
      <w:pPr>
        <w:pStyle w:val="9"/>
        <w:spacing w:line="312" w:lineRule="auto"/>
        <w:ind w:firstLine="480" w:firstLineChars="200"/>
        <w:rPr>
          <w:rFonts w:ascii="宋体" w:hAnsi="宋体" w:cs="宋体"/>
          <w:color w:val="auto"/>
          <w:sz w:val="24"/>
          <w:szCs w:val="24"/>
          <w:highlight w:val="none"/>
          <w:lang w:val="en-GB"/>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pPr>
        <w:snapToGrid w:val="0"/>
        <w:spacing w:line="312"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w:t>
      </w:r>
      <w:r>
        <w:rPr>
          <w:rFonts w:hint="eastAsia" w:ascii="宋体" w:hAnsi="宋体" w:cs="宋体"/>
          <w:color w:val="auto"/>
          <w:sz w:val="24"/>
          <w:highlight w:val="none"/>
        </w:rPr>
        <w:t>中标人的投标文件自开标之日起至合同履行完毕均应保持有效。</w:t>
      </w:r>
    </w:p>
    <w:p>
      <w:pPr>
        <w:snapToGrid w:val="0"/>
        <w:spacing w:line="312" w:lineRule="auto"/>
        <w:ind w:firstLine="482" w:firstLineChars="200"/>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（四）投标文件的签署</w:t>
      </w:r>
    </w:p>
    <w:p>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宋体" w:hAnsi="宋体" w:cs="宋体"/>
          <w:bCs/>
          <w:color w:val="auto"/>
          <w:kern w:val="0"/>
          <w:sz w:val="24"/>
          <w:szCs w:val="24"/>
          <w:highlight w:val="none"/>
        </w:rPr>
        <w:t>1.</w:t>
      </w:r>
      <w:r>
        <w:rPr>
          <w:rFonts w:hint="eastAsia" w:asciiTheme="minorEastAsia" w:hAnsiTheme="minorEastAsia" w:eastAsiaTheme="minorEastAsia"/>
          <w:bCs/>
          <w:color w:val="auto"/>
          <w:kern w:val="0"/>
          <w:sz w:val="24"/>
          <w:highlight w:val="none"/>
        </w:rPr>
        <w:t>投标文件需由法定代表人或经其正式授权的代表签字或盖章。授权代表须出具书面授权证明，其《法定代表人授权书》应附在投标文件中。</w:t>
      </w:r>
    </w:p>
    <w:p>
      <w:pPr>
        <w:pStyle w:val="9"/>
        <w:spacing w:line="312"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2.投标文件中所有的插字、涂改和增删，必须由法定代表人或经其正式授权的代表在旁边签字或盖章才有效。</w:t>
      </w:r>
    </w:p>
    <w:p>
      <w:pPr>
        <w:autoSpaceDE w:val="0"/>
        <w:autoSpaceDN w:val="0"/>
        <w:adjustRightIn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（五）投标文件的递交要求</w:t>
      </w:r>
    </w:p>
    <w:p>
      <w:pPr>
        <w:tabs>
          <w:tab w:val="left" w:pos="1418"/>
        </w:tabs>
        <w:autoSpaceDE w:val="0"/>
        <w:autoSpaceDN w:val="0"/>
        <w:adjustRightInd w:val="0"/>
        <w:spacing w:line="312"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按照前附表要求提交，</w:t>
      </w:r>
      <w:r>
        <w:rPr>
          <w:rFonts w:hint="eastAsia" w:ascii="宋体" w:hAnsi="宋体" w:cs="宋体"/>
          <w:color w:val="auto"/>
          <w:kern w:val="0"/>
          <w:sz w:val="24"/>
          <w:highlight w:val="none"/>
        </w:rPr>
        <w:t>如采购组织机构延长截止时间和开标时间，采购组织机构和投标人的权利和义务将受到新的截止时间和开标时间的约束。</w:t>
      </w:r>
    </w:p>
    <w:p>
      <w:pPr>
        <w:snapToGrid w:val="0"/>
        <w:spacing w:line="312"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五、开标</w:t>
      </w:r>
    </w:p>
    <w:p>
      <w:pPr>
        <w:autoSpaceDE w:val="0"/>
        <w:autoSpaceDN w:val="0"/>
        <w:adjustRightInd w:val="0"/>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（一）开标程序</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1.开标时间到后，主持人准时组织开标；</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2.宣布开标纪律；</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3.宣布采购组织机构工作人员；</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4.投标人登录政采云平台，用“项目采购-开标评标”功能对电子投标文件进行在线解密。在线解密时间为开标时间起半个小时内；</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5.采购组织机构工作人员当众宣布投标人名称、投标价格和招标文件规定的需要宣布的其他内容；（以开标一览表要求为准）</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6.公布开标结果。</w:t>
      </w:r>
    </w:p>
    <w:p>
      <w:pPr>
        <w:pStyle w:val="9"/>
        <w:spacing w:line="312"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（二）开标异议</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spacing w:line="312"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（三）</w:t>
      </w:r>
      <w:r>
        <w:rPr>
          <w:rFonts w:hint="eastAsia" w:ascii="宋体" w:hAnsi="宋体" w:cs="宋体"/>
          <w:color w:val="auto"/>
          <w:sz w:val="24"/>
          <w:szCs w:val="24"/>
          <w:highlight w:val="none"/>
        </w:rPr>
        <w:t>投标人不足三家，不得开标。</w:t>
      </w:r>
    </w:p>
    <w:p>
      <w:pPr>
        <w:pStyle w:val="14"/>
        <w:snapToGrid w:val="0"/>
        <w:spacing w:line="312" w:lineRule="auto"/>
        <w:ind w:firstLine="482" w:firstLineChars="200"/>
        <w:outlineLvl w:val="1"/>
        <w:rPr>
          <w:rFonts w:hAnsi="宋体"/>
          <w:b/>
          <w:color w:val="auto"/>
          <w:sz w:val="24"/>
          <w:highlight w:val="none"/>
        </w:rPr>
      </w:pPr>
      <w:r>
        <w:rPr>
          <w:rFonts w:hint="eastAsia" w:hAnsi="宋体"/>
          <w:b/>
          <w:color w:val="auto"/>
          <w:sz w:val="24"/>
          <w:highlight w:val="none"/>
        </w:rPr>
        <w:t>六、评标（详见第四章）</w:t>
      </w:r>
    </w:p>
    <w:p>
      <w:pPr>
        <w:pStyle w:val="18"/>
        <w:spacing w:before="0" w:beforeAutospacing="0" w:after="0" w:afterAutospacing="0" w:line="312" w:lineRule="auto"/>
        <w:ind w:firstLine="482" w:firstLineChars="200"/>
        <w:jc w:val="both"/>
        <w:rPr>
          <w:rFonts w:hint="default" w:cs="宋体"/>
          <w:b/>
          <w:color w:val="auto"/>
          <w:highlight w:val="none"/>
        </w:rPr>
      </w:pPr>
      <w:r>
        <w:rPr>
          <w:rFonts w:cs="宋体"/>
          <w:b/>
          <w:color w:val="auto"/>
          <w:highlight w:val="none"/>
        </w:rPr>
        <w:t>七、定标</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12"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（二）</w:t>
      </w:r>
      <w:r>
        <w:rPr>
          <w:rFonts w:hint="eastAsia" w:ascii="宋体" w:hAnsi="宋体" w:cs="宋体"/>
          <w:color w:val="auto"/>
          <w:kern w:val="0"/>
          <w:sz w:val="24"/>
          <w:highlight w:val="none"/>
        </w:rPr>
        <w:t>发布</w:t>
      </w:r>
      <w:r>
        <w:rPr>
          <w:rFonts w:hint="eastAsia" w:ascii="宋体" w:hAnsi="宋体" w:cs="宋体"/>
          <w:color w:val="auto"/>
          <w:sz w:val="24"/>
          <w:highlight w:val="none"/>
        </w:rPr>
        <w:t>中标</w:t>
      </w:r>
      <w:r>
        <w:rPr>
          <w:rFonts w:hint="eastAsia" w:ascii="宋体" w:hAnsi="宋体" w:cs="宋体"/>
          <w:color w:val="auto"/>
          <w:kern w:val="0"/>
          <w:sz w:val="24"/>
          <w:highlight w:val="none"/>
        </w:rPr>
        <w:t>结果公告。采购组织机构自中标人确定之日起2个工作日内，在浙江省政府采购网上公告中标结果，</w:t>
      </w:r>
      <w:r>
        <w:rPr>
          <w:rFonts w:hint="eastAsia" w:ascii="宋体" w:hAnsi="宋体" w:cs="宋体"/>
          <w:color w:val="auto"/>
          <w:sz w:val="24"/>
          <w:highlight w:val="none"/>
        </w:rPr>
        <w:t>中标结果公告期为 1 个工作日</w:t>
      </w:r>
      <w:r>
        <w:rPr>
          <w:rFonts w:hint="eastAsia" w:ascii="宋体" w:hAnsi="宋体" w:cs="宋体"/>
          <w:color w:val="auto"/>
          <w:kern w:val="0"/>
          <w:sz w:val="24"/>
          <w:highlight w:val="none"/>
        </w:rPr>
        <w:t>。</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kern w:val="0"/>
          <w:sz w:val="24"/>
          <w:highlight w:val="none"/>
        </w:rPr>
        <w:t>（三）发放中标通知书。采购组织机构在发布中标结果公告的同时，</w:t>
      </w:r>
      <w:r>
        <w:rPr>
          <w:rFonts w:hint="eastAsia" w:ascii="宋体" w:hAnsi="宋体" w:cs="宋体"/>
          <w:color w:val="auto"/>
          <w:sz w:val="24"/>
          <w:highlight w:val="none"/>
        </w:rPr>
        <w:t>通过政采云平台</w:t>
      </w:r>
      <w:r>
        <w:rPr>
          <w:rFonts w:hint="eastAsia" w:ascii="宋体" w:hAnsi="宋体" w:cs="宋体"/>
          <w:color w:val="auto"/>
          <w:kern w:val="0"/>
          <w:sz w:val="24"/>
          <w:highlight w:val="none"/>
        </w:rPr>
        <w:t>向中标人</w:t>
      </w:r>
      <w:r>
        <w:rPr>
          <w:rFonts w:hint="eastAsia" w:ascii="宋体" w:hAnsi="宋体" w:cs="宋体"/>
          <w:color w:val="auto"/>
          <w:sz w:val="24"/>
          <w:highlight w:val="none"/>
        </w:rPr>
        <w:t>发放中标通知书</w:t>
      </w:r>
      <w:r>
        <w:rPr>
          <w:rFonts w:hint="eastAsia" w:ascii="宋体" w:hAnsi="宋体" w:cs="宋体"/>
          <w:color w:val="auto"/>
          <w:kern w:val="0"/>
          <w:sz w:val="24"/>
          <w:highlight w:val="none"/>
        </w:rPr>
        <w:t>。</w:t>
      </w:r>
    </w:p>
    <w:p>
      <w:pPr>
        <w:spacing w:line="312"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八、</w:t>
      </w:r>
      <w:r>
        <w:rPr>
          <w:rFonts w:hint="eastAsia" w:ascii="宋体" w:hAnsi="宋体" w:cs="宋体"/>
          <w:b/>
          <w:color w:val="auto"/>
          <w:kern w:val="0"/>
          <w:sz w:val="24"/>
          <w:highlight w:val="none"/>
        </w:rPr>
        <w:t>合同签订及公告</w:t>
      </w:r>
    </w:p>
    <w:p>
      <w:pPr>
        <w:spacing w:line="312"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（一）签订合同</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2.采购人不得向中标人提出任何不合理的要求作为签订合同的条件。</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3.中标人无故拖延、拒签合同的,将取消中标资格。</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pPr>
        <w:pStyle w:val="18"/>
        <w:spacing w:before="0" w:beforeAutospacing="0" w:after="0" w:afterAutospacing="0" w:line="312" w:lineRule="auto"/>
        <w:ind w:firstLine="482" w:firstLineChars="200"/>
        <w:jc w:val="both"/>
        <w:rPr>
          <w:rFonts w:hint="default" w:cs="宋体"/>
          <w:b/>
          <w:color w:val="auto"/>
          <w:highlight w:val="none"/>
        </w:rPr>
      </w:pPr>
      <w:r>
        <w:rPr>
          <w:rFonts w:cs="宋体"/>
          <w:b/>
          <w:color w:val="auto"/>
          <w:highlight w:val="none"/>
        </w:rPr>
        <w:t>（二）合同公告及备案</w:t>
      </w:r>
    </w:p>
    <w:p>
      <w:pPr>
        <w:pStyle w:val="13"/>
        <w:spacing w:after="0" w:line="312"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1.采购人应当自合同签订之日起2个工作日内，</w:t>
      </w:r>
      <w:r>
        <w:rPr>
          <w:rFonts w:hint="eastAsia" w:ascii="宋体" w:hAnsi="宋体" w:cs="宋体"/>
          <w:color w:val="auto"/>
          <w:kern w:val="0"/>
          <w:sz w:val="24"/>
          <w:highlight w:val="none"/>
        </w:rPr>
        <w:t>在省级以上财政部门指定的政府采购信息发布媒体及相关网站上公告</w:t>
      </w:r>
      <w:r>
        <w:rPr>
          <w:rFonts w:hint="eastAsia" w:ascii="宋体" w:hAnsi="宋体" w:cs="宋体"/>
          <w:color w:val="auto"/>
          <w:sz w:val="24"/>
          <w:highlight w:val="none"/>
        </w:rPr>
        <w:t>。</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2.采购人应当自合同签订之日起7个工作日内，将合同通过政采云平台提交至同级人民政府财政部门备案存档。</w:t>
      </w:r>
    </w:p>
    <w:p>
      <w:pPr>
        <w:pStyle w:val="10"/>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九、询问、质疑与投诉</w:t>
      </w:r>
    </w:p>
    <w:p>
      <w:pPr>
        <w:pStyle w:val="10"/>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（一）询问</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s="宋体"/>
          <w:color w:val="auto"/>
          <w:sz w:val="24"/>
          <w:highlight w:val="none"/>
          <w:lang w:eastAsia="zh-CN"/>
        </w:rPr>
        <w:t>公开招标公告</w:t>
      </w:r>
      <w:r>
        <w:rPr>
          <w:rFonts w:hint="eastAsia" w:ascii="宋体" w:hAnsi="宋体" w:cs="宋体"/>
          <w:color w:val="auto"/>
          <w:sz w:val="24"/>
          <w:highlight w:val="none"/>
        </w:rPr>
        <w:t>”中“采购人、采购组织机构的名称、地址和联系方式”。</w:t>
      </w:r>
    </w:p>
    <w:p>
      <w:pPr>
        <w:pStyle w:val="10"/>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（二）质疑</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1.报名本项目的投标人认为招标文件、采购过程和中标结果使自己的权益受到损害的，以书面形式或政采云平台的质疑系统一次性向采购人或采购组织机构提出质疑：</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olor w:val="auto"/>
          <w:sz w:val="24"/>
          <w:highlight w:val="none"/>
        </w:rPr>
        <w:t>投标人认为招标文件的内容损害其权益的，应当自获取之日（公告期限届满后获取采购文件的，以公告期限届满之日为准）起7个工作日内提出质疑；</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（2）投标人对采购过程提出质疑的，应当在各采购程序环节结束之日起7个工作日内提出质疑；</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（3）投标人对中标结果提出质疑的，应当在中标结果公告期限届满之日起7个工作日内提出质疑；</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（三）投诉</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投标人对采购人或采购组织机构的质疑答复不满意或在规定时间内未得到答复的，可以在答复期满后15个工作日内，向同级政府采购监督管理机构投诉。</w:t>
      </w:r>
    </w:p>
    <w:p>
      <w:pPr>
        <w:pStyle w:val="10"/>
        <w:spacing w:line="312" w:lineRule="auto"/>
        <w:ind w:firstLine="480" w:firstLineChars="200"/>
        <w:jc w:val="both"/>
        <w:rPr>
          <w:rFonts w:ascii="宋体" w:hAnsi="宋体" w:cs="宋体"/>
          <w:color w:val="auto"/>
          <w:sz w:val="24"/>
          <w:highlight w:val="none"/>
        </w:rPr>
      </w:pPr>
    </w:p>
    <w:p>
      <w:pPr>
        <w:pStyle w:val="10"/>
        <w:spacing w:line="312" w:lineRule="auto"/>
        <w:ind w:firstLine="480" w:firstLineChars="200"/>
        <w:jc w:val="both"/>
        <w:rPr>
          <w:rFonts w:ascii="宋体" w:hAnsi="宋体" w:cs="宋体"/>
          <w:color w:val="auto"/>
          <w:sz w:val="24"/>
          <w:highlight w:val="none"/>
        </w:rPr>
      </w:pPr>
    </w:p>
    <w:p>
      <w:pPr>
        <w:pStyle w:val="10"/>
        <w:spacing w:line="312" w:lineRule="auto"/>
        <w:ind w:firstLine="480" w:firstLineChars="200"/>
        <w:jc w:val="both"/>
        <w:rPr>
          <w:rFonts w:ascii="宋体" w:hAnsi="宋体" w:cs="宋体"/>
          <w:color w:val="auto"/>
          <w:sz w:val="24"/>
          <w:highlight w:val="none"/>
        </w:rPr>
      </w:pPr>
    </w:p>
    <w:p>
      <w:pPr>
        <w:pStyle w:val="10"/>
        <w:spacing w:line="312" w:lineRule="auto"/>
        <w:ind w:firstLine="480" w:firstLineChars="200"/>
        <w:jc w:val="both"/>
        <w:rPr>
          <w:rFonts w:ascii="宋体" w:hAnsi="宋体" w:cs="宋体"/>
          <w:color w:val="auto"/>
          <w:sz w:val="24"/>
          <w:highlight w:val="none"/>
        </w:rPr>
      </w:pPr>
    </w:p>
    <w:p>
      <w:pPr>
        <w:pStyle w:val="10"/>
        <w:spacing w:line="312" w:lineRule="auto"/>
        <w:ind w:firstLine="480" w:firstLineChars="200"/>
        <w:jc w:val="both"/>
        <w:rPr>
          <w:rFonts w:ascii="宋体" w:hAnsi="宋体" w:cs="宋体"/>
          <w:color w:val="auto"/>
          <w:sz w:val="24"/>
          <w:highlight w:val="none"/>
        </w:rPr>
      </w:pPr>
    </w:p>
    <w:p>
      <w:pPr>
        <w:pStyle w:val="10"/>
        <w:spacing w:line="312" w:lineRule="auto"/>
        <w:ind w:firstLine="480" w:firstLineChars="200"/>
        <w:jc w:val="both"/>
        <w:rPr>
          <w:rFonts w:ascii="宋体" w:hAnsi="宋体" w:cs="宋体"/>
          <w:color w:val="auto"/>
          <w:sz w:val="24"/>
          <w:highlight w:val="none"/>
        </w:rPr>
      </w:pPr>
    </w:p>
    <w:p>
      <w:pPr>
        <w:numPr>
          <w:ilvl w:val="0"/>
          <w:numId w:val="5"/>
        </w:numPr>
        <w:spacing w:line="360" w:lineRule="auto"/>
        <w:jc w:val="center"/>
        <w:rPr>
          <w:rFonts w:ascii="宋体" w:hAnsi="宋体" w:cs="宋体"/>
          <w:b/>
          <w:color w:val="auto"/>
          <w:sz w:val="36"/>
          <w:szCs w:val="36"/>
          <w:highlight w:val="none"/>
        </w:rPr>
      </w:pPr>
      <w:bookmarkStart w:id="32" w:name="_Toc13072_WPSOffice_Level1"/>
      <w:r>
        <w:rPr>
          <w:rFonts w:hint="eastAsia" w:ascii="宋体" w:hAnsi="宋体" w:cs="宋体"/>
          <w:b/>
          <w:color w:val="auto"/>
          <w:sz w:val="36"/>
          <w:szCs w:val="36"/>
          <w:highlight w:val="none"/>
        </w:rPr>
        <w:t>招标需求</w:t>
      </w:r>
      <w:bookmarkEnd w:id="32"/>
    </w:p>
    <w:p>
      <w:pPr>
        <w:tabs>
          <w:tab w:val="left" w:pos="8280"/>
        </w:tabs>
        <w:autoSpaceDE w:val="0"/>
        <w:autoSpaceDN w:val="0"/>
        <w:adjustRightIn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一、招标项目一览表</w:t>
      </w:r>
    </w:p>
    <w:p>
      <w:pPr>
        <w:tabs>
          <w:tab w:val="left" w:pos="8280"/>
        </w:tabs>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个标项，具体内容如下表：</w:t>
      </w:r>
    </w:p>
    <w:tbl>
      <w:tblPr>
        <w:tblStyle w:val="20"/>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826"/>
        <w:gridCol w:w="1417"/>
        <w:gridCol w:w="104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7"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2826" w:type="dxa"/>
            <w:vAlign w:val="center"/>
          </w:tcPr>
          <w:p>
            <w:pPr>
              <w:tabs>
                <w:tab w:val="left" w:pos="8280"/>
              </w:tabs>
              <w:autoSpaceDE w:val="0"/>
              <w:autoSpaceDN w:val="0"/>
              <w:adjustRightInd w:val="0"/>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w:t>
            </w:r>
            <w:r>
              <w:rPr>
                <w:rFonts w:ascii="宋体" w:hAnsi="宋体" w:cs="宋体"/>
                <w:b/>
                <w:color w:val="auto"/>
                <w:sz w:val="24"/>
                <w:highlight w:val="none"/>
              </w:rPr>
              <w:t>名称</w:t>
            </w:r>
          </w:p>
        </w:tc>
        <w:tc>
          <w:tcPr>
            <w:tcW w:w="1417" w:type="dxa"/>
            <w:vAlign w:val="center"/>
          </w:tcPr>
          <w:p>
            <w:pPr>
              <w:tabs>
                <w:tab w:val="left" w:pos="8280"/>
              </w:tabs>
              <w:autoSpaceDE w:val="0"/>
              <w:autoSpaceDN w:val="0"/>
              <w:adjustRightInd w:val="0"/>
              <w:jc w:val="center"/>
              <w:rPr>
                <w:rFonts w:ascii="宋体" w:hAnsi="宋体" w:cs="宋体"/>
                <w:b/>
                <w:color w:val="auto"/>
                <w:kern w:val="0"/>
                <w:sz w:val="24"/>
                <w:highlight w:val="none"/>
              </w:rPr>
            </w:pPr>
            <w:r>
              <w:rPr>
                <w:rFonts w:hint="eastAsia" w:ascii="宋体" w:hAnsi="宋体" w:cs="宋体"/>
                <w:b/>
                <w:color w:val="auto"/>
                <w:kern w:val="0"/>
                <w:sz w:val="24"/>
                <w:highlight w:val="none"/>
              </w:rPr>
              <w:t>简要技术要求</w:t>
            </w:r>
          </w:p>
        </w:tc>
        <w:tc>
          <w:tcPr>
            <w:tcW w:w="1043"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1665"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预算金额</w:t>
            </w:r>
          </w:p>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07"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826" w:type="dxa"/>
            <w:vAlign w:val="center"/>
          </w:tcPr>
          <w:p>
            <w:pPr>
              <w:tabs>
                <w:tab w:val="left" w:pos="8280"/>
              </w:tabs>
              <w:autoSpaceDE w:val="0"/>
              <w:autoSpaceDN w:val="0"/>
              <w:adjustRightInd w:val="0"/>
              <w:jc w:val="center"/>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eastAsia="zh-CN"/>
              </w:rPr>
              <w:t>《椒江政协履职实践》丛书出版印刷项目</w:t>
            </w:r>
          </w:p>
        </w:tc>
        <w:tc>
          <w:tcPr>
            <w:tcW w:w="1417" w:type="dxa"/>
            <w:vAlign w:val="center"/>
          </w:tcPr>
          <w:p>
            <w:pPr>
              <w:tabs>
                <w:tab w:val="left" w:pos="8280"/>
              </w:tabs>
              <w:autoSpaceDE w:val="0"/>
              <w:autoSpaceDN w:val="0"/>
              <w:adjustRightInd w:val="0"/>
              <w:rPr>
                <w:rFonts w:ascii="宋体" w:hAnsi="宋体" w:cs="宋体"/>
                <w:bCs/>
                <w:color w:val="auto"/>
                <w:sz w:val="24"/>
                <w:highlight w:val="none"/>
              </w:rPr>
            </w:pPr>
            <w:r>
              <w:rPr>
                <w:rFonts w:hint="eastAsia" w:ascii="宋体" w:hAnsi="宋体" w:cs="宋体"/>
                <w:bCs/>
                <w:color w:val="auto"/>
                <w:sz w:val="24"/>
                <w:highlight w:val="none"/>
              </w:rPr>
              <w:t>详见本章技术需求</w:t>
            </w:r>
          </w:p>
        </w:tc>
        <w:tc>
          <w:tcPr>
            <w:tcW w:w="1043" w:type="dxa"/>
            <w:vAlign w:val="center"/>
          </w:tcPr>
          <w:p>
            <w:pPr>
              <w:tabs>
                <w:tab w:val="left" w:pos="8280"/>
              </w:tabs>
              <w:autoSpaceDE w:val="0"/>
              <w:autoSpaceDN w:val="0"/>
              <w:adjustRightInd w:val="0"/>
              <w:ind w:firstLine="240" w:firstLineChars="0"/>
              <w:jc w:val="both"/>
              <w:rPr>
                <w:rFonts w:ascii="宋体" w:hAnsi="宋体" w:cs="宋体"/>
                <w:bCs/>
                <w:color w:val="auto"/>
                <w:sz w:val="24"/>
                <w:highlight w:val="none"/>
              </w:rPr>
            </w:pPr>
            <w:r>
              <w:rPr>
                <w:rFonts w:hint="eastAsia" w:ascii="宋体" w:hAnsi="宋体" w:cs="宋体"/>
                <w:bCs/>
                <w:color w:val="auto"/>
                <w:sz w:val="24"/>
                <w:highlight w:val="none"/>
                <w:lang w:val="en-US" w:eastAsia="zh-CN"/>
              </w:rPr>
              <w:t>1批</w:t>
            </w:r>
          </w:p>
        </w:tc>
        <w:tc>
          <w:tcPr>
            <w:tcW w:w="1665" w:type="dxa"/>
            <w:vAlign w:val="center"/>
          </w:tcPr>
          <w:p>
            <w:pPr>
              <w:tabs>
                <w:tab w:val="left" w:pos="8280"/>
              </w:tabs>
              <w:autoSpaceDE w:val="0"/>
              <w:autoSpaceDN w:val="0"/>
              <w:adjustRightInd w:val="0"/>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szCs w:val="24"/>
                <w:highlight w:val="none"/>
                <w:lang w:val="en-US" w:eastAsia="zh-CN"/>
              </w:rPr>
              <w:t>30.9800</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line="360" w:lineRule="auto"/>
        <w:ind w:left="0" w:firstLine="482" w:firstLineChars="200"/>
        <w:textAlignment w:val="auto"/>
        <w:rPr>
          <w:rFonts w:hint="eastAsia" w:ascii="宋体" w:hAnsi="宋体" w:cs="宋体"/>
          <w:b/>
          <w:color w:val="auto"/>
          <w:sz w:val="24"/>
          <w:szCs w:val="24"/>
          <w:highlight w:val="none"/>
          <w:shd w:val="pct10" w:color="auto" w:fill="FFFFFF"/>
        </w:rPr>
      </w:pPr>
      <w:r>
        <w:rPr>
          <w:rFonts w:hint="eastAsia" w:ascii="宋体" w:hAnsi="宋体" w:cs="宋体"/>
          <w:b/>
          <w:color w:val="auto"/>
          <w:sz w:val="24"/>
          <w:szCs w:val="24"/>
          <w:highlight w:val="none"/>
          <w:shd w:val="pct10" w:color="auto" w:fill="FFFFFF"/>
        </w:rPr>
        <w:t>二、技术需求</w:t>
      </w:r>
    </w:p>
    <w:p>
      <w:pPr>
        <w:tabs>
          <w:tab w:val="left" w:pos="720"/>
          <w:tab w:val="left" w:pos="1418"/>
          <w:tab w:val="left" w:pos="2160"/>
          <w:tab w:val="left" w:pos="2880"/>
          <w:tab w:val="left" w:pos="3600"/>
          <w:tab w:val="left" w:pos="4320"/>
          <w:tab w:val="left" w:pos="5040"/>
          <w:tab w:val="left" w:pos="5760"/>
        </w:tabs>
        <w:spacing w:line="360" w:lineRule="auto"/>
        <w:ind w:firstLine="241" w:firstLineChars="100"/>
        <w:jc w:val="left"/>
        <w:rPr>
          <w:rStyle w:val="50"/>
          <w:rFonts w:asciiTheme="minorEastAsia" w:hAnsiTheme="minorEastAsia" w:eastAsiaTheme="minorEastAsia"/>
          <w:b/>
          <w:color w:val="auto"/>
          <w:kern w:val="0"/>
          <w:sz w:val="24"/>
          <w:highlight w:val="none"/>
        </w:rPr>
      </w:pPr>
      <w:r>
        <w:rPr>
          <w:rStyle w:val="50"/>
          <w:rFonts w:hint="eastAsia" w:asciiTheme="minorEastAsia" w:hAnsiTheme="minorEastAsia" w:eastAsiaTheme="minorEastAsia"/>
          <w:b/>
          <w:color w:val="auto"/>
          <w:kern w:val="0"/>
          <w:sz w:val="24"/>
          <w:highlight w:val="none"/>
        </w:rPr>
        <w:t>（一）</w:t>
      </w:r>
      <w:r>
        <w:rPr>
          <w:rFonts w:hint="eastAsia" w:ascii="宋体" w:hAnsi="宋体" w:cs="宋体"/>
          <w:b/>
          <w:color w:val="auto"/>
          <w:sz w:val="24"/>
          <w:highlight w:val="none"/>
        </w:rPr>
        <w:t>出版</w:t>
      </w:r>
      <w:r>
        <w:rPr>
          <w:rFonts w:hint="eastAsia" w:ascii="宋体" w:hAnsi="宋体" w:cs="宋体"/>
          <w:b/>
          <w:color w:val="auto"/>
          <w:sz w:val="24"/>
          <w:highlight w:val="none"/>
          <w:lang w:eastAsia="zh-CN"/>
        </w:rPr>
        <w:t>印刷</w:t>
      </w:r>
      <w:r>
        <w:rPr>
          <w:rFonts w:hint="eastAsia" w:ascii="宋体" w:hAnsi="宋体" w:cs="宋体"/>
          <w:b/>
          <w:color w:val="auto"/>
          <w:sz w:val="24"/>
          <w:highlight w:val="none"/>
        </w:rPr>
        <w:t>清单</w:t>
      </w:r>
    </w:p>
    <w:tbl>
      <w:tblPr>
        <w:tblStyle w:val="20"/>
        <w:tblW w:w="860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509"/>
        <w:gridCol w:w="1785"/>
        <w:gridCol w:w="1590"/>
        <w:gridCol w:w="1303"/>
        <w:gridCol w:w="141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jc w:val="center"/>
        </w:trPr>
        <w:tc>
          <w:tcPr>
            <w:tcW w:w="2509" w:type="dxa"/>
            <w:tcBorders>
              <w:bottom w:val="single" w:color="auto" w:sz="4" w:space="0"/>
              <w:right w:val="single" w:color="auto" w:sz="8" w:space="0"/>
            </w:tcBorders>
            <w:shd w:val="clear" w:color="auto" w:fill="auto"/>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lang w:eastAsia="zh-CN"/>
              </w:rPr>
              <w:t>丛书名</w:t>
            </w:r>
          </w:p>
        </w:tc>
        <w:tc>
          <w:tcPr>
            <w:tcW w:w="1785" w:type="dxa"/>
            <w:tcBorders>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eastAsia="zh-CN"/>
              </w:rPr>
              <w:t>分册名</w:t>
            </w:r>
          </w:p>
        </w:tc>
        <w:tc>
          <w:tcPr>
            <w:tcW w:w="1590" w:type="dxa"/>
            <w:tcBorders>
              <w:left w:val="nil"/>
              <w:bottom w:val="single" w:color="auto" w:sz="4" w:space="0"/>
              <w:right w:val="single" w:color="auto" w:sz="8" w:space="0"/>
            </w:tcBorders>
            <w:shd w:val="clear" w:color="auto" w:fill="auto"/>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303" w:type="dxa"/>
            <w:tcBorders>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eastAsia="zh-CN"/>
              </w:rPr>
              <w:t>面数</w:t>
            </w:r>
          </w:p>
        </w:tc>
        <w:tc>
          <w:tcPr>
            <w:tcW w:w="1414" w:type="dxa"/>
            <w:tcBorders>
              <w:left w:val="nil"/>
              <w:bottom w:val="single" w:color="auto" w:sz="4" w:space="0"/>
            </w:tcBorders>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书号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37" w:hRule="atLeast"/>
          <w:jc w:val="center"/>
        </w:trPr>
        <w:tc>
          <w:tcPr>
            <w:tcW w:w="2509"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b/>
                <w:bCs/>
                <w:color w:val="auto"/>
                <w:sz w:val="24"/>
                <w:highlight w:val="none"/>
              </w:rPr>
              <w:t>《椒江政协履职实践》</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sz w:val="24"/>
                <w:highlight w:val="none"/>
              </w:rPr>
            </w:pP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调查研究</w:t>
            </w:r>
            <w:r>
              <w:rPr>
                <w:rFonts w:hint="eastAsia" w:ascii="宋体" w:hAnsi="宋体" w:cs="宋体"/>
                <w:b/>
                <w:bCs/>
                <w:color w:val="auto"/>
                <w:sz w:val="24"/>
                <w:highlight w:val="none"/>
              </w:rPr>
              <w:t>》</w:t>
            </w:r>
          </w:p>
          <w:p>
            <w:pPr>
              <w:widowControl/>
              <w:jc w:val="center"/>
              <w:rPr>
                <w:rFonts w:hint="eastAsia" w:ascii="宋体" w:hAnsi="宋体" w:cs="宋体"/>
                <w:b/>
                <w:bCs/>
                <w:color w:val="auto"/>
                <w:sz w:val="24"/>
                <w:highlight w:val="none"/>
              </w:rPr>
            </w:pP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议政建言</w:t>
            </w:r>
            <w:r>
              <w:rPr>
                <w:rFonts w:hint="eastAsia" w:ascii="宋体" w:hAnsi="宋体" w:cs="宋体"/>
                <w:b/>
                <w:bCs/>
                <w:color w:val="auto"/>
                <w:sz w:val="24"/>
                <w:highlight w:val="none"/>
              </w:rPr>
              <w:t>》</w:t>
            </w:r>
          </w:p>
          <w:p>
            <w:pPr>
              <w:widowControl/>
              <w:jc w:val="center"/>
              <w:rPr>
                <w:rFonts w:hint="eastAsia" w:ascii="宋体" w:hAnsi="宋体" w:cs="宋体"/>
                <w:b/>
                <w:bCs/>
                <w:color w:val="auto"/>
                <w:sz w:val="24"/>
                <w:highlight w:val="none"/>
              </w:rPr>
            </w:pP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风云春秋</w:t>
            </w:r>
            <w:r>
              <w:rPr>
                <w:rFonts w:hint="eastAsia" w:ascii="宋体" w:hAnsi="宋体" w:cs="宋体"/>
                <w:b/>
                <w:bCs/>
                <w:color w:val="auto"/>
                <w:sz w:val="24"/>
                <w:highlight w:val="none"/>
              </w:rPr>
              <w:t>》</w:t>
            </w:r>
          </w:p>
          <w:p>
            <w:pPr>
              <w:widowControl/>
              <w:jc w:val="center"/>
              <w:rPr>
                <w:rFonts w:hint="eastAsia" w:ascii="宋体" w:hAnsi="宋体" w:eastAsia="宋体" w:cs="宋体"/>
                <w:b/>
                <w:bCs w:val="0"/>
                <w:color w:val="auto"/>
                <w:kern w:val="0"/>
                <w:sz w:val="24"/>
                <w:highlight w:val="none"/>
                <w:lang w:eastAsia="zh-CN"/>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笔墨神韵</w:t>
            </w:r>
            <w:r>
              <w:rPr>
                <w:rFonts w:hint="eastAsia" w:ascii="宋体" w:hAnsi="宋体" w:cs="宋体"/>
                <w:b/>
                <w:bCs/>
                <w:color w:val="auto"/>
                <w:sz w:val="24"/>
                <w:highlight w:val="none"/>
              </w:rPr>
              <w:t>》</w:t>
            </w:r>
          </w:p>
        </w:tc>
        <w:tc>
          <w:tcPr>
            <w:tcW w:w="1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一套</w:t>
            </w:r>
            <w:r>
              <w:rPr>
                <w:rFonts w:hint="eastAsia" w:ascii="宋体" w:hAnsi="宋体" w:cs="宋体"/>
                <w:b/>
                <w:bCs/>
                <w:color w:val="auto"/>
                <w:kern w:val="0"/>
                <w:sz w:val="24"/>
                <w:highlight w:val="none"/>
                <w:lang w:val="en-US" w:eastAsia="zh-CN"/>
              </w:rPr>
              <w:t>4</w:t>
            </w:r>
            <w:r>
              <w:rPr>
                <w:rFonts w:hint="eastAsia" w:ascii="宋体" w:hAnsi="宋体" w:cs="宋体"/>
                <w:color w:val="auto"/>
                <w:kern w:val="0"/>
                <w:sz w:val="24"/>
                <w:highlight w:val="none"/>
              </w:rPr>
              <w:t>册</w:t>
            </w:r>
            <w:r>
              <w:rPr>
                <w:rFonts w:hint="eastAsia" w:ascii="宋体" w:hAnsi="宋体" w:cs="宋体"/>
                <w:color w:val="auto"/>
                <w:kern w:val="0"/>
                <w:sz w:val="24"/>
                <w:highlight w:val="none"/>
                <w:lang w:eastAsia="zh-CN"/>
              </w:rPr>
              <w:t>，</w:t>
            </w:r>
            <w:r>
              <w:rPr>
                <w:rFonts w:hint="eastAsia" w:ascii="宋体" w:hAnsi="宋体" w:cs="宋体"/>
                <w:b w:val="0"/>
                <w:bCs/>
                <w:color w:val="auto"/>
                <w:kern w:val="0"/>
                <w:sz w:val="24"/>
                <w:highlight w:val="none"/>
              </w:rPr>
              <w:t>印数</w:t>
            </w:r>
            <w:r>
              <w:rPr>
                <w:rFonts w:hint="eastAsia" w:ascii="宋体" w:hAnsi="宋体" w:cs="宋体"/>
                <w:b/>
                <w:bCs w:val="0"/>
                <w:color w:val="auto"/>
                <w:kern w:val="0"/>
                <w:sz w:val="24"/>
                <w:highlight w:val="none"/>
                <w:lang w:val="en-US" w:eastAsia="zh-CN"/>
              </w:rPr>
              <w:t>500</w:t>
            </w:r>
            <w:r>
              <w:rPr>
                <w:rFonts w:hint="eastAsia" w:ascii="宋体" w:hAnsi="宋体" w:cs="宋体"/>
                <w:b w:val="0"/>
                <w:bCs/>
                <w:color w:val="auto"/>
                <w:kern w:val="0"/>
                <w:sz w:val="24"/>
                <w:highlight w:val="none"/>
              </w:rPr>
              <w:t>套</w:t>
            </w:r>
            <w:r>
              <w:rPr>
                <w:rFonts w:hint="eastAsia" w:ascii="宋体" w:hAnsi="宋体" w:cs="宋体"/>
                <w:b w:val="0"/>
                <w:bCs/>
                <w:color w:val="auto"/>
                <w:kern w:val="0"/>
                <w:sz w:val="24"/>
                <w:highlight w:val="none"/>
                <w:lang w:eastAsia="zh-CN"/>
              </w:rPr>
              <w:t>，</w:t>
            </w:r>
            <w:r>
              <w:rPr>
                <w:rFonts w:hint="eastAsia" w:ascii="宋体" w:hAnsi="宋体" w:cs="宋体"/>
                <w:b/>
                <w:bCs w:val="0"/>
                <w:color w:val="auto"/>
                <w:kern w:val="0"/>
                <w:sz w:val="24"/>
                <w:highlight w:val="none"/>
                <w:lang w:eastAsia="zh-CN"/>
              </w:rPr>
              <w:t>每套</w:t>
            </w:r>
            <w:r>
              <w:rPr>
                <w:rFonts w:hint="eastAsia" w:ascii="宋体" w:hAnsi="宋体" w:cs="宋体"/>
                <w:b/>
                <w:bCs w:val="0"/>
                <w:color w:val="auto"/>
                <w:kern w:val="0"/>
                <w:sz w:val="24"/>
                <w:highlight w:val="none"/>
              </w:rPr>
              <w:t>配备函套</w:t>
            </w:r>
            <w:r>
              <w:rPr>
                <w:rFonts w:hint="eastAsia" w:ascii="宋体" w:hAnsi="宋体" w:cs="宋体"/>
                <w:b/>
                <w:bCs w:val="0"/>
                <w:color w:val="auto"/>
                <w:kern w:val="0"/>
                <w:sz w:val="24"/>
                <w:highlight w:val="none"/>
                <w:lang w:eastAsia="zh-CN"/>
              </w:rPr>
              <w:t>和手提袋</w:t>
            </w:r>
          </w:p>
        </w:tc>
        <w:tc>
          <w:tcPr>
            <w:tcW w:w="1303" w:type="dxa"/>
            <w:tcBorders>
              <w:top w:val="single" w:color="auto" w:sz="4" w:space="0"/>
              <w:left w:val="nil"/>
              <w:bottom w:val="single" w:color="auto" w:sz="4" w:space="0"/>
              <w:right w:val="nil"/>
            </w:tcBorders>
            <w:shd w:val="clear" w:color="auto" w:fill="auto"/>
            <w:vAlign w:val="center"/>
          </w:tcPr>
          <w:p>
            <w:pPr>
              <w:widowControl/>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eastAsia="zh-CN"/>
              </w:rPr>
              <w:t>每册内页约</w:t>
            </w:r>
            <w:r>
              <w:rPr>
                <w:rFonts w:hint="eastAsia" w:ascii="宋体" w:hAnsi="宋体" w:cs="宋体"/>
                <w:b/>
                <w:bCs/>
                <w:color w:val="auto"/>
                <w:kern w:val="0"/>
                <w:sz w:val="24"/>
                <w:highlight w:val="none"/>
                <w:lang w:val="en-US" w:eastAsia="zh-CN"/>
              </w:rPr>
              <w:t>350面</w:t>
            </w:r>
          </w:p>
        </w:tc>
        <w:tc>
          <w:tcPr>
            <w:tcW w:w="1414" w:type="dxa"/>
            <w:tcBorders>
              <w:top w:val="single" w:color="auto" w:sz="4" w:space="0"/>
              <w:left w:val="single" w:color="auto" w:sz="4" w:space="0"/>
              <w:bottom w:val="single" w:color="auto" w:sz="4" w:space="0"/>
            </w:tcBorders>
            <w:vAlign w:val="center"/>
          </w:tcPr>
          <w:p>
            <w:pPr>
              <w:widowControl/>
              <w:jc w:val="center"/>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eastAsia="zh-CN"/>
              </w:rPr>
              <w:t>共一个</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lang w:eastAsia="zh-CN"/>
              </w:rPr>
              <w:t>丛书</w:t>
            </w:r>
            <w:r>
              <w:rPr>
                <w:rFonts w:hint="eastAsia" w:ascii="宋体" w:hAnsi="宋体" w:cs="宋体"/>
                <w:b/>
                <w:bCs/>
                <w:color w:val="auto"/>
                <w:kern w:val="0"/>
                <w:sz w:val="24"/>
                <w:highlight w:val="none"/>
              </w:rPr>
              <w:t>号</w:t>
            </w:r>
          </w:p>
        </w:tc>
      </w:tr>
    </w:tbl>
    <w:p>
      <w:pPr>
        <w:numPr>
          <w:ilvl w:val="0"/>
          <w:numId w:val="0"/>
        </w:numPr>
        <w:tabs>
          <w:tab w:val="left" w:pos="720"/>
          <w:tab w:val="left" w:pos="1418"/>
          <w:tab w:val="left" w:pos="2160"/>
          <w:tab w:val="left" w:pos="2880"/>
          <w:tab w:val="left" w:pos="3600"/>
          <w:tab w:val="left" w:pos="4320"/>
          <w:tab w:val="left" w:pos="5040"/>
          <w:tab w:val="left" w:pos="5760"/>
        </w:tabs>
        <w:spacing w:line="360" w:lineRule="auto"/>
        <w:ind w:firstLine="241" w:firstLineChars="100"/>
        <w:jc w:val="left"/>
        <w:rPr>
          <w:rFonts w:hint="eastAsia" w:ascii="宋体" w:hAnsi="宋体" w:cs="宋体"/>
          <w:b/>
          <w:color w:val="auto"/>
          <w:sz w:val="24"/>
          <w:highlight w:val="none"/>
        </w:rPr>
      </w:pPr>
      <w:r>
        <w:rPr>
          <w:rFonts w:hint="eastAsia" w:ascii="宋体" w:hAnsi="宋体" w:eastAsia="宋体" w:cs="宋体"/>
          <w:b/>
          <w:color w:val="auto"/>
          <w:kern w:val="2"/>
          <w:sz w:val="24"/>
          <w:szCs w:val="24"/>
          <w:highlight w:val="none"/>
          <w:lang w:val="en-US" w:eastAsia="zh-CN" w:bidi="ar-SA"/>
        </w:rPr>
        <w:t>（二）</w:t>
      </w:r>
      <w:r>
        <w:rPr>
          <w:rFonts w:hint="eastAsia" w:ascii="宋体" w:hAnsi="宋体" w:cs="宋体"/>
          <w:b/>
          <w:color w:val="auto"/>
          <w:sz w:val="24"/>
          <w:highlight w:val="none"/>
        </w:rPr>
        <w:t>技术要求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0"/>
        <w:textAlignment w:val="auto"/>
        <w:rPr>
          <w:rFonts w:hint="eastAsia" w:ascii="宋体" w:hAnsi="宋体" w:cs="宋体"/>
          <w:b/>
          <w:bCs/>
          <w:color w:val="auto"/>
          <w:sz w:val="24"/>
          <w:highlight w:val="none"/>
        </w:rPr>
      </w:pPr>
      <w:r>
        <w:rPr>
          <w:rFonts w:hint="eastAsia"/>
          <w:color w:val="auto"/>
          <w:highlight w:val="none"/>
          <w:lang w:val="en-US" w:eastAsia="zh-CN"/>
        </w:rPr>
        <w:t>1、</w:t>
      </w: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调查研究</w:t>
      </w: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议政建言</w:t>
      </w: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风云春秋</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每册</w:t>
      </w:r>
      <w:r>
        <w:rPr>
          <w:rFonts w:hint="eastAsia" w:ascii="宋体" w:hAnsi="宋体" w:cs="宋体"/>
          <w:b/>
          <w:bCs/>
          <w:color w:val="auto"/>
          <w:sz w:val="24"/>
          <w:highlight w:val="none"/>
        </w:rPr>
        <w:t>出版技术要求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eastAsia="zh-CN"/>
        </w:rPr>
        <w:t>）尺寸：</w:t>
      </w:r>
      <w:r>
        <w:rPr>
          <w:rFonts w:hint="eastAsia" w:ascii="宋体" w:hAnsi="宋体" w:cs="宋体"/>
          <w:b w:val="0"/>
          <w:bCs w:val="0"/>
          <w:color w:val="auto"/>
          <w:sz w:val="24"/>
          <w:highlight w:val="none"/>
          <w:lang w:val="en-US" w:eastAsia="zh-CN"/>
        </w:rPr>
        <w:t>1</w:t>
      </w:r>
      <w:r>
        <w:rPr>
          <w:rFonts w:hint="eastAsia" w:ascii="宋体" w:hAnsi="宋体" w:cs="宋体"/>
          <w:color w:val="auto"/>
          <w:sz w:val="24"/>
          <w:highlight w:val="none"/>
          <w:lang w:val="en-US" w:eastAsia="zh-CN"/>
        </w:rPr>
        <w:t>85*260</w:t>
      </w:r>
      <w:r>
        <w:rPr>
          <w:rFonts w:hint="eastAsia" w:ascii="宋体" w:hAnsi="宋体" w:cs="宋体"/>
          <w:color w:val="auto"/>
          <w:sz w:val="24"/>
          <w:szCs w:val="20"/>
          <w:highlight w:val="none"/>
          <w:lang w:val="en-US" w:eastAsia="zh-CN"/>
        </w:rPr>
        <w:t>mm；</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kern w:val="0"/>
          <w:sz w:val="24"/>
          <w:highlight w:val="none"/>
          <w:lang w:bidi="en-US"/>
        </w:rPr>
        <w:t>封面</w:t>
      </w:r>
      <w:r>
        <w:rPr>
          <w:rFonts w:hint="eastAsia" w:ascii="宋体" w:hAnsi="宋体" w:cs="宋体"/>
          <w:color w:val="auto"/>
          <w:kern w:val="0"/>
          <w:sz w:val="24"/>
          <w:highlight w:val="none"/>
          <w:lang w:eastAsia="zh-CN" w:bidi="en-US"/>
        </w:rPr>
        <w:t>：</w:t>
      </w:r>
      <w:r>
        <w:rPr>
          <w:rFonts w:hint="eastAsia" w:ascii="宋体" w:hAnsi="宋体" w:eastAsia="宋体" w:cs="宋体"/>
          <w:color w:val="auto"/>
          <w:sz w:val="24"/>
          <w:highlight w:val="none"/>
          <w:lang w:val="en-US" w:eastAsia="zh-CN"/>
        </w:rPr>
        <w:t>4P，250G双铜，彩色印，带勒口100MM，表面亚膜；</w:t>
      </w:r>
    </w:p>
    <w:p>
      <w:pPr>
        <w:pStyle w:val="9"/>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kern w:val="0"/>
          <w:sz w:val="24"/>
          <w:highlight w:val="none"/>
          <w:lang w:val="en-US" w:eastAsia="zh-CN" w:bidi="en-US"/>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内页：</w:t>
      </w:r>
      <w:r>
        <w:rPr>
          <w:rFonts w:hint="eastAsia" w:ascii="宋体" w:hAnsi="宋体" w:eastAsia="宋体" w:cs="宋体"/>
          <w:color w:val="auto"/>
          <w:sz w:val="24"/>
          <w:szCs w:val="20"/>
          <w:highlight w:val="none"/>
          <w:lang w:eastAsia="zh-CN"/>
        </w:rPr>
        <w:t>①</w:t>
      </w:r>
      <w:r>
        <w:rPr>
          <w:rFonts w:hint="eastAsia" w:ascii="宋体" w:hAnsi="宋体" w:eastAsia="宋体" w:cs="宋体"/>
          <w:color w:val="auto"/>
          <w:kern w:val="0"/>
          <w:sz w:val="24"/>
          <w:highlight w:val="none"/>
          <w:lang w:val="en-US" w:eastAsia="zh-CN" w:bidi="en-US"/>
        </w:rPr>
        <w:t>70G阳谷轻型，单黑印，纯文字；</w:t>
      </w:r>
    </w:p>
    <w:p>
      <w:pPr>
        <w:pStyle w:val="9"/>
        <w:keepNext w:val="0"/>
        <w:keepLines w:val="0"/>
        <w:pageBreakBefore w:val="0"/>
        <w:widowControl w:val="0"/>
        <w:kinsoku/>
        <w:wordWrap/>
        <w:overflowPunct/>
        <w:topLinePunct w:val="0"/>
        <w:autoSpaceDE/>
        <w:autoSpaceDN/>
        <w:bidi w:val="0"/>
        <w:adjustRightInd/>
        <w:snapToGrid/>
        <w:spacing w:line="348" w:lineRule="auto"/>
        <w:ind w:firstLine="1680" w:firstLineChars="700"/>
        <w:textAlignment w:val="auto"/>
        <w:rPr>
          <w:rFonts w:hint="eastAsia" w:ascii="宋体" w:hAnsi="宋体" w:cs="宋体"/>
          <w:b/>
          <w:bCs/>
          <w:color w:val="auto"/>
          <w:kern w:val="0"/>
          <w:sz w:val="24"/>
          <w:highlight w:val="none"/>
          <w:lang w:val="en-US" w:eastAsia="zh-CN" w:bidi="en-US"/>
        </w:rPr>
      </w:pPr>
      <w:r>
        <w:rPr>
          <w:rFonts w:hint="eastAsia" w:ascii="宋体" w:hAnsi="宋体" w:eastAsia="宋体" w:cs="宋体"/>
          <w:color w:val="auto"/>
          <w:kern w:val="0"/>
          <w:sz w:val="24"/>
          <w:szCs w:val="20"/>
          <w:highlight w:val="none"/>
          <w:lang w:val="en-US" w:eastAsia="zh-CN" w:bidi="en-US"/>
        </w:rPr>
        <w:t>②</w:t>
      </w:r>
      <w:r>
        <w:rPr>
          <w:rFonts w:hint="eastAsia" w:ascii="宋体" w:hAnsi="宋体" w:cs="宋体"/>
          <w:color w:val="auto"/>
          <w:kern w:val="0"/>
          <w:sz w:val="24"/>
          <w:highlight w:val="none"/>
          <w:lang w:val="en-US" w:eastAsia="zh-CN" w:bidi="en-US"/>
        </w:rPr>
        <w:t>350面</w:t>
      </w:r>
      <w:r>
        <w:rPr>
          <w:rFonts w:hint="eastAsia" w:ascii="宋体" w:hAnsi="宋体" w:cs="宋体"/>
          <w:b/>
          <w:bCs/>
          <w:color w:val="auto"/>
          <w:kern w:val="0"/>
          <w:sz w:val="24"/>
          <w:highlight w:val="none"/>
          <w:lang w:val="en-US" w:eastAsia="zh-CN" w:bidi="en-US"/>
        </w:rPr>
        <w:t>±30面，</w:t>
      </w:r>
      <w:r>
        <w:rPr>
          <w:rFonts w:hint="eastAsia" w:asciiTheme="minorEastAsia" w:hAnsiTheme="minorEastAsia" w:eastAsiaTheme="minorEastAsia"/>
          <w:color w:val="auto"/>
          <w:sz w:val="24"/>
          <w:highlight w:val="none"/>
          <w:lang w:eastAsia="zh-CN"/>
        </w:rPr>
        <w:t>每册具体出版内页面数按实际审定为准；</w:t>
      </w:r>
    </w:p>
    <w:p>
      <w:pPr>
        <w:pStyle w:val="9"/>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cs="宋体"/>
          <w:color w:val="auto"/>
          <w:kern w:val="2"/>
          <w:sz w:val="24"/>
          <w:szCs w:val="24"/>
          <w:highlight w:val="none"/>
          <w:lang w:val="en-US" w:eastAsia="zh-CN" w:bidi="ar-SA"/>
        </w:rPr>
      </w:pPr>
      <w:r>
        <w:rPr>
          <w:rFonts w:hint="eastAsia" w:ascii="宋体" w:hAnsi="宋体" w:cs="宋体"/>
          <w:b w:val="0"/>
          <w:bCs w:val="0"/>
          <w:color w:val="auto"/>
          <w:kern w:val="0"/>
          <w:sz w:val="24"/>
          <w:highlight w:val="none"/>
          <w:lang w:val="en-US" w:eastAsia="zh-CN" w:bidi="en-US"/>
        </w:rPr>
        <w:t>（4）</w:t>
      </w:r>
      <w:r>
        <w:rPr>
          <w:rFonts w:hint="eastAsia" w:ascii="宋体" w:hAnsi="宋体" w:cs="宋体"/>
          <w:b w:val="0"/>
          <w:bCs w:val="0"/>
          <w:color w:val="auto"/>
          <w:sz w:val="24"/>
          <w:highlight w:val="none"/>
        </w:rPr>
        <w:t>装订</w:t>
      </w:r>
      <w:r>
        <w:rPr>
          <w:rFonts w:hint="eastAsia" w:ascii="宋体" w:hAnsi="宋体" w:cs="宋体"/>
          <w:b w:val="0"/>
          <w:bCs w:val="0"/>
          <w:color w:val="auto"/>
          <w:sz w:val="24"/>
          <w:highlight w:val="none"/>
          <w:lang w:eastAsia="zh-CN"/>
        </w:rPr>
        <w:t>：</w:t>
      </w:r>
      <w:r>
        <w:rPr>
          <w:rFonts w:hint="eastAsia" w:ascii="宋体" w:hAnsi="宋体" w:cs="宋体"/>
          <w:color w:val="auto"/>
          <w:kern w:val="2"/>
          <w:sz w:val="24"/>
          <w:szCs w:val="24"/>
          <w:highlight w:val="none"/>
          <w:lang w:val="en-US" w:eastAsia="zh-CN" w:bidi="ar-SA"/>
        </w:rPr>
        <w:t>锁线胶装；</w:t>
      </w:r>
    </w:p>
    <w:p>
      <w:pPr>
        <w:pStyle w:val="9"/>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kern w:val="0"/>
          <w:sz w:val="24"/>
          <w:highlight w:val="none"/>
          <w:lang w:eastAsia="zh-CN" w:bidi="en-US"/>
        </w:rPr>
      </w:pPr>
      <w:r>
        <w:rPr>
          <w:rFonts w:hint="eastAsia" w:ascii="宋体" w:hAnsi="宋体" w:cs="宋体"/>
          <w:color w:val="auto"/>
          <w:kern w:val="2"/>
          <w:sz w:val="24"/>
          <w:szCs w:val="24"/>
          <w:highlight w:val="none"/>
          <w:lang w:val="en-US" w:eastAsia="zh-CN" w:bidi="ar-SA"/>
        </w:rPr>
        <w:t>（5）</w:t>
      </w:r>
      <w:r>
        <w:rPr>
          <w:rFonts w:hint="eastAsia" w:ascii="宋体" w:hAnsi="宋体" w:cs="宋体"/>
          <w:color w:val="auto"/>
          <w:kern w:val="0"/>
          <w:sz w:val="24"/>
          <w:highlight w:val="none"/>
          <w:lang w:bidi="en-US"/>
        </w:rPr>
        <w:t>排版</w:t>
      </w:r>
      <w:r>
        <w:rPr>
          <w:rFonts w:hint="eastAsia" w:ascii="宋体" w:hAnsi="宋体" w:cs="宋体"/>
          <w:color w:val="auto"/>
          <w:kern w:val="0"/>
          <w:sz w:val="24"/>
          <w:highlight w:val="none"/>
          <w:lang w:eastAsia="zh-CN" w:bidi="en-US"/>
        </w:rPr>
        <w:t>：</w:t>
      </w:r>
      <w:r>
        <w:rPr>
          <w:rFonts w:hint="eastAsia" w:ascii="宋体" w:hAnsi="宋体" w:cs="宋体"/>
          <w:color w:val="auto"/>
          <w:kern w:val="0"/>
          <w:sz w:val="24"/>
          <w:highlight w:val="none"/>
          <w:lang w:bidi="en-US"/>
        </w:rPr>
        <w:t>简体横排，必须符合图书排版规范</w:t>
      </w:r>
      <w:r>
        <w:rPr>
          <w:rFonts w:hint="eastAsia" w:ascii="宋体" w:hAnsi="宋体" w:cs="宋体"/>
          <w:color w:val="auto"/>
          <w:kern w:val="0"/>
          <w:sz w:val="24"/>
          <w:highlight w:val="none"/>
          <w:lang w:eastAsia="zh-CN" w:bidi="en-US"/>
        </w:rPr>
        <w:t>；</w:t>
      </w:r>
    </w:p>
    <w:p>
      <w:pPr>
        <w:pStyle w:val="9"/>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cs="宋体"/>
          <w:color w:val="auto"/>
          <w:kern w:val="0"/>
          <w:sz w:val="24"/>
          <w:highlight w:val="none"/>
          <w:lang w:val="en-US" w:eastAsia="zh-CN" w:bidi="en-US"/>
        </w:rPr>
      </w:pPr>
      <w:r>
        <w:rPr>
          <w:rFonts w:hint="eastAsia" w:ascii="宋体" w:hAnsi="宋体" w:cs="宋体"/>
          <w:color w:val="auto"/>
          <w:kern w:val="0"/>
          <w:sz w:val="24"/>
          <w:highlight w:val="none"/>
          <w:lang w:eastAsia="zh-CN" w:bidi="en-US"/>
        </w:rPr>
        <w:t>（</w:t>
      </w:r>
      <w:r>
        <w:rPr>
          <w:rFonts w:hint="eastAsia" w:ascii="宋体" w:hAnsi="宋体" w:cs="宋体"/>
          <w:color w:val="auto"/>
          <w:kern w:val="0"/>
          <w:sz w:val="24"/>
          <w:highlight w:val="none"/>
          <w:lang w:val="en-US" w:eastAsia="zh-CN" w:bidi="en-US"/>
        </w:rPr>
        <w:t>6</w:t>
      </w:r>
      <w:r>
        <w:rPr>
          <w:rFonts w:hint="eastAsia" w:ascii="宋体" w:hAnsi="宋体" w:cs="宋体"/>
          <w:color w:val="auto"/>
          <w:kern w:val="0"/>
          <w:sz w:val="24"/>
          <w:highlight w:val="none"/>
          <w:lang w:eastAsia="zh-CN" w:bidi="en-US"/>
        </w:rPr>
        <w:t>）数量：</w:t>
      </w:r>
      <w:r>
        <w:rPr>
          <w:rFonts w:hint="eastAsia" w:ascii="宋体" w:hAnsi="宋体" w:cs="宋体"/>
          <w:color w:val="auto"/>
          <w:kern w:val="0"/>
          <w:sz w:val="24"/>
          <w:highlight w:val="none"/>
          <w:lang w:val="en-US" w:eastAsia="zh-CN" w:bidi="en-US"/>
        </w:rPr>
        <w:t>每册500本。</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笔墨神韵</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每册</w:t>
      </w:r>
      <w:r>
        <w:rPr>
          <w:rFonts w:hint="eastAsia" w:ascii="宋体" w:hAnsi="宋体" w:cs="宋体"/>
          <w:b/>
          <w:bCs/>
          <w:color w:val="auto"/>
          <w:sz w:val="24"/>
          <w:highlight w:val="none"/>
        </w:rPr>
        <w:t>出版技术要求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0"/>
        <w:textAlignment w:val="auto"/>
        <w:rPr>
          <w:rFonts w:hint="eastAsia" w:ascii="宋体" w:hAnsi="宋体" w:cs="宋体"/>
          <w:color w:val="auto"/>
          <w:sz w:val="24"/>
          <w:szCs w:val="20"/>
          <w:highlight w:val="none"/>
          <w:lang w:val="en-US" w:eastAsia="zh-CN"/>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eastAsia="zh-CN"/>
        </w:rPr>
        <w:t>）尺寸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185*260</w:t>
      </w:r>
      <w:r>
        <w:rPr>
          <w:rFonts w:hint="eastAsia" w:ascii="宋体" w:hAnsi="宋体" w:cs="宋体"/>
          <w:color w:val="auto"/>
          <w:sz w:val="24"/>
          <w:szCs w:val="20"/>
          <w:highlight w:val="none"/>
          <w:lang w:val="en-US" w:eastAsia="zh-CN"/>
        </w:rPr>
        <w:t>mm；</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szCs w:val="20"/>
          <w:highlight w:val="none"/>
          <w:lang w:val="en-US" w:eastAsia="zh-CN"/>
        </w:rPr>
        <w:t>（2）</w:t>
      </w:r>
      <w:r>
        <w:rPr>
          <w:rFonts w:hint="eastAsia" w:ascii="宋体" w:hAnsi="宋体" w:cs="宋体"/>
          <w:color w:val="auto"/>
          <w:kern w:val="0"/>
          <w:sz w:val="24"/>
          <w:highlight w:val="none"/>
          <w:lang w:bidi="en-US"/>
        </w:rPr>
        <w:t>封面</w:t>
      </w:r>
      <w:r>
        <w:rPr>
          <w:rFonts w:hint="eastAsia" w:ascii="宋体" w:hAnsi="宋体" w:cs="宋体"/>
          <w:color w:val="auto"/>
          <w:kern w:val="0"/>
          <w:sz w:val="24"/>
          <w:highlight w:val="none"/>
          <w:lang w:eastAsia="zh-CN" w:bidi="en-US"/>
        </w:rPr>
        <w:t>：</w:t>
      </w:r>
      <w:r>
        <w:rPr>
          <w:rFonts w:hint="eastAsia" w:ascii="宋体" w:hAnsi="宋体" w:cs="宋体"/>
          <w:color w:val="auto"/>
          <w:sz w:val="24"/>
          <w:highlight w:val="none"/>
          <w:lang w:val="en-US" w:eastAsia="zh-CN"/>
        </w:rPr>
        <w:t>4P，250G双铜，彩色印，带勒口100MM，表面亚膜；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20" w:firstLineChars="0"/>
        <w:textAlignment w:val="auto"/>
        <w:rPr>
          <w:rFonts w:hint="eastAsia" w:ascii="宋体" w:hAnsi="宋体" w:cs="宋体"/>
          <w:color w:val="auto"/>
          <w:kern w:val="0"/>
          <w:sz w:val="24"/>
          <w:highlight w:val="none"/>
          <w:lang w:val="en-US" w:eastAsia="zh-CN" w:bidi="en-US"/>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内页：</w:t>
      </w:r>
      <w:r>
        <w:rPr>
          <w:rFonts w:hint="eastAsia" w:ascii="宋体" w:hAnsi="宋体" w:eastAsia="宋体" w:cs="宋体"/>
          <w:color w:val="auto"/>
          <w:sz w:val="24"/>
          <w:szCs w:val="20"/>
          <w:highlight w:val="none"/>
          <w:lang w:eastAsia="zh-CN"/>
        </w:rPr>
        <w:t>①</w:t>
      </w:r>
      <w:r>
        <w:rPr>
          <w:rFonts w:hint="eastAsia" w:ascii="宋体" w:hAnsi="宋体" w:cs="宋体"/>
          <w:color w:val="auto"/>
          <w:kern w:val="0"/>
          <w:sz w:val="24"/>
          <w:highlight w:val="none"/>
          <w:lang w:val="en-US" w:eastAsia="zh-CN" w:bidi="en-US"/>
        </w:rPr>
        <w:t>135G新伯爵白色，彩色印；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1680" w:firstLineChars="700"/>
        <w:textAlignment w:val="auto"/>
        <w:rPr>
          <w:rFonts w:hint="eastAsia" w:ascii="宋体" w:hAnsi="宋体" w:cs="宋体"/>
          <w:b/>
          <w:bCs/>
          <w:color w:val="auto"/>
          <w:kern w:val="0"/>
          <w:sz w:val="24"/>
          <w:highlight w:val="none"/>
          <w:lang w:val="en-US" w:eastAsia="zh-CN" w:bidi="en-US"/>
        </w:rPr>
      </w:pPr>
      <w:r>
        <w:rPr>
          <w:rFonts w:hint="eastAsia" w:ascii="宋体" w:hAnsi="宋体" w:eastAsia="宋体" w:cs="宋体"/>
          <w:color w:val="auto"/>
          <w:kern w:val="0"/>
          <w:sz w:val="24"/>
          <w:szCs w:val="20"/>
          <w:highlight w:val="none"/>
          <w:lang w:val="en-US" w:eastAsia="zh-CN" w:bidi="en-US"/>
        </w:rPr>
        <w:t>②</w:t>
      </w:r>
      <w:r>
        <w:rPr>
          <w:rFonts w:hint="eastAsia" w:ascii="宋体" w:hAnsi="宋体" w:cs="宋体"/>
          <w:color w:val="auto"/>
          <w:kern w:val="0"/>
          <w:sz w:val="24"/>
          <w:highlight w:val="none"/>
          <w:lang w:val="en-US" w:eastAsia="zh-CN" w:bidi="en-US"/>
        </w:rPr>
        <w:t>350面</w:t>
      </w:r>
      <w:r>
        <w:rPr>
          <w:rFonts w:hint="eastAsia" w:ascii="宋体" w:hAnsi="宋体" w:cs="宋体"/>
          <w:b/>
          <w:bCs/>
          <w:color w:val="auto"/>
          <w:kern w:val="0"/>
          <w:sz w:val="24"/>
          <w:highlight w:val="none"/>
          <w:lang w:val="en-US" w:eastAsia="zh-CN" w:bidi="en-US"/>
        </w:rPr>
        <w:t>±30面，</w:t>
      </w:r>
      <w:r>
        <w:rPr>
          <w:rFonts w:hint="eastAsia" w:asciiTheme="minorEastAsia" w:hAnsiTheme="minorEastAsia" w:eastAsiaTheme="minorEastAsia"/>
          <w:color w:val="auto"/>
          <w:sz w:val="24"/>
          <w:highlight w:val="none"/>
          <w:lang w:eastAsia="zh-CN"/>
        </w:rPr>
        <w:t>每册具体出版内页面数按实际审定为准</w:t>
      </w:r>
      <w:r>
        <w:rPr>
          <w:rFonts w:hint="eastAsia" w:ascii="宋体" w:hAnsi="宋体" w:cs="宋体"/>
          <w:b/>
          <w:bCs/>
          <w:color w:val="auto"/>
          <w:kern w:val="0"/>
          <w:sz w:val="24"/>
          <w:highlight w:val="none"/>
          <w:lang w:val="en-US" w:eastAsia="zh-CN" w:bidi="en-US"/>
        </w:rPr>
        <w:t>；</w:t>
      </w:r>
    </w:p>
    <w:p>
      <w:pPr>
        <w:pStyle w:val="9"/>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cs="宋体"/>
          <w:color w:val="auto"/>
          <w:kern w:val="2"/>
          <w:sz w:val="24"/>
          <w:szCs w:val="24"/>
          <w:highlight w:val="none"/>
          <w:lang w:val="en-US" w:eastAsia="zh-CN" w:bidi="ar-SA"/>
        </w:rPr>
      </w:pPr>
      <w:r>
        <w:rPr>
          <w:rFonts w:hint="eastAsia" w:ascii="宋体" w:hAnsi="宋体" w:cs="宋体"/>
          <w:b w:val="0"/>
          <w:bCs w:val="0"/>
          <w:color w:val="auto"/>
          <w:kern w:val="0"/>
          <w:sz w:val="24"/>
          <w:highlight w:val="none"/>
          <w:lang w:val="en-US" w:eastAsia="zh-CN" w:bidi="en-US"/>
        </w:rPr>
        <w:t>（4）</w:t>
      </w:r>
      <w:r>
        <w:rPr>
          <w:rFonts w:hint="eastAsia" w:ascii="宋体" w:hAnsi="宋体" w:cs="宋体"/>
          <w:b w:val="0"/>
          <w:bCs w:val="0"/>
          <w:color w:val="auto"/>
          <w:sz w:val="24"/>
          <w:highlight w:val="none"/>
        </w:rPr>
        <w:t>装</w:t>
      </w:r>
      <w:r>
        <w:rPr>
          <w:rFonts w:hint="eastAsia" w:ascii="宋体" w:hAnsi="宋体" w:cs="宋体"/>
          <w:color w:val="auto"/>
          <w:sz w:val="24"/>
          <w:highlight w:val="none"/>
        </w:rPr>
        <w:t>订</w:t>
      </w:r>
      <w:r>
        <w:rPr>
          <w:rFonts w:hint="eastAsia" w:ascii="宋体" w:hAnsi="宋体" w:cs="宋体"/>
          <w:color w:val="auto"/>
          <w:sz w:val="24"/>
          <w:highlight w:val="none"/>
          <w:lang w:eastAsia="zh-CN"/>
        </w:rPr>
        <w:t>：</w:t>
      </w:r>
      <w:r>
        <w:rPr>
          <w:rFonts w:hint="eastAsia" w:ascii="宋体" w:hAnsi="宋体" w:cs="宋体"/>
          <w:color w:val="auto"/>
          <w:kern w:val="2"/>
          <w:sz w:val="24"/>
          <w:szCs w:val="24"/>
          <w:highlight w:val="none"/>
          <w:lang w:val="en-US" w:eastAsia="zh-CN" w:bidi="ar-SA"/>
        </w:rPr>
        <w:t>锁线胶装；</w:t>
      </w:r>
    </w:p>
    <w:p>
      <w:pPr>
        <w:pStyle w:val="9"/>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（5）</w:t>
      </w:r>
      <w:r>
        <w:rPr>
          <w:rFonts w:hint="eastAsia" w:ascii="宋体" w:hAnsi="宋体" w:cs="宋体"/>
          <w:color w:val="auto"/>
          <w:sz w:val="24"/>
          <w:highlight w:val="none"/>
          <w:lang w:val="en-US" w:eastAsia="zh-CN"/>
        </w:rPr>
        <w:t>数量：500本。</w:t>
      </w:r>
    </w:p>
    <w:p>
      <w:pPr>
        <w:pStyle w:val="9"/>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3、书号要求：</w:t>
      </w:r>
      <w:r>
        <w:rPr>
          <w:rFonts w:hint="eastAsia" w:asciiTheme="minorEastAsia" w:hAnsiTheme="minorEastAsia" w:eastAsiaTheme="minorEastAsia"/>
          <w:color w:val="auto"/>
          <w:sz w:val="24"/>
          <w:highlight w:val="none"/>
          <w:lang w:eastAsia="zh-CN"/>
        </w:rPr>
        <w:t>出版丛书一套4册，一个丛书号，在申领丛书号前先与采购人沟通确定书号年份。</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color w:val="auto"/>
          <w:sz w:val="24"/>
          <w:highlight w:val="none"/>
        </w:rPr>
        <w:t>出版方负责上述所有作品的编辑校对、彩页制版、印刷装订、代办出版手续等，并在出版后送货到招标方指定地点。书稿须经认真审校，保证图书质量符合国家出版要求</w:t>
      </w:r>
      <w:r>
        <w:rPr>
          <w:rFonts w:hint="eastAsia" w:asciiTheme="minorEastAsia" w:hAnsiTheme="minorEastAsia" w:eastAsiaTheme="minorEastAsia"/>
          <w:color w:val="auto"/>
          <w:sz w:val="24"/>
          <w:highlight w:val="none"/>
          <w:lang w:eastAsia="zh-CN"/>
        </w:rPr>
        <w:t>；出版社</w:t>
      </w:r>
      <w:r>
        <w:rPr>
          <w:rFonts w:hint="eastAsia" w:asciiTheme="minorEastAsia" w:hAnsiTheme="minorEastAsia" w:eastAsiaTheme="minorEastAsia"/>
          <w:color w:val="auto"/>
          <w:sz w:val="24"/>
          <w:highlight w:val="none"/>
        </w:rPr>
        <w:t>负责对出版物内容把关（如：请相关专家把关审读等），并负责相关费用。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color w:val="auto"/>
          <w:sz w:val="24"/>
          <w:szCs w:val="24"/>
          <w:highlight w:val="none"/>
          <w:shd w:val="pct10" w:color="auto" w:fill="FFFFFF"/>
        </w:rPr>
      </w:pPr>
      <w:r>
        <w:rPr>
          <w:rFonts w:hint="eastAsia" w:ascii="宋体" w:hAnsi="宋体" w:cs="宋体"/>
          <w:b/>
          <w:color w:val="auto"/>
          <w:sz w:val="24"/>
          <w:szCs w:val="24"/>
          <w:highlight w:val="none"/>
          <w:shd w:val="pct10" w:color="auto" w:fill="FFFFFF"/>
        </w:rPr>
        <w:t>三、商务需求</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color w:val="auto"/>
          <w:sz w:val="24"/>
          <w:highlight w:val="none"/>
        </w:rPr>
        <w:t>（一）</w:t>
      </w:r>
      <w:r>
        <w:rPr>
          <w:rFonts w:hint="eastAsia" w:ascii="宋体" w:hAnsi="宋体" w:cs="宋体"/>
          <w:b/>
          <w:bCs/>
          <w:color w:val="auto"/>
          <w:sz w:val="24"/>
          <w:highlight w:val="none"/>
        </w:rPr>
        <w:t>质量标准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符合国家出版和行业的相关技术标准。</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b/>
          <w:bCs w:val="0"/>
          <w:color w:val="auto"/>
          <w:sz w:val="24"/>
          <w:highlight w:val="none"/>
        </w:rPr>
      </w:pPr>
      <w:r>
        <w:rPr>
          <w:rFonts w:hint="eastAsia" w:ascii="宋体" w:hAnsi="宋体" w:cs="宋体"/>
          <w:b/>
          <w:bCs w:val="0"/>
          <w:color w:val="auto"/>
          <w:sz w:val="24"/>
          <w:highlight w:val="none"/>
        </w:rPr>
        <w:t>（二）质量保证及要求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1.中标供应商须在</w:t>
      </w:r>
      <w:r>
        <w:rPr>
          <w:rFonts w:hint="eastAsia" w:asciiTheme="minorEastAsia" w:hAnsiTheme="minorEastAsia" w:eastAsiaTheme="minorEastAsia"/>
          <w:color w:val="auto"/>
          <w:sz w:val="24"/>
          <w:highlight w:val="none"/>
          <w:lang w:eastAsia="zh-CN"/>
        </w:rPr>
        <w:t>三</w:t>
      </w:r>
      <w:r>
        <w:rPr>
          <w:rFonts w:hint="eastAsia" w:asciiTheme="minorEastAsia" w:hAnsiTheme="minorEastAsia" w:eastAsiaTheme="minorEastAsia"/>
          <w:color w:val="auto"/>
          <w:sz w:val="24"/>
          <w:highlight w:val="none"/>
        </w:rPr>
        <w:t>审</w:t>
      </w:r>
      <w:r>
        <w:rPr>
          <w:rFonts w:hint="eastAsia" w:asciiTheme="minorEastAsia" w:hAnsiTheme="minorEastAsia" w:eastAsiaTheme="minorEastAsia"/>
          <w:color w:val="auto"/>
          <w:sz w:val="24"/>
          <w:highlight w:val="none"/>
          <w:lang w:eastAsia="zh-CN"/>
        </w:rPr>
        <w:t>三</w:t>
      </w:r>
      <w:r>
        <w:rPr>
          <w:rFonts w:hint="eastAsia" w:asciiTheme="minorEastAsia" w:hAnsiTheme="minorEastAsia" w:eastAsiaTheme="minorEastAsia"/>
          <w:color w:val="auto"/>
          <w:sz w:val="24"/>
          <w:highlight w:val="none"/>
        </w:rPr>
        <w:t>校后图书正式出版前向招标人提供校样供招标人组织审定。</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2.中标供应商应按投标文件、招标人提供参考的资料和要求，不断完善修改直至审核通过为止。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3.正式印刷前中标供应商必须提供的样稿，由招标人进行质量确认后，</w:t>
      </w:r>
      <w:r>
        <w:rPr>
          <w:rFonts w:hint="eastAsia" w:asciiTheme="minorEastAsia" w:hAnsiTheme="minorEastAsia" w:eastAsiaTheme="minorEastAsia"/>
          <w:color w:val="auto"/>
          <w:sz w:val="24"/>
          <w:highlight w:val="none"/>
          <w:lang w:eastAsia="zh-CN"/>
        </w:rPr>
        <w:t>且对接的印刷公司须得到招标人的认可，</w:t>
      </w:r>
      <w:r>
        <w:rPr>
          <w:rFonts w:hint="eastAsia" w:asciiTheme="minorEastAsia" w:hAnsiTheme="minorEastAsia" w:eastAsiaTheme="minorEastAsia"/>
          <w:color w:val="auto"/>
          <w:sz w:val="24"/>
          <w:highlight w:val="none"/>
        </w:rPr>
        <w:t>中标供应商方能正式</w:t>
      </w:r>
      <w:r>
        <w:rPr>
          <w:rFonts w:hint="eastAsia" w:asciiTheme="minorEastAsia" w:hAnsiTheme="minorEastAsia" w:eastAsiaTheme="minorEastAsia"/>
          <w:color w:val="auto"/>
          <w:sz w:val="24"/>
          <w:highlight w:val="none"/>
          <w:lang w:eastAsia="zh-CN"/>
        </w:rPr>
        <w:t>印刷。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4.本项目印刷品必须符合国家及有关部门的技术标准和规范：</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（1）材质无误、纸张平滑；</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（2）文字内容准确，印刷字迹清晰，墨色均匀，书页无黑点，无缺字，无指印；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（3）页码正确，装订无错漏、颠倒，无倒页、漏页，尺寸划一，裁剪符合国家标准；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（4）装订精细，符合装订标准；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（5）成品包装完整，整本无破损。</w:t>
      </w:r>
    </w:p>
    <w:p>
      <w:pPr>
        <w:keepNext w:val="0"/>
        <w:keepLines w:val="0"/>
        <w:pageBreakBefore w:val="0"/>
        <w:widowControl w:val="0"/>
        <w:tabs>
          <w:tab w:val="left" w:pos="720"/>
          <w:tab w:val="left" w:pos="1418"/>
          <w:tab w:val="left" w:pos="2160"/>
          <w:tab w:val="left" w:pos="2880"/>
          <w:tab w:val="left" w:pos="3600"/>
          <w:tab w:val="left" w:pos="4320"/>
          <w:tab w:val="left" w:pos="5040"/>
          <w:tab w:val="left" w:pos="5760"/>
        </w:tabs>
        <w:kinsoku/>
        <w:wordWrap/>
        <w:overflowPunct/>
        <w:topLinePunct w:val="0"/>
        <w:bidi w:val="0"/>
        <w:snapToGrid/>
        <w:spacing w:line="360" w:lineRule="auto"/>
        <w:ind w:firstLine="480" w:firstLineChars="200"/>
        <w:jc w:val="left"/>
        <w:textAlignment w:val="auto"/>
        <w:rPr>
          <w:rStyle w:val="50"/>
          <w:rFonts w:hint="default" w:asciiTheme="minorEastAsia" w:hAnsiTheme="minorEastAsia" w:eastAsiaTheme="minorEastAsia"/>
          <w:color w:val="auto"/>
          <w:sz w:val="24"/>
          <w:highlight w:val="none"/>
          <w:lang w:val="en-US" w:eastAsia="zh-CN"/>
        </w:rPr>
      </w:pPr>
      <w:r>
        <w:rPr>
          <w:rFonts w:hint="eastAsia" w:ascii="宋体" w:hAnsi="宋体"/>
          <w:b w:val="0"/>
          <w:bCs/>
          <w:color w:val="auto"/>
          <w:sz w:val="24"/>
          <w:highlight w:val="none"/>
          <w:lang w:val="en-US" w:eastAsia="zh-CN"/>
        </w:rPr>
        <w:t>5.</w:t>
      </w:r>
      <w:r>
        <w:rPr>
          <w:rStyle w:val="50"/>
          <w:rFonts w:hint="eastAsia" w:asciiTheme="minorEastAsia" w:hAnsiTheme="minorEastAsia" w:eastAsiaTheme="minorEastAsia"/>
          <w:color w:val="auto"/>
          <w:sz w:val="24"/>
          <w:highlight w:val="none"/>
          <w:lang w:val="en-US" w:eastAsia="zh-CN"/>
        </w:rPr>
        <w:t>本项目出版服务，应由中标人直接供应，不得转让他人供应；本项目出版后的出版物，未经采购人同意，中标人不得私自印刷出售。</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firstLine="480" w:firstLineChars="200"/>
        <w:textAlignment w:val="auto"/>
        <w:rPr>
          <w:rStyle w:val="50"/>
          <w:rFonts w:hint="eastAsia" w:asciiTheme="minorEastAsia" w:hAnsiTheme="minorEastAsia" w:eastAsiaTheme="minorEastAsia"/>
          <w:color w:val="auto"/>
          <w:sz w:val="24"/>
          <w:highlight w:val="none"/>
          <w:lang w:val="en-US" w:eastAsia="zh-CN"/>
        </w:rPr>
      </w:pPr>
      <w:r>
        <w:rPr>
          <w:rStyle w:val="50"/>
          <w:rFonts w:hint="eastAsia" w:asciiTheme="minorEastAsia" w:hAnsiTheme="minorEastAsia" w:eastAsiaTheme="minorEastAsia"/>
          <w:color w:val="auto"/>
          <w:sz w:val="24"/>
          <w:highlight w:val="none"/>
          <w:lang w:val="en-US" w:eastAsia="zh-CN"/>
        </w:rPr>
        <w:t>6.本项目的出版物出版后须在国家新闻出版署可查。</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firstLine="480" w:firstLineChars="200"/>
        <w:textAlignment w:val="auto"/>
        <w:rPr>
          <w:rFonts w:hint="default"/>
          <w:color w:val="auto"/>
          <w:highlight w:val="none"/>
          <w:lang w:val="en-US" w:eastAsia="zh-CN"/>
        </w:rPr>
      </w:pPr>
      <w:r>
        <w:rPr>
          <w:rStyle w:val="50"/>
          <w:rFonts w:hint="eastAsia" w:asciiTheme="minorEastAsia" w:hAnsiTheme="minorEastAsia" w:eastAsiaTheme="minorEastAsia"/>
          <w:color w:val="auto"/>
          <w:sz w:val="24"/>
          <w:highlight w:val="none"/>
          <w:lang w:val="en-US" w:eastAsia="zh-CN"/>
        </w:rPr>
        <w:t>7.为保障出版质量，整个项目过程中中标人需积极配合好与采购人的对接工作，并安排专职人员每月不少于2次的上门对接服务，差旅费由中标人自理。中标人在接到采购人需要上门对接服务的通知后，5个工作日内需到达采购方进行工作对接；逾期不能对接又无采购人可接受的正当理由的，按违约处理，每次扣款3000元，由采购人出具书面文件，不需要中标方签字，从合同结算金额中直接扣除。</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（三）包装、发运及运输</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 中标人应在发运前对其进行满足运输距离、防潮和防破损装卸等要求包装，以保证安全运达招标人指定地点。</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 中标人在发运手续办理完毕后24小时内或货到招标人48小时前通知招标人，以准备接货，所需一切搬运工具、运输设备均由中标人自备。</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 在交付招标人前发生的风险均由中标人负责。</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 在规定的交付期限内由中标人送达招标人指定的地点视为交付，中标人同时需通知招标人已送达。</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b/>
          <w:bCs w:val="0"/>
          <w:color w:val="auto"/>
          <w:sz w:val="24"/>
          <w:highlight w:val="none"/>
        </w:rPr>
      </w:pPr>
      <w:r>
        <w:rPr>
          <w:rFonts w:hint="eastAsia" w:ascii="宋体" w:hAnsi="宋体" w:cs="宋体"/>
          <w:b/>
          <w:bCs w:val="0"/>
          <w:color w:val="auto"/>
          <w:sz w:val="24"/>
          <w:highlight w:val="none"/>
        </w:rPr>
        <w:t>（四）验收及质保期</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0" w:firstLineChars="200"/>
        <w:textAlignment w:val="auto"/>
        <w:rPr>
          <w:rFonts w:cs="微软雅黑"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1.项目制作完毕</w:t>
      </w:r>
      <w:r>
        <w:rPr>
          <w:rFonts w:hint="eastAsia" w:asciiTheme="minorEastAsia" w:hAnsiTheme="minorEastAsia" w:eastAsiaTheme="minorEastAsia"/>
          <w:color w:val="auto"/>
          <w:sz w:val="24"/>
          <w:highlight w:val="none"/>
        </w:rPr>
        <w:t>所有资料提供齐全</w:t>
      </w:r>
      <w:r>
        <w:rPr>
          <w:rFonts w:hint="eastAsia" w:cs="宋体" w:asciiTheme="minorEastAsia" w:hAnsiTheme="minorEastAsia" w:eastAsiaTheme="minorEastAsia"/>
          <w:color w:val="auto"/>
          <w:sz w:val="24"/>
          <w:highlight w:val="none"/>
        </w:rPr>
        <w:t>后，由招标方人员验收，验收以国家及行业标准为基础，结合本次招标文件和正式合同为依据进行。中标人必须</w:t>
      </w:r>
      <w:r>
        <w:rPr>
          <w:rFonts w:hint="eastAsia" w:cs="微软雅黑" w:asciiTheme="minorEastAsia" w:hAnsiTheme="minorEastAsia" w:eastAsiaTheme="minorEastAsia"/>
          <w:color w:val="auto"/>
          <w:sz w:val="24"/>
          <w:highlight w:val="none"/>
        </w:rPr>
        <w:t>提供全新正版合法出版物现货（</w:t>
      </w:r>
      <w:r>
        <w:rPr>
          <w:rFonts w:hint="eastAsia" w:cs="宋体" w:asciiTheme="minorEastAsia" w:hAnsiTheme="minorEastAsia" w:eastAsiaTheme="minorEastAsia"/>
          <w:color w:val="auto"/>
          <w:sz w:val="24"/>
          <w:highlight w:val="none"/>
        </w:rPr>
        <w:t>原包装，至用户手中时未拆封</w:t>
      </w:r>
      <w:r>
        <w:rPr>
          <w:rFonts w:hint="eastAsia" w:cs="微软雅黑" w:asciiTheme="minorEastAsia" w:hAnsiTheme="minorEastAsia" w:eastAsiaTheme="minorEastAsia"/>
          <w:color w:val="auto"/>
          <w:sz w:val="24"/>
          <w:highlight w:val="none"/>
        </w:rPr>
        <w:t>）且能通过各项验收。</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 中标人必须保证1年的质量保证期（自验收合格之日起计算），质量保证期内正常使用过程中如出现如下质量问题（编校错误、装订损坏等），须由中标人进行解决，涉及的费用均由中标人负责。</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olor w:val="auto"/>
          <w:sz w:val="24"/>
          <w:highlight w:val="none"/>
        </w:rPr>
      </w:pPr>
      <w:r>
        <w:rPr>
          <w:rFonts w:hint="eastAsia" w:ascii="宋体" w:hAnsi="宋体" w:cs="宋体"/>
          <w:b/>
          <w:color w:val="auto"/>
          <w:sz w:val="24"/>
          <w:highlight w:val="none"/>
        </w:rPr>
        <w:t>（五）</w:t>
      </w:r>
      <w:r>
        <w:rPr>
          <w:rFonts w:hint="eastAsia" w:ascii="宋体" w:hAnsi="宋体"/>
          <w:b/>
          <w:bCs/>
          <w:color w:val="auto"/>
          <w:sz w:val="24"/>
          <w:highlight w:val="none"/>
        </w:rPr>
        <w:t>交付时间及地点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olor w:val="auto"/>
          <w:sz w:val="24"/>
          <w:highlight w:val="none"/>
        </w:rPr>
        <w:t>收到书稿后</w:t>
      </w:r>
      <w:r>
        <w:rPr>
          <w:rFonts w:hint="eastAsia" w:ascii="宋体" w:hAnsi="宋体"/>
          <w:b/>
          <w:bCs/>
          <w:color w:val="auto"/>
          <w:sz w:val="24"/>
          <w:highlight w:val="none"/>
          <w:lang w:val="en-US" w:eastAsia="zh-CN"/>
        </w:rPr>
        <w:t>6个月内</w:t>
      </w:r>
      <w:r>
        <w:rPr>
          <w:rFonts w:hint="eastAsia" w:ascii="宋体" w:hAnsi="宋体"/>
          <w:b/>
          <w:color w:val="auto"/>
          <w:sz w:val="24"/>
          <w:highlight w:val="none"/>
        </w:rPr>
        <w:t>完成出版</w:t>
      </w:r>
      <w:r>
        <w:rPr>
          <w:rFonts w:hint="eastAsia" w:ascii="宋体" w:hAnsi="宋体"/>
          <w:color w:val="auto"/>
          <w:sz w:val="24"/>
          <w:highlight w:val="none"/>
        </w:rPr>
        <w:t>，并交付到招标人指定地点。</w:t>
      </w:r>
    </w:p>
    <w:p>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cs="宋体"/>
          <w:b/>
          <w:bCs w:val="0"/>
          <w:color w:val="auto"/>
          <w:sz w:val="24"/>
          <w:highlight w:val="none"/>
        </w:rPr>
      </w:pPr>
      <w:r>
        <w:rPr>
          <w:rFonts w:hint="eastAsia" w:ascii="宋体" w:hAnsi="宋体" w:cs="宋体"/>
          <w:b/>
          <w:bCs w:val="0"/>
          <w:color w:val="auto"/>
          <w:sz w:val="24"/>
          <w:highlight w:val="none"/>
        </w:rPr>
        <w:t>（六）</w:t>
      </w:r>
      <w:r>
        <w:rPr>
          <w:rFonts w:ascii="宋体" w:hAnsi="宋体" w:cs="宋体"/>
          <w:b/>
          <w:bCs w:val="0"/>
          <w:color w:val="auto"/>
          <w:sz w:val="24"/>
          <w:highlight w:val="none"/>
        </w:rPr>
        <w:t>付款</w:t>
      </w:r>
      <w:r>
        <w:rPr>
          <w:rFonts w:hint="eastAsia" w:ascii="宋体" w:hAnsi="宋体" w:cs="宋体"/>
          <w:b/>
          <w:bCs w:val="0"/>
          <w:color w:val="auto"/>
          <w:sz w:val="24"/>
          <w:highlight w:val="none"/>
        </w:rPr>
        <w:t>方式</w:t>
      </w:r>
    </w:p>
    <w:p>
      <w:pPr>
        <w:keepNext w:val="0"/>
        <w:keepLines w:val="0"/>
        <w:pageBreakBefore w:val="0"/>
        <w:widowControl w:val="0"/>
        <w:tabs>
          <w:tab w:val="left" w:pos="720"/>
          <w:tab w:val="left" w:pos="1418"/>
          <w:tab w:val="left" w:pos="2160"/>
          <w:tab w:val="left" w:pos="2880"/>
          <w:tab w:val="left" w:pos="3600"/>
          <w:tab w:val="left" w:pos="4320"/>
          <w:tab w:val="left" w:pos="5040"/>
          <w:tab w:val="left" w:pos="5760"/>
        </w:tabs>
        <w:kinsoku/>
        <w:wordWrap/>
        <w:overflowPunct/>
        <w:topLinePunct w:val="0"/>
        <w:bidi w:val="0"/>
        <w:snapToGrid/>
        <w:spacing w:line="360" w:lineRule="auto"/>
        <w:ind w:firstLine="480" w:firstLineChars="200"/>
        <w:jc w:val="left"/>
        <w:textAlignment w:val="auto"/>
        <w:rPr>
          <w:rStyle w:val="50"/>
          <w:rFonts w:asciiTheme="minorEastAsia" w:hAnsiTheme="minorEastAsia" w:eastAsiaTheme="minorEastAsia"/>
          <w:color w:val="auto"/>
          <w:sz w:val="24"/>
          <w:highlight w:val="none"/>
        </w:rPr>
      </w:pPr>
      <w:r>
        <w:rPr>
          <w:rStyle w:val="50"/>
          <w:rFonts w:hint="eastAsia" w:asciiTheme="minorEastAsia" w:hAnsiTheme="minorEastAsia" w:eastAsiaTheme="minorEastAsia"/>
          <w:color w:val="auto"/>
          <w:sz w:val="24"/>
          <w:highlight w:val="none"/>
        </w:rPr>
        <w:t>1.合同签订生效</w:t>
      </w:r>
      <w:r>
        <w:rPr>
          <w:rFonts w:hint="eastAsia" w:ascii="宋体" w:hAnsi="宋体" w:cs="宋体"/>
          <w:color w:val="auto"/>
          <w:sz w:val="24"/>
          <w:highlight w:val="none"/>
        </w:rPr>
        <w:t>及财政经费到账并</w:t>
      </w:r>
      <w:r>
        <w:rPr>
          <w:rStyle w:val="50"/>
          <w:rFonts w:hint="eastAsia" w:asciiTheme="minorEastAsia" w:hAnsiTheme="minorEastAsia" w:eastAsiaTheme="minorEastAsia"/>
          <w:color w:val="auto"/>
          <w:sz w:val="24"/>
          <w:highlight w:val="none"/>
        </w:rPr>
        <w:t>具备实施条件后7个工作日内, 招标人支付合同金额的40%；待项目完成送至招标人指定地点并经验收合格，收到中标人开具的有效发票后7个工作日内支付合同剩余金额。</w:t>
      </w:r>
      <w:r>
        <w:rPr>
          <w:rFonts w:hint="eastAsia" w:ascii="宋体" w:hAnsi="宋体" w:cs="宋体"/>
          <w:color w:val="auto"/>
          <w:sz w:val="24"/>
          <w:highlight w:val="none"/>
        </w:rPr>
        <w:t>招标人在支付合同金额前，中标人需按招标人的要求提供正规等额发票，否则招标人有权不支付合同金额。</w:t>
      </w:r>
    </w:p>
    <w:p>
      <w:pPr>
        <w:keepNext w:val="0"/>
        <w:keepLines w:val="0"/>
        <w:pageBreakBefore w:val="0"/>
        <w:widowControl w:val="0"/>
        <w:tabs>
          <w:tab w:val="left" w:pos="720"/>
          <w:tab w:val="left" w:pos="1418"/>
          <w:tab w:val="left" w:pos="2160"/>
          <w:tab w:val="left" w:pos="2880"/>
          <w:tab w:val="left" w:pos="3600"/>
          <w:tab w:val="left" w:pos="4320"/>
          <w:tab w:val="left" w:pos="5040"/>
          <w:tab w:val="left" w:pos="5760"/>
        </w:tabs>
        <w:kinsoku/>
        <w:wordWrap/>
        <w:overflowPunct/>
        <w:topLinePunct w:val="0"/>
        <w:bidi w:val="0"/>
        <w:snapToGrid/>
        <w:spacing w:line="360" w:lineRule="auto"/>
        <w:ind w:firstLine="480" w:firstLineChars="200"/>
        <w:jc w:val="left"/>
        <w:textAlignment w:val="auto"/>
        <w:rPr>
          <w:rStyle w:val="50"/>
          <w:rFonts w:hint="eastAsia" w:asciiTheme="minorEastAsia" w:hAnsiTheme="minorEastAsia" w:eastAsiaTheme="minorEastAsia"/>
          <w:color w:val="auto"/>
          <w:sz w:val="24"/>
          <w:highlight w:val="none"/>
        </w:rPr>
      </w:pPr>
      <w:r>
        <w:rPr>
          <w:rStyle w:val="50"/>
          <w:rFonts w:hint="eastAsia" w:asciiTheme="minorEastAsia" w:hAnsiTheme="minorEastAsia" w:eastAsiaTheme="minorEastAsia"/>
          <w:color w:val="auto"/>
          <w:sz w:val="24"/>
          <w:highlight w:val="none"/>
        </w:rPr>
        <w:t>2.中标人须在招标人支付预付款之前向招标人出具预付款保函。</w:t>
      </w:r>
    </w:p>
    <w:p>
      <w:pPr>
        <w:spacing w:line="312" w:lineRule="auto"/>
        <w:ind w:firstLine="482" w:firstLineChars="200"/>
        <w:rPr>
          <w:rFonts w:hint="eastAsia" w:ascii="宋体" w:hAnsi="宋体" w:cs="宋体"/>
          <w:b/>
          <w:color w:val="auto"/>
          <w:sz w:val="24"/>
          <w:highlight w:val="none"/>
        </w:rPr>
      </w:pPr>
      <w:r>
        <w:rPr>
          <w:rFonts w:hint="eastAsia" w:ascii="宋体" w:hAnsi="宋体"/>
          <w:b/>
          <w:color w:val="auto"/>
          <w:sz w:val="24"/>
          <w:highlight w:val="none"/>
        </w:rPr>
        <w:t xml:space="preserve"> </w:t>
      </w:r>
      <w:r>
        <w:rPr>
          <w:rFonts w:hint="eastAsia" w:ascii="宋体" w:hAnsi="宋体" w:cs="宋体"/>
          <w:b/>
          <w:color w:val="auto"/>
          <w:sz w:val="24"/>
          <w:highlight w:val="none"/>
          <w:lang w:val="zh-TW"/>
        </w:rPr>
        <w:t>（七）</w:t>
      </w:r>
      <w:r>
        <w:rPr>
          <w:rFonts w:hint="eastAsia" w:ascii="宋体" w:hAnsi="宋体" w:cs="宋体"/>
          <w:b/>
          <w:color w:val="auto"/>
          <w:sz w:val="24"/>
          <w:highlight w:val="none"/>
        </w:rPr>
        <w:t>报价要求</w:t>
      </w:r>
    </w:p>
    <w:p>
      <w:pPr>
        <w:keepNext w:val="0"/>
        <w:keepLines w:val="0"/>
        <w:pageBreakBefore w:val="0"/>
        <w:widowControl w:val="0"/>
        <w:tabs>
          <w:tab w:val="left" w:pos="720"/>
          <w:tab w:val="left" w:pos="1418"/>
          <w:tab w:val="left" w:pos="2160"/>
          <w:tab w:val="left" w:pos="2880"/>
          <w:tab w:val="left" w:pos="3600"/>
          <w:tab w:val="left" w:pos="4320"/>
          <w:tab w:val="left" w:pos="5040"/>
          <w:tab w:val="left" w:pos="5760"/>
        </w:tabs>
        <w:kinsoku/>
        <w:wordWrap/>
        <w:overflowPunct/>
        <w:topLinePunct w:val="0"/>
        <w:bidi w:val="0"/>
        <w:snapToGrid/>
        <w:spacing w:line="360" w:lineRule="auto"/>
        <w:ind w:firstLine="480" w:firstLineChars="200"/>
        <w:jc w:val="left"/>
        <w:textAlignment w:val="auto"/>
        <w:rPr>
          <w:rStyle w:val="50"/>
          <w:rFonts w:hint="eastAsia" w:asciiTheme="minorEastAsia" w:hAnsiTheme="minorEastAsia" w:eastAsiaTheme="minorEastAsia"/>
          <w:color w:val="auto"/>
          <w:sz w:val="24"/>
          <w:highlight w:val="none"/>
          <w:lang w:val="en-US" w:eastAsia="zh-CN"/>
        </w:rPr>
      </w:pPr>
      <w:r>
        <w:rPr>
          <w:rStyle w:val="50"/>
          <w:rFonts w:hint="eastAsia" w:asciiTheme="minorEastAsia" w:hAnsiTheme="minorEastAsia" w:eastAsiaTheme="minorEastAsia"/>
          <w:color w:val="auto"/>
          <w:sz w:val="24"/>
          <w:highlight w:val="none"/>
          <w:lang w:val="en-US" w:eastAsia="zh-CN"/>
        </w:rPr>
        <w:t>1.投标总报价包括本项目采购需求和投入使用的所有费用，包括但不限于本项目编辑、审校、设计、排版、书号、出版、印刷、服务款、货款、专用工具、包装、运输、装卸、保险、验收、税金、货到就位以及合同包含的所有风险责任等各项费用及不可预见费等所需的全部费用。</w:t>
      </w:r>
    </w:p>
    <w:p>
      <w:pPr>
        <w:keepNext w:val="0"/>
        <w:keepLines w:val="0"/>
        <w:pageBreakBefore w:val="0"/>
        <w:widowControl w:val="0"/>
        <w:tabs>
          <w:tab w:val="left" w:pos="720"/>
          <w:tab w:val="left" w:pos="1418"/>
          <w:tab w:val="left" w:pos="2160"/>
          <w:tab w:val="left" w:pos="2880"/>
          <w:tab w:val="left" w:pos="3600"/>
          <w:tab w:val="left" w:pos="4320"/>
          <w:tab w:val="left" w:pos="5040"/>
          <w:tab w:val="left" w:pos="5760"/>
        </w:tabs>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auto"/>
          <w:sz w:val="24"/>
          <w:highlight w:val="none"/>
          <w:lang w:val="en-US" w:eastAsia="zh-CN"/>
        </w:rPr>
      </w:pPr>
      <w:r>
        <w:rPr>
          <w:rStyle w:val="50"/>
          <w:rFonts w:hint="eastAsia" w:asciiTheme="minorEastAsia" w:hAnsiTheme="minorEastAsia" w:eastAsiaTheme="minorEastAsia"/>
          <w:b/>
          <w:bCs/>
          <w:color w:val="auto"/>
          <w:sz w:val="24"/>
          <w:highlight w:val="none"/>
          <w:lang w:val="en-US" w:eastAsia="zh-CN"/>
        </w:rPr>
        <w:t>2.为提高出版项目的进度和效率，本项目前期已完成</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笔墨神韵</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的书画拍摄及装裱，费用约</w:t>
      </w:r>
      <w:r>
        <w:rPr>
          <w:rFonts w:hint="eastAsia" w:ascii="宋体" w:hAnsi="宋体" w:cs="宋体"/>
          <w:b/>
          <w:bCs/>
          <w:color w:val="auto"/>
          <w:sz w:val="24"/>
          <w:highlight w:val="none"/>
          <w:lang w:val="en-US" w:eastAsia="zh-CN"/>
        </w:rPr>
        <w:t>4500元，中标人无须再重复此工作。投标人报价须包含其费用，中标后给付第三方。其余三册</w:t>
      </w: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调查研究</w:t>
      </w: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议政建言</w:t>
      </w:r>
      <w:r>
        <w:rPr>
          <w:rFonts w:hint="eastAsia" w:ascii="宋体" w:hAnsi="宋体" w:cs="宋体"/>
          <w:b/>
          <w:bCs/>
          <w:color w:val="auto"/>
          <w:sz w:val="24"/>
          <w:highlight w:val="none"/>
        </w:rPr>
        <w:t>》《</w:t>
      </w:r>
      <w:r>
        <w:rPr>
          <w:rStyle w:val="50"/>
          <w:rFonts w:hint="eastAsia" w:asciiTheme="minorEastAsia" w:hAnsiTheme="minorEastAsia" w:eastAsiaTheme="minorEastAsia"/>
          <w:b/>
          <w:bCs/>
          <w:color w:val="auto"/>
          <w:kern w:val="0"/>
          <w:sz w:val="24"/>
          <w:highlight w:val="none"/>
        </w:rPr>
        <w:t>风云春秋</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无需此类工作。</w:t>
      </w:r>
    </w:p>
    <w:p>
      <w:pPr>
        <w:spacing w:line="312" w:lineRule="auto"/>
        <w:ind w:firstLine="480" w:firstLineChars="200"/>
        <w:rPr>
          <w:rFonts w:ascii="宋体" w:hAnsi="宋体"/>
          <w:color w:val="auto"/>
          <w:sz w:val="24"/>
          <w:highlight w:val="none"/>
        </w:rPr>
      </w:pPr>
      <w:r>
        <w:rPr>
          <w:rFonts w:hint="eastAsia" w:ascii="宋体" w:hAnsi="宋体"/>
          <w:color w:val="auto"/>
          <w:sz w:val="24"/>
          <w:highlight w:val="none"/>
        </w:rPr>
        <w:br w:type="page"/>
      </w:r>
    </w:p>
    <w:p>
      <w:pPr>
        <w:pStyle w:val="14"/>
        <w:tabs>
          <w:tab w:val="left" w:pos="630"/>
        </w:tabs>
        <w:snapToGrid w:val="0"/>
        <w:spacing w:line="360" w:lineRule="auto"/>
        <w:jc w:val="center"/>
        <w:rPr>
          <w:rFonts w:hAnsi="宋体"/>
          <w:b/>
          <w:color w:val="auto"/>
          <w:sz w:val="36"/>
          <w:szCs w:val="36"/>
          <w:highlight w:val="none"/>
        </w:rPr>
      </w:pPr>
      <w:bookmarkStart w:id="33" w:name="_Toc31173_WPSOffice_Level1"/>
      <w:r>
        <w:rPr>
          <w:rFonts w:hint="eastAsia" w:hAnsi="宋体"/>
          <w:b/>
          <w:color w:val="auto"/>
          <w:sz w:val="36"/>
          <w:szCs w:val="36"/>
          <w:highlight w:val="none"/>
        </w:rPr>
        <w:t>第四章  评标</w:t>
      </w:r>
      <w:bookmarkEnd w:id="33"/>
    </w:p>
    <w:p>
      <w:pPr>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一、评标方法</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二、评标原则</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pPr>
        <w:pStyle w:val="19"/>
        <w:spacing w:after="0" w:line="312"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三、评标委员会</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（一）本项目评标委员会由采购人代表和评审专家组成，成员人数为5人，其中评审专家不得少于成员总数的三分之二。</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1.参加采购活动前3年内与供应商存在劳动关系；</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2.参加采购活动前3年内担任供应商的董事、监事；</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3.参加采购活动前3年内是供应商的控股股东或者实际控制人；</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4.与供应商的法定代表人或者负责人有夫妻、直系血亲、三代以内旁系血亲或者近姻亲关系；</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5.与供应商有其他可能影响政府采购活动公平、公正进行的关系。</w:t>
      </w:r>
    </w:p>
    <w:p>
      <w:pPr>
        <w:pStyle w:val="9"/>
        <w:spacing w:line="312"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（三）评标委员会负责具体评标事务，并独立履行下列职责：</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1.审查、评价投标文件是否符合招标文件的商务、技术等实质性要求；</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2.要求投标人对投标文件有关事项作出澄清或者说明；</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3.对投标文件进行比较和评价；</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4.确定中标候选人名单，以及根据采购人委托直接确定中标人；</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5.向采购人、采购组织机构或者有关部门报告评标中发现的违法行为；</w:t>
      </w:r>
    </w:p>
    <w:p>
      <w:pPr>
        <w:pStyle w:val="9"/>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6.法律法规规定的其他职责。</w:t>
      </w:r>
    </w:p>
    <w:p>
      <w:pPr>
        <w:pStyle w:val="18"/>
        <w:spacing w:before="0" w:beforeAutospacing="0" w:after="0" w:afterAutospacing="0" w:line="312" w:lineRule="auto"/>
        <w:ind w:firstLine="482" w:firstLineChars="200"/>
        <w:jc w:val="both"/>
        <w:rPr>
          <w:rFonts w:hint="default" w:cs="宋体"/>
          <w:b/>
          <w:color w:val="auto"/>
          <w:highlight w:val="none"/>
        </w:rPr>
      </w:pPr>
      <w:r>
        <w:rPr>
          <w:rFonts w:hint="eastAsia" w:asciiTheme="minorEastAsia" w:hAnsiTheme="minorEastAsia" w:eastAsiaTheme="minorEastAsia" w:cstheme="minorEastAsia"/>
          <w:b/>
          <w:color w:val="auto"/>
          <w:kern w:val="2"/>
          <w:highlight w:val="none"/>
          <w:lang w:eastAsia="zh-CN"/>
        </w:rPr>
        <w:t>▲</w:t>
      </w:r>
      <w:r>
        <w:rPr>
          <w:rFonts w:cs="宋体"/>
          <w:b/>
          <w:color w:val="auto"/>
          <w:highlight w:val="none"/>
        </w:rPr>
        <w:t>四、无效标情形</w:t>
      </w:r>
    </w:p>
    <w:p>
      <w:pPr>
        <w:adjustRightInd w:val="0"/>
        <w:snapToGrid w:val="0"/>
        <w:spacing w:line="312"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（一）在资格证明文件或商务与技术文件中出现投标报价的，或者报价文件中报价的货物跟商务与技术文件中的投标货物出现重大偏差的；</w:t>
      </w:r>
    </w:p>
    <w:p>
      <w:pPr>
        <w:pStyle w:val="18"/>
        <w:tabs>
          <w:tab w:val="left" w:pos="7380"/>
        </w:tabs>
        <w:adjustRightInd w:val="0"/>
        <w:snapToGrid w:val="0"/>
        <w:spacing w:before="0" w:beforeAutospacing="0" w:after="0" w:afterAutospacing="0" w:line="312"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pPr>
        <w:pStyle w:val="18"/>
        <w:adjustRightInd w:val="0"/>
        <w:snapToGrid w:val="0"/>
        <w:spacing w:before="0" w:beforeAutospacing="0" w:after="0" w:afterAutospacing="0" w:line="312"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pPr>
        <w:pStyle w:val="10"/>
        <w:spacing w:line="312"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8"/>
        <w:adjustRightInd w:val="0"/>
        <w:snapToGrid w:val="0"/>
        <w:spacing w:before="0" w:beforeAutospacing="0" w:after="0" w:afterAutospacing="0" w:line="312"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pPr>
        <w:tabs>
          <w:tab w:val="left" w:pos="1898"/>
        </w:tabs>
        <w:autoSpaceDE w:val="0"/>
        <w:autoSpaceDN w:val="0"/>
        <w:adjustRightInd w:val="0"/>
        <w:snapToGrid w:val="0"/>
        <w:spacing w:line="312"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（六）投标文件存在虚假材料的； </w:t>
      </w:r>
    </w:p>
    <w:p>
      <w:pPr>
        <w:tabs>
          <w:tab w:val="left" w:pos="1898"/>
        </w:tabs>
        <w:autoSpaceDE w:val="0"/>
        <w:autoSpaceDN w:val="0"/>
        <w:adjustRightInd w:val="0"/>
        <w:snapToGrid w:val="0"/>
        <w:spacing w:line="312"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tabs>
          <w:tab w:val="left" w:pos="1898"/>
        </w:tabs>
        <w:autoSpaceDE w:val="0"/>
        <w:autoSpaceDN w:val="0"/>
        <w:adjustRightInd w:val="0"/>
        <w:snapToGrid w:val="0"/>
        <w:spacing w:line="312"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pPr>
        <w:pStyle w:val="18"/>
        <w:spacing w:before="0" w:beforeAutospacing="0" w:after="0" w:afterAutospacing="0" w:line="312"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pPr>
        <w:pStyle w:val="18"/>
        <w:spacing w:before="0" w:beforeAutospacing="0" w:after="0" w:afterAutospacing="0" w:line="312"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pPr>
        <w:pStyle w:val="18"/>
        <w:spacing w:before="0" w:beforeAutospacing="0" w:after="0" w:afterAutospacing="0" w:line="312"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pPr>
        <w:pStyle w:val="18"/>
        <w:spacing w:before="0" w:beforeAutospacing="0" w:after="0" w:afterAutospacing="0" w:line="312"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pPr>
        <w:pStyle w:val="18"/>
        <w:spacing w:before="0" w:beforeAutospacing="0" w:after="0" w:afterAutospacing="0" w:line="312"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（八）</w:t>
      </w:r>
      <w:r>
        <w:rPr>
          <w:rFonts w:cs="宋体"/>
          <w:color w:val="auto"/>
          <w:highlight w:val="none"/>
        </w:rPr>
        <w:t>实质性要求（招标文件中打“▲”内容）不响应的；</w:t>
      </w:r>
    </w:p>
    <w:p>
      <w:pPr>
        <w:pStyle w:val="9"/>
        <w:spacing w:line="312"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（九）商务条款不响应的；</w:t>
      </w:r>
    </w:p>
    <w:p>
      <w:pPr>
        <w:pStyle w:val="9"/>
        <w:spacing w:line="312"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（十）投标文件有效期不足的；</w:t>
      </w:r>
    </w:p>
    <w:p>
      <w:pPr>
        <w:pStyle w:val="9"/>
        <w:spacing w:line="312"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（十一）逾期或未按要求提交投标文件的；</w:t>
      </w:r>
    </w:p>
    <w:p>
      <w:pPr>
        <w:pStyle w:val="9"/>
        <w:spacing w:line="312"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pPr>
        <w:autoSpaceDE w:val="0"/>
        <w:autoSpaceDN w:val="0"/>
        <w:adjustRightInd w:val="0"/>
        <w:spacing w:line="312" w:lineRule="auto"/>
        <w:ind w:firstLine="422" w:firstLineChars="200"/>
        <w:rPr>
          <w:rFonts w:ascii="宋体" w:hAnsi="宋体" w:cs="宋体"/>
          <w:color w:val="auto"/>
          <w:kern w:val="0"/>
          <w:sz w:val="24"/>
          <w:highlight w:val="none"/>
        </w:rPr>
      </w:pPr>
      <w:r>
        <w:rPr>
          <w:rFonts w:hint="eastAsia" w:asciiTheme="minorEastAsia" w:hAnsiTheme="minorEastAsia" w:eastAsiaTheme="minorEastAsia" w:cstheme="minorEastAsia"/>
          <w:b/>
          <w:color w:val="auto"/>
          <w:kern w:val="2"/>
          <w:highlight w:val="none"/>
          <w:lang w:eastAsia="zh-CN"/>
        </w:rPr>
        <w:t>▲</w:t>
      </w:r>
      <w:r>
        <w:rPr>
          <w:rFonts w:hint="eastAsia" w:ascii="宋体" w:hAnsi="宋体" w:cs="宋体"/>
          <w:b/>
          <w:color w:val="auto"/>
          <w:kern w:val="0"/>
          <w:sz w:val="24"/>
          <w:highlight w:val="none"/>
        </w:rPr>
        <w:t>五、废标情形</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（一）出现影响采购公正的违法、违规行为的；</w:t>
      </w:r>
    </w:p>
    <w:p>
      <w:pPr>
        <w:pStyle w:val="18"/>
        <w:spacing w:before="0" w:beforeAutospacing="0" w:after="0" w:afterAutospacing="0" w:line="312" w:lineRule="auto"/>
        <w:ind w:firstLine="480" w:firstLineChars="200"/>
        <w:jc w:val="both"/>
        <w:rPr>
          <w:rFonts w:hint="default" w:cs="宋体"/>
          <w:b/>
          <w:bCs/>
          <w:color w:val="auto"/>
          <w:highlight w:val="none"/>
        </w:rPr>
      </w:pPr>
      <w:r>
        <w:rPr>
          <w:rFonts w:cs="宋体"/>
          <w:color w:val="auto"/>
          <w:highlight w:val="none"/>
        </w:rPr>
        <w:t>（二）评标委员会发现招标文件存在歧义、重大缺陷导致评标工作无法进行，或者招标文件内容违反国家有关强制性规定的；</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（三）因重大变故，采购任务取消的；</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（四）法律、法规和招标文件规定的其他导致评标结果无效的。</w:t>
      </w:r>
    </w:p>
    <w:p>
      <w:pPr>
        <w:pStyle w:val="14"/>
        <w:snapToGrid w:val="0"/>
        <w:spacing w:line="312" w:lineRule="auto"/>
        <w:ind w:firstLine="482" w:firstLineChars="200"/>
        <w:rPr>
          <w:rFonts w:hAnsi="宋体"/>
          <w:b/>
          <w:color w:val="auto"/>
          <w:sz w:val="24"/>
          <w:highlight w:val="none"/>
        </w:rPr>
      </w:pPr>
      <w:r>
        <w:rPr>
          <w:rFonts w:hint="eastAsia" w:hAnsi="宋体"/>
          <w:b/>
          <w:color w:val="auto"/>
          <w:sz w:val="24"/>
          <w:highlight w:val="none"/>
        </w:rPr>
        <w:t>六、评标过程的监控</w:t>
      </w:r>
    </w:p>
    <w:p>
      <w:pPr>
        <w:pStyle w:val="18"/>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12" w:lineRule="auto"/>
        <w:ind w:firstLine="482" w:firstLineChars="200"/>
        <w:rPr>
          <w:rFonts w:hAnsi="宋体"/>
          <w:b/>
          <w:bCs/>
          <w:color w:val="auto"/>
          <w:sz w:val="24"/>
          <w:highlight w:val="none"/>
        </w:rPr>
      </w:pPr>
      <w:r>
        <w:rPr>
          <w:rFonts w:hint="eastAsia" w:hAnsi="宋体"/>
          <w:b/>
          <w:bCs/>
          <w:color w:val="auto"/>
          <w:sz w:val="24"/>
          <w:highlight w:val="none"/>
        </w:rPr>
        <w:t>七、政府采购政策落实</w:t>
      </w:r>
    </w:p>
    <w:p>
      <w:pPr>
        <w:pStyle w:val="10"/>
        <w:spacing w:line="312" w:lineRule="auto"/>
        <w:ind w:firstLine="480" w:firstLineChars="200"/>
        <w:rPr>
          <w:rFonts w:ascii="宋体"/>
          <w:color w:val="auto"/>
          <w:sz w:val="24"/>
          <w:highlight w:val="none"/>
        </w:rPr>
      </w:pPr>
      <w:r>
        <w:rPr>
          <w:rFonts w:hint="eastAsia" w:ascii="宋体"/>
          <w:color w:val="auto"/>
          <w:sz w:val="24"/>
          <w:highlight w:val="none"/>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pPr>
        <w:pStyle w:val="10"/>
        <w:spacing w:line="312" w:lineRule="auto"/>
        <w:ind w:firstLine="480" w:firstLineChars="200"/>
        <w:rPr>
          <w:rFonts w:ascii="宋体"/>
          <w:color w:val="auto"/>
          <w:sz w:val="24"/>
          <w:highlight w:val="none"/>
        </w:rPr>
      </w:pPr>
      <w:r>
        <w:rPr>
          <w:rFonts w:hint="eastAsia" w:ascii="宋体"/>
          <w:color w:val="auto"/>
          <w:sz w:val="24"/>
          <w:highlight w:val="none"/>
        </w:rPr>
        <w:t>2、监狱企业参加政府采购活动时，应当提供由省级以上监狱管理局、戒毒管理局（含新疆生产建设兵团）出具的属于监狱企业的证明文件，视同小型、微型企业，享受促进中小企业发展的政府采购政策。</w:t>
      </w:r>
    </w:p>
    <w:p>
      <w:pPr>
        <w:pStyle w:val="10"/>
        <w:spacing w:line="312" w:lineRule="auto"/>
        <w:ind w:firstLine="480" w:firstLineChars="200"/>
        <w:jc w:val="both"/>
        <w:rPr>
          <w:rFonts w:ascii="宋体"/>
          <w:color w:val="auto"/>
          <w:sz w:val="24"/>
          <w:highlight w:val="none"/>
        </w:rPr>
      </w:pPr>
      <w:r>
        <w:rPr>
          <w:rFonts w:hint="eastAsia" w:ascii="宋体"/>
          <w:color w:val="auto"/>
          <w:sz w:val="24"/>
          <w:highlight w:val="none"/>
        </w:rPr>
        <w:t>3、符合条件的残疾人福利性单位在参加政府采购活动时，应提供《残疾人福利性单位声明函》（见附件），视同小型、微型企业，享受促进中小企业发展的政府采购政策。</w:t>
      </w:r>
    </w:p>
    <w:p>
      <w:pPr>
        <w:pStyle w:val="14"/>
        <w:snapToGrid w:val="0"/>
        <w:spacing w:line="312" w:lineRule="auto"/>
        <w:ind w:firstLine="482" w:firstLineChars="200"/>
        <w:rPr>
          <w:rFonts w:hAnsi="宋体"/>
          <w:b/>
          <w:bCs/>
          <w:color w:val="auto"/>
          <w:sz w:val="24"/>
          <w:highlight w:val="none"/>
        </w:rPr>
      </w:pPr>
      <w:r>
        <w:rPr>
          <w:rFonts w:hint="eastAsia" w:hAnsi="宋体"/>
          <w:b/>
          <w:bCs/>
          <w:color w:val="auto"/>
          <w:sz w:val="24"/>
          <w:highlight w:val="none"/>
        </w:rPr>
        <w:t>八、评标程序</w:t>
      </w:r>
    </w:p>
    <w:p>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（一）资格性审查</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投标文件解密后，采购人或采购组织机构依法对投标人的资格进行审查，对审查发现无效的进行必要的询标，在政采云平台公布无效投标的投标人名单、投标无效的原因。</w:t>
      </w:r>
    </w:p>
    <w:tbl>
      <w:tblPr>
        <w:tblStyle w:val="20"/>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9"/>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vAlign w:val="center"/>
          </w:tcPr>
          <w:p>
            <w:pPr>
              <w:pStyle w:val="46"/>
              <w:spacing w:before="1"/>
              <w:ind w:right="14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具有独立承担民事责任的能力</w:t>
            </w:r>
          </w:p>
        </w:tc>
        <w:tc>
          <w:tcPr>
            <w:tcW w:w="7108" w:type="dxa"/>
            <w:vAlign w:val="center"/>
          </w:tcPr>
          <w:p>
            <w:pPr>
              <w:pStyle w:val="46"/>
              <w:ind w:right="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在中华人民共和国境内注册的法人或其他组织或自然人，投标时提交有效的营业执照（或事业法人登记证或身份证等相关证明）副本扫描件。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shd w:val="clear" w:color="auto" w:fill="F6F6F6"/>
            <w:vAlign w:val="center"/>
          </w:tcPr>
          <w:p>
            <w:pPr>
              <w:pStyle w:val="46"/>
              <w:spacing w:before="1"/>
              <w:ind w:right="14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有依法缴纳税收和社会保障资金的良好记录</w:t>
            </w:r>
          </w:p>
        </w:tc>
        <w:tc>
          <w:tcPr>
            <w:tcW w:w="7108" w:type="dxa"/>
            <w:shd w:val="clear" w:color="auto" w:fill="F6F6F6"/>
            <w:vAlign w:val="center"/>
          </w:tcPr>
          <w:p>
            <w:pPr>
              <w:pStyle w:val="46"/>
              <w:ind w:right="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本项目专门面向中小企业，可以以书面承诺代替相关证明材料。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vAlign w:val="center"/>
          </w:tcPr>
          <w:p>
            <w:pPr>
              <w:pStyle w:val="46"/>
              <w:spacing w:before="1"/>
              <w:ind w:right="14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具有良好的商业信誉和健全的财务会计制度</w:t>
            </w:r>
          </w:p>
        </w:tc>
        <w:tc>
          <w:tcPr>
            <w:tcW w:w="7108" w:type="dxa"/>
            <w:vAlign w:val="center"/>
          </w:tcPr>
          <w:p>
            <w:pPr>
              <w:pStyle w:val="46"/>
              <w:spacing w:before="11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本项目专门面向中小企业，可以以书面承诺代替相关证明材料。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shd w:val="clear" w:color="auto" w:fill="F6F6F6"/>
            <w:vAlign w:val="center"/>
          </w:tcPr>
          <w:p>
            <w:pPr>
              <w:pStyle w:val="46"/>
              <w:spacing w:before="1"/>
              <w:ind w:right="14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履行合同所必需的设备和专业技术能力</w:t>
            </w:r>
          </w:p>
        </w:tc>
        <w:tc>
          <w:tcPr>
            <w:tcW w:w="7108" w:type="dxa"/>
            <w:shd w:val="clear" w:color="auto" w:fill="F6F6F6"/>
            <w:vAlign w:val="center"/>
          </w:tcPr>
          <w:p>
            <w:pPr>
              <w:pStyle w:val="46"/>
              <w:spacing w:before="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提供证明材料或承诺说明(根据项目性质提供，格式自拟)。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vAlign w:val="center"/>
          </w:tcPr>
          <w:p>
            <w:pPr>
              <w:pStyle w:val="46"/>
              <w:ind w:right="14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参加采购活动前3年内，在经营活动中没有重大违法记录</w:t>
            </w:r>
          </w:p>
        </w:tc>
        <w:tc>
          <w:tcPr>
            <w:tcW w:w="7108" w:type="dxa"/>
            <w:vAlign w:val="center"/>
          </w:tcPr>
          <w:p>
            <w:pPr>
              <w:pStyle w:val="46"/>
              <w:spacing w:before="48"/>
              <w:ind w:right="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shd w:val="clear" w:color="auto" w:fill="F6F6F6"/>
            <w:vAlign w:val="center"/>
          </w:tcPr>
          <w:p>
            <w:pPr>
              <w:pStyle w:val="46"/>
              <w:ind w:left="6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信用记录</w:t>
            </w:r>
          </w:p>
        </w:tc>
        <w:tc>
          <w:tcPr>
            <w:tcW w:w="7108" w:type="dxa"/>
            <w:shd w:val="clear" w:color="auto" w:fill="F6F6F6"/>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投标人未被列入“信用中国”失信被执行人或重大税收违法案件当事人名单；未处于“中国政府采购网”政府采购严重违法失信行为信息记录名单。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vAlign w:val="center"/>
          </w:tcPr>
          <w:p>
            <w:pPr>
              <w:pStyle w:val="46"/>
              <w:ind w:right="14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必须符合法律、行政法规规定的其他条件</w:t>
            </w:r>
          </w:p>
        </w:tc>
        <w:tc>
          <w:tcPr>
            <w:tcW w:w="7108" w:type="dxa"/>
            <w:vAlign w:val="center"/>
          </w:tcPr>
          <w:p>
            <w:pPr>
              <w:pStyle w:val="46"/>
              <w:spacing w:before="48"/>
              <w:ind w:right="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1.单位负责人为同一人或者存在直接控股、管理关系的不同供应商，不得参加同一合同项下的政府采购活动。</w:t>
            </w:r>
          </w:p>
          <w:p>
            <w:pPr>
              <w:pStyle w:val="46"/>
              <w:spacing w:before="48"/>
              <w:ind w:right="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2.为本项目提供整体设计、规范编制或者项目管理、监理、检测等服务的供应商，不得再参与本项目投标。</w:t>
            </w:r>
          </w:p>
          <w:p>
            <w:pPr>
              <w:pStyle w:val="46"/>
              <w:spacing w:before="48"/>
              <w:ind w:right="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shd w:val="clear" w:color="auto" w:fill="F6F6F6"/>
            <w:vAlign w:val="center"/>
          </w:tcPr>
          <w:p>
            <w:pPr>
              <w:pStyle w:val="46"/>
              <w:ind w:right="14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法定代表人/负责人资格证明书及授权委托书</w:t>
            </w:r>
          </w:p>
        </w:tc>
        <w:tc>
          <w:tcPr>
            <w:tcW w:w="7108" w:type="dxa"/>
            <w:shd w:val="clear" w:color="auto" w:fill="F6F6F6"/>
            <w:vAlign w:val="center"/>
          </w:tcPr>
          <w:p>
            <w:pPr>
              <w:pStyle w:val="46"/>
              <w:spacing w:before="4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shd w:val="clear" w:color="auto" w:fill="F6F6F6"/>
            <w:vAlign w:val="center"/>
          </w:tcPr>
          <w:p>
            <w:pPr>
              <w:pStyle w:val="46"/>
              <w:spacing w:before="48"/>
              <w:ind w:left="6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联合体投标</w:t>
            </w:r>
          </w:p>
        </w:tc>
        <w:tc>
          <w:tcPr>
            <w:tcW w:w="7108" w:type="dxa"/>
            <w:shd w:val="clear" w:color="auto" w:fill="F6F6F6"/>
            <w:vAlign w:val="center"/>
          </w:tcPr>
          <w:p>
            <w:pPr>
              <w:pStyle w:val="46"/>
              <w:spacing w:before="4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vAlign w:val="center"/>
          </w:tcPr>
          <w:p>
            <w:pPr>
              <w:pStyle w:val="46"/>
              <w:ind w:right="14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资质</w:t>
            </w:r>
          </w:p>
        </w:tc>
        <w:tc>
          <w:tcPr>
            <w:tcW w:w="7108" w:type="dxa"/>
            <w:vAlign w:val="center"/>
          </w:tcPr>
          <w:p>
            <w:pPr>
              <w:pStyle w:val="46"/>
              <w:spacing w:before="48"/>
              <w:rPr>
                <w:rFonts w:hint="eastAsia" w:ascii="宋体" w:hAnsi="宋体" w:eastAsia="宋体" w:cs="宋体"/>
                <w:color w:val="auto"/>
                <w:sz w:val="22"/>
                <w:szCs w:val="22"/>
                <w:highlight w:val="none"/>
                <w:lang w:eastAsia="zh-CN"/>
              </w:rPr>
            </w:pPr>
            <w:r>
              <w:rPr>
                <w:rFonts w:hint="eastAsia" w:cs="宋体"/>
                <w:color w:val="auto"/>
                <w:sz w:val="22"/>
                <w:szCs w:val="22"/>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09" w:type="dxa"/>
            <w:vAlign w:val="center"/>
          </w:tcPr>
          <w:p>
            <w:pPr>
              <w:pStyle w:val="46"/>
              <w:snapToGrid w:val="0"/>
              <w:ind w:left="6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中小企业声明</w:t>
            </w:r>
          </w:p>
        </w:tc>
        <w:tc>
          <w:tcPr>
            <w:tcW w:w="7108" w:type="dxa"/>
            <w:vAlign w:val="center"/>
          </w:tcPr>
          <w:p>
            <w:pPr>
              <w:pStyle w:val="46"/>
              <w:snapToGrid w:val="0"/>
              <w:ind w:left="6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中小企业声明函或残疾人福利性单位声明函或监狱企业证明文件。</w:t>
            </w:r>
          </w:p>
        </w:tc>
      </w:tr>
    </w:tbl>
    <w:p>
      <w:pPr>
        <w:pStyle w:val="10"/>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（二）符合性审查</w:t>
      </w:r>
    </w:p>
    <w:p>
      <w:pPr>
        <w:pStyle w:val="1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7"/>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vAlign w:val="center"/>
          </w:tcPr>
          <w:p>
            <w:pPr>
              <w:pStyle w:val="46"/>
              <w:ind w:right="146"/>
              <w:rPr>
                <w:color w:val="auto"/>
                <w:sz w:val="22"/>
                <w:highlight w:val="none"/>
              </w:rPr>
            </w:pPr>
            <w:r>
              <w:rPr>
                <w:rFonts w:hint="eastAsia"/>
                <w:color w:val="auto"/>
                <w:sz w:val="22"/>
                <w:highlight w:val="none"/>
              </w:rPr>
              <w:t>投标文件</w:t>
            </w:r>
          </w:p>
        </w:tc>
        <w:tc>
          <w:tcPr>
            <w:tcW w:w="6531" w:type="dxa"/>
            <w:vAlign w:val="center"/>
          </w:tcPr>
          <w:p>
            <w:pPr>
              <w:pStyle w:val="46"/>
              <w:spacing w:before="48"/>
              <w:rPr>
                <w:color w:val="auto"/>
                <w:sz w:val="22"/>
                <w:highlight w:val="none"/>
              </w:rPr>
            </w:pPr>
            <w:r>
              <w:rPr>
                <w:rFonts w:hint="eastAsia"/>
                <w:color w:val="auto"/>
                <w:sz w:val="22"/>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vAlign w:val="center"/>
          </w:tcPr>
          <w:p>
            <w:pPr>
              <w:pStyle w:val="46"/>
              <w:ind w:right="146"/>
              <w:rPr>
                <w:color w:val="auto"/>
                <w:sz w:val="22"/>
                <w:highlight w:val="none"/>
              </w:rPr>
            </w:pPr>
            <w:r>
              <w:rPr>
                <w:rFonts w:hint="eastAsia"/>
                <w:color w:val="auto"/>
                <w:sz w:val="22"/>
                <w:highlight w:val="none"/>
              </w:rPr>
              <w:t>“▲”实质性条款</w:t>
            </w:r>
          </w:p>
        </w:tc>
        <w:tc>
          <w:tcPr>
            <w:tcW w:w="6531" w:type="dxa"/>
            <w:vAlign w:val="center"/>
          </w:tcPr>
          <w:p>
            <w:pPr>
              <w:pStyle w:val="46"/>
              <w:spacing w:before="48"/>
              <w:rPr>
                <w:color w:val="auto"/>
                <w:sz w:val="22"/>
                <w:highlight w:val="none"/>
              </w:rPr>
            </w:pPr>
            <w:r>
              <w:rPr>
                <w:rFonts w:hint="eastAsia"/>
                <w:color w:val="auto"/>
                <w:sz w:val="22"/>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shd w:val="clear" w:color="auto" w:fill="F6F6F6"/>
            <w:vAlign w:val="center"/>
          </w:tcPr>
          <w:p>
            <w:pPr>
              <w:pStyle w:val="46"/>
              <w:ind w:right="146"/>
              <w:rPr>
                <w:color w:val="auto"/>
                <w:sz w:val="22"/>
                <w:highlight w:val="none"/>
              </w:rPr>
            </w:pPr>
            <w:r>
              <w:rPr>
                <w:rFonts w:hint="eastAsia"/>
                <w:color w:val="auto"/>
                <w:sz w:val="22"/>
                <w:highlight w:val="none"/>
              </w:rPr>
              <w:t>串通投标</w:t>
            </w:r>
          </w:p>
        </w:tc>
        <w:tc>
          <w:tcPr>
            <w:tcW w:w="6531" w:type="dxa"/>
            <w:shd w:val="clear" w:color="auto" w:fill="F6F6F6"/>
            <w:vAlign w:val="center"/>
          </w:tcPr>
          <w:p>
            <w:pPr>
              <w:pStyle w:val="46"/>
              <w:spacing w:before="48"/>
              <w:rPr>
                <w:color w:val="auto"/>
                <w:sz w:val="22"/>
                <w:highlight w:val="none"/>
              </w:rPr>
            </w:pPr>
            <w:r>
              <w:rPr>
                <w:rFonts w:hint="eastAsia"/>
                <w:color w:val="auto"/>
                <w:sz w:val="22"/>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vAlign w:val="center"/>
          </w:tcPr>
          <w:p>
            <w:pPr>
              <w:pStyle w:val="46"/>
              <w:ind w:right="146"/>
              <w:rPr>
                <w:color w:val="auto"/>
                <w:sz w:val="22"/>
                <w:highlight w:val="none"/>
              </w:rPr>
            </w:pPr>
            <w:r>
              <w:rPr>
                <w:rFonts w:hint="eastAsia"/>
                <w:color w:val="auto"/>
                <w:sz w:val="22"/>
                <w:highlight w:val="none"/>
              </w:rPr>
              <w:t>附加条件</w:t>
            </w:r>
          </w:p>
        </w:tc>
        <w:tc>
          <w:tcPr>
            <w:tcW w:w="6531" w:type="dxa"/>
            <w:vAlign w:val="center"/>
          </w:tcPr>
          <w:p>
            <w:pPr>
              <w:pStyle w:val="46"/>
              <w:spacing w:before="48"/>
              <w:rPr>
                <w:color w:val="auto"/>
                <w:sz w:val="22"/>
                <w:highlight w:val="none"/>
              </w:rPr>
            </w:pPr>
            <w:r>
              <w:rPr>
                <w:rFonts w:hint="eastAsia"/>
                <w:color w:val="auto"/>
                <w:sz w:val="22"/>
                <w:highlight w:val="none"/>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vAlign w:val="center"/>
          </w:tcPr>
          <w:p>
            <w:pPr>
              <w:pStyle w:val="46"/>
              <w:ind w:right="146"/>
              <w:rPr>
                <w:color w:val="auto"/>
                <w:sz w:val="22"/>
                <w:highlight w:val="none"/>
              </w:rPr>
            </w:pPr>
            <w:r>
              <w:rPr>
                <w:rFonts w:hint="eastAsia"/>
                <w:color w:val="auto"/>
                <w:sz w:val="22"/>
                <w:highlight w:val="none"/>
              </w:rPr>
              <w:t>报价</w:t>
            </w:r>
          </w:p>
        </w:tc>
        <w:tc>
          <w:tcPr>
            <w:tcW w:w="6531" w:type="dxa"/>
            <w:vAlign w:val="center"/>
          </w:tcPr>
          <w:p>
            <w:pPr>
              <w:pStyle w:val="46"/>
              <w:spacing w:before="48"/>
              <w:rPr>
                <w:color w:val="auto"/>
                <w:sz w:val="22"/>
                <w:highlight w:val="none"/>
              </w:rPr>
            </w:pPr>
            <w:r>
              <w:rPr>
                <w:rFonts w:hint="eastAsia"/>
                <w:color w:val="auto"/>
                <w:sz w:val="22"/>
                <w:highlight w:val="none"/>
              </w:rPr>
              <w:t>投标文件报价不超过招标文件中规定的预算金额/最高限价。</w:t>
            </w:r>
          </w:p>
        </w:tc>
      </w:tr>
    </w:tbl>
    <w:p>
      <w:pPr>
        <w:pStyle w:val="10"/>
        <w:spacing w:line="312" w:lineRule="auto"/>
        <w:jc w:val="both"/>
        <w:rPr>
          <w:rFonts w:ascii="宋体" w:hAnsi="宋体" w:cs="宋体"/>
          <w:color w:val="auto"/>
          <w:sz w:val="24"/>
          <w:highlight w:val="none"/>
        </w:rPr>
      </w:pPr>
    </w:p>
    <w:p>
      <w:pPr>
        <w:pStyle w:val="18"/>
        <w:spacing w:before="0" w:beforeAutospacing="0" w:after="0" w:afterAutospacing="0" w:line="312" w:lineRule="auto"/>
        <w:ind w:firstLine="482" w:firstLineChars="200"/>
        <w:jc w:val="both"/>
        <w:rPr>
          <w:rFonts w:hint="default" w:cs="宋体"/>
          <w:b/>
          <w:bCs/>
          <w:color w:val="auto"/>
          <w:highlight w:val="none"/>
        </w:rPr>
      </w:pPr>
      <w:r>
        <w:rPr>
          <w:rFonts w:cs="宋体"/>
          <w:b/>
          <w:bCs/>
          <w:color w:val="auto"/>
          <w:highlight w:val="none"/>
        </w:rPr>
        <w:t>（三）商务技术及价格评审</w:t>
      </w:r>
    </w:p>
    <w:p>
      <w:pPr>
        <w:autoSpaceDE w:val="0"/>
        <w:autoSpaceDN w:val="0"/>
        <w:spacing w:line="312"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本项目评标方法为综合评分法，</w:t>
      </w:r>
      <w:r>
        <w:rPr>
          <w:rFonts w:hint="eastAsia" w:asciiTheme="minorEastAsia" w:hAnsiTheme="minorEastAsia" w:eastAsiaTheme="minorEastAsia"/>
          <w:b w:val="0"/>
          <w:bCs/>
          <w:color w:val="auto"/>
          <w:sz w:val="24"/>
          <w:szCs w:val="24"/>
          <w:highlight w:val="none"/>
        </w:rPr>
        <w:t>技术</w:t>
      </w:r>
      <w:r>
        <w:rPr>
          <w:rFonts w:hint="eastAsia" w:asciiTheme="minorEastAsia" w:hAnsiTheme="minorEastAsia" w:eastAsiaTheme="minorEastAsia"/>
          <w:b w:val="0"/>
          <w:bCs/>
          <w:color w:val="auto"/>
          <w:sz w:val="24"/>
          <w:szCs w:val="24"/>
          <w:highlight w:val="none"/>
          <w:lang w:eastAsia="zh-CN"/>
        </w:rPr>
        <w:t>部分</w:t>
      </w:r>
      <w:r>
        <w:rPr>
          <w:rFonts w:hint="eastAsia" w:asciiTheme="minorEastAsia" w:hAnsiTheme="minorEastAsia" w:eastAsiaTheme="minorEastAsia"/>
          <w:b w:val="0"/>
          <w:bCs/>
          <w:color w:val="auto"/>
          <w:sz w:val="24"/>
          <w:szCs w:val="24"/>
          <w:highlight w:val="none"/>
          <w:lang w:val="en-US" w:eastAsia="zh-CN"/>
        </w:rPr>
        <w:t>+</w:t>
      </w:r>
      <w:r>
        <w:rPr>
          <w:rFonts w:hint="eastAsia" w:asciiTheme="minorEastAsia" w:hAnsiTheme="minorEastAsia" w:eastAsiaTheme="minorEastAsia"/>
          <w:b w:val="0"/>
          <w:bCs/>
          <w:color w:val="auto"/>
          <w:sz w:val="24"/>
          <w:szCs w:val="24"/>
          <w:highlight w:val="none"/>
        </w:rPr>
        <w:t>商务</w:t>
      </w:r>
      <w:r>
        <w:rPr>
          <w:rFonts w:hint="eastAsia" w:asciiTheme="minorEastAsia" w:hAnsiTheme="minorEastAsia" w:eastAsiaTheme="minorEastAsia"/>
          <w:b w:val="0"/>
          <w:bCs/>
          <w:color w:val="auto"/>
          <w:sz w:val="24"/>
          <w:szCs w:val="24"/>
          <w:highlight w:val="none"/>
          <w:lang w:eastAsia="zh-CN"/>
        </w:rPr>
        <w:t>部分</w:t>
      </w:r>
      <w:r>
        <w:rPr>
          <w:rFonts w:hint="eastAsia" w:asciiTheme="minorEastAsia" w:hAnsiTheme="minorEastAsia" w:eastAsiaTheme="minorEastAsia"/>
          <w:b w:val="0"/>
          <w:bCs/>
          <w:color w:val="auto"/>
          <w:sz w:val="24"/>
          <w:szCs w:val="24"/>
          <w:highlight w:val="none"/>
          <w:lang w:val="en-US" w:eastAsia="zh-CN"/>
        </w:rPr>
        <w:t>+</w:t>
      </w:r>
      <w:r>
        <w:rPr>
          <w:rFonts w:hint="eastAsia" w:asciiTheme="minorEastAsia" w:hAnsiTheme="minorEastAsia" w:eastAsiaTheme="minorEastAsia"/>
          <w:b w:val="0"/>
          <w:bCs/>
          <w:color w:val="auto"/>
          <w:sz w:val="24"/>
          <w:szCs w:val="24"/>
          <w:highlight w:val="none"/>
        </w:rPr>
        <w:t>报价</w:t>
      </w:r>
      <w:r>
        <w:rPr>
          <w:rFonts w:hint="eastAsia" w:asciiTheme="minorEastAsia" w:hAnsiTheme="minorEastAsia" w:eastAsiaTheme="minorEastAsia"/>
          <w:b w:val="0"/>
          <w:bCs/>
          <w:color w:val="auto"/>
          <w:sz w:val="24"/>
          <w:szCs w:val="24"/>
          <w:highlight w:val="none"/>
          <w:lang w:eastAsia="zh-CN"/>
        </w:rPr>
        <w:t>部分，</w:t>
      </w:r>
      <w:r>
        <w:rPr>
          <w:rFonts w:hint="eastAsia" w:ascii="宋体" w:hAnsi="宋体" w:cs="宋体"/>
          <w:color w:val="auto"/>
          <w:kern w:val="0"/>
          <w:sz w:val="24"/>
          <w:highlight w:val="none"/>
        </w:rPr>
        <w:t>总计100分</w:t>
      </w:r>
      <w:r>
        <w:rPr>
          <w:rFonts w:hint="eastAsia" w:asciiTheme="minorEastAsia" w:hAnsiTheme="minorEastAsia" w:eastAsiaTheme="minorEastAsia"/>
          <w:b w:val="0"/>
          <w:bCs/>
          <w:color w:val="auto"/>
          <w:sz w:val="24"/>
          <w:szCs w:val="24"/>
          <w:highlight w:val="none"/>
          <w:lang w:eastAsia="zh-CN"/>
        </w:rPr>
        <w:t>，</w:t>
      </w:r>
      <w:r>
        <w:rPr>
          <w:rFonts w:hint="eastAsia" w:ascii="宋体" w:hAnsi="宋体" w:cs="宋体"/>
          <w:color w:val="auto"/>
          <w:kern w:val="0"/>
          <w:sz w:val="24"/>
          <w:highlight w:val="none"/>
        </w:rPr>
        <w:t>评标按以下标准及要求进行：</w:t>
      </w:r>
    </w:p>
    <w:p>
      <w:pPr>
        <w:numPr>
          <w:ilvl w:val="0"/>
          <w:numId w:val="7"/>
        </w:numPr>
        <w:autoSpaceDE w:val="0"/>
        <w:autoSpaceDN w:val="0"/>
        <w:adjustRightIn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评分标准</w:t>
      </w:r>
    </w:p>
    <w:tbl>
      <w:tblPr>
        <w:tblStyle w:val="20"/>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48"/>
        <w:gridCol w:w="6946"/>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83" w:type="dxa"/>
            <w:shd w:val="clear" w:color="auto" w:fill="BEBEBE" w:themeFill="background1" w:themeFillShade="BF"/>
            <w:vAlign w:val="center"/>
          </w:tcPr>
          <w:p>
            <w:pPr>
              <w:jc w:val="center"/>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评分项目</w:t>
            </w:r>
          </w:p>
        </w:tc>
        <w:tc>
          <w:tcPr>
            <w:tcW w:w="8094" w:type="dxa"/>
            <w:gridSpan w:val="2"/>
            <w:shd w:val="clear" w:color="auto" w:fill="BEBEBE" w:themeFill="background1" w:themeFillShade="BF"/>
            <w:vAlign w:val="center"/>
          </w:tcPr>
          <w:p>
            <w:pPr>
              <w:jc w:val="center"/>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评分细则</w:t>
            </w:r>
          </w:p>
        </w:tc>
        <w:tc>
          <w:tcPr>
            <w:tcW w:w="553" w:type="dxa"/>
            <w:shd w:val="clear" w:color="auto" w:fill="BEBEBE" w:themeFill="background1" w:themeFillShade="BF"/>
            <w:vAlign w:val="center"/>
          </w:tcPr>
          <w:p>
            <w:pPr>
              <w:jc w:val="center"/>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83" w:type="dxa"/>
            <w:vMerge w:val="restart"/>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技术部分</w:t>
            </w:r>
          </w:p>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50分</w:t>
            </w:r>
          </w:p>
        </w:tc>
        <w:tc>
          <w:tcPr>
            <w:tcW w:w="1148" w:type="dxa"/>
            <w:vAlign w:val="center"/>
          </w:tcPr>
          <w:p>
            <w:pPr>
              <w:tabs>
                <w:tab w:val="left" w:pos="540"/>
              </w:tabs>
              <w:spacing w:line="216" w:lineRule="auto"/>
              <w:jc w:val="left"/>
              <w:textAlignment w:val="baseline"/>
              <w:rPr>
                <w:rStyle w:val="50"/>
                <w:rFonts w:asciiTheme="minorEastAsia" w:hAnsiTheme="minorEastAsia" w:eastAsiaTheme="minorEastAsia"/>
                <w:color w:val="auto"/>
                <w:sz w:val="22"/>
                <w:szCs w:val="22"/>
                <w:highlight w:val="none"/>
              </w:rPr>
            </w:pPr>
            <w:r>
              <w:rPr>
                <w:rStyle w:val="50"/>
                <w:rFonts w:hint="eastAsia" w:asciiTheme="minorEastAsia" w:hAnsiTheme="minorEastAsia" w:eastAsiaTheme="minorEastAsia"/>
                <w:color w:val="auto"/>
                <w:sz w:val="22"/>
                <w:szCs w:val="22"/>
                <w:highlight w:val="none"/>
              </w:rPr>
              <w:t>整体方案情况</w:t>
            </w:r>
          </w:p>
        </w:tc>
        <w:tc>
          <w:tcPr>
            <w:tcW w:w="6946" w:type="dxa"/>
            <w:vAlign w:val="center"/>
          </w:tcPr>
          <w:p>
            <w:pPr>
              <w:tabs>
                <w:tab w:val="left" w:pos="540"/>
              </w:tabs>
              <w:spacing w:line="216" w:lineRule="auto"/>
              <w:textAlignment w:val="baseline"/>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根据投标人针对本项目提供的服务内容方案是否符合招标需求打分，方案各环节完备，贴合招标人实际，内容清晰、具体全面的得8分；内容有所欠缺需完善，方案不够清晰的得6分；方案内容粗略偏差较大的得</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rPr>
              <w:t>分</w:t>
            </w:r>
            <w:r>
              <w:rPr>
                <w:rFonts w:hint="eastAsia" w:cs="宋体" w:asciiTheme="minorEastAsia" w:hAnsiTheme="minorEastAsia" w:eastAsiaTheme="minorEastAsia"/>
                <w:color w:val="auto"/>
                <w:sz w:val="22"/>
                <w:szCs w:val="22"/>
                <w:highlight w:val="none"/>
                <w:lang w:eastAsia="zh-CN"/>
              </w:rPr>
              <w:t>；方案略有提及，片面的得</w:t>
            </w:r>
            <w:r>
              <w:rPr>
                <w:rFonts w:hint="eastAsia" w:cs="宋体" w:asciiTheme="minorEastAsia" w:hAnsiTheme="minorEastAsia" w:eastAsiaTheme="minorEastAsia"/>
                <w:color w:val="auto"/>
                <w:sz w:val="22"/>
                <w:szCs w:val="22"/>
                <w:highlight w:val="none"/>
                <w:lang w:val="en-US" w:eastAsia="zh-CN"/>
              </w:rPr>
              <w:t>2分；未提供不得分</w:t>
            </w:r>
            <w:r>
              <w:rPr>
                <w:rFonts w:hint="eastAsia" w:cs="宋体" w:asciiTheme="minorEastAsia" w:hAnsiTheme="minorEastAsia" w:eastAsiaTheme="minorEastAsia"/>
                <w:color w:val="auto"/>
                <w:sz w:val="22"/>
                <w:szCs w:val="22"/>
                <w:highlight w:val="none"/>
              </w:rPr>
              <w:t>。</w:t>
            </w:r>
          </w:p>
        </w:tc>
        <w:tc>
          <w:tcPr>
            <w:tcW w:w="553" w:type="dxa"/>
            <w:vAlign w:val="center"/>
          </w:tcPr>
          <w:p>
            <w:pPr>
              <w:tabs>
                <w:tab w:val="left" w:pos="540"/>
              </w:tabs>
              <w:spacing w:line="216" w:lineRule="auto"/>
              <w:jc w:val="center"/>
              <w:textAlignment w:val="baseline"/>
              <w:rPr>
                <w:rStyle w:val="50"/>
                <w:rFonts w:asciiTheme="minorEastAsia" w:hAnsiTheme="minorEastAsia" w:eastAsiaTheme="minorEastAsia"/>
                <w:color w:val="auto"/>
                <w:sz w:val="22"/>
                <w:szCs w:val="22"/>
                <w:highlight w:val="none"/>
              </w:rPr>
            </w:pPr>
            <w:r>
              <w:rPr>
                <w:rStyle w:val="50"/>
                <w:rFonts w:hint="eastAsia" w:asciiTheme="minorEastAsia" w:hAnsiTheme="minorEastAsia" w:eastAsiaTheme="minorEastAsia"/>
                <w:color w:val="auto"/>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83" w:type="dxa"/>
            <w:vMerge w:val="continue"/>
            <w:vAlign w:val="center"/>
          </w:tcPr>
          <w:p>
            <w:pPr>
              <w:jc w:val="center"/>
              <w:rPr>
                <w:rFonts w:cs="宋体" w:asciiTheme="minorEastAsia" w:hAnsiTheme="minorEastAsia" w:eastAsiaTheme="minorEastAsia"/>
                <w:b/>
                <w:bCs/>
                <w:color w:val="auto"/>
                <w:sz w:val="22"/>
                <w:szCs w:val="22"/>
                <w:highlight w:val="none"/>
              </w:rPr>
            </w:pPr>
          </w:p>
        </w:tc>
        <w:tc>
          <w:tcPr>
            <w:tcW w:w="1148" w:type="dxa"/>
            <w:vAlign w:val="center"/>
          </w:tcPr>
          <w:p>
            <w:pPr>
              <w:autoSpaceDE w:val="0"/>
              <w:autoSpaceDN w:val="0"/>
              <w:adjustRightInd w:val="0"/>
              <w:jc w:val="center"/>
              <w:rPr>
                <w:rFonts w:asciiTheme="minorEastAsia" w:hAnsiTheme="minorEastAsia" w:eastAsiaTheme="minorEastAsia"/>
                <w:color w:val="auto"/>
                <w:sz w:val="22"/>
                <w:szCs w:val="22"/>
                <w:highlight w:val="none"/>
                <w:lang w:val="zh-CN"/>
              </w:rPr>
            </w:pPr>
            <w:r>
              <w:rPr>
                <w:rFonts w:hint="eastAsia" w:cs="仿宋_GB2312" w:asciiTheme="minorEastAsia" w:hAnsiTheme="minorEastAsia" w:eastAsiaTheme="minorEastAsia"/>
                <w:color w:val="auto"/>
                <w:sz w:val="22"/>
                <w:szCs w:val="22"/>
                <w:highlight w:val="none"/>
              </w:rPr>
              <w:t>保障措施</w:t>
            </w:r>
          </w:p>
        </w:tc>
        <w:tc>
          <w:tcPr>
            <w:tcW w:w="6946" w:type="dxa"/>
            <w:vAlign w:val="center"/>
          </w:tcPr>
          <w:p>
            <w:pPr>
              <w:autoSpaceDE w:val="0"/>
              <w:autoSpaceDN w:val="0"/>
              <w:adjustRightInd w:val="0"/>
              <w:jc w:val="left"/>
              <w:rPr>
                <w:rFonts w:asciiTheme="minorEastAsia" w:hAnsiTheme="minorEastAsia" w:eastAsiaTheme="minorEastAsia"/>
                <w:color w:val="auto"/>
                <w:sz w:val="22"/>
                <w:szCs w:val="22"/>
                <w:highlight w:val="none"/>
                <w:lang w:val="zh-CN"/>
              </w:rPr>
            </w:pPr>
            <w:r>
              <w:rPr>
                <w:rFonts w:hint="eastAsia" w:asciiTheme="minorEastAsia" w:hAnsiTheme="minorEastAsia" w:eastAsiaTheme="minorEastAsia"/>
                <w:color w:val="auto"/>
                <w:sz w:val="22"/>
                <w:szCs w:val="22"/>
                <w:highlight w:val="none"/>
                <w:lang w:val="zh-CN"/>
              </w:rPr>
              <w:t>投标人设有专门的编校部门，能按招标需求提供明确的质量目标和质量保证措施，质量保证及措施具体、可行性强的得7分；措施保证内容相对完整，可行性一般的得</w:t>
            </w:r>
            <w:r>
              <w:rPr>
                <w:rFonts w:hint="eastAsia" w:asciiTheme="minorEastAsia" w:hAnsiTheme="minorEastAsia" w:eastAsiaTheme="minorEastAsia"/>
                <w:color w:val="auto"/>
                <w:sz w:val="22"/>
                <w:szCs w:val="22"/>
                <w:highlight w:val="none"/>
                <w:lang w:val="en-US" w:eastAsia="zh-CN"/>
              </w:rPr>
              <w:t>5</w:t>
            </w:r>
            <w:r>
              <w:rPr>
                <w:rFonts w:hint="eastAsia" w:asciiTheme="minorEastAsia" w:hAnsiTheme="minorEastAsia" w:eastAsiaTheme="minorEastAsia"/>
                <w:color w:val="auto"/>
                <w:sz w:val="22"/>
                <w:szCs w:val="22"/>
                <w:highlight w:val="none"/>
                <w:lang w:val="zh-CN"/>
              </w:rPr>
              <w:t>分；措施保证较简略，存在明显缺陷的得</w:t>
            </w:r>
            <w:r>
              <w:rPr>
                <w:rFonts w:hint="eastAsia" w:asciiTheme="minorEastAsia" w:hAnsiTheme="minorEastAsia" w:eastAsiaTheme="minorEastAsia"/>
                <w:color w:val="auto"/>
                <w:sz w:val="22"/>
                <w:szCs w:val="22"/>
                <w:highlight w:val="none"/>
                <w:lang w:val="en-US" w:eastAsia="zh-CN"/>
              </w:rPr>
              <w:t>3</w:t>
            </w:r>
            <w:r>
              <w:rPr>
                <w:rFonts w:hint="eastAsia" w:asciiTheme="minorEastAsia" w:hAnsiTheme="minorEastAsia" w:eastAsiaTheme="minorEastAsia"/>
                <w:color w:val="auto"/>
                <w:sz w:val="22"/>
                <w:szCs w:val="22"/>
                <w:highlight w:val="none"/>
                <w:lang w:val="zh-CN"/>
              </w:rPr>
              <w:t>分；措施保证有提供，略有提及的得</w:t>
            </w:r>
            <w:r>
              <w:rPr>
                <w:rFonts w:hint="eastAsia" w:asciiTheme="minorEastAsia" w:hAnsiTheme="minorEastAsia" w:eastAsiaTheme="minorEastAsia"/>
                <w:color w:val="auto"/>
                <w:sz w:val="22"/>
                <w:szCs w:val="22"/>
                <w:highlight w:val="none"/>
                <w:lang w:val="en-US" w:eastAsia="zh-CN"/>
              </w:rPr>
              <w:t>1分；未提供不得分</w:t>
            </w:r>
            <w:r>
              <w:rPr>
                <w:rFonts w:hint="eastAsia" w:asciiTheme="minorEastAsia" w:hAnsiTheme="minorEastAsia" w:eastAsiaTheme="minorEastAsia"/>
                <w:color w:val="auto"/>
                <w:sz w:val="22"/>
                <w:szCs w:val="22"/>
                <w:highlight w:val="none"/>
                <w:lang w:val="zh-CN"/>
              </w:rPr>
              <w:t>。</w:t>
            </w:r>
          </w:p>
        </w:tc>
        <w:tc>
          <w:tcPr>
            <w:tcW w:w="553" w:type="dxa"/>
            <w:vAlign w:val="center"/>
          </w:tcPr>
          <w:p>
            <w:pPr>
              <w:pStyle w:val="10"/>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83" w:type="dxa"/>
            <w:vMerge w:val="continue"/>
            <w:vAlign w:val="center"/>
          </w:tcPr>
          <w:p>
            <w:pPr>
              <w:jc w:val="center"/>
              <w:rPr>
                <w:rFonts w:cs="宋体" w:asciiTheme="minorEastAsia" w:hAnsiTheme="minorEastAsia" w:eastAsiaTheme="minorEastAsia"/>
                <w:b/>
                <w:bCs/>
                <w:color w:val="auto"/>
                <w:sz w:val="22"/>
                <w:szCs w:val="22"/>
                <w:highlight w:val="none"/>
              </w:rPr>
            </w:pPr>
          </w:p>
        </w:tc>
        <w:tc>
          <w:tcPr>
            <w:tcW w:w="1148" w:type="dxa"/>
            <w:vAlign w:val="center"/>
          </w:tcPr>
          <w:p>
            <w:pPr>
              <w:pStyle w:val="1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项目进度安排方案</w:t>
            </w:r>
          </w:p>
        </w:tc>
        <w:tc>
          <w:tcPr>
            <w:tcW w:w="6946" w:type="dxa"/>
            <w:vAlign w:val="center"/>
          </w:tcPr>
          <w:p>
            <w:pPr>
              <w:pStyle w:val="1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根据采购需求提供项目进度安排，提供编撰、排版、出版、编校的时间安排规划方案，进度设计合理，时间节点清晰，利于工作顺利推进的</w:t>
            </w:r>
            <w:r>
              <w:rPr>
                <w:rFonts w:hint="eastAsia" w:cs="宋体" w:asciiTheme="minorEastAsia" w:hAnsiTheme="minorEastAsia" w:eastAsiaTheme="minorEastAsia"/>
                <w:color w:val="auto"/>
                <w:sz w:val="22"/>
                <w:szCs w:val="22"/>
                <w:highlight w:val="none"/>
                <w:lang w:val="en-US" w:eastAsia="zh-CN"/>
              </w:rPr>
              <w:t>8</w:t>
            </w:r>
            <w:r>
              <w:rPr>
                <w:rFonts w:hint="eastAsia" w:cs="宋体" w:asciiTheme="minorEastAsia" w:hAnsiTheme="minorEastAsia" w:eastAsiaTheme="minorEastAsia"/>
                <w:color w:val="auto"/>
                <w:sz w:val="22"/>
                <w:szCs w:val="22"/>
                <w:highlight w:val="none"/>
              </w:rPr>
              <w:t>分；方案有欠缺，计划可行性合理性一般的得</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rPr>
              <w:t>分；没有实质性内容，</w:t>
            </w:r>
            <w:r>
              <w:rPr>
                <w:rStyle w:val="50"/>
                <w:rFonts w:hint="eastAsia" w:asciiTheme="minorEastAsia" w:hAnsiTheme="minorEastAsia" w:eastAsiaTheme="minorEastAsia"/>
                <w:color w:val="auto"/>
                <w:sz w:val="22"/>
                <w:szCs w:val="22"/>
                <w:highlight w:val="none"/>
              </w:rPr>
              <w:t>缺乏严谨性</w:t>
            </w:r>
            <w:r>
              <w:rPr>
                <w:rFonts w:hint="eastAsia" w:cs="宋体" w:asciiTheme="minorEastAsia" w:hAnsiTheme="minorEastAsia" w:eastAsiaTheme="minorEastAsia"/>
                <w:color w:val="auto"/>
                <w:sz w:val="22"/>
                <w:szCs w:val="22"/>
                <w:highlight w:val="none"/>
              </w:rPr>
              <w:t>的得</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rPr>
              <w:t>分</w:t>
            </w:r>
            <w:r>
              <w:rPr>
                <w:rFonts w:hint="eastAsia" w:cs="宋体" w:asciiTheme="minorEastAsia" w:hAnsiTheme="minorEastAsia" w:eastAsiaTheme="minorEastAsia"/>
                <w:color w:val="auto"/>
                <w:sz w:val="22"/>
                <w:szCs w:val="22"/>
                <w:highlight w:val="none"/>
                <w:lang w:eastAsia="zh-CN"/>
              </w:rPr>
              <w:t>；方案有提供，略有提及的得</w:t>
            </w:r>
            <w:r>
              <w:rPr>
                <w:rFonts w:hint="eastAsia" w:cs="宋体" w:asciiTheme="minorEastAsia" w:hAnsiTheme="minorEastAsia" w:eastAsiaTheme="minorEastAsia"/>
                <w:color w:val="auto"/>
                <w:sz w:val="22"/>
                <w:szCs w:val="22"/>
                <w:highlight w:val="none"/>
                <w:lang w:val="en-US" w:eastAsia="zh-CN"/>
              </w:rPr>
              <w:t>2分；未提供不得分</w:t>
            </w:r>
            <w:r>
              <w:rPr>
                <w:rFonts w:hint="eastAsia" w:cs="宋体" w:asciiTheme="minorEastAsia" w:hAnsiTheme="minorEastAsia" w:eastAsiaTheme="minorEastAsia"/>
                <w:color w:val="auto"/>
                <w:sz w:val="22"/>
                <w:szCs w:val="22"/>
                <w:highlight w:val="none"/>
              </w:rPr>
              <w:t>。</w:t>
            </w:r>
          </w:p>
        </w:tc>
        <w:tc>
          <w:tcPr>
            <w:tcW w:w="553" w:type="dxa"/>
            <w:vAlign w:val="center"/>
          </w:tcPr>
          <w:p>
            <w:pPr>
              <w:pStyle w:val="10"/>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83" w:type="dxa"/>
            <w:vMerge w:val="continue"/>
            <w:vAlign w:val="center"/>
          </w:tcPr>
          <w:p>
            <w:pPr>
              <w:jc w:val="center"/>
              <w:rPr>
                <w:rFonts w:cs="宋体" w:asciiTheme="minorEastAsia" w:hAnsiTheme="minorEastAsia" w:eastAsiaTheme="minorEastAsia"/>
                <w:b/>
                <w:bCs/>
                <w:color w:val="auto"/>
                <w:sz w:val="22"/>
                <w:szCs w:val="22"/>
                <w:highlight w:val="none"/>
              </w:rPr>
            </w:pPr>
          </w:p>
        </w:tc>
        <w:tc>
          <w:tcPr>
            <w:tcW w:w="1148" w:type="dxa"/>
            <w:vAlign w:val="center"/>
          </w:tcPr>
          <w:p>
            <w:pPr>
              <w:autoSpaceDE w:val="0"/>
              <w:autoSpaceDN w:val="0"/>
              <w:adjustRightInd w:val="0"/>
              <w:jc w:val="center"/>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lang w:val="zh-CN"/>
              </w:rPr>
              <w:t>出版方案</w:t>
            </w:r>
          </w:p>
        </w:tc>
        <w:tc>
          <w:tcPr>
            <w:tcW w:w="6946" w:type="dxa"/>
          </w:tcPr>
          <w:p>
            <w:pPr>
              <w:pStyle w:val="51"/>
              <w:ind w:firstLine="0"/>
              <w:rPr>
                <w:rFonts w:asciiTheme="minorEastAsia" w:hAnsiTheme="minorEastAsia" w:eastAsiaTheme="minorEastAsia"/>
                <w:color w:val="auto"/>
                <w:sz w:val="22"/>
                <w:szCs w:val="22"/>
                <w:highlight w:val="none"/>
                <w:lang w:val="zh-CN"/>
              </w:rPr>
            </w:pPr>
            <w:r>
              <w:rPr>
                <w:rFonts w:hint="eastAsia" w:asciiTheme="minorEastAsia" w:hAnsiTheme="minorEastAsia" w:eastAsiaTheme="minorEastAsia"/>
                <w:color w:val="auto"/>
                <w:sz w:val="22"/>
                <w:szCs w:val="22"/>
                <w:highlight w:val="none"/>
                <w:lang w:val="zh-CN"/>
              </w:rPr>
              <w:t>根据招标需求提供出版方案（包括编校、装帧设计、印刷装订、交货验收等的各项服务实施方案及相关技术标准），方案科学、合理、详细、可行，采用的技术标准符合国家有关规定，有利于实现采购目标的得</w:t>
            </w:r>
            <w:r>
              <w:rPr>
                <w:rFonts w:hint="eastAsia" w:asciiTheme="minorEastAsia" w:hAnsiTheme="minorEastAsia" w:eastAsiaTheme="minorEastAsia"/>
                <w:color w:val="auto"/>
                <w:sz w:val="22"/>
                <w:szCs w:val="22"/>
                <w:highlight w:val="none"/>
                <w:lang w:val="en-US" w:eastAsia="zh-CN"/>
              </w:rPr>
              <w:t>7</w:t>
            </w:r>
            <w:r>
              <w:rPr>
                <w:rFonts w:hint="eastAsia" w:asciiTheme="minorEastAsia" w:hAnsiTheme="minorEastAsia" w:eastAsiaTheme="minorEastAsia"/>
                <w:color w:val="auto"/>
                <w:sz w:val="22"/>
                <w:szCs w:val="22"/>
                <w:highlight w:val="none"/>
                <w:lang w:val="zh-CN"/>
              </w:rPr>
              <w:t>分；方案较全面，可行性较好，先进性略有欠缺的得</w:t>
            </w:r>
            <w:r>
              <w:rPr>
                <w:rFonts w:hint="eastAsia" w:asciiTheme="minorEastAsia" w:hAnsiTheme="minorEastAsia" w:eastAsiaTheme="minorEastAsia"/>
                <w:color w:val="auto"/>
                <w:sz w:val="22"/>
                <w:szCs w:val="22"/>
                <w:highlight w:val="none"/>
                <w:lang w:val="en-US" w:eastAsia="zh-CN"/>
              </w:rPr>
              <w:t>5</w:t>
            </w:r>
            <w:r>
              <w:rPr>
                <w:rFonts w:hint="eastAsia" w:asciiTheme="minorEastAsia" w:hAnsiTheme="minorEastAsia" w:eastAsiaTheme="minorEastAsia"/>
                <w:color w:val="auto"/>
                <w:sz w:val="22"/>
                <w:szCs w:val="22"/>
                <w:highlight w:val="none"/>
                <w:lang w:val="zh-CN"/>
              </w:rPr>
              <w:t>分；方案考虑不周全，存在明显漏洞、明显不合理的得</w:t>
            </w:r>
            <w:r>
              <w:rPr>
                <w:rFonts w:hint="eastAsia" w:asciiTheme="minorEastAsia" w:hAnsiTheme="minorEastAsia" w:eastAsiaTheme="minorEastAsia"/>
                <w:color w:val="auto"/>
                <w:sz w:val="22"/>
                <w:szCs w:val="22"/>
                <w:highlight w:val="none"/>
                <w:lang w:val="en-US" w:eastAsia="zh-CN"/>
              </w:rPr>
              <w:t>3</w:t>
            </w:r>
            <w:r>
              <w:rPr>
                <w:rFonts w:hint="eastAsia" w:asciiTheme="minorEastAsia" w:hAnsiTheme="minorEastAsia" w:eastAsiaTheme="minorEastAsia"/>
                <w:color w:val="auto"/>
                <w:sz w:val="22"/>
                <w:szCs w:val="22"/>
                <w:highlight w:val="none"/>
                <w:lang w:val="zh-CN"/>
              </w:rPr>
              <w:t>分；</w:t>
            </w:r>
            <w:r>
              <w:rPr>
                <w:rFonts w:hint="eastAsia" w:cs="宋体" w:asciiTheme="minorEastAsia" w:hAnsiTheme="minorEastAsia" w:eastAsiaTheme="minorEastAsia"/>
                <w:color w:val="auto"/>
                <w:sz w:val="22"/>
                <w:szCs w:val="22"/>
                <w:highlight w:val="none"/>
                <w:lang w:eastAsia="zh-CN"/>
              </w:rPr>
              <w:t>方案略有提及，片面的得</w:t>
            </w:r>
            <w:r>
              <w:rPr>
                <w:rFonts w:hint="eastAsia" w:cs="宋体" w:asciiTheme="minorEastAsia" w:hAnsiTheme="minorEastAsia" w:eastAsiaTheme="minorEastAsia"/>
                <w:color w:val="auto"/>
                <w:sz w:val="22"/>
                <w:szCs w:val="22"/>
                <w:highlight w:val="none"/>
                <w:lang w:val="en-US" w:eastAsia="zh-CN"/>
              </w:rPr>
              <w:t>1分；未提供不得分</w:t>
            </w:r>
            <w:r>
              <w:rPr>
                <w:rFonts w:hint="eastAsia" w:asciiTheme="minorEastAsia" w:hAnsiTheme="minorEastAsia" w:eastAsiaTheme="minorEastAsia"/>
                <w:color w:val="auto"/>
                <w:sz w:val="22"/>
                <w:szCs w:val="22"/>
                <w:highlight w:val="none"/>
                <w:lang w:val="zh-CN"/>
              </w:rPr>
              <w:t>。</w:t>
            </w:r>
          </w:p>
        </w:tc>
        <w:tc>
          <w:tcPr>
            <w:tcW w:w="553" w:type="dxa"/>
            <w:vAlign w:val="center"/>
          </w:tcPr>
          <w:p>
            <w:pPr>
              <w:pStyle w:val="10"/>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683" w:type="dxa"/>
            <w:vMerge w:val="continue"/>
            <w:vAlign w:val="center"/>
          </w:tcPr>
          <w:p>
            <w:pPr>
              <w:jc w:val="center"/>
              <w:rPr>
                <w:rFonts w:cs="宋体" w:asciiTheme="minorEastAsia" w:hAnsiTheme="minorEastAsia" w:eastAsiaTheme="minorEastAsia"/>
                <w:b/>
                <w:bCs/>
                <w:color w:val="auto"/>
                <w:sz w:val="22"/>
                <w:szCs w:val="22"/>
                <w:highlight w:val="none"/>
              </w:rPr>
            </w:pPr>
          </w:p>
        </w:tc>
        <w:tc>
          <w:tcPr>
            <w:tcW w:w="1148" w:type="dxa"/>
            <w:vAlign w:val="center"/>
          </w:tcPr>
          <w:p>
            <w:pPr>
              <w:snapToGrid w:val="0"/>
              <w:jc w:val="center"/>
              <w:rPr>
                <w:rStyle w:val="50"/>
                <w:rFonts w:asciiTheme="minorEastAsia" w:hAnsiTheme="minorEastAsia" w:eastAsiaTheme="minorEastAsia"/>
                <w:color w:val="auto"/>
                <w:sz w:val="22"/>
                <w:szCs w:val="22"/>
                <w:highlight w:val="none"/>
              </w:rPr>
            </w:pPr>
            <w:r>
              <w:rPr>
                <w:rStyle w:val="50"/>
                <w:rFonts w:hint="eastAsia" w:asciiTheme="minorEastAsia" w:hAnsiTheme="minorEastAsia" w:eastAsiaTheme="minorEastAsia"/>
                <w:color w:val="auto"/>
                <w:sz w:val="22"/>
                <w:szCs w:val="22"/>
                <w:highlight w:val="none"/>
              </w:rPr>
              <w:t>人员配置情况</w:t>
            </w:r>
          </w:p>
        </w:tc>
        <w:tc>
          <w:tcPr>
            <w:tcW w:w="6946" w:type="dxa"/>
            <w:vAlign w:val="center"/>
          </w:tcPr>
          <w:p>
            <w:pPr>
              <w:pStyle w:val="51"/>
              <w:ind w:firstLine="0"/>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lang w:val="zh-CN"/>
              </w:rPr>
              <w:t>1.</w:t>
            </w:r>
            <w:r>
              <w:rPr>
                <w:rFonts w:cs="宋体" w:asciiTheme="minorEastAsia" w:hAnsiTheme="minorEastAsia" w:eastAsiaTheme="minorEastAsia"/>
                <w:b/>
                <w:color w:val="auto"/>
                <w:sz w:val="22"/>
                <w:szCs w:val="22"/>
                <w:highlight w:val="none"/>
                <w:lang w:val="zh-CN"/>
              </w:rPr>
              <w:t>项目团队负责人</w:t>
            </w:r>
            <w:r>
              <w:rPr>
                <w:rFonts w:hint="eastAsia" w:cs="宋体" w:asciiTheme="minorEastAsia" w:hAnsiTheme="minorEastAsia" w:eastAsiaTheme="minorEastAsia"/>
                <w:b/>
                <w:color w:val="auto"/>
                <w:sz w:val="22"/>
                <w:szCs w:val="22"/>
                <w:highlight w:val="none"/>
                <w:lang w:val="zh-CN"/>
              </w:rPr>
              <w:t>（10分）：</w:t>
            </w:r>
          </w:p>
          <w:p>
            <w:pPr>
              <w:pStyle w:val="51"/>
              <w:ind w:firstLine="0"/>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lang w:val="zh-CN"/>
              </w:rPr>
              <w:t>（1）投标人拟派本项目的项目团队负责人具有同类出版项目工作经验的，每提供一个项目合同得2.5分，本项最高5分。</w:t>
            </w:r>
          </w:p>
          <w:p>
            <w:pPr>
              <w:pStyle w:val="9"/>
              <w:ind w:firstLine="0"/>
              <w:rPr>
                <w:color w:val="auto"/>
                <w:highlight w:val="none"/>
              </w:rPr>
            </w:pPr>
            <w:r>
              <w:rPr>
                <w:rFonts w:hint="eastAsia" w:cs="宋体" w:asciiTheme="minorEastAsia" w:hAnsiTheme="minorEastAsia" w:eastAsiaTheme="minorEastAsia"/>
                <w:color w:val="auto"/>
                <w:sz w:val="22"/>
                <w:szCs w:val="22"/>
                <w:highlight w:val="none"/>
                <w:lang w:val="zh-CN"/>
              </w:rPr>
              <w:t>（2）</w:t>
            </w:r>
            <w:r>
              <w:rPr>
                <w:rFonts w:hint="eastAsia" w:cs="宋体" w:asciiTheme="minorEastAsia" w:hAnsiTheme="minorEastAsia" w:eastAsiaTheme="minorEastAsia"/>
                <w:color w:val="auto"/>
                <w:sz w:val="22"/>
                <w:szCs w:val="22"/>
                <w:highlight w:val="none"/>
              </w:rPr>
              <w:t>具有正高级技术职称的得5分；具有副高级技术职称的得3分，本项最高5分。</w:t>
            </w:r>
          </w:p>
          <w:p>
            <w:pPr>
              <w:pStyle w:val="51"/>
              <w:ind w:firstLine="0"/>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lang w:val="zh-CN"/>
              </w:rPr>
              <w:t>2.</w:t>
            </w:r>
            <w:r>
              <w:rPr>
                <w:rFonts w:hint="eastAsia" w:cs="宋体" w:asciiTheme="minorEastAsia" w:hAnsiTheme="minorEastAsia" w:eastAsiaTheme="minorEastAsia"/>
                <w:b/>
                <w:color w:val="auto"/>
                <w:sz w:val="22"/>
                <w:szCs w:val="22"/>
                <w:highlight w:val="none"/>
                <w:lang w:val="zh-CN"/>
              </w:rPr>
              <w:t>项目服务团队人员（10分）（不包含项目团队负责人）：</w:t>
            </w:r>
          </w:p>
          <w:p>
            <w:pPr>
              <w:pStyle w:val="51"/>
              <w:ind w:firstLine="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pacing w:val="-4"/>
                <w:sz w:val="22"/>
                <w:szCs w:val="22"/>
                <w:highlight w:val="none"/>
              </w:rPr>
              <w:t>拟投入服务团队人员</w:t>
            </w:r>
            <w:r>
              <w:rPr>
                <w:rFonts w:hint="eastAsia" w:cs="宋体" w:asciiTheme="minorEastAsia" w:hAnsiTheme="minorEastAsia" w:eastAsiaTheme="minorEastAsia"/>
                <w:color w:val="auto"/>
                <w:sz w:val="22"/>
                <w:szCs w:val="22"/>
                <w:highlight w:val="none"/>
              </w:rPr>
              <w:t>中具有与图书编辑出版相关的中级职称或专业技术人员职业资格证书的，每一人得</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rPr>
              <w:t>分；具备副编审及以上高级职称的的，每一人得</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rPr>
              <w:t>分；本项最高10分。</w:t>
            </w:r>
          </w:p>
          <w:p>
            <w:pPr>
              <w:pStyle w:val="51"/>
              <w:ind w:firstLine="0"/>
              <w:rPr>
                <w:rFonts w:cs="宋体" w:asciiTheme="minorEastAsia" w:hAnsiTheme="minorEastAsia" w:eastAsiaTheme="minorEastAsia"/>
                <w:b/>
                <w:color w:val="auto"/>
                <w:sz w:val="22"/>
                <w:szCs w:val="22"/>
                <w:highlight w:val="none"/>
                <w:lang w:val="zh-CN"/>
              </w:rPr>
            </w:pPr>
            <w:r>
              <w:rPr>
                <w:rFonts w:hint="eastAsia" w:cs="宋体" w:asciiTheme="minorEastAsia" w:hAnsiTheme="minorEastAsia" w:eastAsiaTheme="minorEastAsia"/>
                <w:b/>
                <w:color w:val="auto"/>
                <w:sz w:val="22"/>
                <w:szCs w:val="22"/>
                <w:highlight w:val="none"/>
                <w:lang w:val="zh-CN"/>
              </w:rPr>
              <w:t>提供以上证明材料，如</w:t>
            </w:r>
            <w:r>
              <w:rPr>
                <w:rFonts w:cs="宋体" w:asciiTheme="minorEastAsia" w:hAnsiTheme="minorEastAsia" w:eastAsiaTheme="minorEastAsia"/>
                <w:b/>
                <w:color w:val="auto"/>
                <w:sz w:val="22"/>
                <w:szCs w:val="22"/>
                <w:highlight w:val="none"/>
                <w:lang w:val="zh-CN"/>
              </w:rPr>
              <w:t>合同不能反映相关</w:t>
            </w:r>
            <w:r>
              <w:rPr>
                <w:rFonts w:hint="eastAsia" w:cs="宋体" w:asciiTheme="minorEastAsia" w:hAnsiTheme="minorEastAsia" w:eastAsiaTheme="minorEastAsia"/>
                <w:b/>
                <w:color w:val="auto"/>
                <w:sz w:val="22"/>
                <w:szCs w:val="22"/>
                <w:highlight w:val="none"/>
                <w:lang w:val="zh-CN"/>
              </w:rPr>
              <w:t>工作经验</w:t>
            </w:r>
            <w:r>
              <w:rPr>
                <w:rFonts w:cs="宋体" w:asciiTheme="minorEastAsia" w:hAnsiTheme="minorEastAsia" w:eastAsiaTheme="minorEastAsia"/>
                <w:b/>
                <w:color w:val="auto"/>
                <w:sz w:val="22"/>
                <w:szCs w:val="22"/>
                <w:highlight w:val="none"/>
                <w:lang w:val="zh-CN"/>
              </w:rPr>
              <w:t>内容的，须同时提供业主出具的加盖业主公章的相关证明材料</w:t>
            </w:r>
            <w:r>
              <w:rPr>
                <w:rFonts w:hint="eastAsia" w:cs="宋体" w:asciiTheme="minorEastAsia" w:hAnsiTheme="minorEastAsia" w:eastAsiaTheme="minorEastAsia"/>
                <w:b/>
                <w:color w:val="auto"/>
                <w:sz w:val="22"/>
                <w:szCs w:val="22"/>
                <w:highlight w:val="none"/>
                <w:lang w:val="zh-CN"/>
              </w:rPr>
              <w:t>；一人多本同类证书按最高级别计分；以上证明材料均加盖投标人公章，并提供以上人员在投标单位近三个月任一月的社保证明，社保参保缴纳单位必须为本次投标人单位名称，其余不予认可；未提供的，对应打分项不得分。</w:t>
            </w:r>
          </w:p>
        </w:tc>
        <w:tc>
          <w:tcPr>
            <w:tcW w:w="553" w:type="dxa"/>
            <w:vAlign w:val="center"/>
          </w:tcPr>
          <w:p>
            <w:pPr>
              <w:pStyle w:val="10"/>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3" w:type="dxa"/>
            <w:vMerge w:val="restart"/>
            <w:vAlign w:val="center"/>
          </w:tcPr>
          <w:p>
            <w:pPr>
              <w:adjustRightInd w:val="0"/>
              <w:snapToGrid w:val="0"/>
              <w:jc w:val="center"/>
              <w:rPr>
                <w:rFonts w:cs="Arial" w:asciiTheme="minorEastAsia" w:hAnsiTheme="minorEastAsia" w:eastAsiaTheme="minorEastAsia"/>
                <w:b/>
                <w:bCs/>
                <w:color w:val="auto"/>
                <w:sz w:val="22"/>
                <w:szCs w:val="22"/>
                <w:highlight w:val="none"/>
              </w:rPr>
            </w:pPr>
            <w:r>
              <w:rPr>
                <w:rFonts w:hint="eastAsia" w:cs="Arial" w:asciiTheme="minorEastAsia" w:hAnsiTheme="minorEastAsia" w:eastAsiaTheme="minorEastAsia"/>
                <w:b/>
                <w:bCs/>
                <w:color w:val="auto"/>
                <w:sz w:val="22"/>
                <w:szCs w:val="22"/>
                <w:highlight w:val="none"/>
              </w:rPr>
              <w:t>商务部分3</w:t>
            </w:r>
            <w:r>
              <w:rPr>
                <w:rFonts w:hint="eastAsia" w:cs="Arial" w:asciiTheme="minorEastAsia" w:hAnsiTheme="minorEastAsia" w:eastAsiaTheme="minorEastAsia"/>
                <w:b/>
                <w:bCs/>
                <w:color w:val="auto"/>
                <w:sz w:val="22"/>
                <w:szCs w:val="22"/>
                <w:highlight w:val="none"/>
                <w:lang w:val="en-US" w:eastAsia="zh-CN"/>
              </w:rPr>
              <w:t>0</w:t>
            </w:r>
            <w:r>
              <w:rPr>
                <w:rFonts w:hint="eastAsia" w:cs="Arial" w:asciiTheme="minorEastAsia" w:hAnsiTheme="minorEastAsia" w:eastAsiaTheme="minorEastAsia"/>
                <w:b/>
                <w:bCs/>
                <w:color w:val="auto"/>
                <w:sz w:val="22"/>
                <w:szCs w:val="22"/>
                <w:highlight w:val="none"/>
              </w:rPr>
              <w:t>分</w:t>
            </w:r>
          </w:p>
        </w:tc>
        <w:tc>
          <w:tcPr>
            <w:tcW w:w="1148" w:type="dxa"/>
            <w:vAlign w:val="center"/>
          </w:tcPr>
          <w:p>
            <w:pPr>
              <w:autoSpaceDE w:val="0"/>
              <w:autoSpaceDN w:val="0"/>
              <w:adjustRightInd w:val="0"/>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项目业绩</w:t>
            </w:r>
          </w:p>
        </w:tc>
        <w:tc>
          <w:tcPr>
            <w:tcW w:w="6946" w:type="dxa"/>
            <w:vAlign w:val="center"/>
          </w:tcPr>
          <w:p>
            <w:pPr>
              <w:autoSpaceDE w:val="0"/>
              <w:autoSpaceDN w:val="0"/>
              <w:adjustRightInd w:val="0"/>
              <w:jc w:val="left"/>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lang w:val="zh-CN"/>
              </w:rPr>
              <w:t>投标人自2020年1月1日以来独立承担完成同类项目业绩的，每一个项目得</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val="zh-CN"/>
              </w:rPr>
              <w:t>分（按出版书号计），最多得</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val="zh-CN"/>
              </w:rPr>
              <w:t>分。</w:t>
            </w:r>
          </w:p>
          <w:p>
            <w:pPr>
              <w:autoSpaceDE w:val="0"/>
              <w:autoSpaceDN w:val="0"/>
              <w:adjustRightInd w:val="0"/>
              <w:jc w:val="left"/>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b/>
                <w:color w:val="auto"/>
                <w:sz w:val="22"/>
                <w:szCs w:val="22"/>
                <w:highlight w:val="none"/>
                <w:lang w:val="zh-CN"/>
              </w:rPr>
              <w:t>提供合同证明材料，加盖投标人公章。</w:t>
            </w:r>
          </w:p>
        </w:tc>
        <w:tc>
          <w:tcPr>
            <w:tcW w:w="553" w:type="dxa"/>
            <w:vAlign w:val="center"/>
          </w:tcPr>
          <w:p>
            <w:pPr>
              <w:pStyle w:val="10"/>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3" w:type="dxa"/>
            <w:vMerge w:val="continue"/>
            <w:vAlign w:val="center"/>
          </w:tcPr>
          <w:p>
            <w:pPr>
              <w:adjustRightInd w:val="0"/>
              <w:snapToGrid w:val="0"/>
              <w:jc w:val="center"/>
              <w:rPr>
                <w:rFonts w:cs="Arial" w:asciiTheme="minorEastAsia" w:hAnsiTheme="minorEastAsia" w:eastAsiaTheme="minorEastAsia"/>
                <w:b/>
                <w:bCs/>
                <w:color w:val="auto"/>
                <w:sz w:val="22"/>
                <w:szCs w:val="22"/>
                <w:highlight w:val="none"/>
              </w:rPr>
            </w:pPr>
          </w:p>
        </w:tc>
        <w:tc>
          <w:tcPr>
            <w:tcW w:w="1148" w:type="dxa"/>
            <w:vAlign w:val="center"/>
          </w:tcPr>
          <w:p>
            <w:pPr>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企业荣誉</w:t>
            </w:r>
          </w:p>
        </w:tc>
        <w:tc>
          <w:tcPr>
            <w:tcW w:w="6946" w:type="dxa"/>
            <w:vAlign w:val="center"/>
          </w:tcPr>
          <w:p>
            <w:pPr>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投标人自2020年1月1日以来（以奖项落款时间为准）</w:t>
            </w:r>
          </w:p>
          <w:p>
            <w:pPr>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获得过中国出版政府奖的，每个子项奖得</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rPr>
              <w:t>分；省级的每个</w:t>
            </w:r>
            <w:r>
              <w:rPr>
                <w:rFonts w:hint="eastAsia" w:cs="宋体" w:asciiTheme="minorEastAsia" w:hAnsiTheme="minorEastAsia" w:eastAsiaTheme="minorEastAsia"/>
                <w:color w:val="auto"/>
                <w:sz w:val="22"/>
                <w:szCs w:val="22"/>
                <w:highlight w:val="none"/>
                <w:lang w:val="en-US" w:eastAsia="zh-CN"/>
              </w:rPr>
              <w:t>出版</w:t>
            </w:r>
            <w:r>
              <w:rPr>
                <w:rFonts w:hint="eastAsia" w:cs="宋体" w:asciiTheme="minorEastAsia" w:hAnsiTheme="minorEastAsia" w:eastAsiaTheme="minorEastAsia"/>
                <w:color w:val="auto"/>
                <w:sz w:val="22"/>
                <w:szCs w:val="22"/>
                <w:highlight w:val="none"/>
              </w:rPr>
              <w:t>奖项得1分，国家级的每个</w:t>
            </w:r>
            <w:r>
              <w:rPr>
                <w:rFonts w:hint="eastAsia" w:cs="宋体" w:asciiTheme="minorEastAsia" w:hAnsiTheme="minorEastAsia" w:eastAsiaTheme="minorEastAsia"/>
                <w:color w:val="auto"/>
                <w:sz w:val="22"/>
                <w:szCs w:val="22"/>
                <w:highlight w:val="none"/>
                <w:lang w:val="en-US" w:eastAsia="zh-CN"/>
              </w:rPr>
              <w:t>出版</w:t>
            </w:r>
            <w:r>
              <w:rPr>
                <w:rFonts w:hint="eastAsia" w:cs="宋体" w:asciiTheme="minorEastAsia" w:hAnsiTheme="minorEastAsia" w:eastAsiaTheme="minorEastAsia"/>
                <w:color w:val="auto"/>
                <w:sz w:val="22"/>
                <w:szCs w:val="22"/>
                <w:highlight w:val="none"/>
              </w:rPr>
              <w:t>奖项得</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rPr>
              <w:t>分；本项最高得</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rPr>
              <w:t>分。</w:t>
            </w:r>
          </w:p>
          <w:p>
            <w:pPr>
              <w:pStyle w:val="9"/>
              <w:ind w:firstLine="0"/>
              <w:rPr>
                <w:rFonts w:asciiTheme="minorEastAsia" w:hAnsiTheme="minorEastAsia" w:eastAsiaTheme="minorEastAsia"/>
                <w:b/>
                <w:color w:val="auto"/>
                <w:sz w:val="22"/>
                <w:szCs w:val="22"/>
                <w:highlight w:val="none"/>
              </w:rPr>
            </w:pPr>
            <w:r>
              <w:rPr>
                <w:rFonts w:hint="eastAsia"/>
                <w:b/>
                <w:bCs/>
                <w:color w:val="auto"/>
                <w:highlight w:val="none"/>
                <w:lang w:eastAsia="zh-CN"/>
              </w:rPr>
              <w:t>行业协会、学会、商会等非政府部门（无法律、行政法规授权）颁发的证书不得分</w:t>
            </w:r>
            <w:r>
              <w:rPr>
                <w:rFonts w:hint="eastAsia"/>
                <w:color w:val="auto"/>
                <w:highlight w:val="none"/>
                <w:lang w:eastAsia="zh-CN"/>
              </w:rPr>
              <w:t>，</w:t>
            </w:r>
            <w:r>
              <w:rPr>
                <w:rFonts w:hint="eastAsia" w:asciiTheme="minorEastAsia" w:hAnsiTheme="minorEastAsia" w:eastAsiaTheme="minorEastAsia"/>
                <w:b/>
                <w:color w:val="auto"/>
                <w:sz w:val="22"/>
                <w:szCs w:val="22"/>
                <w:highlight w:val="none"/>
              </w:rPr>
              <w:t>提供证明材料（获奖文件或获奖证书或网上公示页为准），加盖投标人公章。</w:t>
            </w:r>
          </w:p>
        </w:tc>
        <w:tc>
          <w:tcPr>
            <w:tcW w:w="553" w:type="dxa"/>
            <w:vAlign w:val="center"/>
          </w:tcPr>
          <w:p>
            <w:pPr>
              <w:spacing w:line="22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3" w:type="dxa"/>
            <w:vMerge w:val="continue"/>
            <w:vAlign w:val="center"/>
          </w:tcPr>
          <w:p>
            <w:pPr>
              <w:adjustRightInd w:val="0"/>
              <w:snapToGrid w:val="0"/>
              <w:jc w:val="center"/>
              <w:rPr>
                <w:rFonts w:cs="Arial" w:asciiTheme="minorEastAsia" w:hAnsiTheme="minorEastAsia" w:eastAsiaTheme="minorEastAsia"/>
                <w:b/>
                <w:bCs/>
                <w:color w:val="auto"/>
                <w:sz w:val="22"/>
                <w:szCs w:val="22"/>
                <w:highlight w:val="none"/>
              </w:rPr>
            </w:pPr>
          </w:p>
        </w:tc>
        <w:tc>
          <w:tcPr>
            <w:tcW w:w="1148" w:type="dxa"/>
            <w:vMerge w:val="restart"/>
            <w:vAlign w:val="center"/>
          </w:tcPr>
          <w:p>
            <w:pPr>
              <w:snapToGrid w:val="0"/>
              <w:jc w:val="center"/>
              <w:rPr>
                <w:rFonts w:cs="宋体" w:asciiTheme="minorEastAsia" w:hAnsiTheme="minorEastAsia" w:eastAsiaTheme="minorEastAsia"/>
                <w:color w:val="auto"/>
                <w:sz w:val="22"/>
                <w:szCs w:val="22"/>
                <w:highlight w:val="none"/>
              </w:rPr>
            </w:pPr>
            <w:r>
              <w:rPr>
                <w:rStyle w:val="50"/>
                <w:rFonts w:hint="eastAsia" w:asciiTheme="minorEastAsia" w:hAnsiTheme="minorEastAsia" w:eastAsiaTheme="minorEastAsia"/>
                <w:color w:val="auto"/>
                <w:sz w:val="22"/>
                <w:szCs w:val="22"/>
                <w:highlight w:val="none"/>
              </w:rPr>
              <w:t>售后服务</w:t>
            </w:r>
          </w:p>
        </w:tc>
        <w:tc>
          <w:tcPr>
            <w:tcW w:w="6946" w:type="dxa"/>
            <w:vAlign w:val="center"/>
          </w:tcPr>
          <w:p>
            <w:pPr>
              <w:autoSpaceDE w:val="0"/>
              <w:autoSpaceDN w:val="0"/>
              <w:adjustRightInd w:val="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售后服务计划和技术保障措施：</w:t>
            </w:r>
          </w:p>
          <w:p>
            <w:pPr>
              <w:autoSpaceDE w:val="0"/>
              <w:autoSpaceDN w:val="0"/>
              <w:adjustRightInd w:val="0"/>
              <w:jc w:val="left"/>
              <w:rPr>
                <w:rStyle w:val="50"/>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根据招标需求提供售后服务计划和技术保障措施（包括但不限于售后服务内容、响应时间、承诺等），</w:t>
            </w:r>
            <w:r>
              <w:rPr>
                <w:rFonts w:hint="eastAsia" w:cs="仿宋_GB2312" w:asciiTheme="minorEastAsia" w:hAnsiTheme="minorEastAsia" w:eastAsiaTheme="minorEastAsia"/>
                <w:color w:val="auto"/>
                <w:sz w:val="22"/>
                <w:szCs w:val="22"/>
                <w:highlight w:val="none"/>
              </w:rPr>
              <w:t>内容具体、方案和措施明确高效具有针对性的得</w:t>
            </w:r>
            <w:r>
              <w:rPr>
                <w:rFonts w:hint="eastAsia" w:cs="仿宋_GB2312" w:asciiTheme="minorEastAsia" w:hAnsiTheme="minorEastAsia" w:eastAsiaTheme="minorEastAsia"/>
                <w:color w:val="auto"/>
                <w:sz w:val="22"/>
                <w:szCs w:val="22"/>
                <w:highlight w:val="none"/>
                <w:lang w:val="en-US" w:eastAsia="zh-CN"/>
              </w:rPr>
              <w:t>7</w:t>
            </w:r>
            <w:r>
              <w:rPr>
                <w:rFonts w:hint="eastAsia" w:cs="仿宋_GB2312" w:asciiTheme="minorEastAsia" w:hAnsiTheme="minorEastAsia" w:eastAsiaTheme="minorEastAsia"/>
                <w:color w:val="auto"/>
                <w:sz w:val="22"/>
                <w:szCs w:val="22"/>
                <w:highlight w:val="none"/>
              </w:rPr>
              <w:t>分；内容不够全面，不够科学合理的得</w:t>
            </w:r>
            <w:r>
              <w:rPr>
                <w:rFonts w:hint="eastAsia" w:cs="仿宋_GB2312" w:asciiTheme="minorEastAsia" w:hAnsiTheme="minorEastAsia" w:eastAsiaTheme="minorEastAsia"/>
                <w:color w:val="auto"/>
                <w:sz w:val="22"/>
                <w:szCs w:val="22"/>
                <w:highlight w:val="none"/>
                <w:lang w:val="en-US" w:eastAsia="zh-CN"/>
              </w:rPr>
              <w:t>5</w:t>
            </w:r>
            <w:r>
              <w:rPr>
                <w:rFonts w:hint="eastAsia" w:cs="仿宋_GB2312" w:asciiTheme="minorEastAsia" w:hAnsiTheme="minorEastAsia" w:eastAsiaTheme="minorEastAsia"/>
                <w:color w:val="auto"/>
                <w:sz w:val="22"/>
                <w:szCs w:val="22"/>
                <w:highlight w:val="none"/>
              </w:rPr>
              <w:t>分；内容片面，</w:t>
            </w:r>
            <w:r>
              <w:rPr>
                <w:rFonts w:hint="eastAsia" w:cs="宋体" w:asciiTheme="minorEastAsia" w:hAnsiTheme="minorEastAsia" w:eastAsiaTheme="minorEastAsia"/>
                <w:color w:val="auto"/>
                <w:sz w:val="22"/>
                <w:szCs w:val="22"/>
                <w:highlight w:val="none"/>
              </w:rPr>
              <w:t>针对性或</w:t>
            </w:r>
            <w:r>
              <w:rPr>
                <w:rFonts w:hint="eastAsia" w:cs="仿宋_GB2312" w:asciiTheme="minorEastAsia" w:hAnsiTheme="minorEastAsia" w:eastAsiaTheme="minorEastAsia"/>
                <w:color w:val="auto"/>
                <w:sz w:val="22"/>
                <w:szCs w:val="22"/>
                <w:highlight w:val="none"/>
              </w:rPr>
              <w:t>可实施性差的得</w:t>
            </w:r>
            <w:r>
              <w:rPr>
                <w:rFonts w:hint="eastAsia" w:cs="仿宋_GB2312" w:asciiTheme="minorEastAsia" w:hAnsiTheme="minorEastAsia" w:eastAsiaTheme="minorEastAsia"/>
                <w:color w:val="auto"/>
                <w:sz w:val="22"/>
                <w:szCs w:val="22"/>
                <w:highlight w:val="none"/>
                <w:lang w:val="en-US" w:eastAsia="zh-CN"/>
              </w:rPr>
              <w:t>3</w:t>
            </w:r>
            <w:r>
              <w:rPr>
                <w:rFonts w:hint="eastAsia" w:cs="仿宋_GB2312" w:asciiTheme="minorEastAsia" w:hAnsiTheme="minorEastAsia" w:eastAsiaTheme="minorEastAsia"/>
                <w:color w:val="auto"/>
                <w:sz w:val="22"/>
                <w:szCs w:val="22"/>
                <w:highlight w:val="none"/>
              </w:rPr>
              <w:t>分</w:t>
            </w:r>
            <w:r>
              <w:rPr>
                <w:rFonts w:hint="eastAsia" w:cs="仿宋_GB2312"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方案有提供，略有提及的得</w:t>
            </w:r>
            <w:r>
              <w:rPr>
                <w:rFonts w:hint="eastAsia" w:cs="宋体" w:asciiTheme="minorEastAsia" w:hAnsiTheme="minorEastAsia" w:eastAsiaTheme="minorEastAsia"/>
                <w:color w:val="auto"/>
                <w:sz w:val="22"/>
                <w:szCs w:val="22"/>
                <w:highlight w:val="none"/>
                <w:lang w:val="en-US" w:eastAsia="zh-CN"/>
              </w:rPr>
              <w:t>1分；未提供不得分</w:t>
            </w:r>
            <w:r>
              <w:rPr>
                <w:rFonts w:hint="eastAsia" w:cs="仿宋_GB2312" w:asciiTheme="minorEastAsia" w:hAnsiTheme="minorEastAsia" w:eastAsiaTheme="minorEastAsia"/>
                <w:color w:val="auto"/>
                <w:sz w:val="22"/>
                <w:szCs w:val="22"/>
                <w:highlight w:val="none"/>
              </w:rPr>
              <w:t>。</w:t>
            </w:r>
          </w:p>
        </w:tc>
        <w:tc>
          <w:tcPr>
            <w:tcW w:w="553" w:type="dxa"/>
            <w:vAlign w:val="center"/>
          </w:tcPr>
          <w:p>
            <w:pPr>
              <w:spacing w:line="22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3" w:type="dxa"/>
            <w:vMerge w:val="continue"/>
            <w:vAlign w:val="center"/>
          </w:tcPr>
          <w:p>
            <w:pPr>
              <w:adjustRightInd w:val="0"/>
              <w:snapToGrid w:val="0"/>
              <w:jc w:val="center"/>
              <w:rPr>
                <w:rFonts w:cs="Arial" w:asciiTheme="minorEastAsia" w:hAnsiTheme="minorEastAsia" w:eastAsiaTheme="minorEastAsia"/>
                <w:b/>
                <w:bCs/>
                <w:color w:val="auto"/>
                <w:sz w:val="22"/>
                <w:szCs w:val="22"/>
                <w:highlight w:val="none"/>
              </w:rPr>
            </w:pPr>
          </w:p>
        </w:tc>
        <w:tc>
          <w:tcPr>
            <w:tcW w:w="1148" w:type="dxa"/>
            <w:vMerge w:val="continue"/>
            <w:vAlign w:val="center"/>
          </w:tcPr>
          <w:p>
            <w:pPr>
              <w:snapToGrid w:val="0"/>
              <w:jc w:val="center"/>
              <w:rPr>
                <w:rStyle w:val="50"/>
                <w:rFonts w:asciiTheme="minorEastAsia" w:hAnsiTheme="minorEastAsia" w:eastAsiaTheme="minorEastAsia"/>
                <w:color w:val="auto"/>
                <w:sz w:val="22"/>
                <w:szCs w:val="22"/>
                <w:highlight w:val="none"/>
              </w:rPr>
            </w:pPr>
          </w:p>
        </w:tc>
        <w:tc>
          <w:tcPr>
            <w:tcW w:w="6946" w:type="dxa"/>
            <w:vAlign w:val="center"/>
          </w:tcPr>
          <w:p>
            <w:pPr>
              <w:autoSpaceDE w:val="0"/>
              <w:autoSpaceDN w:val="0"/>
              <w:adjustRightInd w:val="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图书退换处理方案：</w:t>
            </w:r>
          </w:p>
          <w:p>
            <w:pPr>
              <w:autoSpaceDE w:val="0"/>
              <w:autoSpaceDN w:val="0"/>
              <w:adjustRightInd w:val="0"/>
              <w:jc w:val="left"/>
              <w:rPr>
                <w:rStyle w:val="50"/>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根据项目需求提供图书退换处理方案，包括图书质量问题、与预订不符等原因退单的处理态度及处理速度反应等打分，退换方案合理可行、有完备解决方案的得7分；</w:t>
            </w:r>
            <w:r>
              <w:rPr>
                <w:rFonts w:hint="eastAsia" w:cs="宋体" w:asciiTheme="minorEastAsia" w:hAnsiTheme="minorEastAsia" w:eastAsiaTheme="minorEastAsia"/>
                <w:bCs/>
                <w:color w:val="auto"/>
                <w:sz w:val="22"/>
                <w:szCs w:val="22"/>
                <w:highlight w:val="none"/>
              </w:rPr>
              <w:t>方案考虑不周全，欠缺及时性的得</w:t>
            </w:r>
            <w:r>
              <w:rPr>
                <w:rFonts w:hint="eastAsia" w:cs="宋体" w:asciiTheme="minorEastAsia" w:hAnsiTheme="minorEastAsia" w:eastAsiaTheme="minorEastAsia"/>
                <w:bCs/>
                <w:color w:val="auto"/>
                <w:sz w:val="22"/>
                <w:szCs w:val="22"/>
                <w:highlight w:val="none"/>
                <w:lang w:val="en-US" w:eastAsia="zh-CN"/>
              </w:rPr>
              <w:t>5</w:t>
            </w:r>
            <w:r>
              <w:rPr>
                <w:rFonts w:hint="eastAsia" w:cs="宋体" w:asciiTheme="minorEastAsia" w:hAnsiTheme="minorEastAsia" w:eastAsiaTheme="minorEastAsia"/>
                <w:bCs/>
                <w:color w:val="auto"/>
                <w:sz w:val="22"/>
                <w:szCs w:val="22"/>
                <w:highlight w:val="none"/>
              </w:rPr>
              <w:t>分；方案描述片面，存在明显漏洞、难以防范风险的得</w:t>
            </w:r>
            <w:r>
              <w:rPr>
                <w:rFonts w:hint="eastAsia" w:cs="宋体" w:asciiTheme="minorEastAsia" w:hAnsiTheme="minorEastAsia" w:eastAsiaTheme="minorEastAsia"/>
                <w:bCs/>
                <w:color w:val="auto"/>
                <w:sz w:val="22"/>
                <w:szCs w:val="22"/>
                <w:highlight w:val="none"/>
                <w:lang w:val="en-US" w:eastAsia="zh-CN"/>
              </w:rPr>
              <w:t>3</w:t>
            </w:r>
            <w:r>
              <w:rPr>
                <w:rFonts w:hint="eastAsia" w:cs="宋体" w:asciiTheme="minorEastAsia" w:hAnsiTheme="minorEastAsia" w:eastAsiaTheme="minorEastAsia"/>
                <w:bCs/>
                <w:color w:val="auto"/>
                <w:sz w:val="22"/>
                <w:szCs w:val="22"/>
                <w:highlight w:val="none"/>
              </w:rPr>
              <w:t>分</w:t>
            </w:r>
            <w:r>
              <w:rPr>
                <w:rFonts w:hint="eastAsia" w:cs="宋体" w:asciiTheme="minorEastAsia" w:hAnsiTheme="minorEastAsia" w:eastAsiaTheme="minorEastAsia"/>
                <w:bCs/>
                <w:color w:val="auto"/>
                <w:sz w:val="22"/>
                <w:szCs w:val="22"/>
                <w:highlight w:val="none"/>
                <w:lang w:eastAsia="zh-CN"/>
              </w:rPr>
              <w:t>；方案</w:t>
            </w:r>
            <w:r>
              <w:rPr>
                <w:rFonts w:hint="eastAsia" w:cs="宋体" w:asciiTheme="minorEastAsia" w:hAnsiTheme="minorEastAsia" w:eastAsiaTheme="minorEastAsia"/>
                <w:color w:val="auto"/>
                <w:sz w:val="22"/>
                <w:szCs w:val="22"/>
                <w:highlight w:val="none"/>
                <w:lang w:eastAsia="zh-CN"/>
              </w:rPr>
              <w:t>有提供，略有提及的得</w:t>
            </w:r>
            <w:r>
              <w:rPr>
                <w:rFonts w:hint="eastAsia" w:cs="宋体" w:asciiTheme="minorEastAsia" w:hAnsiTheme="minorEastAsia" w:eastAsiaTheme="minorEastAsia"/>
                <w:color w:val="auto"/>
                <w:sz w:val="22"/>
                <w:szCs w:val="22"/>
                <w:highlight w:val="none"/>
                <w:lang w:val="en-US" w:eastAsia="zh-CN"/>
              </w:rPr>
              <w:t>1分；未提供不得分</w:t>
            </w:r>
            <w:r>
              <w:rPr>
                <w:rFonts w:hint="eastAsia" w:cs="宋体" w:asciiTheme="minorEastAsia" w:hAnsiTheme="minorEastAsia" w:eastAsiaTheme="minorEastAsia"/>
                <w:bCs/>
                <w:color w:val="auto"/>
                <w:sz w:val="22"/>
                <w:szCs w:val="22"/>
                <w:highlight w:val="none"/>
              </w:rPr>
              <w:t>。</w:t>
            </w:r>
          </w:p>
        </w:tc>
        <w:tc>
          <w:tcPr>
            <w:tcW w:w="553" w:type="dxa"/>
            <w:vAlign w:val="center"/>
          </w:tcPr>
          <w:p>
            <w:pPr>
              <w:spacing w:line="22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3" w:type="dxa"/>
            <w:vMerge w:val="continue"/>
            <w:vAlign w:val="center"/>
          </w:tcPr>
          <w:p>
            <w:pPr>
              <w:adjustRightInd w:val="0"/>
              <w:snapToGrid w:val="0"/>
              <w:jc w:val="center"/>
              <w:rPr>
                <w:rFonts w:cs="Arial" w:asciiTheme="minorEastAsia" w:hAnsiTheme="minorEastAsia" w:eastAsiaTheme="minorEastAsia"/>
                <w:b/>
                <w:bCs/>
                <w:color w:val="auto"/>
                <w:sz w:val="22"/>
                <w:szCs w:val="22"/>
                <w:highlight w:val="none"/>
              </w:rPr>
            </w:pPr>
          </w:p>
        </w:tc>
        <w:tc>
          <w:tcPr>
            <w:tcW w:w="1148" w:type="dxa"/>
            <w:vAlign w:val="center"/>
          </w:tcPr>
          <w:p>
            <w:pPr>
              <w:jc w:val="center"/>
              <w:rPr>
                <w:rFonts w:asciiTheme="minorEastAsia" w:hAnsiTheme="minorEastAsia" w:eastAsiaTheme="minorEastAsia"/>
                <w:color w:val="auto"/>
                <w:sz w:val="22"/>
                <w:szCs w:val="22"/>
                <w:highlight w:val="none"/>
              </w:rPr>
            </w:pPr>
            <w:r>
              <w:rPr>
                <w:rFonts w:asciiTheme="minorEastAsia" w:hAnsiTheme="minorEastAsia" w:eastAsiaTheme="minorEastAsia"/>
                <w:color w:val="auto"/>
                <w:sz w:val="22"/>
                <w:szCs w:val="22"/>
                <w:highlight w:val="none"/>
              </w:rPr>
              <w:t>验收方案</w:t>
            </w:r>
          </w:p>
        </w:tc>
        <w:tc>
          <w:tcPr>
            <w:tcW w:w="6946" w:type="dxa"/>
            <w:vAlign w:val="center"/>
          </w:tcPr>
          <w:p>
            <w:pPr>
              <w:autoSpaceDE w:val="0"/>
              <w:autoSpaceDN w:val="0"/>
              <w:adjustRightInd w:val="0"/>
              <w:jc w:val="left"/>
              <w:rPr>
                <w:rFonts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rPr>
              <w:t>根据投标人针对本项目提供的项目验收方案、相关资料提供的完整程度进行评分。验收方案措施合理科学的得</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rPr>
              <w:t>分</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验收方案措施欠规范，操作性不强的得</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rPr>
              <w:t>分</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验收方案措施不规范，不具备操作性的得</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rPr>
              <w:t>分</w:t>
            </w:r>
            <w:r>
              <w:rPr>
                <w:rFonts w:hint="eastAsia" w:cs="宋体" w:asciiTheme="minorEastAsia" w:hAnsiTheme="minorEastAsia" w:eastAsiaTheme="minorEastAsia"/>
                <w:color w:val="auto"/>
                <w:sz w:val="22"/>
                <w:szCs w:val="22"/>
                <w:highlight w:val="none"/>
                <w:lang w:eastAsia="zh-CN"/>
              </w:rPr>
              <w:t>；未提供不得分</w:t>
            </w:r>
            <w:r>
              <w:rPr>
                <w:rFonts w:hint="eastAsia" w:cs="宋体" w:asciiTheme="minorEastAsia" w:hAnsiTheme="minorEastAsia" w:eastAsiaTheme="minorEastAsia"/>
                <w:color w:val="auto"/>
                <w:sz w:val="22"/>
                <w:szCs w:val="22"/>
                <w:highlight w:val="none"/>
              </w:rPr>
              <w:t>。</w:t>
            </w:r>
          </w:p>
        </w:tc>
        <w:tc>
          <w:tcPr>
            <w:tcW w:w="553" w:type="dxa"/>
            <w:vAlign w:val="center"/>
          </w:tcPr>
          <w:p>
            <w:pPr>
              <w:pStyle w:val="10"/>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83" w:type="dxa"/>
            <w:vMerge w:val="continue"/>
            <w:vAlign w:val="center"/>
          </w:tcPr>
          <w:p>
            <w:pPr>
              <w:adjustRightInd w:val="0"/>
              <w:snapToGrid w:val="0"/>
              <w:jc w:val="center"/>
              <w:rPr>
                <w:rFonts w:cs="Arial" w:asciiTheme="minorEastAsia" w:hAnsiTheme="minorEastAsia" w:eastAsiaTheme="minorEastAsia"/>
                <w:b/>
                <w:bCs/>
                <w:color w:val="auto"/>
                <w:sz w:val="22"/>
                <w:szCs w:val="22"/>
                <w:highlight w:val="none"/>
              </w:rPr>
            </w:pPr>
          </w:p>
        </w:tc>
        <w:tc>
          <w:tcPr>
            <w:tcW w:w="1148" w:type="dxa"/>
            <w:vAlign w:val="center"/>
          </w:tcPr>
          <w:p>
            <w:pPr>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合理化建议</w:t>
            </w:r>
          </w:p>
        </w:tc>
        <w:tc>
          <w:tcPr>
            <w:tcW w:w="6946" w:type="dxa"/>
            <w:vAlign w:val="center"/>
          </w:tcPr>
          <w:p>
            <w:pPr>
              <w:autoSpaceDE w:val="0"/>
              <w:autoSpaceDN w:val="0"/>
              <w:adjustRightInd w:val="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根据投标人提供的针对本项目的理解，结合自身专业优势，提出的合理化建议，根据其提出的建议的可行性、有效性等方面进行打分：提出的建议合理、有效、针对性强的，得</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rPr>
              <w:t>分；提出的建议比较简单，合理性、针对性不强的，得</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rPr>
              <w:t>分；提出的建议不合理、不具备可行性的得</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rPr>
              <w:t>分</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未提供不得分</w:t>
            </w:r>
            <w:r>
              <w:rPr>
                <w:rFonts w:hint="eastAsia" w:cs="宋体" w:asciiTheme="minorEastAsia" w:hAnsiTheme="minorEastAsia" w:eastAsiaTheme="minorEastAsia"/>
                <w:color w:val="auto"/>
                <w:sz w:val="22"/>
                <w:szCs w:val="22"/>
                <w:highlight w:val="none"/>
              </w:rPr>
              <w:t>。</w:t>
            </w:r>
          </w:p>
        </w:tc>
        <w:tc>
          <w:tcPr>
            <w:tcW w:w="553" w:type="dxa"/>
            <w:vAlign w:val="center"/>
          </w:tcPr>
          <w:p>
            <w:pPr>
              <w:pStyle w:val="10"/>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31" w:type="dxa"/>
            <w:gridSpan w:val="2"/>
            <w:vAlign w:val="center"/>
          </w:tcPr>
          <w:p>
            <w:pPr>
              <w:snapToGrid w:val="0"/>
              <w:jc w:val="center"/>
              <w:rPr>
                <w:rFonts w:asciiTheme="minorEastAsia" w:hAnsiTheme="minorEastAsia" w:eastAsiaTheme="minorEastAsia"/>
                <w:color w:val="auto"/>
                <w:sz w:val="22"/>
                <w:szCs w:val="22"/>
                <w:highlight w:val="none"/>
              </w:rPr>
            </w:pPr>
            <w:r>
              <w:rPr>
                <w:rFonts w:hint="eastAsia" w:cs="Arial" w:asciiTheme="minorEastAsia" w:hAnsiTheme="minorEastAsia" w:eastAsiaTheme="minorEastAsia"/>
                <w:color w:val="auto"/>
                <w:sz w:val="22"/>
                <w:szCs w:val="22"/>
                <w:highlight w:val="none"/>
              </w:rPr>
              <w:t>报价得分</w:t>
            </w:r>
            <w:r>
              <w:rPr>
                <w:rFonts w:hint="eastAsia" w:cs="宋体" w:asciiTheme="minorEastAsia" w:hAnsiTheme="minorEastAsia" w:eastAsiaTheme="minorEastAsia"/>
                <w:b/>
                <w:color w:val="auto"/>
                <w:sz w:val="22"/>
                <w:szCs w:val="22"/>
                <w:highlight w:val="none"/>
                <w:lang w:val="en-US" w:eastAsia="zh-CN"/>
              </w:rPr>
              <w:t>20</w:t>
            </w:r>
            <w:r>
              <w:rPr>
                <w:rFonts w:hint="eastAsia" w:cs="宋体" w:asciiTheme="minorEastAsia" w:hAnsiTheme="minorEastAsia" w:eastAsiaTheme="minorEastAsia"/>
                <w:b/>
                <w:color w:val="auto"/>
                <w:sz w:val="22"/>
                <w:szCs w:val="22"/>
                <w:highlight w:val="none"/>
              </w:rPr>
              <w:t>分</w:t>
            </w:r>
          </w:p>
        </w:tc>
        <w:tc>
          <w:tcPr>
            <w:tcW w:w="6946" w:type="dxa"/>
            <w:vAlign w:val="center"/>
          </w:tcPr>
          <w:p>
            <w:pPr>
              <w:autoSpaceDE w:val="0"/>
              <w:autoSpaceDN w:val="0"/>
              <w:adjustRightInd w:val="0"/>
              <w:jc w:val="left"/>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rPr>
              <w:t>以合格投标人有效投标总价中的最低价为基准价，基准价为</w:t>
            </w:r>
            <w:r>
              <w:rPr>
                <w:rFonts w:hint="eastAsia" w:cs="宋体" w:asciiTheme="minorEastAsia" w:hAnsiTheme="minorEastAsia" w:eastAsiaTheme="minorEastAsia"/>
                <w:color w:val="auto"/>
                <w:sz w:val="22"/>
                <w:szCs w:val="22"/>
                <w:highlight w:val="none"/>
                <w:lang w:val="en-US" w:eastAsia="zh-CN"/>
              </w:rPr>
              <w:t>20</w:t>
            </w:r>
            <w:r>
              <w:rPr>
                <w:rFonts w:hint="eastAsia" w:cs="宋体" w:asciiTheme="minorEastAsia" w:hAnsiTheme="minorEastAsia" w:eastAsiaTheme="minorEastAsia"/>
                <w:color w:val="auto"/>
                <w:sz w:val="22"/>
                <w:szCs w:val="22"/>
                <w:highlight w:val="none"/>
              </w:rPr>
              <w:t>分。投标报价得分＝（评标基准价/最终投标报价）×</w:t>
            </w:r>
            <w:r>
              <w:rPr>
                <w:rFonts w:hint="eastAsia" w:cs="宋体" w:asciiTheme="minorEastAsia" w:hAnsiTheme="minorEastAsia" w:eastAsiaTheme="minorEastAsia"/>
                <w:color w:val="auto"/>
                <w:kern w:val="0"/>
                <w:sz w:val="22"/>
                <w:szCs w:val="22"/>
                <w:highlight w:val="none"/>
                <w:lang w:val="en-US" w:eastAsia="zh-CN"/>
              </w:rPr>
              <w:t>20</w:t>
            </w:r>
            <w:r>
              <w:rPr>
                <w:rFonts w:hint="eastAsia" w:cs="宋体" w:asciiTheme="minorEastAsia" w:hAnsiTheme="minorEastAsia" w:eastAsiaTheme="minorEastAsia"/>
                <w:color w:val="auto"/>
                <w:kern w:val="0"/>
                <w:sz w:val="22"/>
                <w:szCs w:val="22"/>
                <w:highlight w:val="none"/>
              </w:rPr>
              <w:t>%</w:t>
            </w:r>
            <w:r>
              <w:rPr>
                <w:rFonts w:hint="eastAsia" w:cs="宋体" w:asciiTheme="minorEastAsia" w:hAnsiTheme="minorEastAsia" w:eastAsiaTheme="minorEastAsia"/>
                <w:color w:val="auto"/>
                <w:sz w:val="22"/>
                <w:szCs w:val="22"/>
                <w:highlight w:val="none"/>
              </w:rPr>
              <w:t>×</w:t>
            </w:r>
            <w:r>
              <w:rPr>
                <w:rFonts w:hint="eastAsia" w:cs="宋体" w:asciiTheme="minorEastAsia" w:hAnsiTheme="minorEastAsia" w:eastAsiaTheme="minorEastAsia"/>
                <w:color w:val="auto"/>
                <w:kern w:val="0"/>
                <w:sz w:val="22"/>
                <w:szCs w:val="22"/>
                <w:highlight w:val="none"/>
              </w:rPr>
              <w:t>100</w:t>
            </w:r>
            <w:r>
              <w:rPr>
                <w:rFonts w:hint="eastAsia" w:asciiTheme="minorEastAsia" w:hAnsiTheme="minorEastAsia" w:eastAsiaTheme="minorEastAsia" w:cstheme="minorEastAsia"/>
                <w:color w:val="auto"/>
                <w:sz w:val="22"/>
                <w:szCs w:val="22"/>
                <w:highlight w:val="none"/>
              </w:rPr>
              <w:t>（小数点后保留2位小数）。</w:t>
            </w:r>
          </w:p>
        </w:tc>
        <w:tc>
          <w:tcPr>
            <w:tcW w:w="553" w:type="dxa"/>
            <w:vAlign w:val="center"/>
          </w:tcPr>
          <w:p>
            <w:pPr>
              <w:spacing w:line="220" w:lineRule="exact"/>
              <w:jc w:val="center"/>
              <w:rPr>
                <w:rFonts w:hint="default"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20</w:t>
            </w:r>
          </w:p>
        </w:tc>
      </w:tr>
    </w:tbl>
    <w:p>
      <w:pPr>
        <w:pStyle w:val="9"/>
        <w:ind w:firstLine="0"/>
        <w:rPr>
          <w:b/>
          <w:color w:val="auto"/>
          <w:sz w:val="22"/>
          <w:highlight w:val="none"/>
          <w:u w:val="single"/>
        </w:rPr>
      </w:pPr>
      <w:r>
        <w:rPr>
          <w:rFonts w:hint="eastAsia" w:ascii="宋体" w:hAnsi="宋体" w:cs="宋体"/>
          <w:b/>
          <w:color w:val="auto"/>
          <w:sz w:val="24"/>
          <w:highlight w:val="none"/>
        </w:rPr>
        <w:t>注：</w:t>
      </w:r>
      <w:r>
        <w:rPr>
          <w:rFonts w:hint="eastAsia"/>
          <w:b/>
          <w:color w:val="auto"/>
          <w:sz w:val="22"/>
          <w:highlight w:val="none"/>
          <w:u w:val="single"/>
        </w:rPr>
        <w:t>合同、证书、报告及其他相关证明材料，将原件扫描上传至响应文件，并加盖电子印章；未提供、提供不全或模糊不清均不得分。</w:t>
      </w:r>
    </w:p>
    <w:p>
      <w:pPr>
        <w:pStyle w:val="14"/>
        <w:snapToGrid w:val="0"/>
        <w:spacing w:line="312" w:lineRule="auto"/>
        <w:ind w:firstLine="482" w:firstLineChars="200"/>
        <w:rPr>
          <w:rFonts w:hAnsi="宋体"/>
          <w:b/>
          <w:color w:val="auto"/>
          <w:sz w:val="24"/>
          <w:highlight w:val="none"/>
        </w:rPr>
      </w:pPr>
      <w:r>
        <w:rPr>
          <w:rFonts w:hint="eastAsia" w:hAnsi="宋体"/>
          <w:b/>
          <w:color w:val="auto"/>
          <w:sz w:val="24"/>
          <w:highlight w:val="none"/>
        </w:rPr>
        <w:t>2.评审要求</w:t>
      </w:r>
    </w:p>
    <w:p>
      <w:pPr>
        <w:pStyle w:val="14"/>
        <w:snapToGrid w:val="0"/>
        <w:spacing w:line="312" w:lineRule="auto"/>
        <w:ind w:firstLine="480" w:firstLineChars="200"/>
        <w:rPr>
          <w:rFonts w:hAnsi="宋体"/>
          <w:b/>
          <w:color w:val="auto"/>
          <w:sz w:val="24"/>
          <w:highlight w:val="none"/>
        </w:rPr>
      </w:pPr>
      <w:r>
        <w:rPr>
          <w:rFonts w:hint="eastAsia" w:hAnsi="宋体"/>
          <w:color w:val="auto"/>
          <w:sz w:val="24"/>
          <w:highlight w:val="none"/>
        </w:rPr>
        <w:t>（1）评标委员会应当按照招标文件中规定的评标方法和标准，对符合性审查合格的投标文件的商务部分和技术部分进行综合比较与评价，其中</w:t>
      </w:r>
      <w:r>
        <w:rPr>
          <w:rFonts w:hint="eastAsia" w:hAnsi="宋体"/>
          <w:bCs/>
          <w:color w:val="auto"/>
          <w:sz w:val="24"/>
          <w:highlight w:val="none"/>
          <w:lang w:val="zh-CN"/>
        </w:rPr>
        <w:t>客观</w:t>
      </w:r>
      <w:r>
        <w:rPr>
          <w:rFonts w:hint="eastAsia" w:hAnsi="宋体"/>
          <w:bCs/>
          <w:color w:val="auto"/>
          <w:sz w:val="24"/>
          <w:highlight w:val="none"/>
        </w:rPr>
        <w:t>评分项的分值</w:t>
      </w:r>
      <w:r>
        <w:rPr>
          <w:rFonts w:hint="eastAsia" w:hAnsi="宋体"/>
          <w:bCs/>
          <w:color w:val="auto"/>
          <w:sz w:val="24"/>
          <w:highlight w:val="none"/>
          <w:lang w:val="zh-CN"/>
        </w:rPr>
        <w:t>应当一致。</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同时出现两种以上不一致的，按照前款规定的顺序修正。修正应当采用电子询标的形式，并加盖公章（电子印章）。</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（4）投标人的澄清、说明或者补正采用书面形式，并加盖公章（电子印章）或者由法定代表人或授权代表签字，且不得超出投标文件的范围或者改变投标文件的实质性内容。</w:t>
      </w:r>
    </w:p>
    <w:p>
      <w:pPr>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（四）结果汇总及排序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评标委员会各成员应当独立对每个投标人的投标文件进行评价，并汇总每个投标人的得分。评标结果按评审后综合得分由高到低顺序排列。</w:t>
      </w:r>
      <w:r>
        <w:rPr>
          <w:rFonts w:hint="eastAsia" w:ascii="宋体" w:hAnsi="宋体" w:cs="宋体"/>
          <w:color w:val="auto"/>
          <w:sz w:val="24"/>
          <w:highlight w:val="none"/>
          <w:lang w:val="zh-CN"/>
        </w:rPr>
        <w:t>如综合得分相同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如综合得分且投标报价相同的</w:t>
      </w:r>
      <w:r>
        <w:rPr>
          <w:rFonts w:hint="eastAsia" w:ascii="宋体" w:hAnsi="宋体" w:cs="宋体"/>
          <w:color w:val="auto"/>
          <w:sz w:val="24"/>
          <w:highlight w:val="none"/>
        </w:rPr>
        <w:t>，投标文件满足招标文件全部实质性要求，货</w:t>
      </w:r>
      <w:r>
        <w:rPr>
          <w:rFonts w:hint="eastAsia" w:ascii="宋体" w:hAnsi="宋体" w:cs="宋体"/>
          <w:color w:val="auto"/>
          <w:sz w:val="24"/>
          <w:highlight w:val="none"/>
          <w:lang w:val="zh-CN"/>
        </w:rPr>
        <w:t>物类采购项目以技术性能得分较高者为先，服务类采购项目以实力信誉</w:t>
      </w:r>
      <w:r>
        <w:rPr>
          <w:rFonts w:hint="eastAsia" w:ascii="宋体" w:hAnsi="宋体" w:cs="宋体"/>
          <w:color w:val="auto"/>
          <w:sz w:val="24"/>
          <w:szCs w:val="24"/>
          <w:highlight w:val="none"/>
          <w:lang w:val="zh-CN"/>
        </w:rPr>
        <w:t>（</w:t>
      </w:r>
      <w:r>
        <w:rPr>
          <w:rFonts w:hint="eastAsia" w:cs="宋体" w:asciiTheme="minorEastAsia" w:hAnsiTheme="minorEastAsia" w:eastAsiaTheme="minorEastAsia"/>
          <w:color w:val="auto"/>
          <w:sz w:val="24"/>
          <w:szCs w:val="24"/>
          <w:highlight w:val="none"/>
        </w:rPr>
        <w:t>企业荣誉</w:t>
      </w:r>
      <w:r>
        <w:rPr>
          <w:rFonts w:hint="eastAsia" w:cs="宋体" w:asciiTheme="minorEastAsia" w:hAnsiTheme="minorEastAsia" w:eastAsiaTheme="minorEastAsia"/>
          <w:color w:val="auto"/>
          <w:sz w:val="24"/>
          <w:szCs w:val="24"/>
          <w:highlight w:val="none"/>
          <w:lang w:eastAsia="zh-CN"/>
        </w:rPr>
        <w:t>、</w:t>
      </w:r>
      <w:r>
        <w:rPr>
          <w:rStyle w:val="50"/>
          <w:rFonts w:hint="eastAsia" w:asciiTheme="minorEastAsia" w:hAnsiTheme="minorEastAsia" w:eastAsiaTheme="minorEastAsia"/>
          <w:color w:val="auto"/>
          <w:sz w:val="24"/>
          <w:szCs w:val="24"/>
          <w:highlight w:val="none"/>
        </w:rPr>
        <w:t>人员配置情况</w:t>
      </w:r>
      <w:r>
        <w:rPr>
          <w:rFonts w:hint="eastAsia" w:ascii="宋体" w:hAnsi="宋体" w:cs="宋体"/>
          <w:color w:val="auto"/>
          <w:sz w:val="24"/>
          <w:szCs w:val="24"/>
          <w:highlight w:val="none"/>
          <w:lang w:val="zh-CN"/>
        </w:rPr>
        <w:t>）</w:t>
      </w:r>
      <w:r>
        <w:rPr>
          <w:rFonts w:hint="eastAsia" w:ascii="宋体" w:hAnsi="宋体" w:cs="宋体"/>
          <w:color w:val="auto"/>
          <w:sz w:val="24"/>
          <w:highlight w:val="none"/>
          <w:lang w:val="zh-CN"/>
        </w:rPr>
        <w:t>及业绩得分较高者为先。</w:t>
      </w:r>
      <w:r>
        <w:rPr>
          <w:rFonts w:hint="eastAsia" w:ascii="宋体" w:hAnsi="宋体" w:cs="宋体"/>
          <w:color w:val="auto"/>
          <w:sz w:val="24"/>
          <w:highlight w:val="none"/>
        </w:rPr>
        <w:t>如果均相同，则抽签决定。</w:t>
      </w:r>
    </w:p>
    <w:p>
      <w:pPr>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pPr>
        <w:pStyle w:val="9"/>
        <w:rPr>
          <w:color w:val="auto"/>
          <w:highlight w:val="none"/>
        </w:rPr>
      </w:pPr>
      <w:r>
        <w:rPr>
          <w:rFonts w:hint="eastAsia"/>
          <w:color w:val="auto"/>
          <w:highlight w:val="none"/>
        </w:rPr>
        <w:br w:type="page"/>
      </w:r>
    </w:p>
    <w:p>
      <w:pPr>
        <w:spacing w:line="360" w:lineRule="auto"/>
        <w:jc w:val="center"/>
        <w:rPr>
          <w:rFonts w:ascii="宋体" w:hAnsi="宋体" w:cs="宋体"/>
          <w:b/>
          <w:color w:val="auto"/>
          <w:sz w:val="36"/>
          <w:szCs w:val="36"/>
          <w:highlight w:val="none"/>
        </w:rPr>
      </w:pPr>
      <w:bookmarkStart w:id="34" w:name="_Toc27944_WPSOffice_Level1"/>
      <w:r>
        <w:rPr>
          <w:rFonts w:hint="eastAsia" w:ascii="宋体" w:hAnsi="宋体" w:cs="宋体"/>
          <w:b/>
          <w:color w:val="auto"/>
          <w:sz w:val="36"/>
          <w:szCs w:val="36"/>
          <w:highlight w:val="none"/>
        </w:rPr>
        <w:t xml:space="preserve">第五章 </w:t>
      </w:r>
      <w:bookmarkEnd w:id="34"/>
      <w:r>
        <w:rPr>
          <w:rFonts w:hint="eastAsia" w:ascii="宋体" w:hAnsi="宋体" w:cs="宋体"/>
          <w:b/>
          <w:color w:val="auto"/>
          <w:sz w:val="36"/>
          <w:szCs w:val="36"/>
          <w:highlight w:val="none"/>
        </w:rPr>
        <w:t>拟签订的合同文本</w:t>
      </w:r>
    </w:p>
    <w:p>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pPr>
        <w:pStyle w:val="14"/>
        <w:snapToGrid w:val="0"/>
        <w:spacing w:line="360" w:lineRule="auto"/>
        <w:rPr>
          <w:rFonts w:hAnsi="宋体"/>
          <w:color w:val="auto"/>
          <w:sz w:val="24"/>
          <w:highlight w:val="none"/>
        </w:rPr>
      </w:pPr>
      <w:r>
        <w:rPr>
          <w:rFonts w:hAnsi="宋体"/>
          <w:color w:val="auto"/>
          <w:sz w:val="24"/>
          <w:highlight w:val="none"/>
        </w:rPr>
        <w:t>项目名称：                                项目编号：</w:t>
      </w:r>
    </w:p>
    <w:p>
      <w:pPr>
        <w:pStyle w:val="14"/>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14"/>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pPr>
        <w:spacing w:line="360" w:lineRule="auto"/>
        <w:ind w:firstLine="482" w:firstLineChars="200"/>
        <w:rPr>
          <w:rFonts w:ascii="宋体"/>
          <w:color w:val="auto"/>
          <w:sz w:val="24"/>
          <w:highlight w:val="none"/>
          <w:lang w:val="zh-CN"/>
        </w:rPr>
      </w:pPr>
      <w:r>
        <w:rPr>
          <w:rFonts w:hint="eastAsia" w:ascii="宋体"/>
          <w:b/>
          <w:bCs/>
          <w:color w:val="auto"/>
          <w:sz w:val="24"/>
          <w:highlight w:val="none"/>
          <w:lang w:val="zh-CN"/>
        </w:rPr>
        <w:t>一、合同文件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）更正补充文件（如有）。</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pPr>
        <w:pStyle w:val="14"/>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pPr>
        <w:widowControl/>
        <w:shd w:val="clear" w:color="auto" w:fill="FFFFFF"/>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pPr>
        <w:pStyle w:val="14"/>
        <w:snapToGrid w:val="0"/>
        <w:spacing w:line="360" w:lineRule="auto"/>
        <w:ind w:firstLine="482" w:firstLineChars="200"/>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pPr>
        <w:pStyle w:val="14"/>
        <w:snapToGrid w:val="0"/>
        <w:spacing w:line="360" w:lineRule="auto"/>
        <w:ind w:firstLine="480" w:firstLineChars="200"/>
        <w:rPr>
          <w:rFonts w:hint="eastAsia" w:hAnsi="宋体" w:eastAsia="宋体"/>
          <w:color w:val="auto"/>
          <w:sz w:val="24"/>
          <w:highlight w:val="none"/>
          <w:lang w:eastAsia="zh-CN"/>
        </w:rPr>
      </w:pPr>
      <w:r>
        <w:rPr>
          <w:rFonts w:hAnsi="宋体"/>
          <w:color w:val="auto"/>
          <w:sz w:val="24"/>
          <w:highlight w:val="none"/>
        </w:rPr>
        <w:t>本合同金额为（大写）：___________________元（</w:t>
      </w:r>
      <w:r>
        <w:rPr>
          <w:rFonts w:hint="eastAsia" w:hAnsi="宋体"/>
          <w:color w:val="auto"/>
          <w:sz w:val="24"/>
          <w:highlight w:val="none"/>
        </w:rPr>
        <w:t>¥</w:t>
      </w:r>
      <w:r>
        <w:rPr>
          <w:rFonts w:hAnsi="宋体"/>
          <w:color w:val="auto"/>
          <w:sz w:val="24"/>
          <w:highlight w:val="none"/>
        </w:rPr>
        <w:t>_______________元）人民币</w:t>
      </w:r>
      <w:r>
        <w:rPr>
          <w:rFonts w:hint="eastAsia" w:hAnsi="宋体"/>
          <w:color w:val="auto"/>
          <w:sz w:val="24"/>
          <w:highlight w:val="none"/>
          <w:lang w:eastAsia="zh-CN"/>
        </w:rPr>
        <w:t>；</w:t>
      </w:r>
    </w:p>
    <w:p>
      <w:pPr>
        <w:spacing w:line="360" w:lineRule="auto"/>
        <w:rPr>
          <w:rFonts w:ascii="宋体" w:hAnsi="宋体"/>
          <w:color w:val="auto"/>
          <w:sz w:val="24"/>
          <w:highlight w:val="none"/>
        </w:rPr>
      </w:pPr>
      <w:r>
        <w:rPr>
          <w:rFonts w:hint="eastAsia" w:ascii="宋体" w:hAnsi="宋体"/>
          <w:color w:val="auto"/>
          <w:sz w:val="24"/>
          <w:highlight w:val="none"/>
        </w:rPr>
        <w:t>包括但不限于本项目</w:t>
      </w:r>
      <w:r>
        <w:rPr>
          <w:rFonts w:hint="eastAsia"/>
          <w:color w:val="auto"/>
          <w:sz w:val="24"/>
          <w:highlight w:val="none"/>
        </w:rPr>
        <w:t>编辑、审校、设计、排版、书号、出版、印刷、</w:t>
      </w:r>
      <w:r>
        <w:rPr>
          <w:rFonts w:hint="eastAsia" w:ascii="宋体" w:hAnsi="宋体"/>
          <w:color w:val="auto"/>
          <w:sz w:val="24"/>
          <w:highlight w:val="none"/>
        </w:rPr>
        <w:t>服务款、货款、专用工具、包装、运输、装卸、保险、验收、税金、货到就位以及合同包含的所有风险责任等各项费用及不可预见费等所需的全部费用。</w:t>
      </w:r>
    </w:p>
    <w:p>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pPr>
        <w:pStyle w:val="18"/>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（一）甲方责任</w:t>
      </w:r>
    </w:p>
    <w:p>
      <w:pPr>
        <w:pStyle w:val="18"/>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（根据招标结果确定）</w:t>
      </w:r>
    </w:p>
    <w:p>
      <w:pPr>
        <w:pStyle w:val="18"/>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（二）乙方责任</w:t>
      </w:r>
    </w:p>
    <w:p>
      <w:pPr>
        <w:pStyle w:val="18"/>
        <w:shd w:val="clear" w:color="auto" w:fill="FFFFFF"/>
        <w:spacing w:before="0" w:beforeAutospacing="0" w:after="0" w:afterAutospacing="0" w:line="360" w:lineRule="auto"/>
        <w:ind w:firstLine="480" w:firstLineChars="200"/>
        <w:jc w:val="both"/>
        <w:rPr>
          <w:rFonts w:hint="default" w:cs="Arial"/>
          <w:color w:val="auto"/>
          <w:highlight w:val="none"/>
        </w:rPr>
      </w:pPr>
      <w:r>
        <w:rPr>
          <w:color w:val="auto"/>
          <w:highlight w:val="none"/>
        </w:rPr>
        <w:t>（根据招标结果确定）</w:t>
      </w:r>
    </w:p>
    <w:p>
      <w:pPr>
        <w:pStyle w:val="14"/>
        <w:snapToGrid w:val="0"/>
        <w:spacing w:line="360" w:lineRule="auto"/>
        <w:ind w:firstLine="482" w:firstLineChars="200"/>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（一）乙方应保证提供服务过程中不会侵犯任何第三方的知识产权。</w:t>
      </w:r>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（二）若侵犯,由乙方赔偿甲方因此遭受的损失（包括但不限于应对及追偿过程中所支付的律师费、差旅费、诉讼费、保全费、鉴定费、评估费等）。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本项目不设履约保证金。</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如有转让和未经甲方同意的分包行为，甲方有权解除合同，并追究乙方的违约责任。</w:t>
      </w:r>
    </w:p>
    <w:p>
      <w:pPr>
        <w:pStyle w:val="14"/>
        <w:snapToGrid w:val="0"/>
        <w:spacing w:line="360" w:lineRule="auto"/>
        <w:ind w:firstLine="482" w:firstLineChars="200"/>
        <w:rPr>
          <w:rFonts w:hAnsi="宋体"/>
          <w:color w:val="auto"/>
          <w:sz w:val="24"/>
          <w:highlight w:val="none"/>
        </w:rPr>
      </w:pPr>
      <w:r>
        <w:rPr>
          <w:rFonts w:hint="eastAsia" w:hAnsi="宋体"/>
          <w:b/>
          <w:color w:val="auto"/>
          <w:sz w:val="24"/>
          <w:highlight w:val="none"/>
        </w:rPr>
        <w:t>九</w:t>
      </w:r>
      <w:r>
        <w:rPr>
          <w:rFonts w:hAnsi="宋体"/>
          <w:b/>
          <w:color w:val="auto"/>
          <w:sz w:val="24"/>
          <w:highlight w:val="none"/>
        </w:rPr>
        <w:t>、服务质量保证期 (选用)</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服务质量保证期</w:t>
      </w:r>
      <w:r>
        <w:rPr>
          <w:rFonts w:hAnsi="宋体"/>
          <w:color w:val="auto"/>
          <w:sz w:val="24"/>
          <w:highlight w:val="none"/>
          <w:u w:val="single"/>
        </w:rPr>
        <w:t xml:space="preserve">      </w:t>
      </w:r>
      <w:r>
        <w:rPr>
          <w:rFonts w:hAnsi="宋体"/>
          <w:color w:val="auto"/>
          <w:sz w:val="24"/>
          <w:highlight w:val="none"/>
        </w:rPr>
        <w:t>年。（自验收合格之日起计）</w:t>
      </w:r>
    </w:p>
    <w:p>
      <w:pPr>
        <w:pStyle w:val="14"/>
        <w:snapToGrid w:val="0"/>
        <w:spacing w:line="360" w:lineRule="auto"/>
        <w:ind w:firstLine="482" w:firstLineChars="200"/>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pPr>
        <w:pStyle w:val="14"/>
        <w:snapToGrid w:val="0"/>
        <w:spacing w:line="360" w:lineRule="auto"/>
        <w:ind w:firstLine="480" w:firstLineChars="200"/>
        <w:rPr>
          <w:rFonts w:hAnsi="宋体"/>
          <w:bCs/>
          <w:color w:val="auto"/>
          <w:sz w:val="24"/>
          <w:highlight w:val="none"/>
        </w:rPr>
      </w:pPr>
      <w:r>
        <w:rPr>
          <w:rFonts w:hint="eastAsia" w:hAnsi="宋体"/>
          <w:color w:val="auto"/>
          <w:sz w:val="24"/>
          <w:highlight w:val="none"/>
        </w:rPr>
        <w:t>（一）</w:t>
      </w:r>
      <w:r>
        <w:rPr>
          <w:rFonts w:hAnsi="宋体"/>
          <w:color w:val="auto"/>
          <w:sz w:val="24"/>
          <w:highlight w:val="none"/>
        </w:rPr>
        <w:t>履行时间</w:t>
      </w:r>
      <w:r>
        <w:rPr>
          <w:rFonts w:hAnsi="宋体"/>
          <w:bCs/>
          <w:color w:val="auto"/>
          <w:sz w:val="24"/>
          <w:highlight w:val="none"/>
        </w:rPr>
        <w:t>：</w:t>
      </w:r>
      <w:r>
        <w:rPr>
          <w:rFonts w:hint="eastAsia" w:hAnsi="宋体"/>
          <w:bCs/>
          <w:color w:val="auto"/>
          <w:sz w:val="24"/>
          <w:highlight w:val="none"/>
        </w:rPr>
        <w:t>具体时间以甲方要求为准。</w:t>
      </w:r>
    </w:p>
    <w:p>
      <w:pPr>
        <w:pStyle w:val="14"/>
        <w:snapToGrid w:val="0"/>
        <w:spacing w:line="360" w:lineRule="auto"/>
        <w:ind w:firstLine="480" w:firstLineChars="200"/>
        <w:rPr>
          <w:rFonts w:hAnsi="宋体"/>
          <w:bCs/>
          <w:color w:val="auto"/>
          <w:sz w:val="24"/>
          <w:highlight w:val="none"/>
        </w:rPr>
      </w:pPr>
      <w:r>
        <w:rPr>
          <w:rFonts w:hint="eastAsia" w:hAnsi="宋体"/>
          <w:color w:val="auto"/>
          <w:sz w:val="24"/>
          <w:highlight w:val="none"/>
        </w:rPr>
        <w:t>（二）</w:t>
      </w:r>
      <w:r>
        <w:rPr>
          <w:rFonts w:hAnsi="宋体"/>
          <w:color w:val="auto"/>
          <w:sz w:val="24"/>
          <w:highlight w:val="none"/>
        </w:rPr>
        <w:t>履行方式</w:t>
      </w:r>
      <w:r>
        <w:rPr>
          <w:rFonts w:hAnsi="宋体"/>
          <w:bCs/>
          <w:color w:val="auto"/>
          <w:sz w:val="24"/>
          <w:highlight w:val="none"/>
        </w:rPr>
        <w:t>：</w:t>
      </w:r>
      <w:r>
        <w:rPr>
          <w:rFonts w:hint="eastAsia" w:hAnsi="宋体"/>
          <w:bCs/>
          <w:color w:val="auto"/>
          <w:sz w:val="24"/>
          <w:highlight w:val="none"/>
        </w:rPr>
        <w:t>甲方指定方式</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履行地点</w:t>
      </w:r>
      <w:r>
        <w:rPr>
          <w:rFonts w:hAnsi="宋体"/>
          <w:bCs/>
          <w:color w:val="auto"/>
          <w:sz w:val="24"/>
          <w:highlight w:val="none"/>
        </w:rPr>
        <w:t>：</w:t>
      </w:r>
      <w:r>
        <w:rPr>
          <w:rFonts w:hint="eastAsia" w:hAnsi="宋体"/>
          <w:bCs/>
          <w:color w:val="auto"/>
          <w:sz w:val="24"/>
          <w:highlight w:val="none"/>
        </w:rPr>
        <w:t>甲方指定地点。</w:t>
      </w:r>
    </w:p>
    <w:p>
      <w:pPr>
        <w:pStyle w:val="14"/>
        <w:snapToGrid w:val="0"/>
        <w:spacing w:line="360" w:lineRule="auto"/>
        <w:ind w:firstLine="482" w:firstLineChars="200"/>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pPr>
        <w:pStyle w:val="14"/>
        <w:snapToGrid w:val="0"/>
        <w:spacing w:line="360" w:lineRule="auto"/>
        <w:ind w:firstLine="480" w:firstLineChars="200"/>
        <w:rPr>
          <w:rFonts w:hAnsi="宋体"/>
          <w:bCs/>
          <w:color w:val="auto"/>
          <w:sz w:val="24"/>
          <w:highlight w:val="none"/>
        </w:rPr>
      </w:pPr>
      <w:r>
        <w:rPr>
          <w:rFonts w:hAnsi="宋体"/>
          <w:bCs/>
          <w:color w:val="auto"/>
          <w:sz w:val="24"/>
          <w:highlight w:val="none"/>
        </w:rPr>
        <w:t xml:space="preserve"> 付款方式：</w:t>
      </w:r>
      <w:r>
        <w:rPr>
          <w:rFonts w:hint="eastAsia" w:hAnsi="宋体"/>
          <w:bCs/>
          <w:color w:val="auto"/>
          <w:sz w:val="24"/>
          <w:highlight w:val="none"/>
        </w:rPr>
        <w:t>(详见招标需求内付款方式)</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十二、税费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pStyle w:val="14"/>
        <w:snapToGrid w:val="0"/>
        <w:spacing w:line="360" w:lineRule="auto"/>
        <w:ind w:firstLine="482" w:firstLineChars="200"/>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乙方提供的服务成果在服务质量保证期内发生故障，乙方应负责免费提供后续服务。对达不到要求者，根据实际情况，经双方协商，可按以下办法处理：</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重做：由乙方承担所发生的全部费用。</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贬值处理：由甲乙双方合议定价。</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解除合同。</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（四）</w:t>
      </w:r>
      <w:r>
        <w:rPr>
          <w:rFonts w:hAnsi="宋体"/>
          <w:color w:val="auto"/>
          <w:sz w:val="24"/>
          <w:highlight w:val="none"/>
        </w:rPr>
        <w:t>在服务质量保证期内，乙方应对出现的质量及安全问题负责处理解决并承担一切费用。</w:t>
      </w:r>
    </w:p>
    <w:p>
      <w:pPr>
        <w:pStyle w:val="14"/>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、违约责任</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甲方无故逾期验收和办理款项支付手续的,甲方应按逾期付款总额</w:t>
      </w:r>
      <w:r>
        <w:rPr>
          <w:rFonts w:hAnsi="宋体"/>
          <w:color w:val="auto"/>
          <w:sz w:val="24"/>
          <w:highlight w:val="none"/>
          <w:u w:val="single"/>
        </w:rPr>
        <w:t>每日万分之五</w:t>
      </w:r>
      <w:r>
        <w:rPr>
          <w:rFonts w:hAnsi="宋体"/>
          <w:color w:val="auto"/>
          <w:sz w:val="24"/>
          <w:highlight w:val="none"/>
        </w:rPr>
        <w:t>向乙方支付违约金。</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w:t>
      </w:r>
      <w:r>
        <w:rPr>
          <w:rFonts w:hint="eastAsia" w:hAnsi="宋体"/>
          <w:color w:val="auto"/>
          <w:sz w:val="24"/>
          <w:highlight w:val="none"/>
          <w:lang w:eastAsia="zh-CN"/>
        </w:rPr>
        <w:t>双方根据具体情况协商，协商不</w:t>
      </w:r>
      <w:r>
        <w:rPr>
          <w:rFonts w:hint="eastAsia" w:hAnsi="宋体"/>
          <w:color w:val="auto"/>
          <w:sz w:val="24"/>
          <w:highlight w:val="none"/>
          <w:lang w:val="en-US" w:eastAsia="zh-CN"/>
        </w:rPr>
        <w:t>成</w:t>
      </w:r>
      <w:r>
        <w:rPr>
          <w:rFonts w:hint="eastAsia" w:hAnsi="宋体"/>
          <w:color w:val="auto"/>
          <w:sz w:val="24"/>
          <w:highlight w:val="none"/>
          <w:lang w:eastAsia="zh-CN"/>
        </w:rPr>
        <w:t>的，乙方</w:t>
      </w:r>
      <w:r>
        <w:rPr>
          <w:rFonts w:hAnsi="宋体"/>
          <w:color w:val="auto"/>
          <w:sz w:val="24"/>
          <w:highlight w:val="none"/>
        </w:rPr>
        <w:t>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违约金。乙方超过约定日期10个工作日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pPr>
        <w:pStyle w:val="14"/>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五</w:t>
      </w:r>
      <w:r>
        <w:rPr>
          <w:rFonts w:hAnsi="宋体"/>
          <w:b/>
          <w:color w:val="auto"/>
          <w:sz w:val="24"/>
          <w:highlight w:val="none"/>
        </w:rPr>
        <w:t>、不可抗力事件处理</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pPr>
        <w:pStyle w:val="14"/>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pPr>
        <w:spacing w:line="360" w:lineRule="auto"/>
        <w:ind w:firstLine="480" w:firstLineChars="200"/>
        <w:jc w:val="left"/>
        <w:rPr>
          <w:rStyle w:val="50"/>
          <w:rFonts w:hint="eastAsia" w:ascii="宋体" w:hAnsi="宋体" w:eastAsia="宋体"/>
          <w:color w:val="auto"/>
          <w:sz w:val="24"/>
          <w:highlight w:val="none"/>
          <w:lang w:eastAsia="zh-CN"/>
        </w:rPr>
      </w:pPr>
      <w:r>
        <w:rPr>
          <w:rFonts w:asciiTheme="minorEastAsia" w:hAnsiTheme="minorEastAsia" w:eastAsiaTheme="minorEastAsia"/>
          <w:color w:val="auto"/>
          <w:sz w:val="24"/>
          <w:highlight w:val="none"/>
        </w:rPr>
        <w:t>如双方在履行合同时发生纠纷，应协商解决；协商不成时，可提请政府采购管理部门调解；</w:t>
      </w:r>
      <w:r>
        <w:rPr>
          <w:rFonts w:hint="eastAsia" w:ascii="宋体" w:hAnsi="宋体" w:cs="Arial"/>
          <w:color w:val="auto"/>
          <w:sz w:val="24"/>
          <w:highlight w:val="none"/>
          <w:lang w:bidi="ar"/>
        </w:rPr>
        <w:t>调解不成的通过以下方式解决：向甲方所在地的人民法院起诉</w:t>
      </w:r>
      <w:r>
        <w:rPr>
          <w:rFonts w:hint="eastAsia" w:ascii="宋体" w:hAnsi="宋体" w:cs="Arial"/>
          <w:color w:val="auto"/>
          <w:sz w:val="24"/>
          <w:highlight w:val="none"/>
          <w:lang w:eastAsia="zh-CN" w:bidi="ar"/>
        </w:rPr>
        <w:t>。</w:t>
      </w:r>
    </w:p>
    <w:p>
      <w:pPr>
        <w:pStyle w:val="14"/>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、合同生效及其它</w:t>
      </w:r>
    </w:p>
    <w:p>
      <w:pPr>
        <w:pStyle w:val="14"/>
        <w:snapToGrid w:val="0"/>
        <w:spacing w:line="360" w:lineRule="auto"/>
        <w:ind w:firstLine="480" w:firstLineChars="200"/>
        <w:rPr>
          <w:rFonts w:hAnsi="宋体"/>
          <w:color w:val="auto"/>
          <w:sz w:val="24"/>
          <w:highlight w:val="none"/>
        </w:rPr>
      </w:pPr>
      <w:r>
        <w:rPr>
          <w:rFonts w:hAnsi="宋体"/>
          <w:color w:val="auto"/>
          <w:kern w:val="0"/>
          <w:sz w:val="24"/>
          <w:highlight w:val="none"/>
        </w:rPr>
        <w:t>（</w:t>
      </w:r>
      <w:r>
        <w:rPr>
          <w:rFonts w:hint="eastAsia" w:hAnsi="宋体"/>
          <w:color w:val="auto"/>
          <w:kern w:val="0"/>
          <w:sz w:val="24"/>
          <w:highlight w:val="none"/>
        </w:rPr>
        <w:t>一</w:t>
      </w:r>
      <w:r>
        <w:rPr>
          <w:rFonts w:hAnsi="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pPr>
        <w:pStyle w:val="14"/>
        <w:snapToGrid w:val="0"/>
        <w:spacing w:line="360" w:lineRule="auto"/>
        <w:ind w:firstLine="480" w:firstLineChars="200"/>
        <w:rPr>
          <w:rFonts w:hAnsi="宋体"/>
          <w:color w:val="auto"/>
          <w:sz w:val="24"/>
          <w:highlight w:val="none"/>
        </w:rPr>
      </w:pPr>
      <w:r>
        <w:rPr>
          <w:rFonts w:hAnsi="宋体"/>
          <w:color w:val="auto"/>
          <w:kern w:val="0"/>
          <w:sz w:val="24"/>
          <w:highlight w:val="none"/>
        </w:rPr>
        <w:t>（</w:t>
      </w:r>
      <w:r>
        <w:rPr>
          <w:rFonts w:hint="eastAsia" w:hAnsi="宋体"/>
          <w:color w:val="auto"/>
          <w:kern w:val="0"/>
          <w:sz w:val="24"/>
          <w:highlight w:val="none"/>
        </w:rPr>
        <w:t>二</w:t>
      </w:r>
      <w:r>
        <w:rPr>
          <w:rFonts w:hAnsi="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heme="minorBidi"/>
          <w:color w:val="auto"/>
          <w:sz w:val="24"/>
          <w:highlight w:val="none"/>
        </w:rPr>
        <w:t>本合同一式五份。甲、乙双方各执二份，</w:t>
      </w:r>
      <w:r>
        <w:rPr>
          <w:rFonts w:hint="eastAsia" w:ascii="宋体" w:hAnsi="宋体"/>
          <w:color w:val="auto"/>
          <w:sz w:val="24"/>
          <w:highlight w:val="none"/>
        </w:rPr>
        <w:t>采购组织机构执一份</w:t>
      </w:r>
      <w:r>
        <w:rPr>
          <w:rFonts w:hint="eastAsia" w:ascii="宋体" w:hAnsi="宋体" w:cstheme="minorBidi"/>
          <w:color w:val="auto"/>
          <w:sz w:val="24"/>
          <w:highlight w:val="none"/>
        </w:rPr>
        <w:t>。本项目未尽事宜以招标文件、投标文件及澄清文件等为准。</w:t>
      </w:r>
    </w:p>
    <w:p>
      <w:pPr>
        <w:widowControl/>
        <w:spacing w:line="360" w:lineRule="auto"/>
        <w:rPr>
          <w:rFonts w:ascii="宋体" w:hAnsi="宋体"/>
          <w:color w:val="auto"/>
          <w:kern w:val="0"/>
          <w:sz w:val="24"/>
          <w:highlight w:val="none"/>
        </w:rPr>
      </w:pPr>
    </w:p>
    <w:p>
      <w:pPr>
        <w:widowControl/>
        <w:spacing w:line="360" w:lineRule="auto"/>
        <w:rPr>
          <w:rFonts w:ascii="宋体" w:hAnsi="宋体"/>
          <w:b/>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甲方（公章）                                     乙方（公章）</w:t>
      </w:r>
    </w:p>
    <w:p>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pPr>
        <w:spacing w:line="360" w:lineRule="auto"/>
        <w:rPr>
          <w:rFonts w:ascii="宋体" w:hAnsi="宋体"/>
          <w:color w:val="auto"/>
          <w:sz w:val="24"/>
          <w:highlight w:val="none"/>
        </w:rPr>
      </w:pPr>
      <w:r>
        <w:rPr>
          <w:rFonts w:hint="eastAsia" w:ascii="宋体" w:hAnsi="宋体"/>
          <w:color w:val="auto"/>
          <w:sz w:val="24"/>
          <w:highlight w:val="none"/>
        </w:rPr>
        <w:t>账号：                                           账号：</w:t>
      </w:r>
    </w:p>
    <w:p>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pPr>
        <w:spacing w:line="360" w:lineRule="auto"/>
        <w:rPr>
          <w:rFonts w:ascii="宋体" w:hAnsi="宋体"/>
          <w:color w:val="auto"/>
          <w:sz w:val="24"/>
          <w:highlight w:val="none"/>
        </w:rPr>
      </w:pPr>
    </w:p>
    <w:p>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pPr>
        <w:pStyle w:val="12"/>
        <w:spacing w:line="312" w:lineRule="auto"/>
        <w:ind w:firstLine="0" w:firstLineChars="0"/>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b/>
          <w:color w:val="auto"/>
          <w:sz w:val="36"/>
          <w:szCs w:val="36"/>
          <w:highlight w:val="none"/>
        </w:rPr>
      </w:pPr>
      <w:bookmarkStart w:id="35" w:name="_Toc5481_WPSOffice_Level1"/>
      <w:r>
        <w:rPr>
          <w:rFonts w:hint="eastAsia" w:ascii="宋体" w:hAnsi="宋体" w:cs="宋体"/>
          <w:b/>
          <w:color w:val="auto"/>
          <w:sz w:val="36"/>
          <w:szCs w:val="36"/>
          <w:highlight w:val="none"/>
        </w:rPr>
        <w:t>第六章 投标文件格式</w:t>
      </w:r>
      <w:bookmarkEnd w:id="35"/>
    </w:p>
    <w:p>
      <w:pPr>
        <w:rPr>
          <w:rStyle w:val="50"/>
          <w:rFonts w:ascii="宋体" w:hAnsi="宋体"/>
          <w:b/>
          <w:color w:val="auto"/>
          <w:kern w:val="0"/>
          <w:sz w:val="28"/>
          <w:szCs w:val="28"/>
          <w:highlight w:val="none"/>
        </w:rPr>
      </w:pPr>
      <w:r>
        <w:rPr>
          <w:rFonts w:hint="eastAsia" w:ascii="宋体" w:hAnsi="宋体" w:cs="宋体"/>
          <w:b/>
          <w:color w:val="auto"/>
          <w:kern w:val="0"/>
          <w:sz w:val="24"/>
          <w:highlight w:val="none"/>
        </w:rPr>
        <w:t>附件1</w:t>
      </w:r>
    </w:p>
    <w:p>
      <w:pPr>
        <w:rPr>
          <w:rStyle w:val="50"/>
          <w:rFonts w:ascii="宋体" w:hAnsi="宋体"/>
          <w:b/>
          <w:color w:val="auto"/>
          <w:kern w:val="0"/>
          <w:sz w:val="28"/>
          <w:szCs w:val="28"/>
          <w:highlight w:val="none"/>
        </w:rPr>
      </w:pPr>
    </w:p>
    <w:p>
      <w:pPr>
        <w:spacing w:line="360" w:lineRule="auto"/>
        <w:ind w:right="-110"/>
        <w:jc w:val="center"/>
        <w:rPr>
          <w:rFonts w:hint="eastAsia" w:ascii="宋体" w:hAnsi="宋体" w:eastAsia="宋体"/>
          <w:color w:val="auto"/>
          <w:spacing w:val="40"/>
          <w:sz w:val="36"/>
          <w:szCs w:val="36"/>
          <w:highlight w:val="none"/>
          <w:lang w:eastAsia="zh-CN"/>
        </w:rPr>
      </w:pPr>
      <w:r>
        <w:rPr>
          <w:rFonts w:hint="eastAsia" w:ascii="宋体" w:hAnsi="宋体"/>
          <w:color w:val="auto"/>
          <w:spacing w:val="40"/>
          <w:sz w:val="36"/>
          <w:szCs w:val="36"/>
          <w:highlight w:val="none"/>
          <w:lang w:eastAsia="zh-CN"/>
        </w:rPr>
        <w:t>《椒江政协履职实践》丛书出版印刷项目</w:t>
      </w:r>
    </w:p>
    <w:p>
      <w:pPr>
        <w:spacing w:line="360" w:lineRule="auto"/>
        <w:ind w:right="-110"/>
        <w:jc w:val="center"/>
        <w:rPr>
          <w:color w:val="auto"/>
          <w:highlight w:val="none"/>
        </w:rPr>
      </w:pPr>
      <w:r>
        <w:rPr>
          <w:rStyle w:val="50"/>
          <w:rFonts w:ascii="宋体" w:hAnsi="宋体"/>
          <w:color w:val="auto"/>
          <w:sz w:val="36"/>
          <w:szCs w:val="36"/>
          <w:highlight w:val="none"/>
        </w:rPr>
        <w:t>项目编号：</w:t>
      </w:r>
      <w:r>
        <w:rPr>
          <w:rStyle w:val="50"/>
          <w:rFonts w:hint="eastAsia" w:ascii="宋体" w:hAnsi="宋体"/>
          <w:color w:val="auto"/>
          <w:sz w:val="36"/>
          <w:szCs w:val="36"/>
          <w:highlight w:val="none"/>
        </w:rPr>
        <w:t>TZTX-2024-</w:t>
      </w:r>
      <w:r>
        <w:rPr>
          <w:rStyle w:val="50"/>
          <w:rFonts w:hint="eastAsia" w:ascii="宋体" w:hAnsi="宋体"/>
          <w:color w:val="auto"/>
          <w:sz w:val="36"/>
          <w:szCs w:val="36"/>
          <w:highlight w:val="none"/>
          <w:lang w:eastAsia="zh-CN"/>
        </w:rPr>
        <w:t>GK030</w:t>
      </w:r>
      <w:r>
        <w:rPr>
          <w:rStyle w:val="50"/>
          <w:rFonts w:hint="eastAsia" w:ascii="宋体" w:hAnsi="宋体"/>
          <w:color w:val="auto"/>
          <w:sz w:val="36"/>
          <w:szCs w:val="36"/>
          <w:highlight w:val="none"/>
        </w:rPr>
        <w:t>（标项</w:t>
      </w:r>
      <w:r>
        <w:rPr>
          <w:rStyle w:val="50"/>
          <w:rFonts w:hint="eastAsia" w:ascii="宋体" w:hAnsi="宋体"/>
          <w:color w:val="auto"/>
          <w:sz w:val="36"/>
          <w:szCs w:val="36"/>
          <w:highlight w:val="none"/>
          <w:u w:val="none"/>
        </w:rPr>
        <w:t>1</w:t>
      </w:r>
      <w:r>
        <w:rPr>
          <w:rStyle w:val="50"/>
          <w:rFonts w:hint="eastAsia" w:ascii="宋体" w:hAnsi="宋体"/>
          <w:color w:val="auto"/>
          <w:sz w:val="36"/>
          <w:szCs w:val="36"/>
          <w:highlight w:val="none"/>
        </w:rPr>
        <w:t>）</w:t>
      </w:r>
    </w:p>
    <w:p>
      <w:pPr>
        <w:pStyle w:val="9"/>
        <w:rPr>
          <w:rStyle w:val="50"/>
          <w:rFonts w:ascii="宋体" w:hAnsi="宋体"/>
          <w:color w:val="auto"/>
          <w:sz w:val="36"/>
          <w:szCs w:val="36"/>
          <w:highlight w:val="none"/>
        </w:rPr>
      </w:pPr>
    </w:p>
    <w:p>
      <w:pPr>
        <w:spacing w:line="360" w:lineRule="auto"/>
        <w:jc w:val="center"/>
        <w:rPr>
          <w:rStyle w:val="50"/>
          <w:rFonts w:ascii="宋体" w:hAnsi="宋体"/>
          <w:color w:val="auto"/>
          <w:sz w:val="84"/>
          <w:szCs w:val="84"/>
          <w:highlight w:val="none"/>
          <w:lang w:val="zh-CN"/>
        </w:rPr>
      </w:pPr>
      <w:r>
        <w:rPr>
          <w:rStyle w:val="50"/>
          <w:rFonts w:ascii="宋体" w:hAnsi="宋体"/>
          <w:color w:val="auto"/>
          <w:sz w:val="84"/>
          <w:szCs w:val="84"/>
          <w:highlight w:val="none"/>
          <w:lang w:val="zh-CN"/>
        </w:rPr>
        <w:t>投</w:t>
      </w:r>
    </w:p>
    <w:p>
      <w:pPr>
        <w:spacing w:line="360" w:lineRule="auto"/>
        <w:jc w:val="center"/>
        <w:rPr>
          <w:rStyle w:val="50"/>
          <w:rFonts w:ascii="宋体" w:hAnsi="宋体"/>
          <w:color w:val="auto"/>
          <w:sz w:val="84"/>
          <w:szCs w:val="84"/>
          <w:highlight w:val="none"/>
          <w:lang w:val="zh-CN"/>
        </w:rPr>
      </w:pPr>
      <w:r>
        <w:rPr>
          <w:rStyle w:val="50"/>
          <w:rFonts w:ascii="宋体" w:hAnsi="宋体"/>
          <w:color w:val="auto"/>
          <w:sz w:val="84"/>
          <w:szCs w:val="84"/>
          <w:highlight w:val="none"/>
          <w:lang w:val="zh-CN"/>
        </w:rPr>
        <w:t>标</w:t>
      </w:r>
    </w:p>
    <w:p>
      <w:pPr>
        <w:spacing w:line="360" w:lineRule="auto"/>
        <w:jc w:val="center"/>
        <w:rPr>
          <w:rStyle w:val="50"/>
          <w:rFonts w:ascii="宋体" w:hAnsi="宋体"/>
          <w:color w:val="auto"/>
          <w:sz w:val="84"/>
          <w:szCs w:val="84"/>
          <w:highlight w:val="none"/>
          <w:lang w:val="zh-CN"/>
        </w:rPr>
      </w:pPr>
      <w:r>
        <w:rPr>
          <w:rStyle w:val="50"/>
          <w:rFonts w:ascii="宋体" w:hAnsi="宋体"/>
          <w:color w:val="auto"/>
          <w:sz w:val="84"/>
          <w:szCs w:val="84"/>
          <w:highlight w:val="none"/>
          <w:lang w:val="zh-CN"/>
        </w:rPr>
        <w:t>文</w:t>
      </w:r>
    </w:p>
    <w:p>
      <w:pPr>
        <w:spacing w:line="360" w:lineRule="auto"/>
        <w:jc w:val="center"/>
        <w:rPr>
          <w:rStyle w:val="50"/>
          <w:rFonts w:ascii="宋体" w:hAnsi="宋体"/>
          <w:color w:val="auto"/>
          <w:sz w:val="84"/>
          <w:szCs w:val="84"/>
          <w:highlight w:val="none"/>
          <w:lang w:val="zh-CN"/>
        </w:rPr>
      </w:pPr>
      <w:r>
        <w:rPr>
          <w:rStyle w:val="50"/>
          <w:rFonts w:ascii="宋体" w:hAnsi="宋体"/>
          <w:color w:val="auto"/>
          <w:sz w:val="84"/>
          <w:szCs w:val="84"/>
          <w:highlight w:val="none"/>
          <w:lang w:val="zh-CN"/>
        </w:rPr>
        <w:t>件</w:t>
      </w:r>
    </w:p>
    <w:p>
      <w:pPr>
        <w:spacing w:after="100" w:afterAutospacing="1" w:line="360" w:lineRule="auto"/>
        <w:ind w:right="-108"/>
        <w:jc w:val="center"/>
        <w:rPr>
          <w:rStyle w:val="50"/>
          <w:rFonts w:ascii="宋体" w:hAnsi="宋体"/>
          <w:b/>
          <w:color w:val="auto"/>
          <w:spacing w:val="40"/>
          <w:sz w:val="28"/>
          <w:szCs w:val="28"/>
          <w:highlight w:val="none"/>
        </w:rPr>
      </w:pPr>
      <w:r>
        <w:rPr>
          <w:rStyle w:val="50"/>
          <w:rFonts w:ascii="宋体" w:hAnsi="宋体"/>
          <w:color w:val="auto"/>
          <w:sz w:val="28"/>
          <w:szCs w:val="28"/>
          <w:highlight w:val="none"/>
          <w:lang w:val="zh-CN"/>
        </w:rPr>
        <w:t>（</w:t>
      </w:r>
      <w:r>
        <w:rPr>
          <w:rStyle w:val="50"/>
          <w:rFonts w:ascii="宋体" w:hAnsi="宋体"/>
          <w:b/>
          <w:color w:val="auto"/>
          <w:spacing w:val="40"/>
          <w:sz w:val="28"/>
          <w:szCs w:val="28"/>
          <w:highlight w:val="none"/>
        </w:rPr>
        <w:t>资格证明文件）</w:t>
      </w:r>
    </w:p>
    <w:p>
      <w:pPr>
        <w:spacing w:line="360" w:lineRule="auto"/>
        <w:ind w:right="532" w:firstLine="720" w:firstLineChars="200"/>
        <w:rPr>
          <w:rStyle w:val="50"/>
          <w:rFonts w:ascii="宋体" w:hAnsi="宋体"/>
          <w:color w:val="auto"/>
          <w:sz w:val="36"/>
          <w:szCs w:val="36"/>
          <w:highlight w:val="none"/>
        </w:rPr>
      </w:pPr>
      <w:r>
        <w:rPr>
          <w:rStyle w:val="50"/>
          <w:rFonts w:ascii="宋体" w:hAnsi="宋体"/>
          <w:color w:val="auto"/>
          <w:sz w:val="36"/>
          <w:szCs w:val="36"/>
          <w:highlight w:val="none"/>
        </w:rPr>
        <w:t>投标人全称（</w:t>
      </w:r>
      <w:r>
        <w:rPr>
          <w:rStyle w:val="50"/>
          <w:rFonts w:hint="eastAsia" w:ascii="宋体" w:hAnsi="宋体"/>
          <w:color w:val="auto"/>
          <w:sz w:val="36"/>
          <w:szCs w:val="36"/>
          <w:highlight w:val="none"/>
        </w:rPr>
        <w:t>电子印章</w:t>
      </w:r>
      <w:r>
        <w:rPr>
          <w:rStyle w:val="50"/>
          <w:rFonts w:ascii="宋体" w:hAnsi="宋体"/>
          <w:color w:val="auto"/>
          <w:sz w:val="36"/>
          <w:szCs w:val="36"/>
          <w:highlight w:val="none"/>
        </w:rPr>
        <w:t>）：</w:t>
      </w:r>
    </w:p>
    <w:p>
      <w:pPr>
        <w:spacing w:line="360" w:lineRule="auto"/>
        <w:ind w:right="532" w:firstLine="720" w:firstLineChars="200"/>
        <w:rPr>
          <w:rStyle w:val="50"/>
          <w:rFonts w:ascii="宋体" w:hAnsi="宋体"/>
          <w:color w:val="auto"/>
          <w:sz w:val="36"/>
          <w:szCs w:val="36"/>
          <w:highlight w:val="none"/>
        </w:rPr>
      </w:pPr>
      <w:r>
        <w:rPr>
          <w:rStyle w:val="50"/>
          <w:rFonts w:ascii="宋体" w:hAnsi="宋体"/>
          <w:color w:val="auto"/>
          <w:sz w:val="36"/>
          <w:szCs w:val="36"/>
          <w:highlight w:val="none"/>
        </w:rPr>
        <w:t>地    址：</w:t>
      </w:r>
    </w:p>
    <w:p>
      <w:pPr>
        <w:spacing w:line="360" w:lineRule="auto"/>
        <w:ind w:right="532" w:firstLine="720" w:firstLineChars="200"/>
        <w:rPr>
          <w:rStyle w:val="50"/>
          <w:rFonts w:ascii="宋体" w:hAnsi="宋体"/>
          <w:color w:val="auto"/>
          <w:sz w:val="36"/>
          <w:szCs w:val="36"/>
          <w:highlight w:val="none"/>
        </w:rPr>
      </w:pPr>
      <w:r>
        <w:rPr>
          <w:rStyle w:val="50"/>
          <w:rFonts w:ascii="宋体" w:hAnsi="宋体"/>
          <w:color w:val="auto"/>
          <w:sz w:val="36"/>
          <w:szCs w:val="36"/>
          <w:highlight w:val="none"/>
        </w:rPr>
        <w:t>时    间：</w:t>
      </w:r>
    </w:p>
    <w:p>
      <w:pPr>
        <w:pStyle w:val="51"/>
        <w:rPr>
          <w:color w:val="auto"/>
          <w:highlight w:val="none"/>
        </w:rPr>
      </w:pPr>
    </w:p>
    <w:p>
      <w:pPr>
        <w:pStyle w:val="51"/>
        <w:rPr>
          <w:color w:val="auto"/>
          <w:highlight w:val="none"/>
        </w:rPr>
      </w:pPr>
      <w:r>
        <w:rPr>
          <w:color w:val="auto"/>
          <w:highlight w:val="none"/>
        </w:rPr>
        <w:br w:type="page"/>
      </w:r>
    </w:p>
    <w:p>
      <w:pPr>
        <w:rPr>
          <w:color w:val="auto"/>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资格证明文件目录</w:t>
      </w:r>
    </w:p>
    <w:p>
      <w:pPr>
        <w:pStyle w:val="9"/>
        <w:rPr>
          <w:rFonts w:ascii="宋体" w:hAnsi="宋体" w:cs="宋体"/>
          <w:color w:val="auto"/>
          <w:sz w:val="24"/>
          <w:szCs w:val="24"/>
          <w:highlight w:val="none"/>
        </w:rPr>
      </w:pPr>
    </w:p>
    <w:p>
      <w:pPr>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bookmarkStart w:id="36" w:name="_Toc12587_WPSOffice_Level1"/>
      <w:bookmarkStart w:id="37" w:name="_Toc27049_WPSOffice_Level1"/>
      <w:r>
        <w:rPr>
          <w:rFonts w:hint="eastAsia" w:ascii="宋体" w:hAnsi="宋体" w:cs="宋体"/>
          <w:color w:val="auto"/>
          <w:sz w:val="24"/>
          <w:highlight w:val="none"/>
        </w:rPr>
        <w:t>1、投标声明书（附件2）</w:t>
      </w:r>
      <w:bookmarkEnd w:id="36"/>
      <w:bookmarkEnd w:id="37"/>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bookmarkStart w:id="38" w:name="_Toc25574_WPSOffice_Level1"/>
      <w:bookmarkStart w:id="39" w:name="_Toc28306_WPSOffice_Level1"/>
      <w:r>
        <w:rPr>
          <w:rFonts w:hint="eastAsia" w:ascii="宋体" w:hAnsi="宋体" w:cs="宋体"/>
          <w:color w:val="auto"/>
          <w:sz w:val="24"/>
          <w:highlight w:val="none"/>
        </w:rPr>
        <w:t>2、授权委托书（法定代表人办理投标事宜的，则无需提交）（附件3）</w:t>
      </w:r>
      <w:bookmarkEnd w:id="38"/>
      <w:bookmarkEnd w:id="39"/>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bookmarkStart w:id="40" w:name="_Toc32100_WPSOffice_Level1"/>
      <w:bookmarkStart w:id="41" w:name="_Toc29616_WPSOffice_Level1"/>
      <w:r>
        <w:rPr>
          <w:rFonts w:hint="eastAsia" w:ascii="宋体" w:hAnsi="宋体" w:cs="宋体"/>
          <w:color w:val="auto"/>
          <w:sz w:val="24"/>
          <w:highlight w:val="none"/>
        </w:rPr>
        <w:t>3、法人或者其他组织的营业执照等证明文件，自然人的身份证明</w:t>
      </w:r>
      <w:bookmarkEnd w:id="40"/>
      <w:bookmarkEnd w:id="41"/>
      <w:r>
        <w:rPr>
          <w:rFonts w:hint="eastAsia" w:ascii="宋体" w:hAnsi="宋体" w:cs="宋体"/>
          <w:color w:val="auto"/>
          <w:sz w:val="24"/>
          <w:highlight w:val="none"/>
        </w:rPr>
        <w:t>。</w:t>
      </w:r>
    </w:p>
    <w:p>
      <w:pPr>
        <w:widowControl/>
        <w:spacing w:line="360" w:lineRule="auto"/>
        <w:ind w:left="473" w:right="60"/>
        <w:jc w:val="left"/>
        <w:outlineLvl w:val="0"/>
        <w:rPr>
          <w:rFonts w:ascii="宋体" w:hAnsi="宋体" w:cs="宋体"/>
          <w:color w:val="auto"/>
          <w:sz w:val="24"/>
          <w:highlight w:val="none"/>
        </w:rPr>
      </w:pPr>
      <w:bookmarkStart w:id="42" w:name="_Toc25807_WPSOffice_Level1"/>
      <w:bookmarkStart w:id="43" w:name="_Toc9981_WPSOffice_Level1"/>
      <w:r>
        <w:rPr>
          <w:rFonts w:hint="eastAsia" w:ascii="宋体" w:hAnsi="宋体" w:cs="宋体"/>
          <w:color w:val="auto"/>
          <w:sz w:val="24"/>
          <w:highlight w:val="none"/>
        </w:rPr>
        <w:t>4、</w:t>
      </w:r>
      <w:bookmarkEnd w:id="42"/>
      <w:bookmarkEnd w:id="43"/>
      <w:r>
        <w:rPr>
          <w:rFonts w:hint="eastAsia" w:ascii="宋体" w:hAnsi="宋体" w:cs="宋体"/>
          <w:color w:val="auto"/>
          <w:sz w:val="24"/>
          <w:highlight w:val="none"/>
        </w:rPr>
        <w:t>财务报告、依法缴纳税收和社会保障资金的相关材料。</w:t>
      </w:r>
    </w:p>
    <w:p>
      <w:pPr>
        <w:spacing w:line="360" w:lineRule="auto"/>
        <w:ind w:firstLine="480" w:firstLineChars="200"/>
        <w:rPr>
          <w:rFonts w:ascii="宋体" w:hAnsi="宋体" w:cs="宋体"/>
          <w:color w:val="auto"/>
          <w:sz w:val="24"/>
          <w:highlight w:val="none"/>
        </w:rPr>
      </w:pPr>
      <w:bookmarkStart w:id="44" w:name="_Toc2696_WPSOffice_Level1"/>
      <w:bookmarkStart w:id="45" w:name="_Toc30751_WPSOffice_Level1"/>
      <w:r>
        <w:rPr>
          <w:rFonts w:hint="eastAsia" w:ascii="宋体" w:hAnsi="宋体" w:cs="宋体"/>
          <w:color w:val="auto"/>
          <w:sz w:val="24"/>
          <w:highlight w:val="none"/>
        </w:rPr>
        <w:t>5、</w:t>
      </w:r>
      <w:bookmarkEnd w:id="44"/>
      <w:bookmarkEnd w:id="45"/>
      <w:r>
        <w:rPr>
          <w:rFonts w:hint="eastAsia" w:ascii="宋体" w:hAnsi="宋体" w:cs="宋体"/>
          <w:color w:val="auto"/>
          <w:sz w:val="24"/>
          <w:highlight w:val="none"/>
        </w:rPr>
        <w:t>具备履行合同所必需的设备和专业技术能力的证明材料(根据项目性质提供)</w:t>
      </w:r>
      <w:r>
        <w:rPr>
          <w:rFonts w:hint="eastAsia"/>
          <w:color w:val="auto"/>
          <w:sz w:val="24"/>
          <w:highlight w:val="none"/>
        </w:rPr>
        <w:t>。</w:t>
      </w:r>
    </w:p>
    <w:p>
      <w:pPr>
        <w:spacing w:line="360" w:lineRule="auto"/>
        <w:ind w:firstLine="480" w:firstLineChars="200"/>
        <w:rPr>
          <w:rFonts w:ascii="宋体" w:cs="宋体"/>
          <w:bCs/>
          <w:snapToGrid w:val="0"/>
          <w:color w:val="auto"/>
          <w:kern w:val="10"/>
          <w:sz w:val="24"/>
          <w:highlight w:val="none"/>
        </w:rPr>
      </w:pPr>
      <w:r>
        <w:rPr>
          <w:rFonts w:hint="eastAsia" w:ascii="宋体" w:hAnsi="宋体" w:cs="宋体"/>
          <w:color w:val="auto"/>
          <w:sz w:val="24"/>
          <w:highlight w:val="none"/>
        </w:rPr>
        <w:t>6、</w:t>
      </w:r>
      <w:r>
        <w:rPr>
          <w:rFonts w:hint="eastAsia"/>
          <w:color w:val="auto"/>
          <w:sz w:val="24"/>
          <w:highlight w:val="none"/>
        </w:rPr>
        <w:t>本项目要求的特定资质证书</w:t>
      </w:r>
      <w:r>
        <w:rPr>
          <w:rFonts w:hint="eastAsia" w:ascii="宋体" w:cs="宋体"/>
          <w:bCs/>
          <w:snapToGrid w:val="0"/>
          <w:color w:val="auto"/>
          <w:kern w:val="10"/>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7、中小企业等声明函（附件4）。</w:t>
      </w:r>
    </w:p>
    <w:p>
      <w:pPr>
        <w:widowControl/>
        <w:spacing w:line="360" w:lineRule="auto"/>
        <w:ind w:right="60" w:firstLine="442" w:firstLineChars="200"/>
        <w:jc w:val="left"/>
        <w:outlineLvl w:val="0"/>
        <w:rPr>
          <w:rFonts w:ascii="宋体" w:hAnsi="宋体" w:cs="宋体"/>
          <w:b/>
          <w:color w:val="auto"/>
          <w:sz w:val="22"/>
          <w:highlight w:val="none"/>
          <w:u w:val="single"/>
        </w:rPr>
      </w:pPr>
      <w:r>
        <w:rPr>
          <w:rFonts w:hint="eastAsia" w:ascii="宋体" w:hAnsi="宋体" w:cs="宋体"/>
          <w:b/>
          <w:color w:val="auto"/>
          <w:sz w:val="22"/>
          <w:highlight w:val="none"/>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人</w:t>
      </w:r>
      <w:r>
        <w:rPr>
          <w:rFonts w:hint="eastAsia" w:ascii="宋体" w:hAnsi="宋体" w:cs="宋体"/>
          <w:b/>
          <w:color w:val="auto"/>
          <w:sz w:val="22"/>
          <w:highlight w:val="none"/>
          <w:u w:val="single"/>
        </w:rPr>
        <w:t>属于中小企业范畴的，可以以书面承诺代替相关证明材料。</w:t>
      </w:r>
    </w:p>
    <w:p>
      <w:pPr>
        <w:pStyle w:val="26"/>
        <w:rPr>
          <w:rFonts w:ascii="宋体" w:hAnsi="宋体" w:eastAsia="宋体"/>
          <w:b/>
          <w:color w:val="auto"/>
          <w:sz w:val="24"/>
          <w:szCs w:val="24"/>
          <w:highlight w:val="none"/>
        </w:rPr>
      </w:pPr>
    </w:p>
    <w:p>
      <w:pPr>
        <w:spacing w:line="360" w:lineRule="auto"/>
        <w:ind w:left="420"/>
        <w:rPr>
          <w:rFonts w:ascii="宋体" w:hAnsi="宋体" w:cs="宋体"/>
          <w:b/>
          <w:color w:val="auto"/>
          <w:sz w:val="24"/>
          <w:highlight w:val="none"/>
        </w:rPr>
      </w:pPr>
    </w:p>
    <w:p>
      <w:pPr>
        <w:spacing w:line="360" w:lineRule="auto"/>
        <w:ind w:left="420"/>
        <w:rPr>
          <w:rFonts w:ascii="宋体" w:hAnsi="宋体" w:cs="宋体"/>
          <w:b/>
          <w:color w:val="auto"/>
          <w:sz w:val="24"/>
          <w:highlight w:val="none"/>
        </w:rPr>
      </w:pPr>
    </w:p>
    <w:p>
      <w:pPr>
        <w:spacing w:line="360" w:lineRule="auto"/>
        <w:ind w:left="420"/>
        <w:rPr>
          <w:rFonts w:ascii="宋体" w:hAnsi="宋体" w:cs="宋体"/>
          <w:b/>
          <w:color w:val="auto"/>
          <w:sz w:val="24"/>
          <w:highlight w:val="none"/>
        </w:rPr>
      </w:pPr>
    </w:p>
    <w:p>
      <w:pPr>
        <w:spacing w:line="360" w:lineRule="auto"/>
        <w:ind w:left="420"/>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left="420"/>
        <w:rPr>
          <w:rFonts w:ascii="宋体" w:hAnsi="宋体" w:cs="宋体"/>
          <w:b/>
          <w:color w:val="auto"/>
          <w:sz w:val="24"/>
          <w:highlight w:val="none"/>
        </w:rPr>
      </w:pPr>
    </w:p>
    <w:p>
      <w:pPr>
        <w:spacing w:line="360" w:lineRule="auto"/>
        <w:ind w:left="420"/>
        <w:rPr>
          <w:rFonts w:ascii="宋体" w:hAnsi="宋体" w:cs="宋体"/>
          <w:b/>
          <w:color w:val="auto"/>
          <w:sz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b/>
          <w:color w:val="auto"/>
          <w:sz w:val="24"/>
          <w:highlight w:val="none"/>
        </w:rPr>
      </w:pPr>
      <w:r>
        <w:rPr>
          <w:rFonts w:hint="eastAsia" w:ascii="宋体" w:hAnsi="宋体" w:cs="宋体"/>
          <w:b/>
          <w:color w:val="auto"/>
          <w:sz w:val="24"/>
          <w:highlight w:val="none"/>
        </w:rPr>
        <w:t>附件2</w:t>
      </w:r>
    </w:p>
    <w:p>
      <w:pPr>
        <w:adjustRightInd w:val="0"/>
        <w:snapToGrid w:val="0"/>
        <w:ind w:right="480"/>
        <w:jc w:val="center"/>
        <w:rPr>
          <w:rFonts w:ascii="宋体" w:hAnsi="宋体" w:cs="宋体"/>
          <w:b/>
          <w:color w:val="auto"/>
          <w:kern w:val="0"/>
          <w:sz w:val="32"/>
          <w:szCs w:val="32"/>
          <w:highlight w:val="none"/>
          <w:lang w:val="zh-CN"/>
        </w:rPr>
      </w:pPr>
      <w:bookmarkStart w:id="46" w:name="_Toc31708_WPSOffice_Level1"/>
      <w:bookmarkStart w:id="47" w:name="_Toc30723_WPSOffice_Level1"/>
      <w:r>
        <w:rPr>
          <w:rFonts w:hint="eastAsia" w:ascii="宋体" w:hAnsi="宋体" w:cs="宋体"/>
          <w:b/>
          <w:color w:val="auto"/>
          <w:kern w:val="0"/>
          <w:sz w:val="32"/>
          <w:szCs w:val="32"/>
          <w:highlight w:val="none"/>
          <w:lang w:val="zh-CN"/>
        </w:rPr>
        <w:t>投标声明书</w:t>
      </w:r>
      <w:bookmarkEnd w:id="46"/>
      <w:bookmarkEnd w:id="47"/>
    </w:p>
    <w:p>
      <w:pPr>
        <w:keepNext w:val="0"/>
        <w:keepLines w:val="0"/>
        <w:pageBreakBefore w:val="0"/>
        <w:widowControl w:val="0"/>
        <w:kinsoku/>
        <w:wordWrap/>
        <w:overflowPunct/>
        <w:topLinePunct w:val="0"/>
        <w:autoSpaceDE/>
        <w:autoSpaceDN/>
        <w:bidi w:val="0"/>
        <w:adjustRightInd/>
        <w:snapToGrid w:val="0"/>
        <w:spacing w:line="312" w:lineRule="auto"/>
        <w:textAlignment w:val="auto"/>
        <w:rPr>
          <w:rStyle w:val="50"/>
          <w:rFonts w:ascii="宋体" w:hAnsi="宋体"/>
          <w:color w:val="auto"/>
          <w:sz w:val="24"/>
          <w:highlight w:val="none"/>
        </w:rPr>
      </w:pPr>
      <w:r>
        <w:rPr>
          <w:rStyle w:val="50"/>
          <w:rFonts w:ascii="宋体" w:hAnsi="宋体"/>
          <w:color w:val="auto"/>
          <w:sz w:val="24"/>
          <w:highlight w:val="none"/>
        </w:rPr>
        <w:t>台州天兴工程管理咨询有限公司：</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Style w:val="50"/>
          <w:rFonts w:ascii="宋体" w:hAnsi="宋体"/>
          <w:color w:val="auto"/>
          <w:sz w:val="24"/>
          <w:highlight w:val="none"/>
        </w:rPr>
      </w:pPr>
      <w:r>
        <w:rPr>
          <w:rStyle w:val="50"/>
          <w:rFonts w:ascii="宋体" w:hAnsi="宋体"/>
          <w:color w:val="auto"/>
          <w:sz w:val="24"/>
          <w:highlight w:val="none"/>
          <w:u w:val="single"/>
        </w:rPr>
        <w:t>（投标人名称）</w:t>
      </w:r>
      <w:r>
        <w:rPr>
          <w:rStyle w:val="50"/>
          <w:rFonts w:ascii="宋体" w:hAnsi="宋体"/>
          <w:color w:val="auto"/>
          <w:sz w:val="24"/>
          <w:highlight w:val="none"/>
        </w:rPr>
        <w:t>系中华人民共和国合法企业，经营地址</w:t>
      </w:r>
      <w:r>
        <w:rPr>
          <w:rStyle w:val="50"/>
          <w:rFonts w:hint="eastAsia" w:ascii="宋体" w:hAnsi="宋体"/>
          <w:color w:val="auto"/>
          <w:sz w:val="24"/>
          <w:highlight w:val="none"/>
          <w:u w:val="single"/>
        </w:rPr>
        <w:t xml:space="preserve">     </w:t>
      </w:r>
      <w:r>
        <w:rPr>
          <w:rStyle w:val="50"/>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Style w:val="50"/>
          <w:rFonts w:ascii="宋体" w:hAnsi="宋体"/>
          <w:color w:val="auto"/>
          <w:kern w:val="0"/>
          <w:sz w:val="24"/>
          <w:highlight w:val="none"/>
        </w:rPr>
      </w:pPr>
      <w:r>
        <w:rPr>
          <w:rStyle w:val="50"/>
          <w:rFonts w:ascii="宋体" w:hAnsi="宋体"/>
          <w:color w:val="auto"/>
          <w:kern w:val="0"/>
          <w:sz w:val="24"/>
          <w:highlight w:val="none"/>
        </w:rPr>
        <w:t>我（</w:t>
      </w:r>
      <w:r>
        <w:rPr>
          <w:rStyle w:val="50"/>
          <w:rFonts w:ascii="宋体" w:hAnsi="宋体"/>
          <w:color w:val="auto"/>
          <w:kern w:val="0"/>
          <w:sz w:val="24"/>
          <w:highlight w:val="none"/>
          <w:u w:val="single"/>
        </w:rPr>
        <w:t xml:space="preserve"> 姓名 </w:t>
      </w:r>
      <w:r>
        <w:rPr>
          <w:rStyle w:val="50"/>
          <w:rFonts w:ascii="宋体" w:hAnsi="宋体"/>
          <w:color w:val="auto"/>
          <w:kern w:val="0"/>
          <w:sz w:val="24"/>
          <w:highlight w:val="none"/>
        </w:rPr>
        <w:t>）系（</w:t>
      </w:r>
      <w:r>
        <w:rPr>
          <w:rStyle w:val="50"/>
          <w:rFonts w:ascii="宋体" w:hAnsi="宋体"/>
          <w:color w:val="auto"/>
          <w:kern w:val="0"/>
          <w:sz w:val="24"/>
          <w:highlight w:val="none"/>
          <w:u w:val="single"/>
        </w:rPr>
        <w:t xml:space="preserve"> 投标人名称 </w:t>
      </w:r>
      <w:r>
        <w:rPr>
          <w:rStyle w:val="50"/>
          <w:rFonts w:ascii="宋体" w:hAnsi="宋体"/>
          <w:color w:val="auto"/>
          <w:kern w:val="0"/>
          <w:sz w:val="24"/>
          <w:highlight w:val="none"/>
        </w:rPr>
        <w:t>）的法定代表人，我公司自愿参加贵方组织的</w:t>
      </w:r>
      <w:r>
        <w:rPr>
          <w:rStyle w:val="50"/>
          <w:rFonts w:hint="eastAsia" w:ascii="宋体" w:hAnsi="宋体"/>
          <w:color w:val="auto"/>
          <w:kern w:val="0"/>
          <w:sz w:val="24"/>
          <w:highlight w:val="none"/>
          <w:u w:val="single"/>
          <w:lang w:eastAsia="zh-CN"/>
        </w:rPr>
        <w:t>《椒江政协履职实践》丛书出版印刷项目</w:t>
      </w:r>
      <w:r>
        <w:rPr>
          <w:rStyle w:val="50"/>
          <w:rFonts w:ascii="宋体" w:hAnsi="宋体"/>
          <w:color w:val="auto"/>
          <w:kern w:val="0"/>
          <w:sz w:val="24"/>
          <w:highlight w:val="none"/>
        </w:rPr>
        <w:t>（编号为</w:t>
      </w:r>
      <w:r>
        <w:rPr>
          <w:rStyle w:val="50"/>
          <w:rFonts w:hint="eastAsia" w:ascii="宋体" w:hAnsi="宋体"/>
          <w:color w:val="auto"/>
          <w:kern w:val="0"/>
          <w:sz w:val="24"/>
          <w:highlight w:val="none"/>
          <w:u w:val="single"/>
        </w:rPr>
        <w:t>TZTX-2024-</w:t>
      </w:r>
      <w:r>
        <w:rPr>
          <w:rStyle w:val="50"/>
          <w:rFonts w:hint="eastAsia" w:ascii="宋体" w:hAnsi="宋体"/>
          <w:color w:val="auto"/>
          <w:kern w:val="0"/>
          <w:sz w:val="24"/>
          <w:highlight w:val="none"/>
          <w:u w:val="single"/>
          <w:lang w:eastAsia="zh-CN"/>
        </w:rPr>
        <w:t>GK030</w:t>
      </w:r>
      <w:r>
        <w:rPr>
          <w:rStyle w:val="50"/>
          <w:rFonts w:ascii="宋体" w:hAnsi="宋体"/>
          <w:color w:val="auto"/>
          <w:kern w:val="0"/>
          <w:sz w:val="24"/>
          <w:highlight w:val="none"/>
        </w:rPr>
        <w:t>）的投标，为此，我公司就本次投标有关事项郑重声明如下：</w:t>
      </w:r>
    </w:p>
    <w:p>
      <w:pPr>
        <w:keepNext w:val="0"/>
        <w:keepLines w:val="0"/>
        <w:pageBreakBefore w:val="0"/>
        <w:widowControl w:val="0"/>
        <w:numPr>
          <w:ilvl w:val="0"/>
          <w:numId w:val="8"/>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keepNext w:val="0"/>
        <w:keepLines w:val="0"/>
        <w:pageBreakBefore w:val="0"/>
        <w:widowControl w:val="0"/>
        <w:numPr>
          <w:ilvl w:val="0"/>
          <w:numId w:val="8"/>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keepNext w:val="0"/>
        <w:keepLines w:val="0"/>
        <w:pageBreakBefore w:val="0"/>
        <w:widowControl w:val="0"/>
        <w:numPr>
          <w:ilvl w:val="0"/>
          <w:numId w:val="8"/>
        </w:numPr>
        <w:kinsoku/>
        <w:wordWrap/>
        <w:overflowPunct/>
        <w:topLinePunct w:val="0"/>
        <w:autoSpaceDE/>
        <w:autoSpaceDN/>
        <w:bidi w:val="0"/>
        <w:adjustRightInd/>
        <w:snapToGrid w:val="0"/>
        <w:spacing w:line="312" w:lineRule="auto"/>
        <w:ind w:firstLine="480" w:firstLineChars="200"/>
        <w:textAlignment w:val="auto"/>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auto"/>
          <w:kern w:val="0"/>
          <w:sz w:val="24"/>
          <w:highlight w:val="none"/>
          <w:lang w:val="af-ZA"/>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auto"/>
          <w:kern w:val="0"/>
          <w:sz w:val="24"/>
          <w:highlight w:val="none"/>
          <w:lang w:val="af-ZA"/>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val="af-ZA"/>
        </w:rPr>
        <w:t>投标文件有效期为投标截止日起90天。</w:t>
      </w:r>
      <w:r>
        <w:rPr>
          <w:rFonts w:hint="eastAsia" w:ascii="宋体" w:hAnsi="宋体" w:eastAsia="宋体" w:cs="宋体"/>
          <w:color w:val="auto"/>
          <w:kern w:val="0"/>
          <w:sz w:val="24"/>
          <w:highlight w:val="none"/>
          <w:lang w:val="af-ZA" w:eastAsia="zh-CN"/>
        </w:rPr>
        <w:t>若被确定为中标人，</w:t>
      </w:r>
      <w:r>
        <w:rPr>
          <w:rFonts w:hint="eastAsia" w:ascii="宋体" w:hAnsi="宋体" w:eastAsia="宋体" w:cs="宋体"/>
          <w:color w:val="auto"/>
          <w:kern w:val="0"/>
          <w:sz w:val="24"/>
          <w:highlight w:val="none"/>
          <w:lang w:val="af-ZA"/>
        </w:rPr>
        <w:t>投标文件自开标之日起至合同履行完毕均应保持有效。</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Ansi="宋体"/>
          <w:color w:val="auto"/>
          <w:kern w:val="0"/>
          <w:sz w:val="24"/>
          <w:highlight w:val="none"/>
          <w:lang w:val="zh-CN"/>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af-ZA"/>
        </w:rPr>
        <w:t>、</w:t>
      </w:r>
      <w:r>
        <w:rPr>
          <w:rFonts w:hint="eastAsia" w:hAnsi="宋体"/>
          <w:color w:val="auto"/>
          <w:kern w:val="0"/>
          <w:sz w:val="24"/>
          <w:highlight w:val="none"/>
          <w:lang w:val="af-ZA"/>
        </w:rPr>
        <w:t>我</w:t>
      </w:r>
      <w:r>
        <w:rPr>
          <w:rFonts w:hint="eastAsia" w:hAnsi="宋体"/>
          <w:color w:val="auto"/>
          <w:kern w:val="0"/>
          <w:sz w:val="24"/>
          <w:highlight w:val="none"/>
          <w:lang w:val="zh-CN"/>
        </w:rPr>
        <w:t>公司如被确定为中标人，保证在中标结果公示后五个工作日内缴纳采购代理服务费陆仟元整</w:t>
      </w:r>
      <w:r>
        <w:rPr>
          <w:rStyle w:val="50"/>
          <w:rFonts w:hAnsi="宋体"/>
          <w:color w:val="auto"/>
          <w:kern w:val="0"/>
          <w:sz w:val="24"/>
          <w:szCs w:val="22"/>
          <w:highlight w:val="none"/>
          <w:lang w:val="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776" w:type="dxa"/>
            <w:vAlign w:val="center"/>
          </w:tcPr>
          <w:p>
            <w:pPr>
              <w:pStyle w:val="14"/>
              <w:keepNext w:val="0"/>
              <w:keepLines w:val="0"/>
              <w:pageBreakBefore w:val="0"/>
              <w:widowControl w:val="0"/>
              <w:kinsoku/>
              <w:wordWrap/>
              <w:overflowPunct/>
              <w:topLinePunct w:val="0"/>
              <w:autoSpaceDE/>
              <w:autoSpaceDN/>
              <w:bidi w:val="0"/>
              <w:adjustRightInd/>
              <w:snapToGrid/>
              <w:spacing w:line="280" w:lineRule="exact"/>
              <w:textAlignment w:val="auto"/>
              <w:rPr>
                <w:rFonts w:hAnsi="宋体"/>
                <w:color w:val="auto"/>
                <w:kern w:val="0"/>
                <w:sz w:val="24"/>
                <w:highlight w:val="none"/>
                <w:lang w:val="zh-CN"/>
              </w:rPr>
            </w:pPr>
            <w:r>
              <w:rPr>
                <w:rFonts w:hint="eastAsia" w:hAnsi="宋体"/>
                <w:color w:val="auto"/>
                <w:kern w:val="0"/>
                <w:sz w:val="24"/>
                <w:highlight w:val="none"/>
                <w:lang w:val="zh-CN"/>
              </w:rPr>
              <w:t>开票信息</w:t>
            </w:r>
          </w:p>
          <w:p>
            <w:pPr>
              <w:pStyle w:val="14"/>
              <w:keepNext w:val="0"/>
              <w:keepLines w:val="0"/>
              <w:pageBreakBefore w:val="0"/>
              <w:widowControl w:val="0"/>
              <w:kinsoku/>
              <w:wordWrap/>
              <w:overflowPunct/>
              <w:topLinePunct w:val="0"/>
              <w:autoSpaceDE/>
              <w:autoSpaceDN/>
              <w:bidi w:val="0"/>
              <w:adjustRightInd/>
              <w:snapToGrid/>
              <w:spacing w:line="280" w:lineRule="exact"/>
              <w:textAlignment w:val="auto"/>
              <w:rPr>
                <w:rFonts w:hAnsi="宋体"/>
                <w:color w:val="auto"/>
                <w:kern w:val="0"/>
                <w:sz w:val="24"/>
                <w:highlight w:val="none"/>
                <w:lang w:val="zh-CN"/>
              </w:rPr>
            </w:pPr>
            <w:r>
              <w:rPr>
                <w:rFonts w:hint="eastAsia" w:hAnsi="宋体"/>
                <w:color w:val="auto"/>
                <w:kern w:val="0"/>
                <w:sz w:val="24"/>
                <w:highlight w:val="none"/>
                <w:lang w:val="zh-CN"/>
              </w:rPr>
              <w:t>（普通发票只需要提供纳税识别号，专用发票需要财务确认过的开票信息）</w:t>
            </w:r>
          </w:p>
        </w:tc>
        <w:tc>
          <w:tcPr>
            <w:tcW w:w="4984" w:type="dxa"/>
          </w:tcPr>
          <w:p>
            <w:pPr>
              <w:pStyle w:val="14"/>
              <w:keepNext w:val="0"/>
              <w:keepLines w:val="0"/>
              <w:pageBreakBefore w:val="0"/>
              <w:widowControl w:val="0"/>
              <w:kinsoku/>
              <w:wordWrap/>
              <w:overflowPunct/>
              <w:topLinePunct w:val="0"/>
              <w:autoSpaceDE/>
              <w:autoSpaceDN/>
              <w:bidi w:val="0"/>
              <w:adjustRightInd/>
              <w:snapToGrid/>
              <w:spacing w:line="280" w:lineRule="exact"/>
              <w:textAlignment w:val="auto"/>
              <w:rPr>
                <w:rFonts w:hAnsi="宋体"/>
                <w:color w:val="auto"/>
                <w:kern w:val="0"/>
                <w:sz w:val="24"/>
                <w:highlight w:val="none"/>
                <w:lang w:val="zh-CN"/>
              </w:rPr>
            </w:pPr>
            <w:r>
              <w:rPr>
                <w:rFonts w:hint="eastAsia" w:hAnsi="宋体"/>
                <w:color w:val="auto"/>
                <w:kern w:val="0"/>
                <w:sz w:val="24"/>
                <w:highlight w:val="none"/>
                <w:lang w:val="zh-CN"/>
              </w:rPr>
              <w:t>纳税人名称：</w:t>
            </w:r>
          </w:p>
          <w:p>
            <w:pPr>
              <w:pStyle w:val="14"/>
              <w:keepNext w:val="0"/>
              <w:keepLines w:val="0"/>
              <w:pageBreakBefore w:val="0"/>
              <w:widowControl w:val="0"/>
              <w:kinsoku/>
              <w:wordWrap/>
              <w:overflowPunct/>
              <w:topLinePunct w:val="0"/>
              <w:autoSpaceDE/>
              <w:autoSpaceDN/>
              <w:bidi w:val="0"/>
              <w:adjustRightInd/>
              <w:snapToGrid/>
              <w:spacing w:line="280" w:lineRule="exact"/>
              <w:textAlignment w:val="auto"/>
              <w:rPr>
                <w:rFonts w:hAnsi="宋体"/>
                <w:color w:val="auto"/>
                <w:kern w:val="0"/>
                <w:sz w:val="24"/>
                <w:highlight w:val="none"/>
                <w:lang w:val="zh-CN"/>
              </w:rPr>
            </w:pPr>
            <w:r>
              <w:rPr>
                <w:rFonts w:hint="eastAsia" w:hAnsi="宋体"/>
                <w:color w:val="auto"/>
                <w:kern w:val="0"/>
                <w:sz w:val="24"/>
                <w:highlight w:val="none"/>
                <w:lang w:val="zh-CN"/>
              </w:rPr>
              <w:t>纳税识别号：</w:t>
            </w:r>
          </w:p>
          <w:p>
            <w:pPr>
              <w:pStyle w:val="14"/>
              <w:keepNext w:val="0"/>
              <w:keepLines w:val="0"/>
              <w:pageBreakBefore w:val="0"/>
              <w:widowControl w:val="0"/>
              <w:kinsoku/>
              <w:wordWrap/>
              <w:overflowPunct/>
              <w:topLinePunct w:val="0"/>
              <w:autoSpaceDE/>
              <w:autoSpaceDN/>
              <w:bidi w:val="0"/>
              <w:adjustRightInd/>
              <w:snapToGrid/>
              <w:spacing w:line="280" w:lineRule="exact"/>
              <w:textAlignment w:val="auto"/>
              <w:rPr>
                <w:rFonts w:hAnsi="宋体"/>
                <w:color w:val="auto"/>
                <w:kern w:val="0"/>
                <w:sz w:val="24"/>
                <w:highlight w:val="none"/>
                <w:lang w:val="zh-CN"/>
              </w:rPr>
            </w:pPr>
            <w:r>
              <w:rPr>
                <w:rFonts w:hint="eastAsia" w:hAnsi="宋体"/>
                <w:color w:val="auto"/>
                <w:kern w:val="0"/>
                <w:sz w:val="24"/>
                <w:highlight w:val="none"/>
                <w:lang w:val="zh-CN"/>
              </w:rPr>
              <w:t>（税务部门备案的）地址：</w:t>
            </w:r>
          </w:p>
          <w:p>
            <w:pPr>
              <w:pStyle w:val="14"/>
              <w:keepNext w:val="0"/>
              <w:keepLines w:val="0"/>
              <w:pageBreakBefore w:val="0"/>
              <w:widowControl w:val="0"/>
              <w:kinsoku/>
              <w:wordWrap/>
              <w:overflowPunct/>
              <w:topLinePunct w:val="0"/>
              <w:autoSpaceDE/>
              <w:autoSpaceDN/>
              <w:bidi w:val="0"/>
              <w:adjustRightInd/>
              <w:snapToGrid/>
              <w:spacing w:line="280" w:lineRule="exact"/>
              <w:textAlignment w:val="auto"/>
              <w:rPr>
                <w:rFonts w:hAnsi="宋体"/>
                <w:color w:val="auto"/>
                <w:kern w:val="0"/>
                <w:sz w:val="24"/>
                <w:highlight w:val="none"/>
                <w:lang w:val="zh-CN"/>
              </w:rPr>
            </w:pPr>
            <w:r>
              <w:rPr>
                <w:rFonts w:hint="eastAsia" w:hAnsi="宋体"/>
                <w:color w:val="auto"/>
                <w:kern w:val="0"/>
                <w:sz w:val="24"/>
                <w:highlight w:val="none"/>
                <w:lang w:val="zh-CN"/>
              </w:rPr>
              <w:t>（税务部门备案的）电话：</w:t>
            </w:r>
          </w:p>
          <w:p>
            <w:pPr>
              <w:pStyle w:val="14"/>
              <w:keepNext w:val="0"/>
              <w:keepLines w:val="0"/>
              <w:pageBreakBefore w:val="0"/>
              <w:widowControl w:val="0"/>
              <w:kinsoku/>
              <w:wordWrap/>
              <w:overflowPunct/>
              <w:topLinePunct w:val="0"/>
              <w:autoSpaceDE/>
              <w:autoSpaceDN/>
              <w:bidi w:val="0"/>
              <w:adjustRightInd/>
              <w:snapToGrid/>
              <w:spacing w:line="280" w:lineRule="exact"/>
              <w:textAlignment w:val="auto"/>
              <w:rPr>
                <w:rFonts w:hAnsi="宋体"/>
                <w:color w:val="auto"/>
                <w:kern w:val="0"/>
                <w:sz w:val="24"/>
                <w:highlight w:val="none"/>
                <w:lang w:val="zh-CN"/>
              </w:rPr>
            </w:pPr>
            <w:r>
              <w:rPr>
                <w:rFonts w:hint="eastAsia" w:hAnsi="宋体"/>
                <w:color w:val="auto"/>
                <w:kern w:val="0"/>
                <w:sz w:val="24"/>
                <w:highlight w:val="none"/>
                <w:lang w:val="zh-CN"/>
              </w:rPr>
              <w:t>开户行：</w:t>
            </w:r>
          </w:p>
          <w:p>
            <w:pPr>
              <w:pStyle w:val="14"/>
              <w:keepNext w:val="0"/>
              <w:keepLines w:val="0"/>
              <w:pageBreakBefore w:val="0"/>
              <w:widowControl w:val="0"/>
              <w:kinsoku/>
              <w:wordWrap/>
              <w:overflowPunct/>
              <w:topLinePunct w:val="0"/>
              <w:autoSpaceDE/>
              <w:autoSpaceDN/>
              <w:bidi w:val="0"/>
              <w:adjustRightInd/>
              <w:snapToGrid/>
              <w:spacing w:line="280" w:lineRule="exact"/>
              <w:textAlignment w:val="auto"/>
              <w:rPr>
                <w:rFonts w:hAnsi="宋体"/>
                <w:color w:val="auto"/>
                <w:kern w:val="0"/>
                <w:sz w:val="24"/>
                <w:highlight w:val="none"/>
                <w:lang w:val="zh-CN"/>
              </w:rPr>
            </w:pPr>
            <w:r>
              <w:rPr>
                <w:rFonts w:hint="eastAsia" w:hAnsi="宋体"/>
                <w:color w:val="auto"/>
                <w:kern w:val="0"/>
                <w:sz w:val="24"/>
                <w:highlight w:val="none"/>
                <w:lang w:val="zh-CN"/>
              </w:rPr>
              <w:t>银行账号：</w:t>
            </w:r>
          </w:p>
        </w:tc>
      </w:tr>
    </w:tbl>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kern w:val="0"/>
          <w:sz w:val="24"/>
          <w:highlight w:val="none"/>
          <w:lang w:val="af-ZA"/>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val="af-ZA"/>
        </w:rPr>
        <w:t>、以上事项如有虚假或隐瞒，我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288" w:lineRule="auto"/>
        <w:ind w:firstLine="4680" w:firstLineChars="1950"/>
        <w:textAlignment w:val="auto"/>
        <w:rPr>
          <w:rStyle w:val="50"/>
          <w:rFonts w:ascii="宋体" w:hAnsi="宋体"/>
          <w:color w:val="auto"/>
          <w:kern w:val="0"/>
          <w:sz w:val="24"/>
          <w:highlight w:val="none"/>
          <w:lang w:val="zh-CN"/>
        </w:rPr>
      </w:pPr>
      <w:r>
        <w:rPr>
          <w:rStyle w:val="50"/>
          <w:rFonts w:ascii="宋体" w:hAnsi="宋体"/>
          <w:color w:val="auto"/>
          <w:kern w:val="0"/>
          <w:sz w:val="24"/>
          <w:highlight w:val="none"/>
          <w:lang w:val="zh-CN"/>
        </w:rPr>
        <w:t xml:space="preserve">    投标人名称(</w:t>
      </w:r>
      <w:r>
        <w:rPr>
          <w:rStyle w:val="50"/>
          <w:rFonts w:hint="eastAsia" w:ascii="宋体" w:hAnsi="宋体"/>
          <w:color w:val="auto"/>
          <w:kern w:val="0"/>
          <w:sz w:val="24"/>
          <w:highlight w:val="none"/>
          <w:lang w:val="zh-CN"/>
        </w:rPr>
        <w:t>电子印章</w:t>
      </w:r>
      <w:r>
        <w:rPr>
          <w:rStyle w:val="50"/>
          <w:rFonts w:ascii="宋体" w:hAnsi="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Style w:val="50"/>
          <w:rFonts w:ascii="宋体" w:hAnsi="宋体"/>
          <w:color w:val="auto"/>
          <w:kern w:val="0"/>
          <w:sz w:val="24"/>
          <w:highlight w:val="none"/>
          <w:lang w:val="zh-CN"/>
        </w:rPr>
      </w:pPr>
      <w:r>
        <w:rPr>
          <w:rStyle w:val="50"/>
          <w:rFonts w:ascii="宋体" w:hAnsi="宋体"/>
          <w:color w:val="auto"/>
          <w:kern w:val="0"/>
          <w:sz w:val="24"/>
          <w:highlight w:val="none"/>
          <w:lang w:val="zh-CN"/>
        </w:rPr>
        <w:t xml:space="preserve">                                    </w:t>
      </w:r>
      <w:r>
        <w:rPr>
          <w:rFonts w:hint="eastAsia" w:ascii="宋体" w:hAnsi="宋体" w:cs="仿宋_GB2312"/>
          <w:color w:val="auto"/>
          <w:kern w:val="0"/>
          <w:sz w:val="24"/>
          <w:highlight w:val="none"/>
          <w:lang w:val="zh-CN"/>
        </w:rPr>
        <w:t>法定代表人或授权委托人签字或电子印章：</w:t>
      </w:r>
    </w:p>
    <w:p>
      <w:pPr>
        <w:keepNext w:val="0"/>
        <w:keepLines w:val="0"/>
        <w:pageBreakBefore w:val="0"/>
        <w:widowControl w:val="0"/>
        <w:kinsoku/>
        <w:wordWrap/>
        <w:overflowPunct/>
        <w:topLinePunct w:val="0"/>
        <w:autoSpaceDE/>
        <w:autoSpaceDN/>
        <w:bidi w:val="0"/>
        <w:adjustRightInd/>
        <w:snapToGrid w:val="0"/>
        <w:spacing w:line="288" w:lineRule="auto"/>
        <w:ind w:right="480"/>
        <w:jc w:val="center"/>
        <w:textAlignment w:val="auto"/>
        <w:rPr>
          <w:rFonts w:ascii="宋体" w:hAnsi="宋体"/>
          <w:color w:val="auto"/>
          <w:kern w:val="0"/>
          <w:sz w:val="24"/>
          <w:highlight w:val="none"/>
          <w:lang w:val="zh-CN"/>
        </w:rPr>
      </w:pPr>
      <w:r>
        <w:rPr>
          <w:rStyle w:val="50"/>
          <w:rFonts w:ascii="宋体" w:hAnsi="宋体"/>
          <w:color w:val="auto"/>
          <w:kern w:val="0"/>
          <w:sz w:val="24"/>
          <w:highlight w:val="none"/>
          <w:lang w:val="zh-CN"/>
        </w:rPr>
        <w:t xml:space="preserve">                                  日期：</w:t>
      </w:r>
      <w:r>
        <w:rPr>
          <w:rStyle w:val="50"/>
          <w:rFonts w:ascii="宋体" w:hAnsi="宋体"/>
          <w:color w:val="auto"/>
          <w:sz w:val="24"/>
          <w:highlight w:val="none"/>
        </w:rPr>
        <w:t>××</w:t>
      </w:r>
      <w:r>
        <w:rPr>
          <w:rStyle w:val="50"/>
          <w:rFonts w:ascii="宋体" w:hAnsi="宋体"/>
          <w:color w:val="auto"/>
          <w:kern w:val="0"/>
          <w:sz w:val="24"/>
          <w:highlight w:val="none"/>
          <w:lang w:val="zh-CN"/>
        </w:rPr>
        <w:t xml:space="preserve">年 </w:t>
      </w:r>
      <w:r>
        <w:rPr>
          <w:rStyle w:val="50"/>
          <w:rFonts w:ascii="宋体" w:hAnsi="宋体"/>
          <w:color w:val="auto"/>
          <w:sz w:val="24"/>
          <w:highlight w:val="none"/>
        </w:rPr>
        <w:t>××</w:t>
      </w:r>
      <w:r>
        <w:rPr>
          <w:rStyle w:val="50"/>
          <w:rFonts w:ascii="宋体" w:hAnsi="宋体"/>
          <w:color w:val="auto"/>
          <w:kern w:val="0"/>
          <w:sz w:val="24"/>
          <w:highlight w:val="none"/>
          <w:lang w:val="zh-CN"/>
        </w:rPr>
        <w:t xml:space="preserve"> 月 </w:t>
      </w:r>
      <w:r>
        <w:rPr>
          <w:rStyle w:val="50"/>
          <w:rFonts w:ascii="宋体" w:hAnsi="宋体"/>
          <w:color w:val="auto"/>
          <w:sz w:val="24"/>
          <w:highlight w:val="none"/>
        </w:rPr>
        <w:t>××</w:t>
      </w:r>
      <w:r>
        <w:rPr>
          <w:rStyle w:val="50"/>
          <w:rFonts w:ascii="宋体" w:hAnsi="宋体"/>
          <w:color w:val="auto"/>
          <w:kern w:val="0"/>
          <w:sz w:val="24"/>
          <w:highlight w:val="none"/>
          <w:lang w:val="zh-CN"/>
        </w:rPr>
        <w:t xml:space="preserve"> 日</w:t>
      </w:r>
    </w:p>
    <w:p>
      <w:pPr>
        <w:adjustRightInd w:val="0"/>
        <w:snapToGrid w:val="0"/>
        <w:spacing w:line="360" w:lineRule="auto"/>
        <w:ind w:right="480"/>
        <w:rPr>
          <w:rFonts w:ascii="宋体" w:hAnsi="宋体" w:cs="宋体"/>
          <w:b/>
          <w:color w:val="auto"/>
          <w:sz w:val="24"/>
          <w:highlight w:val="none"/>
        </w:rPr>
      </w:pPr>
      <w:r>
        <w:rPr>
          <w:rFonts w:hint="eastAsia" w:ascii="宋体" w:hAnsi="宋体" w:cs="宋体"/>
          <w:b/>
          <w:color w:val="auto"/>
          <w:sz w:val="24"/>
          <w:highlight w:val="none"/>
        </w:rPr>
        <w:t>附件3</w:t>
      </w:r>
    </w:p>
    <w:p>
      <w:pPr>
        <w:spacing w:line="360" w:lineRule="auto"/>
        <w:ind w:firstLine="321" w:firstLineChars="100"/>
        <w:jc w:val="center"/>
        <w:rPr>
          <w:rFonts w:ascii="宋体" w:hAnsi="宋体" w:cs="宋体"/>
          <w:b/>
          <w:color w:val="auto"/>
          <w:sz w:val="32"/>
          <w:szCs w:val="32"/>
          <w:highlight w:val="none"/>
          <w:u w:val="single"/>
        </w:rPr>
      </w:pPr>
      <w:bookmarkStart w:id="48" w:name="_Toc24373_WPSOffice_Level1"/>
      <w:bookmarkStart w:id="49" w:name="_Toc6870_WPSOffice_Level1"/>
      <w:r>
        <w:rPr>
          <w:rFonts w:hint="eastAsia" w:ascii="宋体" w:hAnsi="宋体" w:cs="宋体"/>
          <w:b/>
          <w:color w:val="auto"/>
          <w:sz w:val="32"/>
          <w:szCs w:val="32"/>
          <w:highlight w:val="none"/>
        </w:rPr>
        <w:t>授权委托书</w:t>
      </w:r>
      <w:bookmarkEnd w:id="48"/>
      <w:bookmarkEnd w:id="49"/>
    </w:p>
    <w:p>
      <w:pPr>
        <w:snapToGrid w:val="0"/>
        <w:spacing w:beforeLines="50" w:after="50" w:line="360" w:lineRule="auto"/>
        <w:rPr>
          <w:rFonts w:ascii="宋体" w:hAnsi="宋体" w:cs="宋体"/>
          <w:color w:val="auto"/>
          <w:kern w:val="0"/>
          <w:sz w:val="24"/>
          <w:highlight w:val="none"/>
        </w:rPr>
      </w:pPr>
      <w:r>
        <w:rPr>
          <w:rStyle w:val="50"/>
          <w:rFonts w:ascii="宋体" w:hAnsi="宋体"/>
          <w:color w:val="auto"/>
          <w:sz w:val="24"/>
          <w:highlight w:val="none"/>
        </w:rPr>
        <w:t>台州天兴工程管理咨询有限公司</w:t>
      </w:r>
      <w:r>
        <w:rPr>
          <w:rFonts w:hint="eastAsia" w:ascii="宋体" w:hAnsi="宋体" w:cs="宋体"/>
          <w:color w:val="auto"/>
          <w:kern w:val="0"/>
          <w:sz w:val="24"/>
          <w:highlight w:val="none"/>
        </w:rPr>
        <w:t>：</w:t>
      </w:r>
    </w:p>
    <w:p>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（授权代表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授权代表</w:t>
      </w:r>
      <w:r>
        <w:rPr>
          <w:rFonts w:hAnsi="宋体"/>
          <w:color w:val="auto"/>
          <w:sz w:val="24"/>
          <w:highlight w:val="none"/>
        </w:rPr>
        <w:t>，参加贵单位组织的</w:t>
      </w:r>
      <w:r>
        <w:rPr>
          <w:rStyle w:val="50"/>
          <w:rFonts w:hint="eastAsia" w:hAnsi="宋体"/>
          <w:color w:val="auto"/>
          <w:kern w:val="0"/>
          <w:sz w:val="24"/>
          <w:highlight w:val="none"/>
          <w:u w:val="single"/>
          <w:lang w:eastAsia="zh-CN"/>
        </w:rPr>
        <w:t>《椒江政协履职实践》丛书出版印刷项目</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我方对授权代表的签字事项负全部责任。</w:t>
      </w:r>
    </w:p>
    <w:p>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在撤销授权的书面通知以前，本授权书一直有效。授权代表在授权委托书有效期内签署的所有文件不因授权的撤销而失效。</w:t>
      </w:r>
    </w:p>
    <w:p>
      <w:pPr>
        <w:pStyle w:val="14"/>
        <w:spacing w:line="360" w:lineRule="auto"/>
        <w:ind w:firstLine="480" w:firstLineChars="200"/>
        <w:rPr>
          <w:rFonts w:hAnsi="宋体"/>
          <w:color w:val="auto"/>
          <w:sz w:val="24"/>
          <w:highlight w:val="none"/>
        </w:rPr>
      </w:pPr>
      <w:r>
        <w:rPr>
          <w:rFonts w:hint="eastAsia" w:hAnsi="宋体"/>
          <w:color w:val="auto"/>
          <w:sz w:val="24"/>
          <w:highlight w:val="none"/>
        </w:rPr>
        <w:t>授权代表无转委托权，特此委托。</w:t>
      </w:r>
    </w:p>
    <w:p>
      <w:pPr>
        <w:spacing w:line="360" w:lineRule="auto"/>
        <w:rPr>
          <w:rFonts w:ascii="宋体" w:hAnsi="宋体" w:cs="宋体"/>
          <w:color w:val="auto"/>
          <w:sz w:val="24"/>
          <w:highlight w:val="none"/>
        </w:rPr>
      </w:pPr>
    </w:p>
    <w:p>
      <w:pPr>
        <w:spacing w:line="360" w:lineRule="auto"/>
        <w:rPr>
          <w:color w:val="auto"/>
          <w:sz w:val="24"/>
          <w:highlight w:val="none"/>
        </w:rPr>
      </w:pPr>
      <w:bookmarkStart w:id="50" w:name="_Toc20519_WPSOffice_Level1"/>
      <w:bookmarkStart w:id="51" w:name="_Toc351_WPSOffice_Level1"/>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投标人全称（电子印章）：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法定代表身份证复印件粘贴处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授权代表身份证复印件粘贴处</w:t>
            </w:r>
          </w:p>
        </w:tc>
      </w:tr>
    </w:tbl>
    <w:p>
      <w:pPr>
        <w:spacing w:line="360" w:lineRule="auto"/>
        <w:rPr>
          <w:rFonts w:ascii="宋体"/>
          <w:color w:val="auto"/>
          <w:sz w:val="24"/>
          <w:highlight w:val="none"/>
        </w:rPr>
      </w:pPr>
      <w:r>
        <w:rPr>
          <w:rFonts w:hint="eastAsia" w:ascii="宋体"/>
          <w:color w:val="auto"/>
          <w:sz w:val="24"/>
          <w:highlight w:val="none"/>
        </w:rPr>
        <w:t xml:space="preserve">授权代表姓名：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p>
    <w:p>
      <w:pPr>
        <w:snapToGrid w:val="0"/>
        <w:spacing w:beforeLines="50" w:after="50" w:line="360" w:lineRule="auto"/>
        <w:rPr>
          <w:rFonts w:ascii="宋体" w:hAnsi="宋体"/>
          <w:b/>
          <w:color w:val="auto"/>
          <w:sz w:val="24"/>
          <w:szCs w:val="28"/>
          <w:highlight w:val="none"/>
        </w:rPr>
      </w:pPr>
      <w:r>
        <w:rPr>
          <w:rFonts w:hint="eastAsia" w:ascii="宋体" w:hAnsi="宋体"/>
          <w:b/>
          <w:color w:val="auto"/>
          <w:sz w:val="24"/>
          <w:highlight w:val="none"/>
        </w:rPr>
        <w:t>附件4</w:t>
      </w:r>
    </w:p>
    <w:p>
      <w:pPr>
        <w:spacing w:line="312" w:lineRule="auto"/>
        <w:ind w:right="-110"/>
        <w:jc w:val="center"/>
        <w:rPr>
          <w:rFonts w:ascii="宋体" w:hAnsi="宋体" w:cs="宋体"/>
          <w:b/>
          <w:color w:val="auto"/>
          <w:sz w:val="32"/>
          <w:szCs w:val="32"/>
          <w:highlight w:val="none"/>
        </w:rPr>
      </w:pPr>
      <w:r>
        <w:rPr>
          <w:rFonts w:hint="eastAsia" w:ascii="宋体" w:hAnsi="宋体" w:cs="宋体"/>
          <w:color w:val="auto"/>
          <w:sz w:val="24"/>
          <w:highlight w:val="none"/>
        </w:rPr>
        <w:t xml:space="preserve">    </w:t>
      </w:r>
      <w:r>
        <w:rPr>
          <w:rFonts w:ascii="宋体" w:hAnsi="宋体" w:cs="宋体"/>
          <w:b/>
          <w:color w:val="auto"/>
          <w:sz w:val="32"/>
          <w:szCs w:val="32"/>
          <w:highlight w:val="none"/>
        </w:rPr>
        <w:t>中小企业声明函（工程、服务）</w:t>
      </w:r>
    </w:p>
    <w:p>
      <w:pPr>
        <w:pStyle w:val="40"/>
        <w:spacing w:line="480" w:lineRule="auto"/>
        <w:ind w:firstLine="504" w:firstLineChars="200"/>
        <w:rPr>
          <w:rFonts w:ascii="宋体" w:hAnsi="宋体" w:cs="宋体"/>
          <w:color w:val="auto"/>
          <w:spacing w:val="6"/>
          <w:sz w:val="24"/>
          <w:highlight w:val="none"/>
        </w:rPr>
      </w:pPr>
      <w:r>
        <w:rPr>
          <w:rFonts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lang w:eastAsia="zh-CN"/>
        </w:rPr>
        <w:t>中国人民政治协商会议台州市椒江区委员会办公室</w:t>
      </w:r>
      <w:r>
        <w:rPr>
          <w:rFonts w:hint="eastAsia" w:ascii="宋体" w:hAnsi="宋体" w:cs="宋体"/>
          <w:color w:val="auto"/>
          <w:spacing w:val="6"/>
          <w:sz w:val="24"/>
          <w:highlight w:val="none"/>
        </w:rPr>
        <w:t>的</w:t>
      </w:r>
      <w:r>
        <w:rPr>
          <w:rStyle w:val="50"/>
          <w:rFonts w:hint="eastAsia" w:ascii="宋体" w:hAnsi="宋体"/>
          <w:color w:val="auto"/>
          <w:kern w:val="0"/>
          <w:sz w:val="24"/>
          <w:highlight w:val="none"/>
          <w:u w:val="single"/>
          <w:lang w:eastAsia="zh-CN"/>
        </w:rPr>
        <w:t>《椒江政协履职实践》丛书出版印刷项目</w:t>
      </w:r>
      <w:r>
        <w:rPr>
          <w:rFonts w:ascii="宋体" w:hAnsi="宋体" w:cs="宋体"/>
          <w:color w:val="auto"/>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40"/>
        <w:spacing w:line="480" w:lineRule="auto"/>
        <w:ind w:firstLine="504" w:firstLineChars="200"/>
        <w:rPr>
          <w:rFonts w:ascii="宋体" w:hAnsi="宋体" w:cs="宋体"/>
          <w:color w:val="auto"/>
          <w:spacing w:val="6"/>
          <w:sz w:val="24"/>
          <w:szCs w:val="28"/>
          <w:highlight w:val="none"/>
        </w:rPr>
      </w:pPr>
      <w:r>
        <w:rPr>
          <w:rFonts w:ascii="宋体" w:hAnsi="宋体" w:cs="宋体"/>
          <w:color w:val="auto"/>
          <w:spacing w:val="6"/>
          <w:sz w:val="24"/>
          <w:highlight w:val="none"/>
        </w:rPr>
        <w:t>1.</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《椒江政协履职实践》丛书出版印刷</w:t>
      </w:r>
      <w:r>
        <w:rPr>
          <w:rFonts w:hint="eastAsia" w:ascii="宋体" w:hAnsi="宋体" w:cs="宋体"/>
          <w:b/>
          <w:color w:val="auto"/>
          <w:sz w:val="24"/>
          <w:highlight w:val="none"/>
          <w:u w:val="single"/>
          <w:lang w:val="en-US" w:eastAsia="zh-CN"/>
        </w:rPr>
        <w:t xml:space="preserve"> </w:t>
      </w:r>
      <w:r>
        <w:rPr>
          <w:rFonts w:ascii="宋体" w:hAnsi="宋体" w:cs="宋体"/>
          <w:color w:val="auto"/>
          <w:spacing w:val="6"/>
          <w:sz w:val="24"/>
          <w:highlight w:val="none"/>
        </w:rPr>
        <w:t>，属于</w:t>
      </w:r>
      <w:r>
        <w:rPr>
          <w:rFonts w:hint="eastAsia" w:ascii="宋体" w:hAnsi="宋体" w:cs="宋体"/>
          <w:b/>
          <w:color w:val="auto"/>
          <w:spacing w:val="6"/>
          <w:sz w:val="24"/>
          <w:highlight w:val="none"/>
          <w:u w:val="single"/>
        </w:rPr>
        <w:t>其他未列明行业</w:t>
      </w:r>
      <w:r>
        <w:rPr>
          <w:rFonts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u w:val="single"/>
        </w:rPr>
        <w:t>（企业名称</w:t>
      </w:r>
      <w:r>
        <w:rPr>
          <w:rFonts w:hint="eastAsia" w:ascii="宋体" w:hAnsi="宋体" w:cs="宋体"/>
          <w:color w:val="auto"/>
          <w:spacing w:val="6"/>
          <w:sz w:val="24"/>
          <w:highlight w:val="none"/>
          <w:u w:val="single"/>
        </w:rPr>
        <w:t>）</w:t>
      </w:r>
      <w:r>
        <w:rPr>
          <w:rFonts w:hint="eastAsia" w:ascii="宋体" w:hAnsi="宋体" w:cs="宋体"/>
          <w:color w:val="auto"/>
          <w:spacing w:val="6"/>
          <w:sz w:val="24"/>
          <w:highlight w:val="none"/>
        </w:rPr>
        <w:t>，</w:t>
      </w:r>
      <w:r>
        <w:rPr>
          <w:rFonts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rPr>
        <w:t>万元，资产总额为</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rPr>
        <w:t>万元</w:t>
      </w:r>
      <w:r>
        <w:rPr>
          <w:rFonts w:hint="eastAsia" w:ascii="宋体" w:hAnsi="宋体" w:cs="宋体"/>
          <w:b/>
          <w:color w:val="auto"/>
          <w:spacing w:val="6"/>
          <w:sz w:val="24"/>
          <w:highlight w:val="none"/>
        </w:rPr>
        <w:t>¹</w:t>
      </w:r>
      <w:r>
        <w:rPr>
          <w:rFonts w:ascii="宋体" w:hAnsi="宋体" w:cs="宋体"/>
          <w:color w:val="auto"/>
          <w:spacing w:val="6"/>
          <w:sz w:val="24"/>
          <w:highlight w:val="none"/>
        </w:rPr>
        <w:t>，</w:t>
      </w:r>
      <w:r>
        <w:rPr>
          <w:rFonts w:ascii="宋体" w:hAnsi="宋体" w:cs="宋体"/>
          <w:color w:val="auto"/>
          <w:spacing w:val="6"/>
          <w:sz w:val="24"/>
          <w:szCs w:val="28"/>
          <w:highlight w:val="none"/>
        </w:rPr>
        <w:t>属于</w:t>
      </w:r>
      <w:r>
        <w:rPr>
          <w:rFonts w:hint="eastAsia" w:ascii="宋体" w:hAnsi="宋体" w:cs="宋体"/>
          <w:color w:val="auto"/>
          <w:spacing w:val="6"/>
          <w:sz w:val="24"/>
          <w:szCs w:val="28"/>
          <w:highlight w:val="none"/>
          <w:u w:val="single"/>
        </w:rPr>
        <w:t xml:space="preserve">    </w:t>
      </w:r>
      <w:r>
        <w:rPr>
          <w:rFonts w:ascii="宋体" w:hAnsi="宋体" w:cs="宋体"/>
          <w:color w:val="auto"/>
          <w:spacing w:val="6"/>
          <w:sz w:val="24"/>
          <w:szCs w:val="28"/>
          <w:highlight w:val="none"/>
          <w:u w:val="single"/>
        </w:rPr>
        <w:t>(中型企业、小型企业、微型企业</w:t>
      </w:r>
      <w:r>
        <w:rPr>
          <w:rFonts w:hint="eastAsia" w:ascii="宋体" w:hAnsi="宋体" w:cs="宋体"/>
          <w:color w:val="auto"/>
          <w:spacing w:val="6"/>
          <w:sz w:val="24"/>
          <w:szCs w:val="28"/>
          <w:highlight w:val="none"/>
          <w:u w:val="single"/>
        </w:rPr>
        <w:t>)</w:t>
      </w:r>
      <w:r>
        <w:rPr>
          <w:rFonts w:ascii="宋体" w:hAnsi="宋体" w:cs="宋体"/>
          <w:color w:val="auto"/>
          <w:spacing w:val="6"/>
          <w:sz w:val="24"/>
          <w:szCs w:val="28"/>
          <w:highlight w:val="none"/>
        </w:rPr>
        <w:t>；</w:t>
      </w:r>
    </w:p>
    <w:p>
      <w:pPr>
        <w:pStyle w:val="40"/>
        <w:spacing w:line="480" w:lineRule="auto"/>
        <w:ind w:firstLine="504" w:firstLineChars="200"/>
        <w:rPr>
          <w:rFonts w:ascii="宋体" w:hAnsi="宋体" w:cs="宋体"/>
          <w:color w:val="auto"/>
          <w:spacing w:val="6"/>
          <w:sz w:val="24"/>
          <w:szCs w:val="28"/>
          <w:highlight w:val="none"/>
        </w:rPr>
      </w:pPr>
      <w:r>
        <w:rPr>
          <w:rFonts w:hint="eastAsia" w:ascii="宋体" w:hAnsi="宋体" w:cs="宋体"/>
          <w:color w:val="auto"/>
          <w:spacing w:val="6"/>
          <w:sz w:val="24"/>
          <w:highlight w:val="none"/>
        </w:rPr>
        <w:t xml:space="preserve"> 2.</w:t>
      </w:r>
      <w:r>
        <w:rPr>
          <w:rFonts w:hint="eastAsia" w:ascii="宋体" w:hAnsi="宋体" w:cs="宋体"/>
          <w:color w:val="auto"/>
          <w:sz w:val="24"/>
          <w:highlight w:val="none"/>
          <w:u w:val="single"/>
        </w:rPr>
        <w:t>（标的名称）</w:t>
      </w:r>
      <w:r>
        <w:rPr>
          <w:rFonts w:ascii="宋体" w:hAnsi="宋体" w:cs="宋体"/>
          <w:color w:val="auto"/>
          <w:spacing w:val="6"/>
          <w:sz w:val="24"/>
          <w:highlight w:val="none"/>
        </w:rPr>
        <w:t>，属于</w:t>
      </w:r>
      <w:r>
        <w:rPr>
          <w:rFonts w:hint="eastAsia" w:ascii="宋体" w:hAnsi="宋体" w:cs="宋体"/>
          <w:color w:val="auto"/>
          <w:spacing w:val="6"/>
          <w:sz w:val="24"/>
          <w:highlight w:val="none"/>
          <w:u w:val="single"/>
        </w:rPr>
        <w:t xml:space="preserve"> （采购文件中明确的所属行业）</w:t>
      </w:r>
      <w:r>
        <w:rPr>
          <w:rFonts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u w:val="single"/>
        </w:rPr>
        <w:t>（企业名称</w:t>
      </w:r>
      <w:r>
        <w:rPr>
          <w:rFonts w:hint="eastAsia" w:ascii="宋体" w:hAnsi="宋体" w:cs="宋体"/>
          <w:color w:val="auto"/>
          <w:spacing w:val="6"/>
          <w:sz w:val="24"/>
          <w:highlight w:val="none"/>
          <w:u w:val="single"/>
        </w:rPr>
        <w:t>）</w:t>
      </w:r>
      <w:r>
        <w:rPr>
          <w:rFonts w:hint="eastAsia" w:ascii="宋体" w:hAnsi="宋体" w:cs="宋体"/>
          <w:color w:val="auto"/>
          <w:spacing w:val="6"/>
          <w:sz w:val="24"/>
          <w:highlight w:val="none"/>
        </w:rPr>
        <w:t>，</w:t>
      </w:r>
      <w:r>
        <w:rPr>
          <w:rFonts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rPr>
        <w:t>万元，资产总额为</w:t>
      </w:r>
      <w:r>
        <w:rPr>
          <w:rFonts w:hint="eastAsia" w:ascii="宋体" w:hAnsi="宋体" w:cs="宋体"/>
          <w:color w:val="auto"/>
          <w:spacing w:val="6"/>
          <w:sz w:val="24"/>
          <w:highlight w:val="none"/>
          <w:u w:val="single"/>
        </w:rPr>
        <w:t xml:space="preserve">     </w:t>
      </w:r>
      <w:r>
        <w:rPr>
          <w:rFonts w:ascii="宋体" w:hAnsi="宋体" w:cs="宋体"/>
          <w:color w:val="auto"/>
          <w:spacing w:val="6"/>
          <w:sz w:val="24"/>
          <w:highlight w:val="none"/>
        </w:rPr>
        <w:t>万元</w:t>
      </w:r>
      <w:r>
        <w:rPr>
          <w:rFonts w:hint="eastAsia" w:ascii="宋体" w:hAnsi="宋体" w:cs="宋体"/>
          <w:b/>
          <w:color w:val="auto"/>
          <w:spacing w:val="6"/>
          <w:sz w:val="24"/>
          <w:highlight w:val="none"/>
        </w:rPr>
        <w:t>¹</w:t>
      </w:r>
      <w:r>
        <w:rPr>
          <w:rFonts w:ascii="宋体" w:hAnsi="宋体" w:cs="宋体"/>
          <w:color w:val="auto"/>
          <w:spacing w:val="6"/>
          <w:sz w:val="24"/>
          <w:highlight w:val="none"/>
        </w:rPr>
        <w:t>，</w:t>
      </w:r>
      <w:r>
        <w:rPr>
          <w:rFonts w:ascii="宋体" w:hAnsi="宋体" w:cs="宋体"/>
          <w:color w:val="auto"/>
          <w:spacing w:val="6"/>
          <w:sz w:val="24"/>
          <w:szCs w:val="28"/>
          <w:highlight w:val="none"/>
        </w:rPr>
        <w:t>属于</w:t>
      </w:r>
      <w:r>
        <w:rPr>
          <w:rFonts w:hint="eastAsia" w:ascii="宋体" w:hAnsi="宋体" w:cs="宋体"/>
          <w:color w:val="auto"/>
          <w:spacing w:val="6"/>
          <w:sz w:val="24"/>
          <w:szCs w:val="28"/>
          <w:highlight w:val="none"/>
          <w:u w:val="single"/>
        </w:rPr>
        <w:t xml:space="preserve">    </w:t>
      </w:r>
      <w:r>
        <w:rPr>
          <w:rFonts w:ascii="宋体" w:hAnsi="宋体" w:cs="宋体"/>
          <w:color w:val="auto"/>
          <w:spacing w:val="6"/>
          <w:sz w:val="24"/>
          <w:szCs w:val="28"/>
          <w:highlight w:val="none"/>
          <w:u w:val="single"/>
        </w:rPr>
        <w:t>(中型企业、小型企业、微型企业</w:t>
      </w:r>
      <w:r>
        <w:rPr>
          <w:rFonts w:hint="eastAsia" w:ascii="宋体" w:hAnsi="宋体" w:cs="宋体"/>
          <w:color w:val="auto"/>
          <w:spacing w:val="6"/>
          <w:sz w:val="24"/>
          <w:szCs w:val="28"/>
          <w:highlight w:val="none"/>
          <w:u w:val="single"/>
        </w:rPr>
        <w:t>)</w:t>
      </w:r>
      <w:r>
        <w:rPr>
          <w:rFonts w:ascii="宋体" w:hAnsi="宋体" w:cs="宋体"/>
          <w:color w:val="auto"/>
          <w:spacing w:val="6"/>
          <w:sz w:val="24"/>
          <w:szCs w:val="28"/>
          <w:highlight w:val="none"/>
        </w:rPr>
        <w:t>；</w:t>
      </w:r>
    </w:p>
    <w:p>
      <w:pPr>
        <w:pStyle w:val="40"/>
        <w:spacing w:line="480" w:lineRule="auto"/>
        <w:ind w:firstLine="504" w:firstLineChars="200"/>
        <w:rPr>
          <w:rFonts w:ascii="宋体" w:hAnsi="宋体" w:cs="宋体"/>
          <w:color w:val="auto"/>
          <w:spacing w:val="6"/>
          <w:sz w:val="24"/>
          <w:highlight w:val="none"/>
        </w:rPr>
      </w:pPr>
      <w:r>
        <w:rPr>
          <w:rFonts w:ascii="宋体" w:hAnsi="宋体" w:cs="宋体"/>
          <w:color w:val="auto"/>
          <w:spacing w:val="6"/>
          <w:sz w:val="24"/>
          <w:highlight w:val="none"/>
        </w:rPr>
        <w:t>……</w:t>
      </w:r>
    </w:p>
    <w:p>
      <w:pPr>
        <w:pStyle w:val="40"/>
        <w:spacing w:line="480" w:lineRule="auto"/>
        <w:ind w:firstLine="504" w:firstLineChars="200"/>
        <w:rPr>
          <w:rFonts w:ascii="宋体" w:hAnsi="宋体" w:cs="宋体"/>
          <w:color w:val="auto"/>
          <w:spacing w:val="6"/>
          <w:sz w:val="24"/>
          <w:highlight w:val="none"/>
        </w:rPr>
      </w:pPr>
      <w:r>
        <w:rPr>
          <w:rFonts w:ascii="宋体" w:hAnsi="宋体" w:cs="宋体"/>
          <w:color w:val="auto"/>
          <w:spacing w:val="6"/>
          <w:sz w:val="24"/>
          <w:highlight w:val="none"/>
        </w:rPr>
        <w:t>以上企业，不属于大企业的分支机构，不存在控股股东为大企业的情形，也不存在与大企业的负责人为同一人的情形。</w:t>
      </w:r>
    </w:p>
    <w:p>
      <w:pPr>
        <w:pStyle w:val="40"/>
        <w:spacing w:line="480" w:lineRule="auto"/>
        <w:ind w:firstLine="504" w:firstLineChars="200"/>
        <w:rPr>
          <w:rFonts w:ascii="宋体" w:hAnsi="宋体" w:cs="宋体"/>
          <w:color w:val="auto"/>
          <w:spacing w:val="6"/>
          <w:sz w:val="24"/>
          <w:highlight w:val="none"/>
        </w:rPr>
      </w:pPr>
      <w:r>
        <w:rPr>
          <w:rFonts w:ascii="宋体" w:hAnsi="宋体" w:cs="宋体"/>
          <w:color w:val="auto"/>
          <w:spacing w:val="6"/>
          <w:sz w:val="24"/>
          <w:highlight w:val="none"/>
        </w:rPr>
        <w:t>本企业对上述声明内容的真实性负责。如有虚假，将依法承担相应责任。</w:t>
      </w:r>
    </w:p>
    <w:p>
      <w:pPr>
        <w:pStyle w:val="40"/>
        <w:spacing w:line="480" w:lineRule="auto"/>
        <w:ind w:left="4253" w:leftChars="2025"/>
        <w:rPr>
          <w:rFonts w:ascii="宋体" w:hAnsi="宋体" w:cs="宋体"/>
          <w:color w:val="auto"/>
          <w:sz w:val="24"/>
          <w:highlight w:val="none"/>
        </w:rPr>
      </w:pPr>
      <w:r>
        <w:rPr>
          <w:rFonts w:ascii="宋体" w:hAnsi="宋体" w:cs="宋体"/>
          <w:color w:val="auto"/>
          <w:sz w:val="24"/>
          <w:highlight w:val="none"/>
        </w:rPr>
        <w:t>企业名称（盖章）：</w:t>
      </w:r>
    </w:p>
    <w:p>
      <w:pPr>
        <w:pStyle w:val="40"/>
        <w:spacing w:line="480" w:lineRule="auto"/>
        <w:ind w:left="4253" w:leftChars="2025"/>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rPr>
        <w:t>××年××月××日</w:t>
      </w:r>
    </w:p>
    <w:p>
      <w:pPr>
        <w:pStyle w:val="9"/>
        <w:rPr>
          <w:color w:val="auto"/>
          <w:highlight w:val="none"/>
        </w:rPr>
      </w:pPr>
    </w:p>
    <w:p>
      <w:pPr>
        <w:pStyle w:val="9"/>
        <w:rPr>
          <w:color w:val="auto"/>
          <w:highlight w:val="none"/>
        </w:rPr>
      </w:pPr>
    </w:p>
    <w:p>
      <w:pPr>
        <w:pStyle w:val="9"/>
        <w:rPr>
          <w:color w:val="auto"/>
          <w:highlight w:val="none"/>
        </w:rPr>
      </w:pPr>
    </w:p>
    <w:p>
      <w:pPr>
        <w:spacing w:line="24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pPr>
        <w:spacing w:line="240" w:lineRule="exact"/>
        <w:ind w:left="-141" w:leftChars="-67"/>
        <w:jc w:val="left"/>
        <w:rPr>
          <w:color w:val="auto"/>
          <w:szCs w:val="21"/>
          <w:highlight w:val="none"/>
        </w:rPr>
      </w:pPr>
      <w:r>
        <w:rPr>
          <w:rFonts w:hint="eastAsia" w:ascii="宋体" w:hAnsi="宋体" w:cs="宋体"/>
          <w:b/>
          <w:color w:val="auto"/>
          <w:spacing w:val="6"/>
          <w:szCs w:val="21"/>
          <w:highlight w:val="none"/>
        </w:rPr>
        <w:t>¹</w:t>
      </w:r>
      <w:r>
        <w:rPr>
          <w:color w:val="auto"/>
          <w:szCs w:val="21"/>
          <w:highlight w:val="none"/>
        </w:rPr>
        <w:t>从业人员、营业收入、资产总额填报上一年度数据，无上一年度数据的新成立企业可不填报。</w:t>
      </w:r>
    </w:p>
    <w:p>
      <w:pPr>
        <w:pStyle w:val="9"/>
        <w:rPr>
          <w:color w:val="auto"/>
          <w:highlight w:val="none"/>
        </w:rPr>
      </w:pPr>
    </w:p>
    <w:p>
      <w:pPr>
        <w:pStyle w:val="14"/>
        <w:spacing w:line="360" w:lineRule="auto"/>
        <w:ind w:firstLine="643"/>
        <w:jc w:val="center"/>
        <w:outlineLvl w:val="1"/>
        <w:rPr>
          <w:rFonts w:hAnsi="宋体"/>
          <w:b/>
          <w:color w:val="auto"/>
          <w:sz w:val="32"/>
          <w:szCs w:val="32"/>
          <w:highlight w:val="none"/>
          <w:lang w:val="en-GB"/>
        </w:rPr>
      </w:pPr>
      <w:bookmarkStart w:id="52" w:name="_Toc17646_WPSOffice_Level1"/>
      <w:bookmarkStart w:id="53" w:name="_Toc27483_WPSOffice_Level1"/>
    </w:p>
    <w:p>
      <w:pPr>
        <w:pStyle w:val="14"/>
        <w:spacing w:line="360" w:lineRule="auto"/>
        <w:ind w:firstLine="643"/>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bookmarkEnd w:id="52"/>
      <w:bookmarkEnd w:id="53"/>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highlight w:val="none"/>
          <w:u w:val="single"/>
          <w:lang w:eastAsia="zh-CN"/>
        </w:rPr>
        <w:t>中国人民政治协商会议台州市椒江区委员会办公室</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lang w:eastAsia="zh-CN"/>
        </w:rPr>
        <w:t>《椒江政协履职实践》丛书出版印刷项目</w:t>
      </w:r>
      <w:r>
        <w:rPr>
          <w:rFonts w:hint="eastAsia" w:ascii="宋体" w:hAnsi="宋体" w:cs="宋体"/>
          <w:color w:val="auto"/>
          <w:spacing w:val="6"/>
          <w:sz w:val="24"/>
          <w:highlight w:val="none"/>
        </w:rPr>
        <w:t>（项目名称）采购活动提供本单位制造的货物（由本单位承担工程/提供服务），或者提供其他残疾人福利性单位制造的货物（不包括使用非残疾人福利性单位注册商标的货物）。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w:t>
      </w:r>
    </w:p>
    <w:p>
      <w:pPr>
        <w:tabs>
          <w:tab w:val="left" w:pos="4860"/>
        </w:tabs>
        <w:spacing w:line="588" w:lineRule="exact"/>
        <w:ind w:right="1560" w:firstLine="480" w:firstLineChars="200"/>
        <w:jc w:val="center"/>
        <w:rPr>
          <w:rFonts w:ascii="宋体" w:hAnsi="宋体" w:cs="宋体"/>
          <w:color w:val="auto"/>
          <w:sz w:val="24"/>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pPr>
        <w:tabs>
          <w:tab w:val="left" w:pos="4860"/>
        </w:tabs>
        <w:spacing w:line="588" w:lineRule="exact"/>
        <w:ind w:right="1560" w:firstLine="480" w:firstLineChars="200"/>
        <w:jc w:val="center"/>
        <w:rPr>
          <w:rFonts w:ascii="宋体" w:hAnsi="宋体" w:cs="宋体"/>
          <w:color w:val="auto"/>
          <w:sz w:val="24"/>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pPr>
        <w:pStyle w:val="9"/>
        <w:rPr>
          <w:color w:val="auto"/>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t>附件</w:t>
      </w:r>
      <w:bookmarkEnd w:id="50"/>
      <w:bookmarkEnd w:id="51"/>
      <w:r>
        <w:rPr>
          <w:rFonts w:hint="eastAsia" w:ascii="宋体" w:hAnsi="宋体" w:cs="宋体"/>
          <w:b/>
          <w:color w:val="auto"/>
          <w:sz w:val="24"/>
          <w:highlight w:val="none"/>
        </w:rPr>
        <w:t>5</w:t>
      </w:r>
    </w:p>
    <w:p>
      <w:pPr>
        <w:pStyle w:val="9"/>
        <w:rPr>
          <w:rFonts w:ascii="宋体" w:hAnsi="宋体" w:cs="宋体"/>
          <w:b/>
          <w:color w:val="auto"/>
          <w:sz w:val="24"/>
          <w:highlight w:val="none"/>
        </w:rPr>
      </w:pPr>
    </w:p>
    <w:p>
      <w:pPr>
        <w:pStyle w:val="9"/>
        <w:rPr>
          <w:rFonts w:ascii="宋体" w:hAnsi="宋体" w:cs="宋体"/>
          <w:b/>
          <w:color w:val="auto"/>
          <w:sz w:val="24"/>
          <w:highlight w:val="none"/>
        </w:rPr>
      </w:pPr>
    </w:p>
    <w:p>
      <w:pPr>
        <w:spacing w:line="360" w:lineRule="auto"/>
        <w:ind w:right="-110"/>
        <w:jc w:val="center"/>
        <w:rPr>
          <w:rFonts w:hint="eastAsia" w:ascii="宋体" w:hAnsi="宋体" w:eastAsia="宋体"/>
          <w:color w:val="auto"/>
          <w:spacing w:val="40"/>
          <w:sz w:val="36"/>
          <w:szCs w:val="36"/>
          <w:highlight w:val="none"/>
          <w:lang w:eastAsia="zh-CN"/>
        </w:rPr>
      </w:pPr>
      <w:r>
        <w:rPr>
          <w:rFonts w:hint="eastAsia" w:ascii="宋体" w:hAnsi="宋体"/>
          <w:color w:val="auto"/>
          <w:spacing w:val="40"/>
          <w:sz w:val="36"/>
          <w:szCs w:val="36"/>
          <w:highlight w:val="none"/>
          <w:lang w:eastAsia="zh-CN"/>
        </w:rPr>
        <w:t>《椒江政协履职实践》丛书出版印刷项目</w:t>
      </w:r>
    </w:p>
    <w:p>
      <w:pPr>
        <w:spacing w:line="360" w:lineRule="auto"/>
        <w:ind w:right="-110"/>
        <w:jc w:val="center"/>
        <w:rPr>
          <w:color w:val="auto"/>
          <w:highlight w:val="none"/>
        </w:rPr>
      </w:pPr>
      <w:r>
        <w:rPr>
          <w:rStyle w:val="50"/>
          <w:rFonts w:ascii="宋体" w:hAnsi="宋体"/>
          <w:color w:val="auto"/>
          <w:sz w:val="36"/>
          <w:szCs w:val="36"/>
          <w:highlight w:val="none"/>
        </w:rPr>
        <w:t>项目编号：</w:t>
      </w:r>
      <w:r>
        <w:rPr>
          <w:rStyle w:val="50"/>
          <w:rFonts w:hint="eastAsia" w:ascii="宋体" w:hAnsi="宋体"/>
          <w:color w:val="auto"/>
          <w:sz w:val="36"/>
          <w:szCs w:val="36"/>
          <w:highlight w:val="none"/>
        </w:rPr>
        <w:t>TZTX-2024-</w:t>
      </w:r>
      <w:r>
        <w:rPr>
          <w:rStyle w:val="50"/>
          <w:rFonts w:hint="eastAsia" w:ascii="宋体" w:hAnsi="宋体"/>
          <w:color w:val="auto"/>
          <w:sz w:val="36"/>
          <w:szCs w:val="36"/>
          <w:highlight w:val="none"/>
          <w:lang w:eastAsia="zh-CN"/>
        </w:rPr>
        <w:t>GK030</w:t>
      </w:r>
      <w:r>
        <w:rPr>
          <w:rStyle w:val="50"/>
          <w:rFonts w:hint="eastAsia" w:ascii="宋体" w:hAnsi="宋体"/>
          <w:color w:val="auto"/>
          <w:sz w:val="36"/>
          <w:szCs w:val="36"/>
          <w:highlight w:val="none"/>
        </w:rPr>
        <w:t>（标项</w:t>
      </w:r>
      <w:r>
        <w:rPr>
          <w:rStyle w:val="50"/>
          <w:rFonts w:hint="eastAsia" w:ascii="宋体" w:hAnsi="宋体"/>
          <w:color w:val="auto"/>
          <w:sz w:val="36"/>
          <w:szCs w:val="36"/>
          <w:highlight w:val="none"/>
          <w:u w:val="none"/>
        </w:rPr>
        <w:t>1</w:t>
      </w:r>
      <w:r>
        <w:rPr>
          <w:rStyle w:val="50"/>
          <w:rFonts w:hint="eastAsia" w:ascii="宋体" w:hAnsi="宋体"/>
          <w:color w:val="auto"/>
          <w:sz w:val="36"/>
          <w:szCs w:val="36"/>
          <w:highlight w:val="none"/>
        </w:rPr>
        <w:t>）</w:t>
      </w:r>
    </w:p>
    <w:p>
      <w:pPr>
        <w:pStyle w:val="9"/>
        <w:rPr>
          <w:rStyle w:val="50"/>
          <w:rFonts w:ascii="宋体" w:hAnsi="宋体"/>
          <w:color w:val="auto"/>
          <w:sz w:val="36"/>
          <w:szCs w:val="36"/>
          <w:highlight w:val="none"/>
        </w:rPr>
      </w:pPr>
    </w:p>
    <w:p>
      <w:pPr>
        <w:pStyle w:val="9"/>
        <w:rPr>
          <w:rStyle w:val="50"/>
          <w:rFonts w:ascii="宋体" w:hAnsi="宋体"/>
          <w:color w:val="auto"/>
          <w:sz w:val="36"/>
          <w:szCs w:val="36"/>
          <w:highlight w:val="none"/>
        </w:rPr>
      </w:pPr>
    </w:p>
    <w:p>
      <w:pPr>
        <w:spacing w:line="360" w:lineRule="auto"/>
        <w:jc w:val="center"/>
        <w:rPr>
          <w:rStyle w:val="50"/>
          <w:rFonts w:ascii="宋体" w:hAnsi="宋体"/>
          <w:color w:val="auto"/>
          <w:sz w:val="84"/>
          <w:szCs w:val="84"/>
          <w:highlight w:val="none"/>
          <w:lang w:val="zh-CN"/>
        </w:rPr>
      </w:pPr>
      <w:r>
        <w:rPr>
          <w:rStyle w:val="50"/>
          <w:rFonts w:ascii="宋体" w:hAnsi="宋体"/>
          <w:color w:val="auto"/>
          <w:sz w:val="84"/>
          <w:szCs w:val="84"/>
          <w:highlight w:val="none"/>
          <w:lang w:val="zh-CN"/>
        </w:rPr>
        <w:t>投</w:t>
      </w:r>
    </w:p>
    <w:p>
      <w:pPr>
        <w:spacing w:line="360" w:lineRule="auto"/>
        <w:jc w:val="center"/>
        <w:rPr>
          <w:rStyle w:val="50"/>
          <w:rFonts w:ascii="宋体" w:hAnsi="宋体"/>
          <w:color w:val="auto"/>
          <w:sz w:val="84"/>
          <w:szCs w:val="84"/>
          <w:highlight w:val="none"/>
          <w:lang w:val="zh-CN"/>
        </w:rPr>
      </w:pPr>
      <w:r>
        <w:rPr>
          <w:rStyle w:val="50"/>
          <w:rFonts w:ascii="宋体" w:hAnsi="宋体"/>
          <w:color w:val="auto"/>
          <w:sz w:val="84"/>
          <w:szCs w:val="84"/>
          <w:highlight w:val="none"/>
          <w:lang w:val="zh-CN"/>
        </w:rPr>
        <w:t>标</w:t>
      </w:r>
    </w:p>
    <w:p>
      <w:pPr>
        <w:spacing w:line="360" w:lineRule="auto"/>
        <w:jc w:val="center"/>
        <w:rPr>
          <w:rStyle w:val="50"/>
          <w:rFonts w:ascii="宋体" w:hAnsi="宋体"/>
          <w:color w:val="auto"/>
          <w:sz w:val="84"/>
          <w:szCs w:val="84"/>
          <w:highlight w:val="none"/>
          <w:lang w:val="zh-CN"/>
        </w:rPr>
      </w:pPr>
      <w:r>
        <w:rPr>
          <w:rStyle w:val="50"/>
          <w:rFonts w:ascii="宋体" w:hAnsi="宋体"/>
          <w:color w:val="auto"/>
          <w:sz w:val="84"/>
          <w:szCs w:val="84"/>
          <w:highlight w:val="none"/>
          <w:lang w:val="zh-CN"/>
        </w:rPr>
        <w:t>文</w:t>
      </w:r>
    </w:p>
    <w:p>
      <w:pPr>
        <w:spacing w:line="360" w:lineRule="auto"/>
        <w:jc w:val="center"/>
        <w:rPr>
          <w:rStyle w:val="50"/>
          <w:rFonts w:ascii="宋体" w:hAnsi="宋体"/>
          <w:color w:val="auto"/>
          <w:sz w:val="84"/>
          <w:szCs w:val="84"/>
          <w:highlight w:val="none"/>
          <w:lang w:val="zh-CN"/>
        </w:rPr>
      </w:pPr>
      <w:r>
        <w:rPr>
          <w:rStyle w:val="50"/>
          <w:rFonts w:ascii="宋体" w:hAnsi="宋体"/>
          <w:color w:val="auto"/>
          <w:sz w:val="84"/>
          <w:szCs w:val="84"/>
          <w:highlight w:val="none"/>
          <w:lang w:val="zh-CN"/>
        </w:rPr>
        <w:t>件</w:t>
      </w:r>
    </w:p>
    <w:p>
      <w:pPr>
        <w:spacing w:after="100" w:afterAutospacing="1" w:line="360" w:lineRule="auto"/>
        <w:ind w:right="-108"/>
        <w:jc w:val="center"/>
        <w:rPr>
          <w:rStyle w:val="50"/>
          <w:rFonts w:ascii="宋体" w:hAnsi="宋体"/>
          <w:b/>
          <w:color w:val="auto"/>
          <w:spacing w:val="40"/>
          <w:sz w:val="28"/>
          <w:szCs w:val="28"/>
          <w:highlight w:val="none"/>
        </w:rPr>
      </w:pPr>
      <w:r>
        <w:rPr>
          <w:rStyle w:val="50"/>
          <w:rFonts w:ascii="宋体" w:hAnsi="宋体"/>
          <w:color w:val="auto"/>
          <w:sz w:val="28"/>
          <w:szCs w:val="28"/>
          <w:highlight w:val="none"/>
          <w:lang w:val="zh-CN"/>
        </w:rPr>
        <w:t>（</w:t>
      </w:r>
      <w:r>
        <w:rPr>
          <w:rStyle w:val="50"/>
          <w:rFonts w:hint="eastAsia" w:ascii="宋体" w:hAnsi="宋体"/>
          <w:b/>
          <w:color w:val="auto"/>
          <w:spacing w:val="40"/>
          <w:sz w:val="28"/>
          <w:szCs w:val="28"/>
          <w:highlight w:val="none"/>
        </w:rPr>
        <w:t>商务与技术</w:t>
      </w:r>
      <w:r>
        <w:rPr>
          <w:rStyle w:val="50"/>
          <w:rFonts w:ascii="宋体" w:hAnsi="宋体"/>
          <w:b/>
          <w:color w:val="auto"/>
          <w:spacing w:val="40"/>
          <w:sz w:val="28"/>
          <w:szCs w:val="28"/>
          <w:highlight w:val="none"/>
        </w:rPr>
        <w:t>文件）</w:t>
      </w:r>
    </w:p>
    <w:p>
      <w:pPr>
        <w:pStyle w:val="9"/>
        <w:rPr>
          <w:rStyle w:val="50"/>
          <w:rFonts w:ascii="宋体" w:hAnsi="宋体"/>
          <w:b/>
          <w:color w:val="auto"/>
          <w:spacing w:val="40"/>
          <w:sz w:val="28"/>
          <w:szCs w:val="28"/>
          <w:highlight w:val="none"/>
        </w:rPr>
      </w:pPr>
    </w:p>
    <w:p>
      <w:pPr>
        <w:spacing w:line="360" w:lineRule="auto"/>
        <w:ind w:right="532" w:firstLine="720" w:firstLineChars="200"/>
        <w:rPr>
          <w:rStyle w:val="50"/>
          <w:rFonts w:ascii="宋体" w:hAnsi="宋体"/>
          <w:color w:val="auto"/>
          <w:sz w:val="36"/>
          <w:szCs w:val="36"/>
          <w:highlight w:val="none"/>
        </w:rPr>
      </w:pPr>
      <w:r>
        <w:rPr>
          <w:rStyle w:val="50"/>
          <w:rFonts w:ascii="宋体" w:hAnsi="宋体"/>
          <w:color w:val="auto"/>
          <w:sz w:val="36"/>
          <w:szCs w:val="36"/>
          <w:highlight w:val="none"/>
        </w:rPr>
        <w:t>投标人全称（</w:t>
      </w:r>
      <w:r>
        <w:rPr>
          <w:rStyle w:val="50"/>
          <w:rFonts w:hint="eastAsia" w:ascii="宋体" w:hAnsi="宋体"/>
          <w:color w:val="auto"/>
          <w:sz w:val="36"/>
          <w:szCs w:val="36"/>
          <w:highlight w:val="none"/>
        </w:rPr>
        <w:t>电子印章</w:t>
      </w:r>
      <w:r>
        <w:rPr>
          <w:rStyle w:val="50"/>
          <w:rFonts w:ascii="宋体" w:hAnsi="宋体"/>
          <w:color w:val="auto"/>
          <w:sz w:val="36"/>
          <w:szCs w:val="36"/>
          <w:highlight w:val="none"/>
        </w:rPr>
        <w:t>）：</w:t>
      </w:r>
    </w:p>
    <w:p>
      <w:pPr>
        <w:spacing w:line="360" w:lineRule="auto"/>
        <w:ind w:right="532" w:firstLine="720" w:firstLineChars="200"/>
        <w:rPr>
          <w:rStyle w:val="50"/>
          <w:rFonts w:ascii="宋体" w:hAnsi="宋体"/>
          <w:color w:val="auto"/>
          <w:sz w:val="36"/>
          <w:szCs w:val="36"/>
          <w:highlight w:val="none"/>
        </w:rPr>
      </w:pPr>
      <w:r>
        <w:rPr>
          <w:rStyle w:val="50"/>
          <w:rFonts w:ascii="宋体" w:hAnsi="宋体"/>
          <w:color w:val="auto"/>
          <w:sz w:val="36"/>
          <w:szCs w:val="36"/>
          <w:highlight w:val="none"/>
        </w:rPr>
        <w:t>地    址：</w:t>
      </w:r>
    </w:p>
    <w:p>
      <w:pPr>
        <w:spacing w:line="360" w:lineRule="auto"/>
        <w:ind w:right="532" w:firstLine="720" w:firstLineChars="200"/>
        <w:rPr>
          <w:color w:val="auto"/>
          <w:highlight w:val="none"/>
        </w:rPr>
      </w:pPr>
      <w:r>
        <w:rPr>
          <w:rStyle w:val="50"/>
          <w:rFonts w:ascii="宋体" w:hAnsi="宋体"/>
          <w:color w:val="auto"/>
          <w:sz w:val="36"/>
          <w:szCs w:val="36"/>
          <w:highlight w:val="none"/>
        </w:rPr>
        <w:t>时    间：</w:t>
      </w:r>
    </w:p>
    <w:p>
      <w:pPr>
        <w:pStyle w:val="9"/>
        <w:rPr>
          <w:color w:val="auto"/>
          <w:highlight w:val="none"/>
        </w:rPr>
      </w:pPr>
      <w:r>
        <w:rPr>
          <w:color w:val="auto"/>
          <w:highlight w:val="none"/>
        </w:rPr>
        <w:br w:type="page"/>
      </w:r>
    </w:p>
    <w:p>
      <w:pPr>
        <w:pStyle w:val="9"/>
        <w:rPr>
          <w:color w:val="auto"/>
          <w:highlight w:val="none"/>
        </w:rPr>
      </w:pPr>
    </w:p>
    <w:p>
      <w:pPr>
        <w:jc w:val="center"/>
        <w:rPr>
          <w:b/>
          <w:bCs/>
          <w:color w:val="auto"/>
          <w:sz w:val="32"/>
          <w:szCs w:val="32"/>
          <w:highlight w:val="none"/>
        </w:rPr>
      </w:pPr>
      <w:r>
        <w:rPr>
          <w:rFonts w:hint="eastAsia"/>
          <w:b/>
          <w:bCs/>
          <w:color w:val="auto"/>
          <w:sz w:val="32"/>
          <w:szCs w:val="32"/>
          <w:highlight w:val="none"/>
          <w:lang w:val="zh-CN"/>
        </w:rPr>
        <w:t>商务与技术文件</w:t>
      </w:r>
      <w:r>
        <w:rPr>
          <w:rFonts w:hint="eastAsia"/>
          <w:b/>
          <w:bCs/>
          <w:color w:val="auto"/>
          <w:sz w:val="32"/>
          <w:szCs w:val="32"/>
          <w:highlight w:val="none"/>
        </w:rPr>
        <w:t>目录</w:t>
      </w:r>
    </w:p>
    <w:p>
      <w:pPr>
        <w:spacing w:line="360" w:lineRule="auto"/>
        <w:rPr>
          <w:color w:val="auto"/>
          <w:sz w:val="28"/>
          <w:szCs w:val="28"/>
          <w:highlight w:val="none"/>
        </w:rPr>
      </w:pPr>
    </w:p>
    <w:p>
      <w:pPr>
        <w:spacing w:line="360" w:lineRule="auto"/>
        <w:ind w:firstLine="482" w:firstLineChars="200"/>
        <w:rPr>
          <w:b/>
          <w:bCs/>
          <w:color w:val="auto"/>
          <w:sz w:val="24"/>
          <w:highlight w:val="none"/>
        </w:rPr>
      </w:pPr>
      <w:bookmarkStart w:id="54" w:name="_Toc20529_WPSOffice_Level1"/>
      <w:bookmarkStart w:id="55" w:name="_Toc21250_WPSOffice_Level1"/>
      <w:r>
        <w:rPr>
          <w:rFonts w:hint="eastAsia"/>
          <w:b/>
          <w:bCs/>
          <w:color w:val="auto"/>
          <w:sz w:val="24"/>
          <w:highlight w:val="none"/>
        </w:rPr>
        <w:t>第一部分  技术方案描述部分</w:t>
      </w:r>
      <w:bookmarkEnd w:id="54"/>
      <w:bookmarkEnd w:id="55"/>
    </w:p>
    <w:p>
      <w:pPr>
        <w:spacing w:line="360" w:lineRule="auto"/>
        <w:ind w:firstLine="480" w:firstLineChars="200"/>
        <w:rPr>
          <w:color w:val="auto"/>
          <w:sz w:val="24"/>
          <w:highlight w:val="none"/>
        </w:rPr>
      </w:pPr>
      <w:r>
        <w:rPr>
          <w:rFonts w:hint="eastAsia"/>
          <w:color w:val="auto"/>
          <w:sz w:val="24"/>
          <w:highlight w:val="none"/>
        </w:rPr>
        <w:t>1、投标人情况介绍（附件6）；</w:t>
      </w:r>
    </w:p>
    <w:p>
      <w:pPr>
        <w:spacing w:line="360" w:lineRule="auto"/>
        <w:ind w:firstLine="480" w:firstLineChars="200"/>
        <w:rPr>
          <w:color w:val="auto"/>
          <w:sz w:val="24"/>
          <w:highlight w:val="none"/>
        </w:rPr>
      </w:pPr>
      <w:r>
        <w:rPr>
          <w:rFonts w:hint="eastAsia"/>
          <w:color w:val="auto"/>
          <w:sz w:val="24"/>
          <w:highlight w:val="none"/>
        </w:rPr>
        <w:t>2、项目需求的理解与分析；</w:t>
      </w:r>
    </w:p>
    <w:p>
      <w:pPr>
        <w:spacing w:line="360" w:lineRule="auto"/>
        <w:ind w:firstLine="480" w:firstLineChars="200"/>
        <w:rPr>
          <w:color w:val="auto"/>
          <w:sz w:val="24"/>
          <w:highlight w:val="none"/>
        </w:rPr>
      </w:pPr>
      <w:r>
        <w:rPr>
          <w:rFonts w:hint="eastAsia"/>
          <w:color w:val="auto"/>
          <w:sz w:val="24"/>
          <w:highlight w:val="none"/>
        </w:rPr>
        <w:t>3、项目组织实施方案；</w:t>
      </w:r>
    </w:p>
    <w:p>
      <w:pPr>
        <w:spacing w:line="360" w:lineRule="auto"/>
        <w:ind w:firstLine="480" w:firstLineChars="200"/>
        <w:rPr>
          <w:color w:val="auto"/>
          <w:sz w:val="24"/>
          <w:highlight w:val="none"/>
        </w:rPr>
      </w:pPr>
      <w:r>
        <w:rPr>
          <w:rFonts w:hint="eastAsia" w:ascii="宋体" w:hAnsi="宋体" w:cs="宋体"/>
          <w:color w:val="auto"/>
          <w:sz w:val="24"/>
          <w:highlight w:val="none"/>
        </w:rPr>
        <w:t>4、项目实施人员一览表</w:t>
      </w:r>
      <w:r>
        <w:rPr>
          <w:rFonts w:hint="eastAsia"/>
          <w:color w:val="auto"/>
          <w:sz w:val="24"/>
          <w:highlight w:val="none"/>
        </w:rPr>
        <w:t>（附件7）；</w:t>
      </w:r>
    </w:p>
    <w:p>
      <w:pPr>
        <w:spacing w:line="360" w:lineRule="auto"/>
        <w:ind w:firstLine="480" w:firstLineChars="200"/>
        <w:rPr>
          <w:color w:val="auto"/>
          <w:sz w:val="24"/>
          <w:highlight w:val="none"/>
        </w:rPr>
      </w:pPr>
      <w:r>
        <w:rPr>
          <w:rFonts w:hint="eastAsia" w:ascii="宋体" w:hAnsi="宋体" w:cs="宋体"/>
          <w:color w:val="auto"/>
          <w:sz w:val="24"/>
          <w:highlight w:val="none"/>
        </w:rPr>
        <w:t>5、项目负责人资格情况表（</w:t>
      </w:r>
      <w:r>
        <w:rPr>
          <w:rFonts w:hint="eastAsia"/>
          <w:color w:val="auto"/>
          <w:sz w:val="24"/>
          <w:highlight w:val="none"/>
        </w:rPr>
        <w:t>附件8）；</w:t>
      </w:r>
      <w:r>
        <w:rPr>
          <w:color w:val="auto"/>
          <w:sz w:val="24"/>
          <w:highlight w:val="none"/>
        </w:rPr>
        <w:t xml:space="preserve"> </w:t>
      </w:r>
    </w:p>
    <w:p>
      <w:pPr>
        <w:spacing w:line="360" w:lineRule="auto"/>
        <w:ind w:firstLine="480" w:firstLineChars="200"/>
        <w:rPr>
          <w:color w:val="auto"/>
          <w:sz w:val="24"/>
          <w:highlight w:val="none"/>
        </w:rPr>
      </w:pPr>
      <w:r>
        <w:rPr>
          <w:rFonts w:hint="eastAsia"/>
          <w:color w:val="auto"/>
          <w:sz w:val="24"/>
          <w:highlight w:val="none"/>
        </w:rPr>
        <w:t>6、技术需求响应表（附件9）。</w:t>
      </w:r>
    </w:p>
    <w:p>
      <w:pPr>
        <w:spacing w:line="360" w:lineRule="auto"/>
        <w:ind w:firstLine="480" w:firstLineChars="200"/>
        <w:rPr>
          <w:color w:val="auto"/>
          <w:sz w:val="24"/>
          <w:highlight w:val="none"/>
        </w:rPr>
      </w:pPr>
      <w:r>
        <w:rPr>
          <w:rFonts w:hint="eastAsia"/>
          <w:color w:val="auto"/>
          <w:sz w:val="24"/>
          <w:highlight w:val="none"/>
        </w:rPr>
        <w:t>7、</w:t>
      </w:r>
      <w:r>
        <w:rPr>
          <w:color w:val="auto"/>
          <w:sz w:val="24"/>
          <w:highlight w:val="none"/>
        </w:rPr>
        <w:t>验收方案</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8、投标人</w:t>
      </w:r>
      <w:r>
        <w:rPr>
          <w:color w:val="auto"/>
          <w:sz w:val="24"/>
          <w:highlight w:val="none"/>
        </w:rPr>
        <w:t>需要说明的其他</w:t>
      </w:r>
      <w:r>
        <w:rPr>
          <w:rFonts w:hint="eastAsia"/>
          <w:color w:val="auto"/>
          <w:sz w:val="24"/>
          <w:highlight w:val="none"/>
        </w:rPr>
        <w:t>内容（包括可能影响投标人技术性能评分项的各类证明材料）。</w:t>
      </w:r>
    </w:p>
    <w:p>
      <w:pPr>
        <w:spacing w:line="360" w:lineRule="auto"/>
        <w:ind w:firstLine="482" w:firstLineChars="200"/>
        <w:rPr>
          <w:b/>
          <w:bCs/>
          <w:color w:val="auto"/>
          <w:sz w:val="24"/>
          <w:highlight w:val="none"/>
        </w:rPr>
      </w:pPr>
      <w:bookmarkStart w:id="56" w:name="_Toc30029_WPSOffice_Level1"/>
      <w:bookmarkStart w:id="57" w:name="_Toc20986_WPSOffice_Level1"/>
      <w:r>
        <w:rPr>
          <w:rFonts w:hint="eastAsia"/>
          <w:b/>
          <w:bCs/>
          <w:color w:val="auto"/>
          <w:sz w:val="24"/>
          <w:highlight w:val="none"/>
        </w:rPr>
        <w:t>第二部分  商务及其他部分</w:t>
      </w:r>
      <w:bookmarkEnd w:id="56"/>
      <w:bookmarkEnd w:id="57"/>
    </w:p>
    <w:p>
      <w:pPr>
        <w:spacing w:line="360" w:lineRule="auto"/>
        <w:ind w:firstLine="480" w:firstLineChars="200"/>
        <w:rPr>
          <w:color w:val="auto"/>
          <w:sz w:val="24"/>
          <w:highlight w:val="none"/>
        </w:rPr>
      </w:pPr>
      <w:r>
        <w:rPr>
          <w:rFonts w:hint="eastAsia"/>
          <w:color w:val="auto"/>
          <w:sz w:val="24"/>
          <w:highlight w:val="none"/>
        </w:rPr>
        <w:t>1、证书一览表（附件10）；</w:t>
      </w:r>
    </w:p>
    <w:p>
      <w:pPr>
        <w:spacing w:line="360" w:lineRule="auto"/>
        <w:ind w:firstLine="480" w:firstLineChars="200"/>
        <w:rPr>
          <w:color w:val="auto"/>
          <w:sz w:val="24"/>
          <w:highlight w:val="none"/>
        </w:rPr>
      </w:pPr>
      <w:r>
        <w:rPr>
          <w:rFonts w:hint="eastAsia"/>
          <w:color w:val="auto"/>
          <w:sz w:val="24"/>
          <w:highlight w:val="none"/>
        </w:rPr>
        <w:t>2、近年来类似项目的成功案例（附件11）；</w:t>
      </w:r>
    </w:p>
    <w:p>
      <w:pPr>
        <w:spacing w:line="360" w:lineRule="auto"/>
        <w:ind w:firstLine="480" w:firstLineChars="200"/>
        <w:rPr>
          <w:color w:val="auto"/>
          <w:sz w:val="24"/>
          <w:highlight w:val="none"/>
        </w:rPr>
      </w:pPr>
      <w:r>
        <w:rPr>
          <w:rFonts w:hint="eastAsia"/>
          <w:color w:val="auto"/>
          <w:sz w:val="24"/>
          <w:highlight w:val="none"/>
        </w:rPr>
        <w:t>3、商务需求响应表（附件12）；</w:t>
      </w:r>
    </w:p>
    <w:p>
      <w:pPr>
        <w:spacing w:line="360" w:lineRule="auto"/>
        <w:ind w:firstLine="480" w:firstLineChars="200"/>
        <w:rPr>
          <w:color w:val="auto"/>
          <w:sz w:val="24"/>
          <w:highlight w:val="none"/>
        </w:rPr>
      </w:pPr>
      <w:r>
        <w:rPr>
          <w:rFonts w:hint="eastAsia"/>
          <w:color w:val="auto"/>
          <w:sz w:val="24"/>
          <w:highlight w:val="none"/>
        </w:rPr>
        <w:t>4、投标人需要说明的其他内容（包括可能影响投标人企业实力及信誉评分项以及售后服务评分项的各类证明材料）。</w:t>
      </w:r>
    </w:p>
    <w:p>
      <w:pPr>
        <w:spacing w:line="360" w:lineRule="auto"/>
        <w:ind w:firstLine="482" w:firstLineChars="200"/>
        <w:rPr>
          <w:b/>
          <w:bCs/>
          <w:color w:val="auto"/>
          <w:sz w:val="24"/>
          <w:highlight w:val="none"/>
        </w:rPr>
      </w:pPr>
      <w:r>
        <w:rPr>
          <w:rFonts w:hint="eastAsia"/>
          <w:b/>
          <w:bCs/>
          <w:color w:val="auto"/>
          <w:sz w:val="24"/>
          <w:highlight w:val="none"/>
        </w:rPr>
        <w:t>第三部分：评分索引表（第四章之评分标准）</w:t>
      </w:r>
    </w:p>
    <w:p>
      <w:pPr>
        <w:spacing w:line="360" w:lineRule="auto"/>
        <w:ind w:firstLine="480" w:firstLineChars="200"/>
        <w:rPr>
          <w:color w:val="auto"/>
          <w:sz w:val="24"/>
          <w:highlight w:val="none"/>
        </w:rPr>
      </w:pPr>
      <w:r>
        <w:rPr>
          <w:rFonts w:hint="eastAsia"/>
          <w:color w:val="auto"/>
          <w:sz w:val="24"/>
          <w:highlight w:val="none"/>
        </w:rPr>
        <w:t>针对每项评分具体分值细化条款，注明有无提交及页码范围，行数不够自行添加，格式参见下表：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797"/>
        <w:gridCol w:w="709"/>
        <w:gridCol w:w="656"/>
        <w:gridCol w:w="127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Merge w:val="restart"/>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评分项目</w:t>
            </w:r>
          </w:p>
        </w:tc>
        <w:tc>
          <w:tcPr>
            <w:tcW w:w="2797" w:type="dxa"/>
            <w:vMerge w:val="restart"/>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评分细则</w:t>
            </w:r>
          </w:p>
        </w:tc>
        <w:tc>
          <w:tcPr>
            <w:tcW w:w="1365" w:type="dxa"/>
            <w:gridSpan w:val="2"/>
            <w:vAlign w:val="center"/>
          </w:tcPr>
          <w:p>
            <w:pPr>
              <w:pStyle w:val="9"/>
              <w:ind w:firstLine="0"/>
              <w:jc w:val="center"/>
              <w:rPr>
                <w:rFonts w:ascii="宋体" w:hAnsi="宋体"/>
                <w:b/>
                <w:color w:val="auto"/>
                <w:sz w:val="24"/>
                <w:highlight w:val="none"/>
              </w:rPr>
            </w:pPr>
            <w:r>
              <w:rPr>
                <w:rFonts w:hint="eastAsia" w:ascii="宋体" w:hAnsi="宋体"/>
                <w:b/>
                <w:color w:val="auto"/>
                <w:sz w:val="24"/>
                <w:highlight w:val="none"/>
              </w:rPr>
              <w:t>提交情况</w:t>
            </w:r>
          </w:p>
        </w:tc>
        <w:tc>
          <w:tcPr>
            <w:tcW w:w="1276" w:type="dxa"/>
            <w:vMerge w:val="restart"/>
            <w:vAlign w:val="center"/>
          </w:tcPr>
          <w:p>
            <w:pPr>
              <w:pStyle w:val="9"/>
              <w:ind w:firstLine="0"/>
              <w:jc w:val="center"/>
              <w:rPr>
                <w:rFonts w:ascii="宋体" w:hAnsi="宋体"/>
                <w:b/>
                <w:color w:val="auto"/>
                <w:sz w:val="24"/>
                <w:highlight w:val="none"/>
              </w:rPr>
            </w:pPr>
            <w:r>
              <w:rPr>
                <w:rFonts w:hint="eastAsia" w:ascii="宋体" w:hAnsi="宋体"/>
                <w:b/>
                <w:color w:val="auto"/>
                <w:sz w:val="24"/>
                <w:highlight w:val="none"/>
              </w:rPr>
              <w:t>页码范围</w:t>
            </w:r>
          </w:p>
        </w:tc>
        <w:tc>
          <w:tcPr>
            <w:tcW w:w="824" w:type="dxa"/>
            <w:vMerge w:val="restart"/>
            <w:vAlign w:val="center"/>
          </w:tcPr>
          <w:p>
            <w:pPr>
              <w:pStyle w:val="9"/>
              <w:ind w:firstLine="0"/>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Merge w:val="continue"/>
            <w:vAlign w:val="center"/>
          </w:tcPr>
          <w:p>
            <w:pPr>
              <w:adjustRightInd w:val="0"/>
              <w:snapToGrid w:val="0"/>
              <w:jc w:val="center"/>
              <w:rPr>
                <w:rFonts w:ascii="宋体" w:hAnsi="宋体"/>
                <w:b/>
                <w:color w:val="auto"/>
                <w:sz w:val="24"/>
                <w:highlight w:val="none"/>
              </w:rPr>
            </w:pPr>
          </w:p>
        </w:tc>
        <w:tc>
          <w:tcPr>
            <w:tcW w:w="2797" w:type="dxa"/>
            <w:vMerge w:val="continue"/>
            <w:vAlign w:val="center"/>
          </w:tcPr>
          <w:p>
            <w:pPr>
              <w:adjustRightInd w:val="0"/>
              <w:snapToGrid w:val="0"/>
              <w:jc w:val="center"/>
              <w:rPr>
                <w:rFonts w:ascii="宋体" w:hAnsi="宋体"/>
                <w:b/>
                <w:color w:val="auto"/>
                <w:sz w:val="24"/>
                <w:highlight w:val="none"/>
              </w:rPr>
            </w:pPr>
          </w:p>
        </w:tc>
        <w:tc>
          <w:tcPr>
            <w:tcW w:w="709" w:type="dxa"/>
          </w:tcPr>
          <w:p>
            <w:pPr>
              <w:pStyle w:val="9"/>
              <w:ind w:firstLine="0"/>
              <w:jc w:val="center"/>
              <w:rPr>
                <w:rFonts w:ascii="宋体" w:hAnsi="宋体"/>
                <w:b/>
                <w:color w:val="auto"/>
                <w:sz w:val="24"/>
                <w:highlight w:val="none"/>
              </w:rPr>
            </w:pPr>
            <w:r>
              <w:rPr>
                <w:rFonts w:hint="eastAsia" w:ascii="宋体" w:hAnsi="宋体"/>
                <w:b/>
                <w:color w:val="auto"/>
                <w:sz w:val="24"/>
                <w:highlight w:val="none"/>
              </w:rPr>
              <w:t>有</w:t>
            </w:r>
          </w:p>
        </w:tc>
        <w:tc>
          <w:tcPr>
            <w:tcW w:w="656" w:type="dxa"/>
          </w:tcPr>
          <w:p>
            <w:pPr>
              <w:pStyle w:val="9"/>
              <w:ind w:firstLine="0"/>
              <w:jc w:val="center"/>
              <w:rPr>
                <w:rFonts w:ascii="宋体" w:hAnsi="宋体"/>
                <w:b/>
                <w:color w:val="auto"/>
                <w:sz w:val="24"/>
                <w:highlight w:val="none"/>
              </w:rPr>
            </w:pPr>
            <w:r>
              <w:rPr>
                <w:rFonts w:hint="eastAsia" w:ascii="宋体" w:hAnsi="宋体"/>
                <w:b/>
                <w:color w:val="auto"/>
                <w:sz w:val="24"/>
                <w:highlight w:val="none"/>
              </w:rPr>
              <w:t>无</w:t>
            </w:r>
          </w:p>
        </w:tc>
        <w:tc>
          <w:tcPr>
            <w:tcW w:w="1276" w:type="dxa"/>
            <w:vMerge w:val="continue"/>
          </w:tcPr>
          <w:p>
            <w:pPr>
              <w:pStyle w:val="9"/>
              <w:ind w:firstLine="0"/>
              <w:jc w:val="center"/>
              <w:rPr>
                <w:rFonts w:ascii="宋体" w:hAnsi="宋体"/>
                <w:b/>
                <w:color w:val="auto"/>
                <w:sz w:val="24"/>
                <w:highlight w:val="none"/>
              </w:rPr>
            </w:pPr>
          </w:p>
        </w:tc>
        <w:tc>
          <w:tcPr>
            <w:tcW w:w="824" w:type="dxa"/>
            <w:vMerge w:val="continue"/>
          </w:tcPr>
          <w:p>
            <w:pPr>
              <w:pStyle w:val="9"/>
              <w:ind w:firstLine="0"/>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adjustRightInd w:val="0"/>
              <w:snapToGrid w:val="0"/>
              <w:jc w:val="center"/>
              <w:rPr>
                <w:rFonts w:ascii="宋体" w:hAnsi="宋体"/>
                <w:b/>
                <w:color w:val="auto"/>
                <w:sz w:val="24"/>
                <w:highlight w:val="none"/>
              </w:rPr>
            </w:pPr>
          </w:p>
        </w:tc>
        <w:tc>
          <w:tcPr>
            <w:tcW w:w="2797" w:type="dxa"/>
            <w:vAlign w:val="center"/>
          </w:tcPr>
          <w:p>
            <w:pPr>
              <w:adjustRightInd w:val="0"/>
              <w:snapToGrid w:val="0"/>
              <w:jc w:val="center"/>
              <w:rPr>
                <w:rFonts w:ascii="宋体" w:hAnsi="宋体"/>
                <w:b/>
                <w:color w:val="auto"/>
                <w:sz w:val="24"/>
                <w:highlight w:val="none"/>
              </w:rPr>
            </w:pPr>
          </w:p>
        </w:tc>
        <w:tc>
          <w:tcPr>
            <w:tcW w:w="709" w:type="dxa"/>
          </w:tcPr>
          <w:p>
            <w:pPr>
              <w:pStyle w:val="9"/>
              <w:ind w:firstLine="0"/>
              <w:jc w:val="center"/>
              <w:rPr>
                <w:rFonts w:ascii="宋体" w:hAnsi="宋体"/>
                <w:b/>
                <w:color w:val="auto"/>
                <w:sz w:val="24"/>
                <w:highlight w:val="none"/>
              </w:rPr>
            </w:pPr>
          </w:p>
        </w:tc>
        <w:tc>
          <w:tcPr>
            <w:tcW w:w="656" w:type="dxa"/>
          </w:tcPr>
          <w:p>
            <w:pPr>
              <w:pStyle w:val="9"/>
              <w:ind w:firstLine="0"/>
              <w:jc w:val="center"/>
              <w:rPr>
                <w:rFonts w:ascii="宋体" w:hAnsi="宋体"/>
                <w:b/>
                <w:color w:val="auto"/>
                <w:sz w:val="24"/>
                <w:highlight w:val="none"/>
              </w:rPr>
            </w:pPr>
          </w:p>
        </w:tc>
        <w:tc>
          <w:tcPr>
            <w:tcW w:w="1276" w:type="dxa"/>
          </w:tcPr>
          <w:p>
            <w:pPr>
              <w:pStyle w:val="9"/>
              <w:ind w:firstLine="0"/>
              <w:jc w:val="center"/>
              <w:rPr>
                <w:rFonts w:ascii="宋体" w:hAnsi="宋体"/>
                <w:b/>
                <w:color w:val="auto"/>
                <w:sz w:val="24"/>
                <w:highlight w:val="none"/>
              </w:rPr>
            </w:pPr>
          </w:p>
        </w:tc>
        <w:tc>
          <w:tcPr>
            <w:tcW w:w="824" w:type="dxa"/>
          </w:tcPr>
          <w:p>
            <w:pPr>
              <w:pStyle w:val="9"/>
              <w:ind w:firstLine="0"/>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adjustRightInd w:val="0"/>
              <w:snapToGrid w:val="0"/>
              <w:jc w:val="center"/>
              <w:rPr>
                <w:rFonts w:ascii="宋体" w:hAnsi="宋体"/>
                <w:b/>
                <w:color w:val="auto"/>
                <w:sz w:val="24"/>
                <w:highlight w:val="none"/>
              </w:rPr>
            </w:pPr>
          </w:p>
        </w:tc>
        <w:tc>
          <w:tcPr>
            <w:tcW w:w="2797" w:type="dxa"/>
            <w:vAlign w:val="center"/>
          </w:tcPr>
          <w:p>
            <w:pPr>
              <w:adjustRightInd w:val="0"/>
              <w:snapToGrid w:val="0"/>
              <w:jc w:val="center"/>
              <w:rPr>
                <w:rFonts w:ascii="宋体" w:hAnsi="宋体"/>
                <w:b/>
                <w:color w:val="auto"/>
                <w:sz w:val="24"/>
                <w:highlight w:val="none"/>
              </w:rPr>
            </w:pPr>
          </w:p>
        </w:tc>
        <w:tc>
          <w:tcPr>
            <w:tcW w:w="709" w:type="dxa"/>
          </w:tcPr>
          <w:p>
            <w:pPr>
              <w:pStyle w:val="9"/>
              <w:ind w:firstLine="0"/>
              <w:jc w:val="center"/>
              <w:rPr>
                <w:rFonts w:ascii="宋体" w:hAnsi="宋体"/>
                <w:b/>
                <w:color w:val="auto"/>
                <w:highlight w:val="none"/>
              </w:rPr>
            </w:pPr>
          </w:p>
        </w:tc>
        <w:tc>
          <w:tcPr>
            <w:tcW w:w="656" w:type="dxa"/>
          </w:tcPr>
          <w:p>
            <w:pPr>
              <w:pStyle w:val="9"/>
              <w:ind w:firstLine="0"/>
              <w:jc w:val="center"/>
              <w:rPr>
                <w:rFonts w:ascii="宋体" w:hAnsi="宋体"/>
                <w:b/>
                <w:color w:val="auto"/>
                <w:highlight w:val="none"/>
              </w:rPr>
            </w:pPr>
          </w:p>
        </w:tc>
        <w:tc>
          <w:tcPr>
            <w:tcW w:w="1276" w:type="dxa"/>
          </w:tcPr>
          <w:p>
            <w:pPr>
              <w:pStyle w:val="9"/>
              <w:ind w:firstLine="0"/>
              <w:jc w:val="center"/>
              <w:rPr>
                <w:rFonts w:ascii="宋体" w:hAnsi="宋体"/>
                <w:b/>
                <w:color w:val="auto"/>
                <w:highlight w:val="none"/>
              </w:rPr>
            </w:pPr>
          </w:p>
        </w:tc>
        <w:tc>
          <w:tcPr>
            <w:tcW w:w="824" w:type="dxa"/>
          </w:tcPr>
          <w:p>
            <w:pPr>
              <w:pStyle w:val="9"/>
              <w:ind w:firstLine="0"/>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adjustRightInd w:val="0"/>
              <w:snapToGrid w:val="0"/>
              <w:jc w:val="center"/>
              <w:rPr>
                <w:rFonts w:ascii="宋体" w:hAnsi="宋体"/>
                <w:b/>
                <w:color w:val="auto"/>
                <w:sz w:val="24"/>
                <w:highlight w:val="none"/>
              </w:rPr>
            </w:pPr>
          </w:p>
        </w:tc>
        <w:tc>
          <w:tcPr>
            <w:tcW w:w="2797" w:type="dxa"/>
            <w:vAlign w:val="center"/>
          </w:tcPr>
          <w:p>
            <w:pPr>
              <w:adjustRightInd w:val="0"/>
              <w:snapToGrid w:val="0"/>
              <w:jc w:val="center"/>
              <w:rPr>
                <w:rFonts w:ascii="宋体" w:hAnsi="宋体"/>
                <w:b/>
                <w:color w:val="auto"/>
                <w:sz w:val="24"/>
                <w:highlight w:val="none"/>
              </w:rPr>
            </w:pPr>
          </w:p>
        </w:tc>
        <w:tc>
          <w:tcPr>
            <w:tcW w:w="709" w:type="dxa"/>
          </w:tcPr>
          <w:p>
            <w:pPr>
              <w:pStyle w:val="9"/>
              <w:ind w:firstLine="0"/>
              <w:jc w:val="center"/>
              <w:rPr>
                <w:rFonts w:ascii="宋体" w:hAnsi="宋体"/>
                <w:b/>
                <w:color w:val="auto"/>
                <w:highlight w:val="none"/>
              </w:rPr>
            </w:pPr>
          </w:p>
        </w:tc>
        <w:tc>
          <w:tcPr>
            <w:tcW w:w="656" w:type="dxa"/>
          </w:tcPr>
          <w:p>
            <w:pPr>
              <w:pStyle w:val="9"/>
              <w:ind w:firstLine="0"/>
              <w:jc w:val="center"/>
              <w:rPr>
                <w:rFonts w:ascii="宋体" w:hAnsi="宋体"/>
                <w:b/>
                <w:color w:val="auto"/>
                <w:highlight w:val="none"/>
              </w:rPr>
            </w:pPr>
          </w:p>
        </w:tc>
        <w:tc>
          <w:tcPr>
            <w:tcW w:w="1276" w:type="dxa"/>
          </w:tcPr>
          <w:p>
            <w:pPr>
              <w:pStyle w:val="9"/>
              <w:ind w:firstLine="0"/>
              <w:jc w:val="center"/>
              <w:rPr>
                <w:rFonts w:ascii="宋体" w:hAnsi="宋体"/>
                <w:b/>
                <w:color w:val="auto"/>
                <w:highlight w:val="none"/>
              </w:rPr>
            </w:pPr>
          </w:p>
        </w:tc>
        <w:tc>
          <w:tcPr>
            <w:tcW w:w="824" w:type="dxa"/>
          </w:tcPr>
          <w:p>
            <w:pPr>
              <w:pStyle w:val="9"/>
              <w:ind w:firstLine="0"/>
              <w:jc w:val="center"/>
              <w:rPr>
                <w:rFonts w:ascii="宋体" w:hAnsi="宋体"/>
                <w:b/>
                <w:color w:val="auto"/>
                <w:highlight w:val="none"/>
              </w:rPr>
            </w:pPr>
          </w:p>
        </w:tc>
      </w:tr>
    </w:tbl>
    <w:p>
      <w:pPr>
        <w:pStyle w:val="19"/>
        <w:rPr>
          <w:color w:val="auto"/>
          <w:highlight w:val="none"/>
        </w:rPr>
      </w:pPr>
    </w:p>
    <w:p>
      <w:pPr>
        <w:pStyle w:val="30"/>
        <w:shd w:val="clear" w:color="auto" w:fill="FFFFFF"/>
        <w:spacing w:before="0" w:beforeAutospacing="0" w:after="0" w:afterAutospacing="0" w:line="360" w:lineRule="auto"/>
        <w:rPr>
          <w:b/>
          <w:color w:val="auto"/>
          <w:sz w:val="28"/>
          <w:highlight w:val="none"/>
        </w:rPr>
      </w:pPr>
    </w:p>
    <w:p>
      <w:pPr>
        <w:pStyle w:val="30"/>
        <w:shd w:val="clear" w:color="auto" w:fill="FFFFFF"/>
        <w:spacing w:before="0" w:beforeAutospacing="0" w:after="0" w:afterAutospacing="0" w:line="360" w:lineRule="auto"/>
        <w:rPr>
          <w:b/>
          <w:color w:val="auto"/>
          <w:sz w:val="28"/>
          <w:highlight w:val="none"/>
        </w:rPr>
      </w:pPr>
    </w:p>
    <w:p>
      <w:pPr>
        <w:pStyle w:val="30"/>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pPr>
        <w:pStyle w:val="30"/>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投标</w:t>
      </w:r>
      <w:r>
        <w:rPr>
          <w:rFonts w:hint="eastAsia"/>
          <w:b/>
          <w:bCs/>
          <w:color w:val="auto"/>
          <w:sz w:val="32"/>
          <w:szCs w:val="32"/>
          <w:highlight w:val="none"/>
        </w:rPr>
        <w:t>人基本情况表</w:t>
      </w:r>
    </w:p>
    <w:tbl>
      <w:tblPr>
        <w:tblStyle w:val="2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70"/>
        <w:gridCol w:w="910"/>
        <w:gridCol w:w="274"/>
        <w:gridCol w:w="1050"/>
        <w:gridCol w:w="382"/>
        <w:gridCol w:w="955"/>
        <w:gridCol w:w="600"/>
        <w:gridCol w:w="1063"/>
        <w:gridCol w:w="185"/>
        <w:gridCol w:w="107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7" w:type="dxa"/>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27"/>
                <w:sz w:val="21"/>
                <w:szCs w:val="21"/>
                <w:highlight w:val="none"/>
              </w:rPr>
              <w:t>企业名称</w:t>
            </w:r>
          </w:p>
        </w:tc>
        <w:tc>
          <w:tcPr>
            <w:tcW w:w="4541" w:type="dxa"/>
            <w:gridSpan w:val="6"/>
            <w:vAlign w:val="center"/>
          </w:tcPr>
          <w:p>
            <w:pPr>
              <w:pStyle w:val="30"/>
              <w:shd w:val="clear" w:color="auto" w:fill="FFFFFF"/>
              <w:spacing w:before="0" w:beforeAutospacing="0" w:after="0" w:afterAutospacing="0"/>
              <w:jc w:val="center"/>
              <w:rPr>
                <w:bCs/>
                <w:color w:val="auto"/>
                <w:sz w:val="21"/>
                <w:szCs w:val="21"/>
                <w:highlight w:val="none"/>
              </w:rPr>
            </w:pPr>
          </w:p>
        </w:tc>
        <w:tc>
          <w:tcPr>
            <w:tcW w:w="1848" w:type="dxa"/>
            <w:gridSpan w:val="3"/>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6"/>
                <w:sz w:val="21"/>
                <w:szCs w:val="21"/>
                <w:highlight w:val="none"/>
              </w:rPr>
              <w:t>法人代表</w:t>
            </w:r>
          </w:p>
        </w:tc>
        <w:tc>
          <w:tcPr>
            <w:tcW w:w="2011" w:type="dxa"/>
            <w:gridSpan w:val="2"/>
            <w:vAlign w:val="center"/>
          </w:tcPr>
          <w:p>
            <w:pPr>
              <w:pStyle w:val="30"/>
              <w:shd w:val="clear" w:color="auto" w:fill="FFFFFF"/>
              <w:spacing w:before="0" w:beforeAutospacing="0" w:after="0" w:afterAutospacing="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97" w:type="dxa"/>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27"/>
                <w:sz w:val="21"/>
                <w:szCs w:val="21"/>
                <w:highlight w:val="none"/>
              </w:rPr>
              <w:t>地址</w:t>
            </w:r>
          </w:p>
        </w:tc>
        <w:tc>
          <w:tcPr>
            <w:tcW w:w="4541" w:type="dxa"/>
            <w:gridSpan w:val="6"/>
            <w:tcBorders>
              <w:bottom w:val="single" w:color="auto" w:sz="4" w:space="0"/>
            </w:tcBorders>
            <w:vAlign w:val="center"/>
          </w:tcPr>
          <w:p>
            <w:pPr>
              <w:pStyle w:val="30"/>
              <w:shd w:val="clear" w:color="auto" w:fill="FFFFFF"/>
              <w:spacing w:before="0" w:beforeAutospacing="0" w:after="0" w:afterAutospacing="0"/>
              <w:jc w:val="center"/>
              <w:rPr>
                <w:bCs/>
                <w:color w:val="auto"/>
                <w:spacing w:val="16"/>
                <w:sz w:val="21"/>
                <w:szCs w:val="21"/>
                <w:highlight w:val="none"/>
              </w:rPr>
            </w:pPr>
          </w:p>
        </w:tc>
        <w:tc>
          <w:tcPr>
            <w:tcW w:w="1848" w:type="dxa"/>
            <w:gridSpan w:val="3"/>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企业性质</w:t>
            </w:r>
          </w:p>
        </w:tc>
        <w:tc>
          <w:tcPr>
            <w:tcW w:w="2011" w:type="dxa"/>
            <w:gridSpan w:val="2"/>
            <w:vAlign w:val="center"/>
          </w:tcPr>
          <w:p>
            <w:pPr>
              <w:pStyle w:val="30"/>
              <w:shd w:val="clear" w:color="auto" w:fill="FFFFFF"/>
              <w:spacing w:before="0" w:beforeAutospacing="0" w:after="0" w:afterAutospacing="0"/>
              <w:jc w:val="center"/>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7" w:type="dxa"/>
            <w:tcBorders>
              <w:bottom w:val="single" w:color="auto" w:sz="4" w:space="0"/>
            </w:tcBorders>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27"/>
                <w:sz w:val="21"/>
                <w:szCs w:val="21"/>
                <w:highlight w:val="none"/>
              </w:rPr>
              <w:t>股东姓名</w:t>
            </w:r>
          </w:p>
        </w:tc>
        <w:tc>
          <w:tcPr>
            <w:tcW w:w="970" w:type="dxa"/>
            <w:tcBorders>
              <w:bottom w:val="single" w:color="auto" w:sz="4" w:space="0"/>
            </w:tcBorders>
            <w:vAlign w:val="center"/>
          </w:tcPr>
          <w:p>
            <w:pPr>
              <w:pStyle w:val="30"/>
              <w:shd w:val="clear" w:color="auto" w:fill="FFFFFF"/>
              <w:spacing w:before="0" w:beforeAutospacing="0" w:after="0" w:afterAutospacing="0"/>
              <w:jc w:val="center"/>
              <w:rPr>
                <w:bCs/>
                <w:color w:val="auto"/>
                <w:spacing w:val="16"/>
                <w:sz w:val="21"/>
                <w:szCs w:val="21"/>
                <w:highlight w:val="none"/>
              </w:rPr>
            </w:pPr>
          </w:p>
        </w:tc>
        <w:tc>
          <w:tcPr>
            <w:tcW w:w="910" w:type="dxa"/>
            <w:tcBorders>
              <w:bottom w:val="single" w:color="auto" w:sz="4" w:space="0"/>
            </w:tcBorders>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股权结构（%）</w:t>
            </w:r>
          </w:p>
        </w:tc>
        <w:tc>
          <w:tcPr>
            <w:tcW w:w="2661" w:type="dxa"/>
            <w:gridSpan w:val="4"/>
            <w:tcBorders>
              <w:bottom w:val="single" w:color="auto" w:sz="4" w:space="0"/>
            </w:tcBorders>
            <w:vAlign w:val="center"/>
          </w:tcPr>
          <w:p>
            <w:pPr>
              <w:widowControl/>
              <w:jc w:val="center"/>
              <w:rPr>
                <w:rFonts w:ascii="宋体" w:hAnsi="宋体" w:cs="宋体"/>
                <w:bCs/>
                <w:color w:val="auto"/>
                <w:spacing w:val="16"/>
                <w:kern w:val="0"/>
                <w:szCs w:val="21"/>
                <w:highlight w:val="none"/>
              </w:rPr>
            </w:pPr>
          </w:p>
          <w:p>
            <w:pPr>
              <w:pStyle w:val="30"/>
              <w:shd w:val="clear" w:color="auto" w:fill="FFFFFF"/>
              <w:spacing w:before="0" w:beforeAutospacing="0" w:after="0" w:afterAutospacing="0"/>
              <w:jc w:val="center"/>
              <w:rPr>
                <w:bCs/>
                <w:color w:val="auto"/>
                <w:spacing w:val="16"/>
                <w:sz w:val="21"/>
                <w:szCs w:val="21"/>
                <w:highlight w:val="none"/>
              </w:rPr>
            </w:pPr>
          </w:p>
        </w:tc>
        <w:tc>
          <w:tcPr>
            <w:tcW w:w="1848" w:type="dxa"/>
            <w:gridSpan w:val="3"/>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股东关系</w:t>
            </w:r>
          </w:p>
        </w:tc>
        <w:tc>
          <w:tcPr>
            <w:tcW w:w="2011" w:type="dxa"/>
            <w:gridSpan w:val="2"/>
            <w:vAlign w:val="center"/>
          </w:tcPr>
          <w:p>
            <w:pPr>
              <w:pStyle w:val="30"/>
              <w:shd w:val="clear" w:color="auto" w:fill="FFFFFF"/>
              <w:spacing w:before="0" w:beforeAutospacing="0" w:after="0" w:afterAutospacing="0"/>
              <w:jc w:val="center"/>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7" w:type="dxa"/>
            <w:vMerge w:val="restart"/>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970" w:type="dxa"/>
            <w:vMerge w:val="restart"/>
            <w:tcBorders>
              <w:top w:val="nil"/>
            </w:tcBorders>
            <w:vAlign w:val="center"/>
          </w:tcPr>
          <w:p>
            <w:pPr>
              <w:pStyle w:val="30"/>
              <w:shd w:val="clear" w:color="auto" w:fill="FFFFFF"/>
              <w:spacing w:before="0" w:beforeAutospacing="0" w:after="0" w:afterAutospacing="0"/>
              <w:jc w:val="center"/>
              <w:rPr>
                <w:bCs/>
                <w:color w:val="auto"/>
                <w:spacing w:val="16"/>
                <w:sz w:val="21"/>
                <w:szCs w:val="21"/>
                <w:highlight w:val="none"/>
              </w:rPr>
            </w:pPr>
          </w:p>
        </w:tc>
        <w:tc>
          <w:tcPr>
            <w:tcW w:w="910" w:type="dxa"/>
            <w:tcBorders>
              <w:top w:val="nil"/>
              <w:bottom w:val="single" w:color="auto" w:sz="4" w:space="0"/>
            </w:tcBorders>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固定电话</w:t>
            </w:r>
          </w:p>
        </w:tc>
        <w:tc>
          <w:tcPr>
            <w:tcW w:w="2661" w:type="dxa"/>
            <w:gridSpan w:val="4"/>
            <w:tcBorders>
              <w:top w:val="nil"/>
              <w:bottom w:val="single" w:color="auto" w:sz="4" w:space="0"/>
            </w:tcBorders>
            <w:vAlign w:val="center"/>
          </w:tcPr>
          <w:p>
            <w:pPr>
              <w:widowControl/>
              <w:jc w:val="center"/>
              <w:rPr>
                <w:rFonts w:ascii="宋体" w:hAnsi="宋体" w:cs="宋体"/>
                <w:bCs/>
                <w:color w:val="auto"/>
                <w:spacing w:val="16"/>
                <w:kern w:val="0"/>
                <w:szCs w:val="21"/>
                <w:highlight w:val="none"/>
              </w:rPr>
            </w:pPr>
          </w:p>
          <w:p>
            <w:pPr>
              <w:pStyle w:val="30"/>
              <w:shd w:val="clear" w:color="auto" w:fill="FFFFFF"/>
              <w:spacing w:before="0" w:beforeAutospacing="0" w:after="0" w:afterAutospacing="0"/>
              <w:jc w:val="center"/>
              <w:rPr>
                <w:bCs/>
                <w:color w:val="auto"/>
                <w:spacing w:val="16"/>
                <w:sz w:val="21"/>
                <w:szCs w:val="21"/>
                <w:highlight w:val="none"/>
              </w:rPr>
            </w:pPr>
          </w:p>
        </w:tc>
        <w:tc>
          <w:tcPr>
            <w:tcW w:w="1848" w:type="dxa"/>
            <w:gridSpan w:val="3"/>
            <w:vMerge w:val="restart"/>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传真</w:t>
            </w:r>
          </w:p>
        </w:tc>
        <w:tc>
          <w:tcPr>
            <w:tcW w:w="2011" w:type="dxa"/>
            <w:gridSpan w:val="2"/>
            <w:vMerge w:val="restart"/>
            <w:vAlign w:val="center"/>
          </w:tcPr>
          <w:p>
            <w:pPr>
              <w:pStyle w:val="30"/>
              <w:shd w:val="clear" w:color="auto" w:fill="FFFFFF"/>
              <w:spacing w:before="0" w:beforeAutospacing="0" w:after="0" w:afterAutospacing="0"/>
              <w:jc w:val="center"/>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7" w:type="dxa"/>
            <w:vMerge w:val="continue"/>
            <w:tcBorders>
              <w:bottom w:val="single" w:color="auto" w:sz="4" w:space="0"/>
            </w:tcBorders>
            <w:vAlign w:val="center"/>
          </w:tcPr>
          <w:p>
            <w:pPr>
              <w:pStyle w:val="30"/>
              <w:shd w:val="clear" w:color="auto" w:fill="FFFFFF"/>
              <w:spacing w:before="0" w:beforeAutospacing="0" w:after="0" w:afterAutospacing="0"/>
              <w:jc w:val="center"/>
              <w:rPr>
                <w:bCs/>
                <w:color w:val="auto"/>
                <w:sz w:val="21"/>
                <w:szCs w:val="21"/>
                <w:highlight w:val="none"/>
              </w:rPr>
            </w:pPr>
          </w:p>
        </w:tc>
        <w:tc>
          <w:tcPr>
            <w:tcW w:w="970" w:type="dxa"/>
            <w:vMerge w:val="continue"/>
            <w:tcBorders>
              <w:bottom w:val="single" w:color="auto" w:sz="4" w:space="0"/>
            </w:tcBorders>
            <w:vAlign w:val="center"/>
          </w:tcPr>
          <w:p>
            <w:pPr>
              <w:pStyle w:val="30"/>
              <w:shd w:val="clear" w:color="auto" w:fill="FFFFFF"/>
              <w:spacing w:before="0" w:beforeAutospacing="0" w:after="0" w:afterAutospacing="0"/>
              <w:jc w:val="center"/>
              <w:rPr>
                <w:bCs/>
                <w:color w:val="auto"/>
                <w:spacing w:val="16"/>
                <w:sz w:val="21"/>
                <w:szCs w:val="21"/>
                <w:highlight w:val="none"/>
              </w:rPr>
            </w:pPr>
          </w:p>
        </w:tc>
        <w:tc>
          <w:tcPr>
            <w:tcW w:w="910" w:type="dxa"/>
            <w:tcBorders>
              <w:bottom w:val="single" w:color="auto" w:sz="4" w:space="0"/>
            </w:tcBorders>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27"/>
                <w:sz w:val="21"/>
                <w:szCs w:val="21"/>
                <w:highlight w:val="none"/>
              </w:rPr>
              <w:t>手机</w:t>
            </w:r>
          </w:p>
        </w:tc>
        <w:tc>
          <w:tcPr>
            <w:tcW w:w="2661" w:type="dxa"/>
            <w:gridSpan w:val="4"/>
            <w:tcBorders>
              <w:bottom w:val="single" w:color="auto" w:sz="4" w:space="0"/>
            </w:tcBorders>
            <w:vAlign w:val="center"/>
          </w:tcPr>
          <w:p>
            <w:pPr>
              <w:pStyle w:val="30"/>
              <w:shd w:val="clear" w:color="auto" w:fill="FFFFFF"/>
              <w:spacing w:before="0" w:beforeAutospacing="0" w:after="0" w:afterAutospacing="0"/>
              <w:jc w:val="center"/>
              <w:rPr>
                <w:bCs/>
                <w:color w:val="auto"/>
                <w:spacing w:val="16"/>
                <w:sz w:val="21"/>
                <w:szCs w:val="21"/>
                <w:highlight w:val="none"/>
              </w:rPr>
            </w:pPr>
          </w:p>
        </w:tc>
        <w:tc>
          <w:tcPr>
            <w:tcW w:w="1848" w:type="dxa"/>
            <w:gridSpan w:val="3"/>
            <w:vMerge w:val="continue"/>
            <w:vAlign w:val="center"/>
          </w:tcPr>
          <w:p>
            <w:pPr>
              <w:pStyle w:val="30"/>
              <w:shd w:val="clear" w:color="auto" w:fill="FFFFFF"/>
              <w:spacing w:before="0" w:beforeAutospacing="0" w:after="0" w:afterAutospacing="0"/>
              <w:jc w:val="center"/>
              <w:rPr>
                <w:bCs/>
                <w:color w:val="auto"/>
                <w:spacing w:val="16"/>
                <w:sz w:val="21"/>
                <w:szCs w:val="21"/>
                <w:highlight w:val="none"/>
              </w:rPr>
            </w:pPr>
          </w:p>
        </w:tc>
        <w:tc>
          <w:tcPr>
            <w:tcW w:w="2011" w:type="dxa"/>
            <w:gridSpan w:val="2"/>
            <w:vMerge w:val="continue"/>
            <w:vAlign w:val="center"/>
          </w:tcPr>
          <w:p>
            <w:pPr>
              <w:pStyle w:val="30"/>
              <w:shd w:val="clear" w:color="auto" w:fill="FFFFFF"/>
              <w:spacing w:before="0" w:beforeAutospacing="0" w:after="0" w:afterAutospacing="0"/>
              <w:jc w:val="center"/>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97" w:type="dxa"/>
            <w:vMerge w:val="restart"/>
            <w:vAlign w:val="center"/>
          </w:tcPr>
          <w:p>
            <w:pPr>
              <w:pStyle w:val="30"/>
              <w:shd w:val="clear" w:color="auto" w:fill="FFFFFF"/>
              <w:spacing w:before="0" w:beforeAutospacing="0" w:after="0" w:afterAutospacing="0"/>
              <w:jc w:val="center"/>
              <w:rPr>
                <w:bCs/>
                <w:color w:val="auto"/>
                <w:sz w:val="21"/>
                <w:szCs w:val="21"/>
                <w:highlight w:val="none"/>
              </w:rPr>
            </w:pPr>
            <w:r>
              <w:rPr>
                <w:bCs/>
                <w:color w:val="auto"/>
                <w:sz w:val="21"/>
                <w:szCs w:val="21"/>
                <w:highlight w:val="none"/>
              </w:rPr>
              <w:t>1</w:t>
            </w:r>
            <w:r>
              <w:rPr>
                <w:rFonts w:hint="eastAsia"/>
                <w:bCs/>
                <w:color w:val="auto"/>
                <w:sz w:val="21"/>
                <w:szCs w:val="21"/>
                <w:highlight w:val="none"/>
              </w:rPr>
              <w:t>.</w:t>
            </w:r>
          </w:p>
          <w:p>
            <w:pPr>
              <w:pStyle w:val="30"/>
              <w:shd w:val="clear" w:color="auto" w:fill="FFFFFF"/>
              <w:spacing w:before="0" w:beforeAutospacing="0" w:after="0" w:afterAutospacing="0"/>
              <w:jc w:val="center"/>
              <w:rPr>
                <w:bCs/>
                <w:color w:val="auto"/>
                <w:sz w:val="21"/>
                <w:szCs w:val="21"/>
                <w:highlight w:val="none"/>
              </w:rPr>
            </w:pPr>
            <w:r>
              <w:rPr>
                <w:rFonts w:hint="eastAsia"/>
                <w:bCs/>
                <w:color w:val="auto"/>
                <w:sz w:val="21"/>
                <w:szCs w:val="21"/>
                <w:highlight w:val="none"/>
              </w:rPr>
              <w:t>企</w:t>
            </w:r>
          </w:p>
          <w:p>
            <w:pPr>
              <w:pStyle w:val="30"/>
              <w:shd w:val="clear" w:color="auto" w:fill="FFFFFF"/>
              <w:spacing w:before="0" w:beforeAutospacing="0" w:after="0" w:afterAutospacing="0"/>
              <w:jc w:val="center"/>
              <w:rPr>
                <w:bCs/>
                <w:color w:val="auto"/>
                <w:sz w:val="21"/>
                <w:szCs w:val="21"/>
                <w:highlight w:val="none"/>
              </w:rPr>
            </w:pPr>
            <w:r>
              <w:rPr>
                <w:rFonts w:hint="eastAsia"/>
                <w:bCs/>
                <w:color w:val="auto"/>
                <w:sz w:val="21"/>
                <w:szCs w:val="21"/>
                <w:highlight w:val="none"/>
              </w:rPr>
              <w:t>业</w:t>
            </w:r>
          </w:p>
          <w:p>
            <w:pPr>
              <w:pStyle w:val="30"/>
              <w:shd w:val="clear" w:color="auto" w:fill="FFFFFF"/>
              <w:spacing w:before="0" w:beforeAutospacing="0" w:after="0" w:afterAutospacing="0"/>
              <w:jc w:val="center"/>
              <w:rPr>
                <w:bCs/>
                <w:color w:val="auto"/>
                <w:spacing w:val="27"/>
                <w:sz w:val="21"/>
                <w:szCs w:val="21"/>
                <w:highlight w:val="none"/>
              </w:rPr>
            </w:pPr>
            <w:r>
              <w:rPr>
                <w:rFonts w:hint="eastAsia"/>
                <w:bCs/>
                <w:color w:val="auto"/>
                <w:spacing w:val="27"/>
                <w:sz w:val="21"/>
                <w:szCs w:val="21"/>
                <w:highlight w:val="none"/>
              </w:rPr>
              <w:t>概</w:t>
            </w:r>
          </w:p>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27"/>
                <w:sz w:val="21"/>
                <w:szCs w:val="21"/>
                <w:highlight w:val="none"/>
              </w:rPr>
              <w:t>况</w:t>
            </w:r>
          </w:p>
        </w:tc>
        <w:tc>
          <w:tcPr>
            <w:tcW w:w="970" w:type="dxa"/>
            <w:tcBorders>
              <w:top w:val="nil"/>
            </w:tcBorders>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vAlign w:val="center"/>
          </w:tcPr>
          <w:p>
            <w:pPr>
              <w:pStyle w:val="30"/>
              <w:shd w:val="clear" w:color="auto" w:fill="FFFFFF"/>
              <w:spacing w:before="0" w:beforeAutospacing="0" w:after="0" w:afterAutospacing="0"/>
              <w:jc w:val="center"/>
              <w:rPr>
                <w:bCs/>
                <w:color w:val="auto"/>
                <w:spacing w:val="16"/>
                <w:sz w:val="21"/>
                <w:szCs w:val="21"/>
                <w:highlight w:val="none"/>
              </w:rPr>
            </w:pPr>
          </w:p>
        </w:tc>
        <w:tc>
          <w:tcPr>
            <w:tcW w:w="1324" w:type="dxa"/>
            <w:gridSpan w:val="2"/>
            <w:tcBorders>
              <w:top w:val="nil"/>
            </w:tcBorders>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337" w:type="dxa"/>
            <w:gridSpan w:val="2"/>
            <w:tcBorders>
              <w:top w:val="nil"/>
            </w:tcBorders>
            <w:vAlign w:val="center"/>
          </w:tcPr>
          <w:p>
            <w:pPr>
              <w:widowControl/>
              <w:jc w:val="center"/>
              <w:rPr>
                <w:rFonts w:ascii="宋体" w:hAnsi="宋体" w:cs="宋体"/>
                <w:bCs/>
                <w:color w:val="auto"/>
                <w:spacing w:val="16"/>
                <w:kern w:val="0"/>
                <w:szCs w:val="21"/>
                <w:highlight w:val="none"/>
              </w:rPr>
            </w:pPr>
          </w:p>
          <w:p>
            <w:pPr>
              <w:widowControl/>
              <w:jc w:val="center"/>
              <w:rPr>
                <w:rFonts w:ascii="宋体" w:hAnsi="宋体" w:cs="宋体"/>
                <w:bCs/>
                <w:color w:val="auto"/>
                <w:spacing w:val="16"/>
                <w:kern w:val="0"/>
                <w:szCs w:val="21"/>
                <w:highlight w:val="none"/>
              </w:rPr>
            </w:pPr>
          </w:p>
          <w:p>
            <w:pPr>
              <w:pStyle w:val="30"/>
              <w:shd w:val="clear" w:color="auto" w:fill="FFFFFF"/>
              <w:spacing w:before="0" w:beforeAutospacing="0" w:after="0" w:afterAutospacing="0"/>
              <w:jc w:val="center"/>
              <w:rPr>
                <w:bCs/>
                <w:color w:val="auto"/>
                <w:spacing w:val="16"/>
                <w:sz w:val="21"/>
                <w:szCs w:val="21"/>
                <w:highlight w:val="none"/>
              </w:rPr>
            </w:pPr>
          </w:p>
        </w:tc>
        <w:tc>
          <w:tcPr>
            <w:tcW w:w="1848" w:type="dxa"/>
            <w:gridSpan w:val="3"/>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011" w:type="dxa"/>
            <w:gridSpan w:val="2"/>
            <w:vAlign w:val="center"/>
          </w:tcPr>
          <w:p>
            <w:pPr>
              <w:pStyle w:val="30"/>
              <w:shd w:val="clear" w:color="auto" w:fill="FFFFFF"/>
              <w:spacing w:before="0" w:beforeAutospacing="0" w:after="0" w:afterAutospacing="0"/>
              <w:jc w:val="center"/>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97" w:type="dxa"/>
            <w:vMerge w:val="continue"/>
            <w:vAlign w:val="center"/>
          </w:tcPr>
          <w:p>
            <w:pPr>
              <w:pStyle w:val="30"/>
              <w:shd w:val="clear" w:color="auto" w:fill="FFFFFF"/>
              <w:spacing w:before="0" w:beforeAutospacing="0" w:after="0" w:afterAutospacing="0"/>
              <w:jc w:val="center"/>
              <w:rPr>
                <w:bCs/>
                <w:color w:val="auto"/>
                <w:sz w:val="21"/>
                <w:szCs w:val="21"/>
                <w:highlight w:val="none"/>
              </w:rPr>
            </w:pPr>
          </w:p>
        </w:tc>
        <w:tc>
          <w:tcPr>
            <w:tcW w:w="970" w:type="dxa"/>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6"/>
                <w:sz w:val="21"/>
                <w:szCs w:val="21"/>
                <w:highlight w:val="none"/>
              </w:rPr>
              <w:t>占地面积</w:t>
            </w:r>
          </w:p>
        </w:tc>
        <w:tc>
          <w:tcPr>
            <w:tcW w:w="910" w:type="dxa"/>
            <w:vAlign w:val="center"/>
          </w:tcPr>
          <w:p>
            <w:pPr>
              <w:pStyle w:val="30"/>
              <w:shd w:val="clear" w:color="auto" w:fill="FFFFFF"/>
              <w:spacing w:before="0" w:beforeAutospacing="0" w:after="0" w:afterAutospacing="0"/>
              <w:jc w:val="center"/>
              <w:rPr>
                <w:bCs/>
                <w:color w:val="auto"/>
                <w:sz w:val="21"/>
                <w:szCs w:val="21"/>
                <w:highlight w:val="none"/>
              </w:rPr>
            </w:pPr>
          </w:p>
        </w:tc>
        <w:tc>
          <w:tcPr>
            <w:tcW w:w="1324" w:type="dxa"/>
            <w:gridSpan w:val="2"/>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6"/>
                <w:sz w:val="21"/>
                <w:szCs w:val="21"/>
                <w:highlight w:val="none"/>
              </w:rPr>
              <w:t>建筑面积</w:t>
            </w:r>
          </w:p>
        </w:tc>
        <w:tc>
          <w:tcPr>
            <w:tcW w:w="1337" w:type="dxa"/>
            <w:gridSpan w:val="2"/>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z w:val="21"/>
                <w:szCs w:val="21"/>
                <w:highlight w:val="none"/>
              </w:rPr>
              <w:t>平方米</w:t>
            </w:r>
          </w:p>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□自有</w:t>
            </w:r>
          </w:p>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6"/>
                <w:sz w:val="21"/>
                <w:szCs w:val="21"/>
                <w:highlight w:val="none"/>
              </w:rPr>
              <w:t>□租赁</w:t>
            </w:r>
          </w:p>
        </w:tc>
        <w:tc>
          <w:tcPr>
            <w:tcW w:w="1848" w:type="dxa"/>
            <w:gridSpan w:val="3"/>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6"/>
                <w:sz w:val="21"/>
                <w:szCs w:val="21"/>
                <w:highlight w:val="none"/>
              </w:rPr>
              <w:t>生产经营场所及场所的设施与设备</w:t>
            </w:r>
          </w:p>
        </w:tc>
        <w:tc>
          <w:tcPr>
            <w:tcW w:w="2011" w:type="dxa"/>
            <w:gridSpan w:val="2"/>
            <w:vAlign w:val="center"/>
          </w:tcPr>
          <w:p>
            <w:pPr>
              <w:pStyle w:val="30"/>
              <w:shd w:val="clear" w:color="auto" w:fill="FFFFFF"/>
              <w:spacing w:before="0" w:beforeAutospacing="0" w:after="0" w:afterAutospacing="0"/>
              <w:jc w:val="center"/>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7" w:type="dxa"/>
            <w:vMerge w:val="continue"/>
            <w:vAlign w:val="center"/>
          </w:tcPr>
          <w:p>
            <w:pPr>
              <w:pStyle w:val="30"/>
              <w:shd w:val="clear" w:color="auto" w:fill="FFFFFF"/>
              <w:spacing w:before="0" w:beforeAutospacing="0" w:after="0" w:afterAutospacing="0"/>
              <w:jc w:val="center"/>
              <w:rPr>
                <w:bCs/>
                <w:color w:val="auto"/>
                <w:sz w:val="21"/>
                <w:szCs w:val="21"/>
                <w:highlight w:val="none"/>
              </w:rPr>
            </w:pPr>
          </w:p>
        </w:tc>
        <w:tc>
          <w:tcPr>
            <w:tcW w:w="970" w:type="dxa"/>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注册资金</w:t>
            </w:r>
          </w:p>
        </w:tc>
        <w:tc>
          <w:tcPr>
            <w:tcW w:w="910" w:type="dxa"/>
            <w:vAlign w:val="center"/>
          </w:tcPr>
          <w:p>
            <w:pPr>
              <w:pStyle w:val="30"/>
              <w:shd w:val="clear" w:color="auto" w:fill="FFFFFF"/>
              <w:spacing w:before="0" w:beforeAutospacing="0" w:after="0" w:afterAutospacing="0"/>
              <w:jc w:val="center"/>
              <w:rPr>
                <w:bCs/>
                <w:color w:val="auto"/>
                <w:sz w:val="21"/>
                <w:szCs w:val="21"/>
                <w:highlight w:val="none"/>
              </w:rPr>
            </w:pPr>
          </w:p>
        </w:tc>
        <w:tc>
          <w:tcPr>
            <w:tcW w:w="1324" w:type="dxa"/>
            <w:gridSpan w:val="2"/>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185" w:type="dxa"/>
            <w:gridSpan w:val="5"/>
            <w:vAlign w:val="center"/>
          </w:tcPr>
          <w:p>
            <w:pPr>
              <w:widowControl/>
              <w:jc w:val="center"/>
              <w:rPr>
                <w:rFonts w:ascii="宋体" w:hAnsi="宋体" w:cs="宋体"/>
                <w:bCs/>
                <w:color w:val="auto"/>
                <w:kern w:val="0"/>
                <w:szCs w:val="21"/>
                <w:highlight w:val="none"/>
              </w:rPr>
            </w:pPr>
          </w:p>
          <w:p>
            <w:pPr>
              <w:pStyle w:val="30"/>
              <w:shd w:val="clear" w:color="auto" w:fill="FFFFFF"/>
              <w:spacing w:before="0" w:beforeAutospacing="0" w:after="0" w:afterAutospacing="0"/>
              <w:jc w:val="center"/>
              <w:rPr>
                <w:bCs/>
                <w:color w:val="auto"/>
                <w:sz w:val="21"/>
                <w:szCs w:val="21"/>
                <w:highlight w:val="none"/>
              </w:rPr>
            </w:pPr>
          </w:p>
        </w:tc>
        <w:tc>
          <w:tcPr>
            <w:tcW w:w="1078" w:type="dxa"/>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vAlign w:val="center"/>
          </w:tcPr>
          <w:p>
            <w:pPr>
              <w:pStyle w:val="30"/>
              <w:shd w:val="clear" w:color="auto" w:fill="FFFFFF"/>
              <w:spacing w:before="0" w:beforeAutospacing="0" w:after="0" w:afterAutospacing="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97" w:type="dxa"/>
            <w:vMerge w:val="continue"/>
            <w:vAlign w:val="center"/>
          </w:tcPr>
          <w:p>
            <w:pPr>
              <w:pStyle w:val="30"/>
              <w:shd w:val="clear" w:color="auto" w:fill="FFFFFF"/>
              <w:spacing w:before="0" w:beforeAutospacing="0" w:after="0" w:afterAutospacing="0"/>
              <w:jc w:val="center"/>
              <w:rPr>
                <w:bCs/>
                <w:color w:val="auto"/>
                <w:sz w:val="21"/>
                <w:szCs w:val="21"/>
                <w:highlight w:val="none"/>
              </w:rPr>
            </w:pPr>
          </w:p>
        </w:tc>
        <w:tc>
          <w:tcPr>
            <w:tcW w:w="970" w:type="dxa"/>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z w:val="21"/>
                <w:szCs w:val="21"/>
                <w:highlight w:val="none"/>
              </w:rPr>
              <w:t>核准经营范围</w:t>
            </w:r>
          </w:p>
        </w:tc>
        <w:tc>
          <w:tcPr>
            <w:tcW w:w="7430" w:type="dxa"/>
            <w:gridSpan w:val="10"/>
            <w:vAlign w:val="center"/>
          </w:tcPr>
          <w:p>
            <w:pPr>
              <w:pStyle w:val="30"/>
              <w:shd w:val="clear" w:color="auto" w:fill="FFFFFF"/>
              <w:spacing w:before="0" w:beforeAutospacing="0" w:after="0" w:afterAutospacing="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7" w:type="dxa"/>
            <w:vMerge w:val="continue"/>
            <w:vAlign w:val="center"/>
          </w:tcPr>
          <w:p>
            <w:pPr>
              <w:pStyle w:val="30"/>
              <w:shd w:val="clear" w:color="auto" w:fill="FFFFFF"/>
              <w:spacing w:before="0" w:beforeAutospacing="0" w:after="0" w:afterAutospacing="0"/>
              <w:jc w:val="center"/>
              <w:rPr>
                <w:bCs/>
                <w:color w:val="auto"/>
                <w:sz w:val="21"/>
                <w:szCs w:val="21"/>
                <w:highlight w:val="none"/>
              </w:rPr>
            </w:pPr>
          </w:p>
        </w:tc>
        <w:tc>
          <w:tcPr>
            <w:tcW w:w="8400" w:type="dxa"/>
            <w:gridSpan w:val="11"/>
            <w:vAlign w:val="center"/>
          </w:tcPr>
          <w:p>
            <w:pPr>
              <w:pStyle w:val="30"/>
              <w:shd w:val="clear" w:color="auto" w:fill="FFFFFF"/>
              <w:spacing w:before="0" w:beforeAutospacing="0" w:after="0" w:afterAutospacing="0"/>
              <w:jc w:val="center"/>
              <w:rPr>
                <w:bCs/>
                <w:color w:val="auto"/>
                <w:spacing w:val="13"/>
                <w:sz w:val="21"/>
                <w:szCs w:val="21"/>
                <w:highlight w:val="none"/>
              </w:rPr>
            </w:pPr>
            <w:r>
              <w:rPr>
                <w:rFonts w:hint="eastAsia"/>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7" w:type="dxa"/>
            <w:vMerge w:val="restart"/>
            <w:vAlign w:val="center"/>
          </w:tcPr>
          <w:p>
            <w:pPr>
              <w:pStyle w:val="30"/>
              <w:shd w:val="clear" w:color="auto" w:fill="FFFFFF"/>
              <w:spacing w:before="0" w:beforeAutospacing="0" w:after="0" w:afterAutospacing="0"/>
              <w:jc w:val="center"/>
              <w:rPr>
                <w:bCs/>
                <w:color w:val="auto"/>
                <w:sz w:val="21"/>
                <w:szCs w:val="21"/>
                <w:highlight w:val="none"/>
              </w:rPr>
            </w:pPr>
            <w:r>
              <w:rPr>
                <w:bCs/>
                <w:color w:val="auto"/>
                <w:sz w:val="21"/>
                <w:szCs w:val="21"/>
                <w:highlight w:val="none"/>
              </w:rPr>
              <w:t>2</w:t>
            </w:r>
            <w:r>
              <w:rPr>
                <w:rFonts w:hint="eastAsia"/>
                <w:bCs/>
                <w:color w:val="auto"/>
                <w:sz w:val="21"/>
                <w:szCs w:val="21"/>
                <w:highlight w:val="none"/>
              </w:rPr>
              <w:t>．</w:t>
            </w:r>
          </w:p>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2154" w:type="dxa"/>
            <w:gridSpan w:val="3"/>
            <w:vMerge w:val="restart"/>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1432" w:type="dxa"/>
            <w:gridSpan w:val="2"/>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6"/>
                <w:sz w:val="21"/>
                <w:szCs w:val="21"/>
                <w:highlight w:val="none"/>
              </w:rPr>
              <w:t>产品名称</w:t>
            </w:r>
          </w:p>
        </w:tc>
        <w:tc>
          <w:tcPr>
            <w:tcW w:w="1555" w:type="dxa"/>
            <w:gridSpan w:val="2"/>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6"/>
                <w:sz w:val="21"/>
                <w:szCs w:val="21"/>
                <w:highlight w:val="none"/>
              </w:rPr>
              <w:t>发证机关</w:t>
            </w:r>
          </w:p>
        </w:tc>
        <w:tc>
          <w:tcPr>
            <w:tcW w:w="1063" w:type="dxa"/>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27"/>
                <w:sz w:val="21"/>
                <w:szCs w:val="21"/>
                <w:highlight w:val="none"/>
              </w:rPr>
              <w:t>编号</w:t>
            </w:r>
          </w:p>
        </w:tc>
        <w:tc>
          <w:tcPr>
            <w:tcW w:w="1263" w:type="dxa"/>
            <w:gridSpan w:val="2"/>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16"/>
                <w:sz w:val="21"/>
                <w:szCs w:val="21"/>
                <w:highlight w:val="none"/>
              </w:rPr>
              <w:t>发证时间</w:t>
            </w:r>
          </w:p>
        </w:tc>
        <w:tc>
          <w:tcPr>
            <w:tcW w:w="933" w:type="dxa"/>
            <w:vAlign w:val="center"/>
          </w:tcPr>
          <w:p>
            <w:pPr>
              <w:pStyle w:val="30"/>
              <w:shd w:val="clear" w:color="auto" w:fill="FFFFFF"/>
              <w:spacing w:before="0" w:beforeAutospacing="0" w:after="0" w:afterAutospacing="0"/>
              <w:jc w:val="center"/>
              <w:rPr>
                <w:bCs/>
                <w:color w:val="auto"/>
                <w:sz w:val="21"/>
                <w:szCs w:val="21"/>
                <w:highlight w:val="none"/>
              </w:rPr>
            </w:pPr>
            <w:r>
              <w:rPr>
                <w:rFonts w:hint="eastAsia"/>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7" w:type="dxa"/>
            <w:vMerge w:val="continue"/>
            <w:vAlign w:val="center"/>
          </w:tcPr>
          <w:p>
            <w:pPr>
              <w:pStyle w:val="30"/>
              <w:shd w:val="clear" w:color="auto" w:fill="FFFFFF"/>
              <w:spacing w:before="0" w:beforeAutospacing="0" w:after="0" w:afterAutospacing="0"/>
              <w:jc w:val="center"/>
              <w:rPr>
                <w:bCs/>
                <w:color w:val="auto"/>
                <w:sz w:val="21"/>
                <w:szCs w:val="21"/>
                <w:highlight w:val="none"/>
              </w:rPr>
            </w:pPr>
          </w:p>
        </w:tc>
        <w:tc>
          <w:tcPr>
            <w:tcW w:w="2154" w:type="dxa"/>
            <w:gridSpan w:val="3"/>
            <w:vMerge w:val="continue"/>
            <w:vAlign w:val="center"/>
          </w:tcPr>
          <w:p>
            <w:pPr>
              <w:pStyle w:val="30"/>
              <w:shd w:val="clear" w:color="auto" w:fill="FFFFFF"/>
              <w:spacing w:before="0" w:beforeAutospacing="0" w:after="0" w:afterAutospacing="0"/>
              <w:jc w:val="center"/>
              <w:rPr>
                <w:bCs/>
                <w:color w:val="auto"/>
                <w:sz w:val="21"/>
                <w:szCs w:val="21"/>
                <w:highlight w:val="none"/>
              </w:rPr>
            </w:pPr>
          </w:p>
        </w:tc>
        <w:tc>
          <w:tcPr>
            <w:tcW w:w="1432" w:type="dxa"/>
            <w:gridSpan w:val="2"/>
            <w:vAlign w:val="center"/>
          </w:tcPr>
          <w:p>
            <w:pPr>
              <w:pStyle w:val="30"/>
              <w:shd w:val="clear" w:color="auto" w:fill="FFFFFF"/>
              <w:spacing w:before="0" w:beforeAutospacing="0" w:after="0" w:afterAutospacing="0"/>
              <w:jc w:val="center"/>
              <w:rPr>
                <w:bCs/>
                <w:color w:val="auto"/>
                <w:sz w:val="21"/>
                <w:szCs w:val="21"/>
                <w:highlight w:val="none"/>
              </w:rPr>
            </w:pPr>
          </w:p>
        </w:tc>
        <w:tc>
          <w:tcPr>
            <w:tcW w:w="1555" w:type="dxa"/>
            <w:gridSpan w:val="2"/>
            <w:vAlign w:val="center"/>
          </w:tcPr>
          <w:p>
            <w:pPr>
              <w:pStyle w:val="30"/>
              <w:shd w:val="clear" w:color="auto" w:fill="FFFFFF"/>
              <w:spacing w:before="0" w:beforeAutospacing="0" w:after="0" w:afterAutospacing="0"/>
              <w:jc w:val="center"/>
              <w:rPr>
                <w:bCs/>
                <w:color w:val="auto"/>
                <w:sz w:val="21"/>
                <w:szCs w:val="21"/>
                <w:highlight w:val="none"/>
              </w:rPr>
            </w:pPr>
          </w:p>
        </w:tc>
        <w:tc>
          <w:tcPr>
            <w:tcW w:w="1063" w:type="dxa"/>
            <w:vAlign w:val="center"/>
          </w:tcPr>
          <w:p>
            <w:pPr>
              <w:pStyle w:val="30"/>
              <w:shd w:val="clear" w:color="auto" w:fill="FFFFFF"/>
              <w:spacing w:before="0" w:beforeAutospacing="0" w:after="0" w:afterAutospacing="0"/>
              <w:jc w:val="center"/>
              <w:rPr>
                <w:bCs/>
                <w:color w:val="auto"/>
                <w:sz w:val="21"/>
                <w:szCs w:val="21"/>
                <w:highlight w:val="none"/>
              </w:rPr>
            </w:pPr>
          </w:p>
        </w:tc>
        <w:tc>
          <w:tcPr>
            <w:tcW w:w="2196" w:type="dxa"/>
            <w:gridSpan w:val="3"/>
            <w:vAlign w:val="center"/>
          </w:tcPr>
          <w:p>
            <w:pPr>
              <w:pStyle w:val="30"/>
              <w:shd w:val="clear" w:color="auto" w:fill="FFFFFF"/>
              <w:spacing w:before="0" w:beforeAutospacing="0" w:after="0" w:afterAutospacing="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vMerge w:val="continue"/>
            <w:vAlign w:val="center"/>
          </w:tcPr>
          <w:p>
            <w:pPr>
              <w:pStyle w:val="30"/>
              <w:shd w:val="clear" w:color="auto" w:fill="FFFFFF"/>
              <w:spacing w:before="0" w:beforeAutospacing="0" w:after="0" w:afterAutospacing="0"/>
              <w:jc w:val="center"/>
              <w:rPr>
                <w:bCs/>
                <w:color w:val="auto"/>
                <w:spacing w:val="16"/>
                <w:sz w:val="21"/>
                <w:szCs w:val="21"/>
                <w:highlight w:val="none"/>
              </w:rPr>
            </w:pPr>
          </w:p>
        </w:tc>
        <w:tc>
          <w:tcPr>
            <w:tcW w:w="2154" w:type="dxa"/>
            <w:gridSpan w:val="3"/>
            <w:vAlign w:val="center"/>
          </w:tcPr>
          <w:p>
            <w:pPr>
              <w:pStyle w:val="30"/>
              <w:shd w:val="clear" w:color="auto" w:fill="FFFFFF"/>
              <w:spacing w:before="0" w:beforeAutospacing="0" w:after="0" w:afterAutospacing="0"/>
              <w:jc w:val="center"/>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46" w:type="dxa"/>
            <w:gridSpan w:val="8"/>
            <w:vAlign w:val="center"/>
          </w:tcPr>
          <w:p>
            <w:pPr>
              <w:pStyle w:val="30"/>
              <w:shd w:val="clear" w:color="auto" w:fill="FFFFFF"/>
              <w:spacing w:before="0" w:beforeAutospacing="0" w:after="0" w:afterAutospacing="0"/>
              <w:jc w:val="center"/>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7" w:type="dxa"/>
            <w:vMerge w:val="continue"/>
            <w:vAlign w:val="center"/>
          </w:tcPr>
          <w:p>
            <w:pPr>
              <w:pStyle w:val="30"/>
              <w:shd w:val="clear" w:color="auto" w:fill="FFFFFF"/>
              <w:spacing w:before="0" w:beforeAutospacing="0" w:after="0" w:afterAutospacing="0"/>
              <w:jc w:val="center"/>
              <w:rPr>
                <w:bCs/>
                <w:color w:val="auto"/>
                <w:spacing w:val="27"/>
                <w:sz w:val="21"/>
                <w:szCs w:val="21"/>
                <w:highlight w:val="none"/>
              </w:rPr>
            </w:pPr>
          </w:p>
        </w:tc>
        <w:tc>
          <w:tcPr>
            <w:tcW w:w="2154" w:type="dxa"/>
            <w:gridSpan w:val="3"/>
            <w:vAlign w:val="center"/>
          </w:tcPr>
          <w:p>
            <w:pPr>
              <w:pStyle w:val="30"/>
              <w:shd w:val="clear" w:color="auto" w:fill="FFFFFF"/>
              <w:spacing w:before="0" w:beforeAutospacing="0" w:after="0" w:afterAutospacing="0"/>
              <w:jc w:val="center"/>
              <w:rPr>
                <w:bCs/>
                <w:color w:val="auto"/>
                <w:spacing w:val="16"/>
                <w:sz w:val="21"/>
                <w:szCs w:val="21"/>
                <w:highlight w:val="none"/>
              </w:rPr>
            </w:pPr>
            <w:r>
              <w:rPr>
                <w:rFonts w:hint="eastAsia"/>
                <w:bCs/>
                <w:color w:val="auto"/>
                <w:spacing w:val="10"/>
                <w:sz w:val="21"/>
                <w:szCs w:val="21"/>
                <w:highlight w:val="none"/>
              </w:rPr>
              <w:t>企业获得专利情况</w:t>
            </w:r>
          </w:p>
        </w:tc>
        <w:tc>
          <w:tcPr>
            <w:tcW w:w="6246" w:type="dxa"/>
            <w:gridSpan w:val="8"/>
            <w:vAlign w:val="center"/>
          </w:tcPr>
          <w:p>
            <w:pPr>
              <w:pStyle w:val="30"/>
              <w:shd w:val="clear" w:color="auto" w:fill="FFFFFF"/>
              <w:spacing w:before="0" w:beforeAutospacing="0" w:after="0" w:afterAutospacing="0"/>
              <w:jc w:val="center"/>
              <w:rPr>
                <w:bCs/>
                <w:color w:val="auto"/>
                <w:spacing w:val="16"/>
                <w:sz w:val="21"/>
                <w:szCs w:val="21"/>
                <w:highlight w:val="none"/>
              </w:rPr>
            </w:pPr>
          </w:p>
        </w:tc>
      </w:tr>
    </w:tbl>
    <w:p>
      <w:pPr>
        <w:pStyle w:val="30"/>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0"/>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pStyle w:val="30"/>
        <w:shd w:val="clear" w:color="auto" w:fill="FFFFFF"/>
        <w:spacing w:before="0" w:beforeAutospacing="0" w:after="0" w:afterAutospacing="0" w:line="360" w:lineRule="auto"/>
        <w:ind w:firstLine="424" w:firstLineChars="202"/>
        <w:rPr>
          <w:color w:val="auto"/>
          <w:sz w:val="21"/>
          <w:szCs w:val="21"/>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0"/>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spacing w:line="360" w:lineRule="auto"/>
        <w:rPr>
          <w:rFonts w:ascii="宋体" w:hAnsi="宋体"/>
          <w:color w:val="auto"/>
          <w:sz w:val="24"/>
          <w:highlight w:val="none"/>
        </w:rPr>
      </w:pPr>
      <w:r>
        <w:rPr>
          <w:rFonts w:hint="eastAsia" w:ascii="宋体" w:hAnsi="宋体"/>
          <w:b/>
          <w:color w:val="auto"/>
          <w:sz w:val="28"/>
          <w:highlight w:val="none"/>
        </w:rPr>
        <w:t>附件7</w:t>
      </w:r>
    </w:p>
    <w:p>
      <w:pPr>
        <w:snapToGrid w:val="0"/>
        <w:spacing w:beforeLines="50" w:after="50" w:line="360" w:lineRule="auto"/>
        <w:jc w:val="center"/>
        <w:rPr>
          <w:rFonts w:ascii="宋体" w:hAnsi="宋体"/>
          <w:b/>
          <w:color w:val="auto"/>
          <w:sz w:val="36"/>
          <w:szCs w:val="36"/>
          <w:highlight w:val="none"/>
        </w:rPr>
      </w:pPr>
      <w:bookmarkStart w:id="58" w:name="_Toc20569_WPSOffice_Level1"/>
      <w:bookmarkStart w:id="59" w:name="_Toc23671_WPSOffice_Level1"/>
      <w:r>
        <w:rPr>
          <w:rFonts w:hint="eastAsia" w:ascii="宋体" w:hAnsi="宋体"/>
          <w:b/>
          <w:color w:val="auto"/>
          <w:sz w:val="32"/>
          <w:szCs w:val="32"/>
          <w:highlight w:val="none"/>
        </w:rPr>
        <w:t>项目实施人员一览表（第1标）</w:t>
      </w:r>
      <w:bookmarkEnd w:id="58"/>
      <w:bookmarkEnd w:id="59"/>
    </w:p>
    <w:p>
      <w:pPr>
        <w:snapToGrid w:val="0"/>
        <w:spacing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color w:val="auto"/>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val="0"/>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31"/>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pPr>
        <w:pStyle w:val="31"/>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w:t>
      </w:r>
      <w:r>
        <w:rPr>
          <w:rFonts w:hint="eastAsia" w:ascii="宋体" w:hAnsi="宋体"/>
          <w:color w:val="auto"/>
          <w:szCs w:val="21"/>
          <w:highlight w:val="none"/>
        </w:rPr>
        <w:t>3</w:t>
      </w:r>
      <w:r>
        <w:rPr>
          <w:rFonts w:ascii="宋体" w:hAnsi="宋体"/>
          <w:color w:val="auto"/>
          <w:szCs w:val="21"/>
          <w:highlight w:val="none"/>
        </w:rPr>
        <w:t>个月</w:t>
      </w:r>
      <w:r>
        <w:rPr>
          <w:rFonts w:hint="eastAsia" w:ascii="宋体" w:hAnsi="宋体"/>
          <w:color w:val="auto"/>
          <w:szCs w:val="21"/>
          <w:highlight w:val="none"/>
        </w:rPr>
        <w:t>内</w:t>
      </w:r>
      <w:r>
        <w:rPr>
          <w:rFonts w:ascii="宋体" w:hAnsi="宋体"/>
          <w:color w:val="auto"/>
          <w:szCs w:val="21"/>
          <w:highlight w:val="none"/>
        </w:rPr>
        <w:t>任一月的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9"/>
        <w:rPr>
          <w:rFonts w:ascii="宋体" w:hAnsi="宋体"/>
          <w:color w:val="auto"/>
          <w:sz w:val="24"/>
          <w:highlight w:val="none"/>
        </w:rPr>
      </w:pPr>
    </w:p>
    <w:p>
      <w:pPr>
        <w:pStyle w:val="9"/>
        <w:rPr>
          <w:rFonts w:ascii="宋体" w:hAnsi="宋体"/>
          <w:color w:val="auto"/>
          <w:sz w:val="24"/>
          <w:highlight w:val="none"/>
        </w:rPr>
      </w:pPr>
      <w:r>
        <w:rPr>
          <w:rFonts w:hint="eastAsia" w:ascii="宋体" w:hAnsi="宋体"/>
          <w:color w:val="auto"/>
          <w:sz w:val="24"/>
          <w:highlight w:val="none"/>
        </w:rPr>
        <w:br w:type="page"/>
      </w:r>
    </w:p>
    <w:p>
      <w:pPr>
        <w:spacing w:line="360" w:lineRule="auto"/>
        <w:ind w:firstLine="435"/>
        <w:rPr>
          <w:rFonts w:ascii="宋体" w:hAnsi="宋体"/>
          <w:color w:val="auto"/>
          <w:highlight w:val="none"/>
        </w:rPr>
      </w:pPr>
      <w:r>
        <w:rPr>
          <w:rFonts w:hint="eastAsia" w:ascii="宋体" w:hAnsi="宋体"/>
          <w:b/>
          <w:color w:val="auto"/>
          <w:sz w:val="28"/>
          <w:highlight w:val="none"/>
        </w:rPr>
        <w:t>附件8</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hint="eastAsia" w:ascii="宋体" w:hAnsi="宋体" w:eastAsia="宋体"/>
          <w:color w:val="auto"/>
          <w:highlight w:val="none"/>
          <w:lang w:eastAsia="zh-CN"/>
        </w:rPr>
      </w:pPr>
      <w:r>
        <w:rPr>
          <w:rFonts w:hint="eastAsia" w:ascii="宋体" w:hAnsi="宋体"/>
          <w:color w:val="auto"/>
          <w:highlight w:val="none"/>
        </w:rPr>
        <w:t>采购项目：</w:t>
      </w:r>
      <w:r>
        <w:rPr>
          <w:rFonts w:hint="eastAsia" w:ascii="宋体" w:hAnsi="宋体"/>
          <w:color w:val="auto"/>
          <w:highlight w:val="none"/>
          <w:lang w:eastAsia="zh-CN"/>
        </w:rPr>
        <w:t>《椒江政协履职实践》丛书出版印刷项目</w:t>
      </w:r>
      <w:r>
        <w:rPr>
          <w:rFonts w:hint="eastAsia" w:ascii="宋体" w:hAnsi="宋体"/>
          <w:color w:val="auto"/>
          <w:highlight w:val="none"/>
        </w:rPr>
        <w:t xml:space="preserve">            采购编号：TZTX-2024-</w:t>
      </w:r>
      <w:r>
        <w:rPr>
          <w:rFonts w:hint="eastAsia" w:ascii="宋体" w:hAnsi="宋体"/>
          <w:color w:val="auto"/>
          <w:highlight w:val="none"/>
          <w:lang w:eastAsia="zh-CN"/>
        </w:rPr>
        <w:t>GK030</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rPr>
        <w:br w:type="page"/>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color w:val="auto"/>
          <w:sz w:val="32"/>
          <w:szCs w:val="32"/>
          <w:highlight w:val="none"/>
        </w:rPr>
      </w:pPr>
      <w:bookmarkStart w:id="60" w:name="_Toc26601_WPSOffice_Level1"/>
      <w:bookmarkStart w:id="61" w:name="_Toc12856_WPSOffice_Level1"/>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r>
        <w:rPr>
          <w:rFonts w:hint="eastAsia" w:ascii="宋体" w:hAnsi="宋体"/>
          <w:b/>
          <w:color w:val="auto"/>
          <w:sz w:val="32"/>
          <w:szCs w:val="32"/>
          <w:highlight w:val="none"/>
        </w:rPr>
        <w:t>(第</w:t>
      </w:r>
      <w:r>
        <w:rPr>
          <w:rFonts w:hint="eastAsia" w:ascii="宋体" w:hAnsi="宋体"/>
          <w:b/>
          <w:color w:val="auto"/>
          <w:sz w:val="32"/>
          <w:szCs w:val="32"/>
          <w:highlight w:val="none"/>
          <w:lang w:val="en-US" w:eastAsia="zh-CN"/>
        </w:rPr>
        <w:t>1</w:t>
      </w:r>
      <w:r>
        <w:rPr>
          <w:rFonts w:hint="eastAsia" w:ascii="宋体" w:hAnsi="宋体"/>
          <w:b/>
          <w:color w:val="auto"/>
          <w:sz w:val="32"/>
          <w:szCs w:val="32"/>
          <w:highlight w:val="none"/>
        </w:rPr>
        <w:t>标)</w:t>
      </w:r>
      <w:bookmarkEnd w:id="60"/>
      <w:bookmarkEnd w:id="61"/>
    </w:p>
    <w:p>
      <w:pPr>
        <w:spacing w:line="360" w:lineRule="auto"/>
        <w:rPr>
          <w:rFonts w:ascii="宋体" w:hAnsi="宋体"/>
          <w:color w:val="auto"/>
          <w:sz w:val="24"/>
          <w:highlight w:val="none"/>
        </w:rPr>
      </w:pPr>
    </w:p>
    <w:tbl>
      <w:tblPr>
        <w:tblStyle w:val="2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80"/>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2280" w:type="dxa"/>
            <w:vAlign w:val="center"/>
          </w:tcPr>
          <w:p>
            <w:pPr>
              <w:jc w:val="center"/>
              <w:rPr>
                <w:rFonts w:ascii="宋体" w:hAnsi="宋体"/>
                <w:b/>
                <w:color w:val="auto"/>
                <w:sz w:val="24"/>
                <w:highlight w:val="none"/>
              </w:rPr>
            </w:pPr>
            <w:r>
              <w:rPr>
                <w:rFonts w:hint="eastAsia" w:ascii="宋体" w:hAnsi="宋体"/>
                <w:b/>
                <w:color w:val="auto"/>
                <w:sz w:val="24"/>
                <w:highlight w:val="none"/>
              </w:rPr>
              <w:t>名称</w:t>
            </w:r>
          </w:p>
        </w:tc>
        <w:tc>
          <w:tcPr>
            <w:tcW w:w="1449" w:type="dxa"/>
            <w:vAlign w:val="center"/>
          </w:tcPr>
          <w:p>
            <w:pPr>
              <w:jc w:val="center"/>
              <w:rPr>
                <w:rFonts w:ascii="宋体" w:hAnsi="宋体"/>
                <w:b/>
                <w:color w:val="auto"/>
                <w:sz w:val="24"/>
                <w:highlight w:val="none"/>
              </w:rPr>
            </w:pPr>
            <w:r>
              <w:rPr>
                <w:rFonts w:hint="eastAsia" w:ascii="宋体" w:hAnsi="宋体"/>
                <w:b/>
                <w:color w:val="auto"/>
                <w:sz w:val="24"/>
                <w:highlight w:val="none"/>
              </w:rPr>
              <w:t>规格</w:t>
            </w:r>
          </w:p>
        </w:tc>
        <w:tc>
          <w:tcPr>
            <w:tcW w:w="1560" w:type="dxa"/>
            <w:vAlign w:val="center"/>
          </w:tcPr>
          <w:p>
            <w:pPr>
              <w:jc w:val="center"/>
              <w:rPr>
                <w:rFonts w:ascii="宋体" w:hAnsi="宋体"/>
                <w:b/>
                <w:color w:val="auto"/>
                <w:sz w:val="24"/>
                <w:highlight w:val="none"/>
              </w:rPr>
            </w:pPr>
            <w:r>
              <w:rPr>
                <w:rFonts w:hint="eastAsia" w:ascii="宋体" w:hAnsi="宋体"/>
                <w:b/>
                <w:color w:val="auto"/>
                <w:sz w:val="24"/>
                <w:highlight w:val="none"/>
              </w:rPr>
              <w:t>招标需求</w:t>
            </w:r>
          </w:p>
        </w:tc>
        <w:tc>
          <w:tcPr>
            <w:tcW w:w="1401" w:type="dxa"/>
            <w:vAlign w:val="center"/>
          </w:tcPr>
          <w:p>
            <w:pPr>
              <w:jc w:val="center"/>
              <w:rPr>
                <w:rFonts w:ascii="宋体" w:hAnsi="宋体"/>
                <w:b/>
                <w:color w:val="auto"/>
                <w:sz w:val="24"/>
                <w:highlight w:val="none"/>
              </w:rPr>
            </w:pPr>
            <w:r>
              <w:rPr>
                <w:rFonts w:hint="eastAsia" w:ascii="宋体" w:hAnsi="宋体"/>
                <w:b/>
                <w:color w:val="auto"/>
                <w:sz w:val="24"/>
                <w:highlight w:val="none"/>
              </w:rPr>
              <w:t>投标响应</w:t>
            </w:r>
          </w:p>
        </w:tc>
        <w:tc>
          <w:tcPr>
            <w:tcW w:w="1365" w:type="dxa"/>
            <w:vAlign w:val="center"/>
          </w:tcPr>
          <w:p>
            <w:pPr>
              <w:jc w:val="center"/>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pPr>
              <w:spacing w:line="360" w:lineRule="auto"/>
              <w:rPr>
                <w:rFonts w:ascii="宋体" w:hAnsi="宋体"/>
                <w:color w:val="auto"/>
                <w:sz w:val="24"/>
                <w:highlight w:val="none"/>
              </w:rPr>
            </w:pPr>
          </w:p>
        </w:tc>
        <w:tc>
          <w:tcPr>
            <w:tcW w:w="2280"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color w:val="auto"/>
                <w:sz w:val="24"/>
                <w:highlight w:val="none"/>
              </w:rPr>
            </w:pPr>
          </w:p>
        </w:tc>
        <w:tc>
          <w:tcPr>
            <w:tcW w:w="2280"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color w:val="auto"/>
                <w:sz w:val="24"/>
                <w:highlight w:val="none"/>
              </w:rPr>
            </w:pPr>
          </w:p>
        </w:tc>
        <w:tc>
          <w:tcPr>
            <w:tcW w:w="2280"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color w:val="auto"/>
                <w:sz w:val="24"/>
                <w:highlight w:val="none"/>
              </w:rPr>
            </w:pPr>
          </w:p>
        </w:tc>
        <w:tc>
          <w:tcPr>
            <w:tcW w:w="2280"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pPr>
              <w:spacing w:line="360" w:lineRule="auto"/>
              <w:rPr>
                <w:rFonts w:ascii="宋体" w:hAnsi="宋体"/>
                <w:color w:val="auto"/>
                <w:sz w:val="24"/>
                <w:highlight w:val="none"/>
              </w:rPr>
            </w:pPr>
          </w:p>
        </w:tc>
        <w:tc>
          <w:tcPr>
            <w:tcW w:w="2280"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pPr>
              <w:spacing w:line="360" w:lineRule="auto"/>
              <w:rPr>
                <w:rFonts w:ascii="宋体" w:hAnsi="宋体"/>
                <w:color w:val="auto"/>
                <w:sz w:val="24"/>
                <w:highlight w:val="none"/>
              </w:rPr>
            </w:pPr>
          </w:p>
        </w:tc>
        <w:tc>
          <w:tcPr>
            <w:tcW w:w="2280"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color w:val="auto"/>
                <w:sz w:val="24"/>
                <w:highlight w:val="none"/>
              </w:rPr>
            </w:pPr>
          </w:p>
        </w:tc>
        <w:tc>
          <w:tcPr>
            <w:tcW w:w="2280"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bl>
    <w:p>
      <w:pPr>
        <w:pStyle w:val="32"/>
        <w:tabs>
          <w:tab w:val="left" w:pos="360"/>
        </w:tabs>
        <w:spacing w:line="360" w:lineRule="auto"/>
        <w:jc w:val="both"/>
        <w:rPr>
          <w:rFonts w:ascii="宋体"/>
          <w:b/>
          <w:color w:val="auto"/>
          <w:szCs w:val="21"/>
          <w:highlight w:val="none"/>
        </w:rPr>
      </w:pPr>
      <w:r>
        <w:rPr>
          <w:rFonts w:hint="eastAsia" w:ascii="宋体"/>
          <w:b/>
          <w:color w:val="auto"/>
          <w:szCs w:val="21"/>
          <w:highlight w:val="none"/>
        </w:rPr>
        <w:t>要求：</w:t>
      </w:r>
    </w:p>
    <w:p>
      <w:pPr>
        <w:pStyle w:val="32"/>
        <w:tabs>
          <w:tab w:val="left" w:pos="360"/>
        </w:tabs>
        <w:spacing w:line="360" w:lineRule="auto"/>
        <w:ind w:firstLine="420" w:firstLineChars="200"/>
        <w:jc w:val="both"/>
        <w:rPr>
          <w:rFonts w:ascii="宋体"/>
          <w:color w:val="auto"/>
          <w:szCs w:val="21"/>
          <w:highlight w:val="none"/>
        </w:rPr>
      </w:pPr>
      <w:r>
        <w:rPr>
          <w:rFonts w:hint="eastAsia" w:ascii="宋体"/>
          <w:color w:val="auto"/>
          <w:szCs w:val="21"/>
          <w:highlight w:val="none"/>
        </w:rPr>
        <w:t>1. 本表的名称须与《报价明细表》一致。</w:t>
      </w:r>
    </w:p>
    <w:p>
      <w:pPr>
        <w:pStyle w:val="32"/>
        <w:spacing w:line="360" w:lineRule="auto"/>
        <w:ind w:firstLine="420" w:firstLineChars="200"/>
        <w:jc w:val="both"/>
        <w:rPr>
          <w:rFonts w:ascii="宋体"/>
          <w:color w:val="auto"/>
          <w:szCs w:val="21"/>
          <w:highlight w:val="none"/>
        </w:rPr>
      </w:pPr>
      <w:r>
        <w:rPr>
          <w:rFonts w:hint="eastAsia" w:ascii="宋体"/>
          <w:color w:val="auto"/>
          <w:szCs w:val="21"/>
          <w:highlight w:val="none"/>
        </w:rPr>
        <w:t>2.本表参照本招标文件第三章“招标需求”内第二条“技术需求”填制，投标人应根据投标产品的性能指标、服务指标，对照招标文件要求在“偏离情况”栏注明“正偏离”、“负偏离”或“无偏离”。</w:t>
      </w:r>
    </w:p>
    <w:p>
      <w:pPr>
        <w:pStyle w:val="32"/>
        <w:spacing w:line="360" w:lineRule="auto"/>
        <w:ind w:firstLine="420" w:firstLineChars="200"/>
        <w:jc w:val="both"/>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rPr>
        <w:br w:type="page"/>
      </w:r>
    </w:p>
    <w:p>
      <w:pPr>
        <w:pStyle w:val="33"/>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34"/>
        <w:spacing w:line="360" w:lineRule="auto"/>
        <w:jc w:val="center"/>
        <w:rPr>
          <w:rFonts w:ascii="宋体" w:hAnsi="宋体"/>
          <w:b/>
          <w:color w:val="auto"/>
          <w:sz w:val="32"/>
          <w:szCs w:val="32"/>
          <w:highlight w:val="none"/>
        </w:rPr>
      </w:pPr>
      <w:bookmarkStart w:id="62" w:name="_Toc17604_WPSOffice_Level1"/>
      <w:bookmarkStart w:id="63" w:name="_Toc11030_WPSOffice_Level1"/>
      <w:r>
        <w:rPr>
          <w:rFonts w:hint="eastAsia" w:ascii="宋体" w:hAnsi="宋体"/>
          <w:b/>
          <w:color w:val="auto"/>
          <w:sz w:val="32"/>
          <w:szCs w:val="32"/>
          <w:highlight w:val="none"/>
        </w:rPr>
        <w:t>证书一览表</w:t>
      </w:r>
      <w:bookmarkEnd w:id="62"/>
      <w:bookmarkEnd w:id="63"/>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bottom w:val="single" w:color="auto" w:sz="4" w:space="0"/>
            </w:tcBorders>
            <w:vAlign w:val="center"/>
          </w:tcPr>
          <w:p>
            <w:pPr>
              <w:pStyle w:val="34"/>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vAlign w:val="center"/>
          </w:tcPr>
          <w:p>
            <w:pPr>
              <w:pStyle w:val="34"/>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vAlign w:val="center"/>
          </w:tcPr>
          <w:p>
            <w:pPr>
              <w:pStyle w:val="34"/>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pPr>
              <w:pStyle w:val="34"/>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tcBorders>
            <w:vAlign w:val="center"/>
          </w:tcPr>
          <w:p>
            <w:pPr>
              <w:pStyle w:val="34"/>
              <w:spacing w:line="360" w:lineRule="auto"/>
              <w:jc w:val="center"/>
              <w:rPr>
                <w:rFonts w:ascii="宋体" w:hAnsi="宋体" w:cs="Arial"/>
                <w:color w:val="auto"/>
                <w:szCs w:val="21"/>
                <w:highlight w:val="none"/>
              </w:rPr>
            </w:pPr>
          </w:p>
        </w:tc>
        <w:tc>
          <w:tcPr>
            <w:tcW w:w="2258" w:type="dxa"/>
            <w:tcBorders>
              <w:top w:val="single" w:color="auto" w:sz="4" w:space="0"/>
            </w:tcBorders>
            <w:vAlign w:val="center"/>
          </w:tcPr>
          <w:p>
            <w:pPr>
              <w:pStyle w:val="34"/>
              <w:spacing w:line="360" w:lineRule="auto"/>
              <w:jc w:val="center"/>
              <w:rPr>
                <w:rFonts w:ascii="宋体" w:hAnsi="宋体" w:cs="Arial"/>
                <w:color w:val="auto"/>
                <w:szCs w:val="21"/>
                <w:highlight w:val="none"/>
              </w:rPr>
            </w:pPr>
          </w:p>
        </w:tc>
        <w:tc>
          <w:tcPr>
            <w:tcW w:w="2260" w:type="dxa"/>
            <w:tcBorders>
              <w:top w:val="single" w:color="auto" w:sz="4" w:space="0"/>
            </w:tcBorders>
            <w:vAlign w:val="center"/>
          </w:tcPr>
          <w:p>
            <w:pPr>
              <w:pStyle w:val="34"/>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vAlign w:val="center"/>
          </w:tcPr>
          <w:p>
            <w:pPr>
              <w:pStyle w:val="3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spacing w:line="360" w:lineRule="auto"/>
              <w:jc w:val="center"/>
              <w:rPr>
                <w:rFonts w:ascii="宋体" w:hAnsi="宋体" w:cs="Arial"/>
                <w:color w:val="auto"/>
                <w:szCs w:val="21"/>
                <w:highlight w:val="none"/>
              </w:rPr>
            </w:pPr>
          </w:p>
        </w:tc>
        <w:tc>
          <w:tcPr>
            <w:tcW w:w="2258" w:type="dxa"/>
            <w:vAlign w:val="center"/>
          </w:tcPr>
          <w:p>
            <w:pPr>
              <w:pStyle w:val="34"/>
              <w:spacing w:line="360" w:lineRule="auto"/>
              <w:jc w:val="center"/>
              <w:rPr>
                <w:rFonts w:ascii="宋体" w:hAnsi="宋体" w:cs="Arial"/>
                <w:color w:val="auto"/>
                <w:szCs w:val="21"/>
                <w:highlight w:val="none"/>
              </w:rPr>
            </w:pPr>
          </w:p>
        </w:tc>
        <w:tc>
          <w:tcPr>
            <w:tcW w:w="2260" w:type="dxa"/>
            <w:vAlign w:val="center"/>
          </w:tcPr>
          <w:p>
            <w:pPr>
              <w:pStyle w:val="34"/>
              <w:spacing w:line="360" w:lineRule="auto"/>
              <w:jc w:val="center"/>
              <w:rPr>
                <w:rFonts w:ascii="宋体" w:hAnsi="宋体" w:cs="Arial"/>
                <w:color w:val="auto"/>
                <w:szCs w:val="21"/>
                <w:highlight w:val="none"/>
              </w:rPr>
            </w:pPr>
          </w:p>
        </w:tc>
        <w:tc>
          <w:tcPr>
            <w:tcW w:w="2047" w:type="dxa"/>
            <w:tcBorders>
              <w:right w:val="single" w:color="auto" w:sz="4" w:space="0"/>
            </w:tcBorders>
            <w:vAlign w:val="center"/>
          </w:tcPr>
          <w:p>
            <w:pPr>
              <w:pStyle w:val="3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spacing w:line="360" w:lineRule="auto"/>
              <w:jc w:val="center"/>
              <w:rPr>
                <w:rFonts w:ascii="宋体" w:hAnsi="宋体" w:cs="Arial"/>
                <w:color w:val="auto"/>
                <w:szCs w:val="21"/>
                <w:highlight w:val="none"/>
              </w:rPr>
            </w:pPr>
          </w:p>
        </w:tc>
        <w:tc>
          <w:tcPr>
            <w:tcW w:w="2258" w:type="dxa"/>
            <w:vAlign w:val="center"/>
          </w:tcPr>
          <w:p>
            <w:pPr>
              <w:pStyle w:val="34"/>
              <w:spacing w:line="360" w:lineRule="auto"/>
              <w:jc w:val="center"/>
              <w:rPr>
                <w:rFonts w:ascii="宋体" w:hAnsi="宋体" w:cs="Arial"/>
                <w:color w:val="auto"/>
                <w:szCs w:val="21"/>
                <w:highlight w:val="none"/>
              </w:rPr>
            </w:pPr>
          </w:p>
        </w:tc>
        <w:tc>
          <w:tcPr>
            <w:tcW w:w="2260" w:type="dxa"/>
            <w:vAlign w:val="center"/>
          </w:tcPr>
          <w:p>
            <w:pPr>
              <w:pStyle w:val="34"/>
              <w:spacing w:line="360" w:lineRule="auto"/>
              <w:jc w:val="center"/>
              <w:rPr>
                <w:rFonts w:ascii="宋体" w:hAnsi="宋体" w:cs="Arial"/>
                <w:color w:val="auto"/>
                <w:szCs w:val="21"/>
                <w:highlight w:val="none"/>
              </w:rPr>
            </w:pPr>
          </w:p>
        </w:tc>
        <w:tc>
          <w:tcPr>
            <w:tcW w:w="2047" w:type="dxa"/>
            <w:tcBorders>
              <w:right w:val="single" w:color="auto" w:sz="4" w:space="0"/>
            </w:tcBorders>
            <w:vAlign w:val="center"/>
          </w:tcPr>
          <w:p>
            <w:pPr>
              <w:pStyle w:val="3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spacing w:line="360" w:lineRule="auto"/>
              <w:jc w:val="center"/>
              <w:rPr>
                <w:rFonts w:ascii="宋体" w:hAnsi="宋体" w:cs="Arial"/>
                <w:color w:val="auto"/>
                <w:szCs w:val="21"/>
                <w:highlight w:val="none"/>
              </w:rPr>
            </w:pPr>
          </w:p>
        </w:tc>
        <w:tc>
          <w:tcPr>
            <w:tcW w:w="2258" w:type="dxa"/>
            <w:vAlign w:val="center"/>
          </w:tcPr>
          <w:p>
            <w:pPr>
              <w:pStyle w:val="34"/>
              <w:spacing w:line="360" w:lineRule="auto"/>
              <w:jc w:val="center"/>
              <w:rPr>
                <w:rFonts w:ascii="宋体" w:hAnsi="宋体" w:cs="Arial"/>
                <w:color w:val="auto"/>
                <w:szCs w:val="21"/>
                <w:highlight w:val="none"/>
              </w:rPr>
            </w:pPr>
          </w:p>
        </w:tc>
        <w:tc>
          <w:tcPr>
            <w:tcW w:w="2260" w:type="dxa"/>
            <w:vAlign w:val="center"/>
          </w:tcPr>
          <w:p>
            <w:pPr>
              <w:pStyle w:val="34"/>
              <w:spacing w:line="360" w:lineRule="auto"/>
              <w:jc w:val="center"/>
              <w:rPr>
                <w:rFonts w:ascii="宋体" w:hAnsi="宋体" w:cs="Arial"/>
                <w:color w:val="auto"/>
                <w:szCs w:val="21"/>
                <w:highlight w:val="none"/>
              </w:rPr>
            </w:pPr>
          </w:p>
        </w:tc>
        <w:tc>
          <w:tcPr>
            <w:tcW w:w="2047" w:type="dxa"/>
            <w:tcBorders>
              <w:right w:val="single" w:color="auto" w:sz="4" w:space="0"/>
            </w:tcBorders>
            <w:vAlign w:val="center"/>
          </w:tcPr>
          <w:p>
            <w:pPr>
              <w:pStyle w:val="3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spacing w:line="360" w:lineRule="auto"/>
              <w:jc w:val="center"/>
              <w:rPr>
                <w:rFonts w:ascii="宋体" w:hAnsi="宋体" w:cs="Arial"/>
                <w:color w:val="auto"/>
                <w:szCs w:val="21"/>
                <w:highlight w:val="none"/>
              </w:rPr>
            </w:pPr>
          </w:p>
        </w:tc>
        <w:tc>
          <w:tcPr>
            <w:tcW w:w="2258" w:type="dxa"/>
            <w:vAlign w:val="center"/>
          </w:tcPr>
          <w:p>
            <w:pPr>
              <w:pStyle w:val="34"/>
              <w:spacing w:line="360" w:lineRule="auto"/>
              <w:jc w:val="center"/>
              <w:rPr>
                <w:rFonts w:ascii="宋体" w:hAnsi="宋体" w:cs="Arial"/>
                <w:color w:val="auto"/>
                <w:szCs w:val="21"/>
                <w:highlight w:val="none"/>
              </w:rPr>
            </w:pPr>
          </w:p>
        </w:tc>
        <w:tc>
          <w:tcPr>
            <w:tcW w:w="2260" w:type="dxa"/>
            <w:vAlign w:val="center"/>
          </w:tcPr>
          <w:p>
            <w:pPr>
              <w:pStyle w:val="34"/>
              <w:spacing w:line="360" w:lineRule="auto"/>
              <w:jc w:val="center"/>
              <w:rPr>
                <w:rFonts w:ascii="宋体" w:hAnsi="宋体" w:cs="Arial"/>
                <w:color w:val="auto"/>
                <w:szCs w:val="21"/>
                <w:highlight w:val="none"/>
              </w:rPr>
            </w:pPr>
          </w:p>
        </w:tc>
        <w:tc>
          <w:tcPr>
            <w:tcW w:w="2047" w:type="dxa"/>
            <w:tcBorders>
              <w:right w:val="single" w:color="auto" w:sz="4" w:space="0"/>
            </w:tcBorders>
            <w:vAlign w:val="center"/>
          </w:tcPr>
          <w:p>
            <w:pPr>
              <w:pStyle w:val="3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spacing w:line="360" w:lineRule="auto"/>
              <w:jc w:val="center"/>
              <w:rPr>
                <w:rFonts w:ascii="宋体" w:hAnsi="宋体" w:cs="Arial"/>
                <w:color w:val="auto"/>
                <w:szCs w:val="21"/>
                <w:highlight w:val="none"/>
              </w:rPr>
            </w:pPr>
          </w:p>
        </w:tc>
        <w:tc>
          <w:tcPr>
            <w:tcW w:w="2258" w:type="dxa"/>
            <w:vAlign w:val="center"/>
          </w:tcPr>
          <w:p>
            <w:pPr>
              <w:pStyle w:val="34"/>
              <w:spacing w:line="360" w:lineRule="auto"/>
              <w:jc w:val="center"/>
              <w:rPr>
                <w:rFonts w:ascii="宋体" w:hAnsi="宋体" w:cs="Arial"/>
                <w:color w:val="auto"/>
                <w:szCs w:val="21"/>
                <w:highlight w:val="none"/>
              </w:rPr>
            </w:pPr>
          </w:p>
        </w:tc>
        <w:tc>
          <w:tcPr>
            <w:tcW w:w="2260" w:type="dxa"/>
            <w:vAlign w:val="center"/>
          </w:tcPr>
          <w:p>
            <w:pPr>
              <w:pStyle w:val="34"/>
              <w:spacing w:line="360" w:lineRule="auto"/>
              <w:jc w:val="center"/>
              <w:rPr>
                <w:rFonts w:ascii="宋体" w:hAnsi="宋体" w:cs="Arial"/>
                <w:color w:val="auto"/>
                <w:szCs w:val="21"/>
                <w:highlight w:val="none"/>
              </w:rPr>
            </w:pPr>
          </w:p>
        </w:tc>
        <w:tc>
          <w:tcPr>
            <w:tcW w:w="2047" w:type="dxa"/>
            <w:tcBorders>
              <w:right w:val="single" w:color="auto" w:sz="4" w:space="0"/>
            </w:tcBorders>
            <w:vAlign w:val="center"/>
          </w:tcPr>
          <w:p>
            <w:pPr>
              <w:pStyle w:val="3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bottom w:val="single" w:color="auto" w:sz="4" w:space="0"/>
            </w:tcBorders>
            <w:vAlign w:val="center"/>
          </w:tcPr>
          <w:p>
            <w:pPr>
              <w:pStyle w:val="34"/>
              <w:spacing w:line="360" w:lineRule="auto"/>
              <w:jc w:val="center"/>
              <w:rPr>
                <w:rFonts w:ascii="宋体" w:hAnsi="宋体" w:cs="Arial"/>
                <w:color w:val="auto"/>
                <w:szCs w:val="21"/>
                <w:highlight w:val="none"/>
              </w:rPr>
            </w:pPr>
          </w:p>
        </w:tc>
        <w:tc>
          <w:tcPr>
            <w:tcW w:w="2258" w:type="dxa"/>
            <w:tcBorders>
              <w:bottom w:val="single" w:color="auto" w:sz="4" w:space="0"/>
            </w:tcBorders>
            <w:vAlign w:val="center"/>
          </w:tcPr>
          <w:p>
            <w:pPr>
              <w:pStyle w:val="34"/>
              <w:spacing w:line="360" w:lineRule="auto"/>
              <w:jc w:val="center"/>
              <w:rPr>
                <w:rFonts w:ascii="宋体" w:hAnsi="宋体" w:cs="Arial"/>
                <w:color w:val="auto"/>
                <w:szCs w:val="21"/>
                <w:highlight w:val="none"/>
              </w:rPr>
            </w:pPr>
          </w:p>
        </w:tc>
        <w:tc>
          <w:tcPr>
            <w:tcW w:w="2260" w:type="dxa"/>
            <w:tcBorders>
              <w:bottom w:val="single" w:color="auto" w:sz="4" w:space="0"/>
            </w:tcBorders>
            <w:vAlign w:val="center"/>
          </w:tcPr>
          <w:p>
            <w:pPr>
              <w:pStyle w:val="34"/>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vAlign w:val="center"/>
          </w:tcPr>
          <w:p>
            <w:pPr>
              <w:pStyle w:val="34"/>
              <w:spacing w:line="360" w:lineRule="auto"/>
              <w:jc w:val="center"/>
              <w:rPr>
                <w:rFonts w:ascii="宋体" w:hAnsi="宋体" w:cs="Arial"/>
                <w:color w:val="auto"/>
                <w:szCs w:val="21"/>
                <w:highlight w:val="none"/>
              </w:rPr>
            </w:pPr>
          </w:p>
        </w:tc>
      </w:tr>
    </w:tbl>
    <w:p>
      <w:pPr>
        <w:pStyle w:val="34"/>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34"/>
        <w:tabs>
          <w:tab w:val="left" w:pos="105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34"/>
        <w:tabs>
          <w:tab w:val="left" w:pos="105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33"/>
        <w:spacing w:line="360" w:lineRule="auto"/>
        <w:jc w:val="left"/>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0"/>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pStyle w:val="9"/>
        <w:ind w:firstLine="0"/>
        <w:rPr>
          <w:rFonts w:ascii="宋体" w:hAnsi="宋体"/>
          <w:b/>
          <w:color w:val="auto"/>
          <w:sz w:val="28"/>
          <w:highlight w:val="none"/>
        </w:rPr>
      </w:pPr>
    </w:p>
    <w:p>
      <w:pPr>
        <w:pStyle w:val="9"/>
        <w:ind w:firstLine="0"/>
        <w:rPr>
          <w:rFonts w:ascii="宋体" w:hAnsi="宋体"/>
          <w:b/>
          <w:color w:val="auto"/>
          <w:sz w:val="28"/>
          <w:highlight w:val="none"/>
        </w:rPr>
      </w:pPr>
    </w:p>
    <w:p>
      <w:pPr>
        <w:pStyle w:val="9"/>
        <w:ind w:firstLine="0"/>
        <w:rPr>
          <w:rFonts w:ascii="宋体" w:hAnsi="宋体"/>
          <w:b/>
          <w:color w:val="auto"/>
          <w:sz w:val="28"/>
          <w:highlight w:val="none"/>
        </w:rPr>
      </w:pPr>
    </w:p>
    <w:p>
      <w:pPr>
        <w:pStyle w:val="9"/>
        <w:ind w:firstLine="0"/>
        <w:rPr>
          <w:rFonts w:ascii="宋体" w:hAnsi="宋体"/>
          <w:b/>
          <w:color w:val="auto"/>
          <w:sz w:val="28"/>
          <w:highlight w:val="none"/>
        </w:rPr>
      </w:pPr>
    </w:p>
    <w:p>
      <w:pPr>
        <w:pStyle w:val="9"/>
        <w:ind w:firstLine="0"/>
        <w:rPr>
          <w:rFonts w:ascii="宋体" w:hAnsi="宋体"/>
          <w:b/>
          <w:color w:val="auto"/>
          <w:sz w:val="28"/>
          <w:highlight w:val="none"/>
        </w:rPr>
      </w:pPr>
      <w:r>
        <w:rPr>
          <w:rFonts w:hint="eastAsia" w:ascii="宋体" w:hAnsi="宋体"/>
          <w:b/>
          <w:color w:val="auto"/>
          <w:sz w:val="28"/>
          <w:highlight w:val="none"/>
        </w:rPr>
        <w:t>附件11</w:t>
      </w:r>
    </w:p>
    <w:p>
      <w:pPr>
        <w:pStyle w:val="33"/>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33"/>
        <w:spacing w:line="360" w:lineRule="auto"/>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 </w:t>
      </w: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auto"/>
                <w:sz w:val="24"/>
                <w:highlight w:val="none"/>
              </w:rPr>
            </w:pPr>
          </w:p>
        </w:tc>
      </w:tr>
    </w:tbl>
    <w:p>
      <w:pPr>
        <w:autoSpaceDE w:val="0"/>
        <w:autoSpaceDN w:val="0"/>
        <w:adjustRightInd w:val="0"/>
        <w:spacing w:beforeLines="50" w:line="480" w:lineRule="exact"/>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Lines="50" w:line="480" w:lineRule="exact"/>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w:t>
      </w:r>
      <w:r>
        <w:rPr>
          <w:rFonts w:hint="eastAsia" w:ascii="宋体" w:hAnsi="宋体" w:cs="Arial"/>
          <w:color w:val="auto"/>
          <w:szCs w:val="21"/>
          <w:highlight w:val="none"/>
        </w:rPr>
        <w:t>（证明材料提供要求见第四章评分细则对应评分项）。</w:t>
      </w:r>
    </w:p>
    <w:p>
      <w:pPr>
        <w:spacing w:line="480" w:lineRule="exact"/>
        <w:ind w:firstLine="424" w:firstLineChars="202"/>
        <w:jc w:val="left"/>
        <w:rPr>
          <w:rFonts w:ascii="宋体" w:hAnsi="宋体" w:cs="Arial"/>
          <w:color w:val="auto"/>
          <w:szCs w:val="21"/>
          <w:highlight w:val="none"/>
        </w:rPr>
      </w:pPr>
    </w:p>
    <w:p>
      <w:pPr>
        <w:spacing w:line="480" w:lineRule="exact"/>
        <w:rPr>
          <w:rFonts w:ascii="宋体" w:hAnsi="宋体"/>
          <w:color w:val="auto"/>
          <w:sz w:val="22"/>
          <w:szCs w:val="22"/>
          <w:highlight w:val="none"/>
        </w:rPr>
      </w:pPr>
    </w:p>
    <w:p>
      <w:pPr>
        <w:spacing w:line="480" w:lineRule="exact"/>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9"/>
        <w:rPr>
          <w:rFonts w:ascii="宋体" w:hAnsi="宋体"/>
          <w:color w:val="auto"/>
          <w:sz w:val="24"/>
          <w:highlight w:val="none"/>
        </w:rPr>
      </w:pPr>
    </w:p>
    <w:p>
      <w:pPr>
        <w:pStyle w:val="9"/>
        <w:rPr>
          <w:rFonts w:ascii="宋体" w:hAnsi="宋体"/>
          <w:color w:val="auto"/>
          <w:sz w:val="24"/>
          <w:highlight w:val="none"/>
        </w:rPr>
      </w:pPr>
      <w:r>
        <w:rPr>
          <w:rFonts w:hint="eastAsia" w:ascii="宋体" w:hAnsi="宋体"/>
          <w:color w:val="auto"/>
          <w:sz w:val="24"/>
          <w:highlight w:val="none"/>
        </w:rPr>
        <w:br w:type="page"/>
      </w:r>
    </w:p>
    <w:p>
      <w:pPr>
        <w:pStyle w:val="34"/>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bookmarkStart w:id="64" w:name="_Toc21582_WPSOffice_Level1"/>
      <w:bookmarkStart w:id="65" w:name="_Toc3068_WPSOffice_Level1"/>
      <w:r>
        <w:rPr>
          <w:rFonts w:hint="eastAsia" w:ascii="宋体" w:hAnsi="宋体"/>
          <w:b/>
          <w:color w:val="auto"/>
          <w:sz w:val="32"/>
          <w:szCs w:val="32"/>
          <w:highlight w:val="none"/>
        </w:rPr>
        <w:t>商务需求响应表(第1标)</w:t>
      </w:r>
      <w:bookmarkEnd w:id="64"/>
      <w:bookmarkEnd w:id="65"/>
    </w:p>
    <w:p>
      <w:pPr>
        <w:spacing w:line="360" w:lineRule="auto"/>
        <w:ind w:left="481" w:leftChars="229" w:firstLine="813" w:firstLineChars="450"/>
        <w:rPr>
          <w:rFonts w:ascii="宋体" w:hAnsi="宋体"/>
          <w:b/>
          <w:color w:val="auto"/>
          <w:sz w:val="18"/>
          <w:szCs w:val="18"/>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tcPr>
          <w:p>
            <w:pPr>
              <w:snapToGrid w:val="0"/>
              <w:jc w:val="center"/>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top"/>
          </w:tcPr>
          <w:p>
            <w:pPr>
              <w:snapToGrid w:val="0"/>
              <w:jc w:val="center"/>
              <w:rPr>
                <w:rFonts w:ascii="宋体" w:hAnsi="宋体" w:eastAsia="宋体" w:cs="Times New Roman"/>
                <w:color w:val="auto"/>
                <w:kern w:val="2"/>
                <w:sz w:val="24"/>
                <w:szCs w:val="24"/>
                <w:highlight w:val="none"/>
                <w:lang w:val="en-US" w:eastAsia="zh-CN" w:bidi="ar-SA"/>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top"/>
          </w:tcPr>
          <w:p>
            <w:pPr>
              <w:snapToGrid w:val="0"/>
              <w:jc w:val="center"/>
              <w:rPr>
                <w:rFonts w:ascii="宋体" w:hAnsi="宋体" w:eastAsia="宋体" w:cs="Times New Roman"/>
                <w:color w:val="auto"/>
                <w:kern w:val="2"/>
                <w:sz w:val="24"/>
                <w:szCs w:val="24"/>
                <w:highlight w:val="none"/>
                <w:lang w:val="en-US" w:eastAsia="zh-CN" w:bidi="ar-SA"/>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top"/>
          </w:tcPr>
          <w:p>
            <w:pPr>
              <w:snapToGrid w:val="0"/>
              <w:jc w:val="center"/>
              <w:rPr>
                <w:rFonts w:ascii="宋体" w:hAnsi="宋体" w:eastAsia="宋体" w:cs="Times New Roman"/>
                <w:color w:val="auto"/>
                <w:kern w:val="2"/>
                <w:sz w:val="24"/>
                <w:szCs w:val="24"/>
                <w:highlight w:val="none"/>
                <w:lang w:val="en-US" w:eastAsia="zh-CN" w:bidi="ar-SA"/>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0" w:type="auto"/>
          </w:tcPr>
          <w:p>
            <w:pPr>
              <w:rPr>
                <w:rFonts w:ascii="宋体" w:hAnsi="宋体"/>
                <w:color w:val="auto"/>
                <w:sz w:val="24"/>
                <w:highlight w:val="none"/>
              </w:rPr>
            </w:pPr>
          </w:p>
        </w:tc>
        <w:tc>
          <w:tcPr>
            <w:tcW w:w="0" w:type="auto"/>
            <w:vAlign w:val="top"/>
          </w:tcPr>
          <w:p>
            <w:pPr>
              <w:snapToGrid w:val="0"/>
              <w:jc w:val="center"/>
              <w:rPr>
                <w:rFonts w:ascii="宋体" w:hAnsi="宋体" w:eastAsia="宋体" w:cs="Times New Roman"/>
                <w:color w:val="auto"/>
                <w:kern w:val="2"/>
                <w:sz w:val="24"/>
                <w:szCs w:val="24"/>
                <w:highlight w:val="none"/>
                <w:lang w:val="en-US" w:eastAsia="zh-CN" w:bidi="ar-SA"/>
              </w:rPr>
            </w:pPr>
          </w:p>
        </w:tc>
        <w:tc>
          <w:tcPr>
            <w:tcW w:w="0" w:type="auto"/>
          </w:tcPr>
          <w:p>
            <w:pPr>
              <w:rPr>
                <w:rFonts w:ascii="宋体" w:hAnsi="宋体"/>
                <w:color w:val="auto"/>
                <w:sz w:val="24"/>
                <w:highlight w:val="none"/>
              </w:rPr>
            </w:pPr>
          </w:p>
        </w:tc>
        <w:tc>
          <w:tcPr>
            <w:tcW w:w="0" w:type="auto"/>
          </w:tcPr>
          <w:p>
            <w:pPr>
              <w:rPr>
                <w:rFonts w:ascii="宋体" w:hAnsi="宋体"/>
                <w:color w:val="auto"/>
                <w:sz w:val="24"/>
                <w:highlight w:val="none"/>
              </w:rPr>
            </w:pPr>
          </w:p>
        </w:tc>
        <w:tc>
          <w:tcPr>
            <w:tcW w:w="0" w:type="auto"/>
          </w:tcPr>
          <w:p>
            <w:pPr>
              <w:rPr>
                <w:rFonts w:ascii="宋体" w:hAnsi="宋体"/>
                <w:color w:val="auto"/>
                <w:sz w:val="24"/>
                <w:highlight w:val="none"/>
              </w:rPr>
            </w:pPr>
          </w:p>
        </w:tc>
      </w:tr>
    </w:tbl>
    <w:p>
      <w:pPr>
        <w:autoSpaceDE w:val="0"/>
        <w:autoSpaceDN w:val="0"/>
        <w:adjustRightInd w:val="0"/>
        <w:spacing w:beforeLines="50" w:line="480" w:lineRule="exact"/>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spacing w:line="360" w:lineRule="auto"/>
        <w:rPr>
          <w:rStyle w:val="50"/>
          <w:rFonts w:ascii="宋体" w:hAnsi="宋体"/>
          <w:color w:val="auto"/>
          <w:szCs w:val="21"/>
          <w:highlight w:val="none"/>
        </w:rPr>
      </w:pPr>
      <w:r>
        <w:rPr>
          <w:rStyle w:val="50"/>
          <w:rFonts w:hint="eastAsia" w:ascii="宋体" w:hAnsi="宋体"/>
          <w:color w:val="auto"/>
          <w:szCs w:val="21"/>
          <w:highlight w:val="none"/>
        </w:rPr>
        <w:t>1.</w:t>
      </w:r>
      <w:r>
        <w:rPr>
          <w:rStyle w:val="50"/>
          <w:rFonts w:ascii="宋体" w:hAnsi="宋体"/>
          <w:color w:val="auto"/>
          <w:szCs w:val="21"/>
          <w:highlight w:val="none"/>
        </w:rPr>
        <w:t>本表参照本招标文件第</w:t>
      </w:r>
      <w:r>
        <w:rPr>
          <w:rStyle w:val="50"/>
          <w:rFonts w:hint="eastAsia" w:ascii="宋体" w:hAnsi="宋体"/>
          <w:color w:val="auto"/>
          <w:szCs w:val="21"/>
          <w:highlight w:val="none"/>
        </w:rPr>
        <w:t>三章</w:t>
      </w:r>
      <w:r>
        <w:rPr>
          <w:rStyle w:val="50"/>
          <w:rFonts w:ascii="宋体" w:hAnsi="宋体"/>
          <w:color w:val="auto"/>
          <w:szCs w:val="21"/>
          <w:highlight w:val="none"/>
        </w:rPr>
        <w:t>“招标需求”内第</w:t>
      </w:r>
      <w:r>
        <w:rPr>
          <w:rStyle w:val="50"/>
          <w:rFonts w:hint="eastAsia" w:ascii="宋体" w:hAnsi="宋体"/>
          <w:color w:val="auto"/>
          <w:szCs w:val="21"/>
          <w:highlight w:val="none"/>
        </w:rPr>
        <w:t>三</w:t>
      </w:r>
      <w:r>
        <w:rPr>
          <w:rStyle w:val="50"/>
          <w:rFonts w:ascii="宋体" w:hAnsi="宋体"/>
          <w:color w:val="auto"/>
          <w:szCs w:val="21"/>
          <w:highlight w:val="none"/>
        </w:rPr>
        <w:t>条“</w:t>
      </w:r>
      <w:r>
        <w:rPr>
          <w:rStyle w:val="50"/>
          <w:rFonts w:hint="eastAsia" w:ascii="宋体" w:hAnsi="宋体"/>
          <w:color w:val="auto"/>
          <w:szCs w:val="21"/>
          <w:highlight w:val="none"/>
        </w:rPr>
        <w:t>商务</w:t>
      </w:r>
      <w:r>
        <w:rPr>
          <w:rStyle w:val="50"/>
          <w:rFonts w:ascii="宋体" w:hAnsi="宋体"/>
          <w:color w:val="auto"/>
          <w:szCs w:val="21"/>
          <w:highlight w:val="none"/>
        </w:rPr>
        <w:t>需求”填制</w:t>
      </w:r>
      <w:r>
        <w:rPr>
          <w:rStyle w:val="50"/>
          <w:rFonts w:hint="eastAsia" w:ascii="宋体" w:hAnsi="宋体"/>
          <w:color w:val="auto"/>
          <w:szCs w:val="21"/>
          <w:highlight w:val="none"/>
        </w:rPr>
        <w:t>。</w:t>
      </w:r>
    </w:p>
    <w:p>
      <w:pPr>
        <w:pStyle w:val="9"/>
        <w:ind w:firstLine="0"/>
        <w:rPr>
          <w:color w:val="auto"/>
          <w:highlight w:val="none"/>
        </w:rPr>
      </w:pPr>
      <w:r>
        <w:rPr>
          <w:rFonts w:hint="eastAsia"/>
          <w:color w:val="auto"/>
          <w:highlight w:val="none"/>
        </w:rPr>
        <w:t>2.行数不够自行添加。</w:t>
      </w:r>
    </w:p>
    <w:p>
      <w:pPr>
        <w:pStyle w:val="9"/>
        <w:rPr>
          <w:color w:val="auto"/>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tabs>
          <w:tab w:val="left" w:pos="2460"/>
        </w:tabs>
        <w:spacing w:line="360" w:lineRule="auto"/>
        <w:ind w:firstLine="435"/>
        <w:rPr>
          <w:rFonts w:ascii="宋体" w:hAnsi="宋体"/>
          <w:b/>
          <w:color w:val="auto"/>
          <w:sz w:val="28"/>
          <w:highlight w:val="none"/>
        </w:rPr>
      </w:pPr>
    </w:p>
    <w:p>
      <w:pPr>
        <w:pStyle w:val="9"/>
        <w:rPr>
          <w:color w:val="auto"/>
          <w:highlight w:val="none"/>
        </w:rPr>
      </w:pPr>
      <w:r>
        <w:rPr>
          <w:color w:val="auto"/>
          <w:highlight w:val="none"/>
        </w:rPr>
        <w:br w:type="page"/>
      </w:r>
    </w:p>
    <w:p>
      <w:pPr>
        <w:spacing w:line="360" w:lineRule="auto"/>
        <w:ind w:right="-110"/>
        <w:jc w:val="left"/>
        <w:rPr>
          <w:rFonts w:ascii="宋体" w:hAnsi="宋体"/>
          <w:color w:val="auto"/>
          <w:sz w:val="52"/>
          <w:szCs w:val="52"/>
          <w:highlight w:val="none"/>
        </w:rPr>
      </w:pPr>
      <w:r>
        <w:rPr>
          <w:rFonts w:hint="eastAsia" w:ascii="宋体" w:hAnsi="宋体"/>
          <w:b/>
          <w:color w:val="auto"/>
          <w:sz w:val="28"/>
          <w:highlight w:val="none"/>
        </w:rPr>
        <w:t>附件13</w:t>
      </w:r>
    </w:p>
    <w:p>
      <w:pPr>
        <w:spacing w:line="480" w:lineRule="auto"/>
        <w:jc w:val="center"/>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《椒江政协履职实践》丛书出版印刷项目</w:t>
      </w:r>
    </w:p>
    <w:p>
      <w:pPr>
        <w:spacing w:line="48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项目编号：TZTX-2024-</w:t>
      </w:r>
      <w:r>
        <w:rPr>
          <w:rFonts w:hint="eastAsia" w:asciiTheme="minorEastAsia" w:hAnsiTheme="minorEastAsia" w:eastAsiaTheme="minorEastAsia" w:cstheme="minorEastAsia"/>
          <w:b/>
          <w:bCs/>
          <w:color w:val="auto"/>
          <w:sz w:val="36"/>
          <w:szCs w:val="36"/>
          <w:highlight w:val="none"/>
          <w:lang w:eastAsia="zh-CN"/>
        </w:rPr>
        <w:t>GK030</w:t>
      </w:r>
      <w:r>
        <w:rPr>
          <w:rFonts w:hint="eastAsia" w:asciiTheme="minorEastAsia" w:hAnsiTheme="minorEastAsia" w:eastAsiaTheme="minorEastAsia" w:cstheme="minorEastAsia"/>
          <w:b/>
          <w:bCs/>
          <w:color w:val="auto"/>
          <w:kern w:val="0"/>
          <w:sz w:val="36"/>
          <w:szCs w:val="36"/>
          <w:highlight w:val="none"/>
        </w:rPr>
        <w:t>（标项</w:t>
      </w:r>
      <w:r>
        <w:rPr>
          <w:rFonts w:hint="eastAsia" w:asciiTheme="minorEastAsia" w:hAnsiTheme="minorEastAsia" w:eastAsiaTheme="minorEastAsia" w:cstheme="minorEastAsia"/>
          <w:b/>
          <w:bCs/>
          <w:color w:val="auto"/>
          <w:kern w:val="0"/>
          <w:sz w:val="36"/>
          <w:szCs w:val="36"/>
          <w:highlight w:val="none"/>
          <w:u w:val="single"/>
        </w:rPr>
        <w:t>1</w:t>
      </w:r>
      <w:r>
        <w:rPr>
          <w:rFonts w:hint="eastAsia" w:asciiTheme="minorEastAsia" w:hAnsiTheme="minorEastAsia" w:eastAsiaTheme="minorEastAsia" w:cstheme="minorEastAsia"/>
          <w:b/>
          <w:bCs/>
          <w:color w:val="auto"/>
          <w:kern w:val="0"/>
          <w:sz w:val="36"/>
          <w:szCs w:val="36"/>
          <w:highlight w:val="none"/>
        </w:rPr>
        <w:t>）</w:t>
      </w:r>
    </w:p>
    <w:p>
      <w:pPr>
        <w:pStyle w:val="19"/>
        <w:rPr>
          <w:color w:val="auto"/>
          <w:highlight w:val="none"/>
        </w:rPr>
      </w:pPr>
    </w:p>
    <w:p>
      <w:pPr>
        <w:rPr>
          <w:color w:val="auto"/>
          <w:highlight w:val="none"/>
        </w:rPr>
      </w:pPr>
    </w:p>
    <w:p>
      <w:pPr>
        <w:jc w:val="center"/>
        <w:rPr>
          <w:color w:val="auto"/>
          <w:sz w:val="84"/>
          <w:szCs w:val="84"/>
          <w:highlight w:val="none"/>
        </w:rPr>
      </w:pPr>
      <w:bookmarkStart w:id="66" w:name="_Toc8885_WPSOffice_Level1"/>
      <w:bookmarkStart w:id="67" w:name="_Toc9453_WPSOffice_Level1"/>
      <w:r>
        <w:rPr>
          <w:rFonts w:hint="eastAsia"/>
          <w:color w:val="auto"/>
          <w:sz w:val="84"/>
          <w:szCs w:val="84"/>
          <w:highlight w:val="none"/>
        </w:rPr>
        <w:t>报</w:t>
      </w:r>
      <w:bookmarkEnd w:id="66"/>
      <w:bookmarkEnd w:id="67"/>
    </w:p>
    <w:p>
      <w:pPr>
        <w:jc w:val="center"/>
        <w:rPr>
          <w:color w:val="auto"/>
          <w:sz w:val="84"/>
          <w:szCs w:val="84"/>
          <w:highlight w:val="none"/>
        </w:rPr>
      </w:pPr>
      <w:bookmarkStart w:id="68" w:name="_Toc10910_WPSOffice_Level1"/>
      <w:bookmarkStart w:id="69" w:name="_Toc7485_WPSOffice_Level1"/>
      <w:r>
        <w:rPr>
          <w:rFonts w:hint="eastAsia"/>
          <w:color w:val="auto"/>
          <w:sz w:val="84"/>
          <w:szCs w:val="84"/>
          <w:highlight w:val="none"/>
        </w:rPr>
        <w:t>价</w:t>
      </w:r>
      <w:bookmarkEnd w:id="68"/>
      <w:bookmarkEnd w:id="69"/>
    </w:p>
    <w:p>
      <w:pPr>
        <w:jc w:val="center"/>
        <w:rPr>
          <w:color w:val="auto"/>
          <w:sz w:val="84"/>
          <w:szCs w:val="84"/>
          <w:highlight w:val="none"/>
        </w:rPr>
      </w:pPr>
      <w:bookmarkStart w:id="70" w:name="_Toc14572_WPSOffice_Level1"/>
      <w:bookmarkStart w:id="71" w:name="_Toc3932_WPSOffice_Level1"/>
      <w:r>
        <w:rPr>
          <w:rFonts w:hint="eastAsia"/>
          <w:color w:val="auto"/>
          <w:sz w:val="84"/>
          <w:szCs w:val="84"/>
          <w:highlight w:val="none"/>
        </w:rPr>
        <w:t>文</w:t>
      </w:r>
      <w:bookmarkEnd w:id="70"/>
      <w:bookmarkEnd w:id="71"/>
    </w:p>
    <w:p>
      <w:pPr>
        <w:jc w:val="center"/>
        <w:rPr>
          <w:color w:val="auto"/>
          <w:sz w:val="84"/>
          <w:szCs w:val="84"/>
          <w:highlight w:val="none"/>
        </w:rPr>
      </w:pPr>
      <w:bookmarkStart w:id="72" w:name="_Toc16973_WPSOffice_Level1"/>
      <w:bookmarkStart w:id="73" w:name="_Toc7562_WPSOffice_Level1"/>
      <w:r>
        <w:rPr>
          <w:rFonts w:hint="eastAsia"/>
          <w:color w:val="auto"/>
          <w:sz w:val="84"/>
          <w:szCs w:val="84"/>
          <w:highlight w:val="none"/>
        </w:rPr>
        <w:t>件</w:t>
      </w:r>
      <w:bookmarkEnd w:id="72"/>
      <w:bookmarkEnd w:id="73"/>
    </w:p>
    <w:p>
      <w:pPr>
        <w:spacing w:line="360" w:lineRule="auto"/>
        <w:ind w:right="532"/>
        <w:rPr>
          <w:rFonts w:ascii="宋体" w:hAnsi="宋体"/>
          <w:color w:val="auto"/>
          <w:sz w:val="36"/>
          <w:szCs w:val="36"/>
          <w:highlight w:val="none"/>
        </w:rPr>
      </w:pPr>
    </w:p>
    <w:p>
      <w:pPr>
        <w:pStyle w:val="9"/>
        <w:rPr>
          <w:color w:val="auto"/>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74" w:name="_Toc26700_WPSOffice_Level1"/>
      <w:bookmarkStart w:id="75" w:name="_Toc4603_WPSOffice_Level1"/>
      <w:r>
        <w:rPr>
          <w:rFonts w:hint="eastAsia" w:ascii="宋体" w:hAnsi="宋体"/>
          <w:color w:val="auto"/>
          <w:sz w:val="36"/>
          <w:szCs w:val="36"/>
          <w:highlight w:val="none"/>
        </w:rPr>
        <w:t>投标人全称（电子印章）：</w:t>
      </w:r>
      <w:bookmarkEnd w:id="74"/>
      <w:bookmarkEnd w:id="75"/>
    </w:p>
    <w:p>
      <w:pPr>
        <w:spacing w:line="360" w:lineRule="auto"/>
        <w:ind w:right="-108" w:firstLine="720" w:firstLineChars="200"/>
        <w:rPr>
          <w:rFonts w:ascii="宋体" w:hAnsi="宋体"/>
          <w:color w:val="auto"/>
          <w:sz w:val="36"/>
          <w:szCs w:val="36"/>
          <w:highlight w:val="none"/>
        </w:rPr>
      </w:pPr>
      <w:bookmarkStart w:id="76" w:name="_Toc1391_WPSOffice_Level1"/>
      <w:bookmarkStart w:id="77" w:name="_Toc32593_WPSOffice_Level1"/>
      <w:r>
        <w:rPr>
          <w:rFonts w:hint="eastAsia" w:ascii="宋体" w:hAnsi="宋体"/>
          <w:color w:val="auto"/>
          <w:sz w:val="36"/>
          <w:szCs w:val="36"/>
          <w:highlight w:val="none"/>
        </w:rPr>
        <w:t>地    址：</w:t>
      </w:r>
      <w:bookmarkEnd w:id="76"/>
      <w:bookmarkEnd w:id="77"/>
    </w:p>
    <w:p>
      <w:pPr>
        <w:spacing w:line="360" w:lineRule="auto"/>
        <w:ind w:right="-108" w:firstLine="720" w:firstLineChars="200"/>
        <w:rPr>
          <w:rFonts w:ascii="宋体" w:hAnsi="宋体"/>
          <w:color w:val="auto"/>
          <w:sz w:val="36"/>
          <w:szCs w:val="36"/>
          <w:highlight w:val="none"/>
        </w:rPr>
      </w:pPr>
      <w:bookmarkStart w:id="78" w:name="_Toc20938_WPSOffice_Level1"/>
      <w:bookmarkStart w:id="79" w:name="_Toc3791_WPSOffice_Level1"/>
      <w:r>
        <w:rPr>
          <w:rFonts w:hint="eastAsia" w:ascii="宋体" w:hAnsi="宋体"/>
          <w:color w:val="auto"/>
          <w:sz w:val="36"/>
          <w:szCs w:val="36"/>
          <w:highlight w:val="none"/>
        </w:rPr>
        <w:t>时    间：</w:t>
      </w:r>
      <w:bookmarkEnd w:id="78"/>
      <w:bookmarkEnd w:id="79"/>
    </w:p>
    <w:p>
      <w:pPr>
        <w:spacing w:line="360" w:lineRule="auto"/>
        <w:ind w:right="-108"/>
        <w:jc w:val="center"/>
        <w:rPr>
          <w:rFonts w:ascii="仿宋_GB2312" w:hAnsi="宋体" w:eastAsia="仿宋_GB2312"/>
          <w:b/>
          <w:color w:val="auto"/>
          <w:sz w:val="36"/>
          <w:szCs w:val="36"/>
          <w:highlight w:val="none"/>
        </w:rPr>
      </w:pPr>
    </w:p>
    <w:p>
      <w:pPr>
        <w:pStyle w:val="19"/>
        <w:rPr>
          <w:color w:val="auto"/>
          <w:highlight w:val="none"/>
        </w:rPr>
      </w:pPr>
      <w:r>
        <w:rPr>
          <w:rFonts w:hint="eastAsia"/>
          <w:color w:val="auto"/>
          <w:highlight w:val="none"/>
        </w:rPr>
        <w:br w:type="page"/>
      </w:r>
    </w:p>
    <w:p>
      <w:pPr>
        <w:rPr>
          <w:color w:val="auto"/>
          <w:highlight w:val="none"/>
        </w:rPr>
      </w:pPr>
    </w:p>
    <w:p>
      <w:pPr>
        <w:jc w:val="center"/>
        <w:rPr>
          <w:b/>
          <w:bCs/>
          <w:color w:val="auto"/>
          <w:sz w:val="32"/>
          <w:szCs w:val="32"/>
          <w:highlight w:val="none"/>
        </w:rPr>
      </w:pPr>
      <w:r>
        <w:rPr>
          <w:rFonts w:hint="eastAsia"/>
          <w:b/>
          <w:bCs/>
          <w:color w:val="auto"/>
          <w:sz w:val="32"/>
          <w:szCs w:val="32"/>
          <w:highlight w:val="none"/>
        </w:rPr>
        <w:t>报价文件目录</w:t>
      </w:r>
    </w:p>
    <w:p>
      <w:pPr>
        <w:rPr>
          <w:color w:val="auto"/>
          <w:sz w:val="28"/>
          <w:szCs w:val="28"/>
          <w:highlight w:val="none"/>
        </w:rPr>
      </w:pPr>
    </w:p>
    <w:p>
      <w:pPr>
        <w:spacing w:line="360" w:lineRule="auto"/>
        <w:ind w:firstLine="480" w:firstLineChars="200"/>
        <w:rPr>
          <w:color w:val="auto"/>
          <w:sz w:val="24"/>
          <w:highlight w:val="none"/>
        </w:rPr>
      </w:pPr>
      <w:r>
        <w:rPr>
          <w:rFonts w:hint="eastAsia"/>
          <w:color w:val="auto"/>
          <w:sz w:val="24"/>
          <w:highlight w:val="none"/>
        </w:rPr>
        <w:t>1、开标一览表（附件14）。</w:t>
      </w:r>
    </w:p>
    <w:p>
      <w:pPr>
        <w:spacing w:line="360" w:lineRule="auto"/>
        <w:ind w:firstLine="480" w:firstLineChars="200"/>
        <w:rPr>
          <w:color w:val="auto"/>
          <w:sz w:val="24"/>
          <w:highlight w:val="none"/>
        </w:rPr>
      </w:pPr>
      <w:r>
        <w:rPr>
          <w:rFonts w:hint="eastAsia"/>
          <w:color w:val="auto"/>
          <w:sz w:val="24"/>
          <w:highlight w:val="none"/>
        </w:rPr>
        <w:t>2、报价明细表（附件15）。</w:t>
      </w:r>
    </w:p>
    <w:p>
      <w:pPr>
        <w:spacing w:line="360" w:lineRule="auto"/>
        <w:ind w:firstLine="480" w:firstLineChars="200"/>
        <w:rPr>
          <w:color w:val="auto"/>
          <w:sz w:val="24"/>
          <w:highlight w:val="none"/>
        </w:rPr>
      </w:pPr>
      <w:bookmarkStart w:id="80" w:name="_Toc45_WPSOffice_Level1"/>
      <w:bookmarkStart w:id="81" w:name="_Toc17543_WPSOffice_Level1"/>
      <w:r>
        <w:rPr>
          <w:rFonts w:hint="eastAsia"/>
          <w:color w:val="auto"/>
          <w:sz w:val="24"/>
          <w:highlight w:val="none"/>
        </w:rPr>
        <w:t>3、</w:t>
      </w:r>
      <w:bookmarkEnd w:id="80"/>
      <w:bookmarkEnd w:id="81"/>
      <w:r>
        <w:rPr>
          <w:rFonts w:hint="eastAsia"/>
          <w:color w:val="auto"/>
          <w:sz w:val="24"/>
          <w:highlight w:val="none"/>
        </w:rPr>
        <w:t>针对报价投标人认为其他需要说明的。</w:t>
      </w:r>
    </w:p>
    <w:p>
      <w:pPr>
        <w:spacing w:line="360" w:lineRule="auto"/>
        <w:ind w:firstLine="480" w:firstLineChars="200"/>
        <w:rPr>
          <w:color w:val="auto"/>
          <w:sz w:val="24"/>
          <w:highlight w:val="none"/>
        </w:rPr>
      </w:pPr>
      <w:r>
        <w:rPr>
          <w:color w:val="auto"/>
          <w:sz w:val="24"/>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附件14</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(第1标)</w:t>
      </w:r>
    </w:p>
    <w:p>
      <w:pPr>
        <w:spacing w:line="360" w:lineRule="auto"/>
        <w:ind w:left="-2" w:hanging="2"/>
        <w:jc w:val="center"/>
        <w:rPr>
          <w:rFonts w:ascii="宋体" w:hAnsi="宋体"/>
          <w:b/>
          <w:color w:val="auto"/>
          <w:sz w:val="32"/>
          <w:szCs w:val="32"/>
          <w:highlight w:val="none"/>
        </w:rPr>
      </w:pPr>
    </w:p>
    <w:p>
      <w:pPr>
        <w:pStyle w:val="14"/>
        <w:spacing w:line="320" w:lineRule="exact"/>
        <w:rPr>
          <w:rFonts w:hint="eastAsia" w:hAnsi="宋体" w:eastAsia="宋体"/>
          <w:b/>
          <w:color w:val="auto"/>
          <w:sz w:val="24"/>
          <w:highlight w:val="none"/>
          <w:lang w:eastAsia="zh-CN"/>
        </w:rPr>
      </w:pPr>
      <w:r>
        <w:rPr>
          <w:rFonts w:hAnsi="宋体"/>
          <w:b/>
          <w:color w:val="auto"/>
          <w:sz w:val="24"/>
          <w:highlight w:val="none"/>
        </w:rPr>
        <w:t>项目编号：</w:t>
      </w:r>
      <w:r>
        <w:rPr>
          <w:rFonts w:hint="eastAsia" w:hAnsi="宋体"/>
          <w:b/>
          <w:color w:val="auto"/>
          <w:sz w:val="24"/>
          <w:highlight w:val="none"/>
        </w:rPr>
        <w:t>TZTX-2024-</w:t>
      </w:r>
      <w:r>
        <w:rPr>
          <w:rFonts w:hint="eastAsia" w:hAnsi="宋体"/>
          <w:b/>
          <w:color w:val="auto"/>
          <w:sz w:val="24"/>
          <w:highlight w:val="none"/>
          <w:lang w:eastAsia="zh-CN"/>
        </w:rPr>
        <w:t>GK030</w:t>
      </w:r>
    </w:p>
    <w:p>
      <w:pPr>
        <w:pStyle w:val="39"/>
        <w:spacing w:line="360" w:lineRule="auto"/>
        <w:ind w:right="48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《椒江政协履职实践》丛书出版印刷项目</w:t>
      </w:r>
      <w:r>
        <w:rPr>
          <w:rFonts w:hint="eastAsia" w:ascii="宋体" w:hAnsi="宋体"/>
          <w:color w:val="auto"/>
          <w:sz w:val="24"/>
          <w:highlight w:val="none"/>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r>
              <w:rPr>
                <w:rFonts w:hint="eastAsia" w:ascii="宋体" w:hAnsi="宋体"/>
                <w:b/>
                <w:bCs/>
                <w:color w:val="auto"/>
                <w:sz w:val="24"/>
                <w:highlight w:val="none"/>
              </w:rPr>
              <w:t>(元)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 xml:space="preserve"> </w:t>
            </w:r>
          </w:p>
        </w:tc>
      </w:tr>
    </w:tbl>
    <w:p>
      <w:pPr>
        <w:spacing w:line="360" w:lineRule="auto"/>
        <w:ind w:left="480"/>
        <w:rPr>
          <w:rFonts w:ascii="宋体" w:hAnsi="宋体"/>
          <w:b/>
          <w:color w:val="auto"/>
          <w:sz w:val="30"/>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填报要求：</w:t>
      </w:r>
    </w:p>
    <w:p>
      <w:pPr>
        <w:numPr>
          <w:ilvl w:val="0"/>
          <w:numId w:val="9"/>
        </w:numPr>
        <w:spacing w:line="360" w:lineRule="auto"/>
        <w:rPr>
          <w:rFonts w:hint="eastAsia" w:ascii="宋体" w:hAnsi="宋体"/>
          <w:color w:val="auto"/>
          <w:sz w:val="24"/>
          <w:highlight w:val="none"/>
        </w:rPr>
      </w:pPr>
      <w:r>
        <w:rPr>
          <w:rFonts w:hint="eastAsia" w:ascii="宋体" w:hAnsi="宋体"/>
          <w:color w:val="auto"/>
          <w:sz w:val="24"/>
          <w:highlight w:val="none"/>
        </w:rPr>
        <w:t>投标总报价包括本项目采购需求和投入使用的所有费用，包括但不限于本项目</w:t>
      </w:r>
      <w:r>
        <w:rPr>
          <w:rFonts w:hint="eastAsia"/>
          <w:color w:val="auto"/>
          <w:sz w:val="24"/>
          <w:highlight w:val="none"/>
        </w:rPr>
        <w:t>编辑、审校、设计、排版、书号、出版、印刷、</w:t>
      </w:r>
      <w:r>
        <w:rPr>
          <w:rFonts w:hint="eastAsia" w:ascii="宋体" w:hAnsi="宋体"/>
          <w:color w:val="auto"/>
          <w:sz w:val="24"/>
          <w:highlight w:val="none"/>
        </w:rPr>
        <w:t>服务款、货款、专用工具、包装、运输、装卸、保险、验收、税金、货到就位以及合同包含的所有风险责任等各项费用及不可预见费等所需的全部费用。</w:t>
      </w:r>
    </w:p>
    <w:p>
      <w:pPr>
        <w:spacing w:line="360" w:lineRule="auto"/>
        <w:ind w:left="420"/>
        <w:rPr>
          <w:rFonts w:hint="default" w:ascii="宋体" w:hAnsi="宋体" w:eastAsia="宋体"/>
          <w:b/>
          <w:color w:val="auto"/>
          <w:sz w:val="22"/>
          <w:highlight w:val="none"/>
          <w:lang w:val="en-US" w:eastAsia="zh-CN"/>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r>
        <w:rPr>
          <w:rFonts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附件15</w:t>
      </w:r>
    </w:p>
    <w:p>
      <w:pPr>
        <w:spacing w:line="360" w:lineRule="auto"/>
        <w:ind w:left="480"/>
        <w:jc w:val="center"/>
        <w:rPr>
          <w:rFonts w:ascii="宋体" w:hAnsi="宋体"/>
          <w:color w:val="auto"/>
          <w:highlight w:val="none"/>
        </w:rPr>
      </w:pPr>
      <w:bookmarkStart w:id="82" w:name="_Toc8975_WPSOffice_Level1"/>
      <w:bookmarkStart w:id="83" w:name="_Toc22412_WPSOffice_Level1"/>
      <w:r>
        <w:rPr>
          <w:rFonts w:hint="eastAsia" w:ascii="宋体" w:hAnsi="宋体"/>
          <w:b/>
          <w:color w:val="auto"/>
          <w:sz w:val="32"/>
          <w:szCs w:val="32"/>
          <w:highlight w:val="none"/>
        </w:rPr>
        <w:t>报价明细表 (第1标)</w:t>
      </w:r>
      <w:bookmarkEnd w:id="82"/>
      <w:bookmarkEnd w:id="83"/>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项目编号：TZTX-2024-</w:t>
      </w:r>
      <w:r>
        <w:rPr>
          <w:rFonts w:hint="eastAsia" w:ascii="宋体" w:hAnsi="宋体"/>
          <w:color w:val="auto"/>
          <w:sz w:val="24"/>
          <w:highlight w:val="none"/>
          <w:lang w:eastAsia="zh-CN"/>
        </w:rPr>
        <w:t>GK030</w:t>
      </w:r>
      <w:r>
        <w:rPr>
          <w:rFonts w:hint="eastAsia" w:ascii="宋体" w:hAnsi="宋体"/>
          <w:color w:val="auto"/>
          <w:sz w:val="24"/>
          <w:highlight w:val="none"/>
        </w:rPr>
        <w:t xml:space="preserve">                         [货币单位：人民币元]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0"/>
        <w:gridCol w:w="1665"/>
        <w:gridCol w:w="1245"/>
        <w:gridCol w:w="121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52"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30"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报价名称</w:t>
            </w:r>
          </w:p>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（成本组成内容）</w:t>
            </w:r>
          </w:p>
        </w:tc>
        <w:tc>
          <w:tcPr>
            <w:tcW w:w="1665"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124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121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1540"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5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130" w:type="dxa"/>
            <w:vAlign w:val="center"/>
          </w:tcPr>
          <w:p>
            <w:pPr>
              <w:spacing w:line="360" w:lineRule="auto"/>
              <w:rPr>
                <w:rFonts w:ascii="宋体" w:hAnsi="宋体"/>
                <w:color w:val="auto"/>
                <w:sz w:val="24"/>
                <w:highlight w:val="none"/>
              </w:rPr>
            </w:pPr>
          </w:p>
        </w:tc>
        <w:tc>
          <w:tcPr>
            <w:tcW w:w="1665" w:type="dxa"/>
            <w:vAlign w:val="center"/>
          </w:tcPr>
          <w:p>
            <w:pPr>
              <w:spacing w:line="360" w:lineRule="auto"/>
              <w:rPr>
                <w:rFonts w:ascii="宋体" w:hAnsi="宋体"/>
                <w:color w:val="auto"/>
                <w:sz w:val="24"/>
                <w:highlight w:val="none"/>
              </w:rPr>
            </w:pPr>
          </w:p>
        </w:tc>
        <w:tc>
          <w:tcPr>
            <w:tcW w:w="1245" w:type="dxa"/>
            <w:vAlign w:val="center"/>
          </w:tcPr>
          <w:p>
            <w:pPr>
              <w:spacing w:line="360" w:lineRule="auto"/>
              <w:rPr>
                <w:rFonts w:ascii="宋体" w:hAnsi="宋体"/>
                <w:color w:val="auto"/>
                <w:sz w:val="24"/>
                <w:highlight w:val="none"/>
              </w:rPr>
            </w:pPr>
          </w:p>
        </w:tc>
        <w:tc>
          <w:tcPr>
            <w:tcW w:w="1215" w:type="dxa"/>
            <w:vAlign w:val="center"/>
          </w:tcPr>
          <w:p>
            <w:pPr>
              <w:spacing w:line="360" w:lineRule="auto"/>
              <w:rPr>
                <w:rFonts w:ascii="宋体" w:hAnsi="宋体"/>
                <w:color w:val="auto"/>
                <w:sz w:val="24"/>
                <w:highlight w:val="none"/>
              </w:rPr>
            </w:pPr>
          </w:p>
        </w:tc>
        <w:tc>
          <w:tcPr>
            <w:tcW w:w="1540"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130" w:type="dxa"/>
            <w:vAlign w:val="center"/>
          </w:tcPr>
          <w:p>
            <w:pPr>
              <w:spacing w:line="360" w:lineRule="auto"/>
              <w:rPr>
                <w:rFonts w:ascii="宋体" w:hAnsi="宋体"/>
                <w:color w:val="auto"/>
                <w:sz w:val="24"/>
                <w:highlight w:val="none"/>
              </w:rPr>
            </w:pPr>
          </w:p>
        </w:tc>
        <w:tc>
          <w:tcPr>
            <w:tcW w:w="1665" w:type="dxa"/>
            <w:vAlign w:val="center"/>
          </w:tcPr>
          <w:p>
            <w:pPr>
              <w:spacing w:line="360" w:lineRule="auto"/>
              <w:rPr>
                <w:rFonts w:ascii="宋体" w:hAnsi="宋体"/>
                <w:color w:val="auto"/>
                <w:sz w:val="24"/>
                <w:highlight w:val="none"/>
              </w:rPr>
            </w:pPr>
          </w:p>
        </w:tc>
        <w:tc>
          <w:tcPr>
            <w:tcW w:w="1245" w:type="dxa"/>
            <w:vAlign w:val="center"/>
          </w:tcPr>
          <w:p>
            <w:pPr>
              <w:spacing w:line="360" w:lineRule="auto"/>
              <w:rPr>
                <w:rFonts w:ascii="宋体" w:hAnsi="宋体"/>
                <w:color w:val="auto"/>
                <w:sz w:val="24"/>
                <w:highlight w:val="none"/>
              </w:rPr>
            </w:pPr>
          </w:p>
        </w:tc>
        <w:tc>
          <w:tcPr>
            <w:tcW w:w="1215" w:type="dxa"/>
            <w:vAlign w:val="center"/>
          </w:tcPr>
          <w:p>
            <w:pPr>
              <w:spacing w:line="360" w:lineRule="auto"/>
              <w:rPr>
                <w:rFonts w:ascii="宋体" w:hAnsi="宋体"/>
                <w:color w:val="auto"/>
                <w:sz w:val="24"/>
                <w:highlight w:val="none"/>
              </w:rPr>
            </w:pPr>
          </w:p>
        </w:tc>
        <w:tc>
          <w:tcPr>
            <w:tcW w:w="1540"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130" w:type="dxa"/>
            <w:vAlign w:val="center"/>
          </w:tcPr>
          <w:p>
            <w:pPr>
              <w:spacing w:line="360" w:lineRule="auto"/>
              <w:rPr>
                <w:rFonts w:ascii="宋体" w:hAnsi="宋体"/>
                <w:color w:val="auto"/>
                <w:sz w:val="24"/>
                <w:highlight w:val="none"/>
              </w:rPr>
            </w:pPr>
          </w:p>
        </w:tc>
        <w:tc>
          <w:tcPr>
            <w:tcW w:w="1665" w:type="dxa"/>
            <w:vAlign w:val="center"/>
          </w:tcPr>
          <w:p>
            <w:pPr>
              <w:spacing w:line="360" w:lineRule="auto"/>
              <w:rPr>
                <w:rFonts w:ascii="宋体" w:hAnsi="宋体"/>
                <w:color w:val="auto"/>
                <w:sz w:val="24"/>
                <w:highlight w:val="none"/>
              </w:rPr>
            </w:pPr>
          </w:p>
        </w:tc>
        <w:tc>
          <w:tcPr>
            <w:tcW w:w="1245" w:type="dxa"/>
            <w:vAlign w:val="center"/>
          </w:tcPr>
          <w:p>
            <w:pPr>
              <w:spacing w:line="360" w:lineRule="auto"/>
              <w:rPr>
                <w:rFonts w:ascii="宋体" w:hAnsi="宋体"/>
                <w:color w:val="auto"/>
                <w:sz w:val="24"/>
                <w:highlight w:val="none"/>
              </w:rPr>
            </w:pPr>
          </w:p>
        </w:tc>
        <w:tc>
          <w:tcPr>
            <w:tcW w:w="1215" w:type="dxa"/>
            <w:vAlign w:val="center"/>
          </w:tcPr>
          <w:p>
            <w:pPr>
              <w:spacing w:line="360" w:lineRule="auto"/>
              <w:rPr>
                <w:rFonts w:ascii="宋体" w:hAnsi="宋体"/>
                <w:color w:val="auto"/>
                <w:sz w:val="24"/>
                <w:highlight w:val="none"/>
              </w:rPr>
            </w:pPr>
          </w:p>
        </w:tc>
        <w:tc>
          <w:tcPr>
            <w:tcW w:w="1540"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 w:type="dxa"/>
            <w:vAlign w:val="center"/>
          </w:tcPr>
          <w:p>
            <w:pPr>
              <w:spacing w:line="360" w:lineRule="auto"/>
              <w:jc w:val="center"/>
              <w:rPr>
                <w:rFonts w:ascii="宋体" w:hAnsi="宋体"/>
                <w:color w:val="auto"/>
                <w:sz w:val="24"/>
                <w:highlight w:val="none"/>
              </w:rPr>
            </w:pPr>
          </w:p>
        </w:tc>
        <w:tc>
          <w:tcPr>
            <w:tcW w:w="2130" w:type="dxa"/>
            <w:vAlign w:val="center"/>
          </w:tcPr>
          <w:p>
            <w:pPr>
              <w:spacing w:line="360" w:lineRule="auto"/>
              <w:rPr>
                <w:rFonts w:ascii="宋体" w:hAnsi="宋体"/>
                <w:color w:val="auto"/>
                <w:sz w:val="24"/>
                <w:highlight w:val="none"/>
              </w:rPr>
            </w:pPr>
          </w:p>
        </w:tc>
        <w:tc>
          <w:tcPr>
            <w:tcW w:w="1665" w:type="dxa"/>
            <w:vAlign w:val="center"/>
          </w:tcPr>
          <w:p>
            <w:pPr>
              <w:spacing w:line="360" w:lineRule="auto"/>
              <w:rPr>
                <w:rFonts w:ascii="宋体" w:hAnsi="宋体"/>
                <w:color w:val="auto"/>
                <w:sz w:val="24"/>
                <w:highlight w:val="none"/>
              </w:rPr>
            </w:pPr>
          </w:p>
        </w:tc>
        <w:tc>
          <w:tcPr>
            <w:tcW w:w="1245" w:type="dxa"/>
            <w:vAlign w:val="center"/>
          </w:tcPr>
          <w:p>
            <w:pPr>
              <w:spacing w:line="360" w:lineRule="auto"/>
              <w:rPr>
                <w:rFonts w:ascii="宋体" w:hAnsi="宋体"/>
                <w:color w:val="auto"/>
                <w:sz w:val="24"/>
                <w:highlight w:val="none"/>
              </w:rPr>
            </w:pPr>
          </w:p>
        </w:tc>
        <w:tc>
          <w:tcPr>
            <w:tcW w:w="1215" w:type="dxa"/>
            <w:vAlign w:val="center"/>
          </w:tcPr>
          <w:p>
            <w:pPr>
              <w:spacing w:line="360" w:lineRule="auto"/>
              <w:rPr>
                <w:rFonts w:ascii="宋体" w:hAnsi="宋体"/>
                <w:color w:val="auto"/>
                <w:sz w:val="24"/>
                <w:highlight w:val="none"/>
              </w:rPr>
            </w:pPr>
          </w:p>
        </w:tc>
        <w:tc>
          <w:tcPr>
            <w:tcW w:w="1540"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2"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w:t>
            </w:r>
          </w:p>
        </w:tc>
        <w:tc>
          <w:tcPr>
            <w:tcW w:w="2130" w:type="dxa"/>
            <w:vAlign w:val="center"/>
          </w:tcPr>
          <w:p>
            <w:pPr>
              <w:spacing w:line="360" w:lineRule="auto"/>
              <w:jc w:val="center"/>
              <w:rPr>
                <w:rFonts w:ascii="宋体" w:hAnsi="宋体"/>
                <w:color w:val="auto"/>
                <w:sz w:val="24"/>
                <w:highlight w:val="none"/>
              </w:rPr>
            </w:pPr>
          </w:p>
        </w:tc>
        <w:tc>
          <w:tcPr>
            <w:tcW w:w="1665" w:type="dxa"/>
            <w:vAlign w:val="center"/>
          </w:tcPr>
          <w:p>
            <w:pPr>
              <w:spacing w:line="360" w:lineRule="auto"/>
              <w:rPr>
                <w:rFonts w:ascii="宋体" w:hAnsi="宋体"/>
                <w:color w:val="auto"/>
                <w:sz w:val="24"/>
                <w:highlight w:val="none"/>
              </w:rPr>
            </w:pPr>
          </w:p>
        </w:tc>
        <w:tc>
          <w:tcPr>
            <w:tcW w:w="1245" w:type="dxa"/>
            <w:vAlign w:val="center"/>
          </w:tcPr>
          <w:p>
            <w:pPr>
              <w:spacing w:line="360" w:lineRule="auto"/>
              <w:rPr>
                <w:rFonts w:ascii="宋体" w:hAnsi="宋体"/>
                <w:color w:val="auto"/>
                <w:sz w:val="24"/>
                <w:highlight w:val="none"/>
              </w:rPr>
            </w:pPr>
          </w:p>
        </w:tc>
        <w:tc>
          <w:tcPr>
            <w:tcW w:w="1215" w:type="dxa"/>
            <w:vAlign w:val="center"/>
          </w:tcPr>
          <w:p>
            <w:pPr>
              <w:spacing w:line="360" w:lineRule="auto"/>
              <w:rPr>
                <w:rFonts w:ascii="宋体" w:hAnsi="宋体"/>
                <w:color w:val="auto"/>
                <w:sz w:val="24"/>
                <w:highlight w:val="none"/>
              </w:rPr>
            </w:pPr>
          </w:p>
        </w:tc>
        <w:tc>
          <w:tcPr>
            <w:tcW w:w="1540"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Style w:val="50"/>
          <w:rFonts w:ascii="宋体" w:hAnsi="宋体"/>
          <w:color w:val="auto"/>
          <w:szCs w:val="21"/>
          <w:highlight w:val="none"/>
        </w:rPr>
      </w:pPr>
      <w:r>
        <w:rPr>
          <w:rStyle w:val="50"/>
          <w:rFonts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left="435"/>
        <w:rPr>
          <w:rStyle w:val="50"/>
          <w:rFonts w:ascii="宋体" w:hAnsi="宋体"/>
          <w:color w:val="auto"/>
          <w:szCs w:val="21"/>
          <w:highlight w:val="none"/>
          <w:lang w:val="zh-CN"/>
        </w:rPr>
      </w:pPr>
      <w:r>
        <w:rPr>
          <w:rStyle w:val="50"/>
          <w:rFonts w:ascii="宋体" w:hAnsi="宋体"/>
          <w:color w:val="auto"/>
          <w:szCs w:val="21"/>
          <w:highlight w:val="none"/>
        </w:rPr>
        <w:t>2.</w:t>
      </w:r>
      <w:r>
        <w:rPr>
          <w:rStyle w:val="50"/>
          <w:rFonts w:ascii="宋体" w:hAnsi="宋体"/>
          <w:color w:val="auto"/>
          <w:szCs w:val="21"/>
          <w:highlight w:val="none"/>
          <w:lang w:val="zh-CN"/>
        </w:rPr>
        <w:t>“报价明细表”中的报价合计应与“开标一览表”中的投标总报价相一致，不一致时，以开标一览表为准。</w:t>
      </w:r>
    </w:p>
    <w:p>
      <w:pPr>
        <w:spacing w:line="360" w:lineRule="auto"/>
        <w:rPr>
          <w:rFonts w:ascii="宋体" w:hAnsi="宋体" w:cs="宋体"/>
          <w:color w:val="auto"/>
          <w:kern w:val="0"/>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Lines="50" w:after="50" w:line="360" w:lineRule="auto"/>
        <w:rPr>
          <w:rFonts w:ascii="宋体" w:hAnsi="宋体"/>
          <w:b/>
          <w:color w:val="auto"/>
          <w:sz w:val="28"/>
          <w:highlight w:val="none"/>
        </w:rPr>
      </w:pPr>
    </w:p>
    <w:p>
      <w:pPr>
        <w:snapToGrid w:val="0"/>
        <w:spacing w:beforeLines="50" w:after="50" w:line="360" w:lineRule="auto"/>
        <w:rPr>
          <w:rFonts w:ascii="宋体" w:hAnsi="宋体"/>
          <w:b/>
          <w:color w:val="auto"/>
          <w:sz w:val="28"/>
          <w:highlight w:val="none"/>
        </w:rPr>
      </w:pPr>
    </w:p>
    <w:p>
      <w:pPr>
        <w:outlineLvl w:val="0"/>
        <w:rPr>
          <w:color w:val="auto"/>
          <w:sz w:val="28"/>
          <w:szCs w:val="28"/>
          <w:highlight w:val="none"/>
        </w:rPr>
      </w:pPr>
      <w:bookmarkStart w:id="84" w:name="_Toc5436"/>
      <w:r>
        <w:rPr>
          <w:rFonts w:hint="eastAsia"/>
          <w:color w:val="auto"/>
          <w:sz w:val="28"/>
          <w:szCs w:val="28"/>
          <w:highlight w:val="none"/>
        </w:rPr>
        <w:t>其余事项：</w:t>
      </w:r>
      <w:bookmarkEnd w:id="84"/>
    </w:p>
    <w:p>
      <w:pPr>
        <w:ind w:firstLine="560" w:firstLineChars="200"/>
        <w:outlineLvl w:val="0"/>
        <w:rPr>
          <w:color w:val="auto"/>
          <w:sz w:val="28"/>
          <w:szCs w:val="28"/>
          <w:highlight w:val="none"/>
        </w:rPr>
      </w:pPr>
      <w:bookmarkStart w:id="85" w:name="_Toc24067"/>
      <w:r>
        <w:rPr>
          <w:rFonts w:hint="eastAsia"/>
          <w:color w:val="auto"/>
          <w:sz w:val="28"/>
          <w:szCs w:val="28"/>
          <w:highlight w:val="none"/>
        </w:rPr>
        <w:t>供应商如有融资需求，可使用以下银行的政采贷服务。</w:t>
      </w:r>
      <w:bookmarkEnd w:id="85"/>
    </w:p>
    <w:tbl>
      <w:tblPr>
        <w:tblStyle w:val="21"/>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00"/>
        <w:gridCol w:w="1584"/>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银行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贷款年利率</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联系人</w:t>
            </w:r>
          </w:p>
        </w:tc>
        <w:tc>
          <w:tcPr>
            <w:tcW w:w="209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中国工商银行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3.8%起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卢嘉诚</w:t>
            </w:r>
          </w:p>
        </w:tc>
        <w:tc>
          <w:tcPr>
            <w:tcW w:w="2099" w:type="dxa"/>
            <w:vAlign w:val="center"/>
          </w:tcPr>
          <w:p>
            <w:pPr>
              <w:spacing w:line="400" w:lineRule="exact"/>
              <w:jc w:val="center"/>
              <w:rPr>
                <w:rFonts w:ascii="Arial" w:hAnsi="Arial"/>
                <w:color w:val="auto"/>
                <w:sz w:val="24"/>
                <w:highlight w:val="none"/>
              </w:rPr>
            </w:pPr>
            <w:r>
              <w:rPr>
                <w:rFonts w:ascii="Arial" w:hAnsi="Arial"/>
                <w:color w:val="auto"/>
                <w:sz w:val="24"/>
                <w:highlight w:val="none"/>
              </w:rPr>
              <w:t>88588246  13867658508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中国农业银行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3.8%起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龚盛</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中国建设银行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3.8%起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梅晶晶</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88525339</w:t>
            </w:r>
          </w:p>
          <w:p>
            <w:pPr>
              <w:spacing w:line="400" w:lineRule="exact"/>
              <w:jc w:val="center"/>
              <w:rPr>
                <w:rFonts w:ascii="Arial" w:hAnsi="Arial"/>
                <w:color w:val="auto"/>
                <w:sz w:val="24"/>
                <w:highlight w:val="none"/>
              </w:rPr>
            </w:pPr>
            <w:r>
              <w:rPr>
                <w:rFonts w:hint="eastAsia" w:ascii="Arial" w:hAnsi="Arial"/>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中国银行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3.75%起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王海</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浦发银行台州分行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4.05%起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王渊</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浦发银行椒江分行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4.05%起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孙瑞华</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交通银行台州分行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3.75%起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周翔宇</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招商银行台州分行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4.32%起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王海玲</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浙商银行台州分行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5.01%起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章涉漪</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81880185</w:t>
            </w:r>
          </w:p>
          <w:p>
            <w:pPr>
              <w:spacing w:line="400" w:lineRule="exact"/>
              <w:jc w:val="center"/>
              <w:rPr>
                <w:rFonts w:ascii="Arial" w:hAnsi="Arial"/>
                <w:color w:val="auto"/>
                <w:sz w:val="24"/>
                <w:highlight w:val="none"/>
              </w:rPr>
            </w:pPr>
            <w:r>
              <w:rPr>
                <w:rFonts w:hint="eastAsia" w:ascii="Arial" w:hAnsi="Arial"/>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中信银行台州分行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4.15%起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陈金园</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华夏银行台州分行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4.5%起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邱明达</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81871518</w:t>
            </w:r>
          </w:p>
          <w:p>
            <w:pPr>
              <w:spacing w:line="400" w:lineRule="exact"/>
              <w:jc w:val="center"/>
              <w:rPr>
                <w:rFonts w:ascii="Arial" w:hAnsi="Arial"/>
                <w:color w:val="auto"/>
                <w:sz w:val="24"/>
                <w:highlight w:val="none"/>
              </w:rPr>
            </w:pPr>
            <w:r>
              <w:rPr>
                <w:rFonts w:hint="eastAsia" w:ascii="Arial" w:hAnsi="Arial"/>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泰隆银行开发区支行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5.6%起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梁宛莉</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民泰银行椒江支行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5.8%起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陈慧珠</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绍兴银行台州分行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5.1%起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郭庭斌</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温州银行台州分行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4.55%起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王晓波</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平安银行台州分行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6.53%起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李俊丽</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宁波银行台州分行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4.35%起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戴莉丽</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金华银行台州分行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4.05%起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金雪婷</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81886670</w:t>
            </w:r>
          </w:p>
          <w:p>
            <w:pPr>
              <w:spacing w:line="400" w:lineRule="exact"/>
              <w:jc w:val="center"/>
              <w:rPr>
                <w:rFonts w:ascii="Arial" w:hAnsi="Arial"/>
                <w:color w:val="auto"/>
                <w:sz w:val="24"/>
                <w:highlight w:val="none"/>
              </w:rPr>
            </w:pPr>
            <w:r>
              <w:rPr>
                <w:rFonts w:hint="eastAsia" w:ascii="Arial" w:hAnsi="Arial"/>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台州银行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5.6%起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洪婷</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邮储银行台州分行</w:t>
            </w:r>
          </w:p>
        </w:tc>
        <w:tc>
          <w:tcPr>
            <w:tcW w:w="1300"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3.85%起</w:t>
            </w:r>
          </w:p>
        </w:tc>
        <w:tc>
          <w:tcPr>
            <w:tcW w:w="1584" w:type="dxa"/>
            <w:vAlign w:val="center"/>
          </w:tcPr>
          <w:p>
            <w:pPr>
              <w:spacing w:line="400" w:lineRule="exact"/>
              <w:jc w:val="center"/>
              <w:rPr>
                <w:rFonts w:ascii="Arial" w:hAnsi="Arial"/>
                <w:color w:val="auto"/>
                <w:sz w:val="28"/>
                <w:szCs w:val="28"/>
                <w:highlight w:val="none"/>
              </w:rPr>
            </w:pPr>
            <w:r>
              <w:rPr>
                <w:rFonts w:hint="eastAsia" w:ascii="Arial" w:hAnsi="Arial"/>
                <w:color w:val="auto"/>
                <w:sz w:val="28"/>
                <w:szCs w:val="28"/>
                <w:highlight w:val="none"/>
              </w:rPr>
              <w:t>董庆</w:t>
            </w:r>
          </w:p>
        </w:tc>
        <w:tc>
          <w:tcPr>
            <w:tcW w:w="2099" w:type="dxa"/>
            <w:vAlign w:val="center"/>
          </w:tcPr>
          <w:p>
            <w:pPr>
              <w:spacing w:line="400" w:lineRule="exact"/>
              <w:jc w:val="center"/>
              <w:rPr>
                <w:rFonts w:ascii="Arial" w:hAnsi="Arial"/>
                <w:color w:val="auto"/>
                <w:sz w:val="24"/>
                <w:highlight w:val="none"/>
              </w:rPr>
            </w:pPr>
            <w:r>
              <w:rPr>
                <w:rFonts w:hint="eastAsia" w:ascii="Arial" w:hAnsi="Arial"/>
                <w:color w:val="auto"/>
                <w:sz w:val="24"/>
                <w:highlight w:val="none"/>
              </w:rPr>
              <w:t>81888982</w:t>
            </w:r>
          </w:p>
          <w:p>
            <w:pPr>
              <w:spacing w:line="400" w:lineRule="exact"/>
              <w:jc w:val="center"/>
              <w:rPr>
                <w:rFonts w:ascii="Arial" w:hAnsi="Arial"/>
                <w:color w:val="auto"/>
                <w:sz w:val="24"/>
                <w:highlight w:val="none"/>
              </w:rPr>
            </w:pPr>
            <w:r>
              <w:rPr>
                <w:rFonts w:hint="eastAsia" w:ascii="Arial" w:hAnsi="Arial"/>
                <w:color w:val="auto"/>
                <w:sz w:val="24"/>
                <w:highlight w:val="none"/>
              </w:rPr>
              <w:t>18957683735</w:t>
            </w:r>
          </w:p>
        </w:tc>
      </w:tr>
    </w:tbl>
    <w:p>
      <w:pPr>
        <w:pStyle w:val="9"/>
        <w:rPr>
          <w:color w:val="auto"/>
          <w:highlight w:val="none"/>
        </w:rPr>
      </w:pPr>
    </w:p>
    <w:p>
      <w:pPr>
        <w:pStyle w:val="9"/>
        <w:rPr>
          <w:color w:val="auto"/>
          <w:highlight w:val="none"/>
        </w:rPr>
      </w:pPr>
    </w:p>
    <w:p>
      <w:pPr>
        <w:outlineLvl w:val="0"/>
        <w:rPr>
          <w:color w:val="auto"/>
          <w:sz w:val="28"/>
          <w:szCs w:val="28"/>
          <w:highlight w:val="none"/>
        </w:rPr>
      </w:pPr>
      <w:bookmarkStart w:id="86" w:name="_Toc4895"/>
      <w:r>
        <w:rPr>
          <w:rFonts w:hint="eastAsia"/>
          <w:color w:val="auto"/>
          <w:sz w:val="28"/>
          <w:szCs w:val="28"/>
          <w:highlight w:val="none"/>
        </w:rPr>
        <w:t>供应商如有合同履约或预付款保函需要，可联系以下保险公司。</w:t>
      </w:r>
      <w:bookmarkEnd w:id="86"/>
    </w:p>
    <w:p>
      <w:pPr>
        <w:outlineLvl w:val="0"/>
        <w:rPr>
          <w:color w:val="auto"/>
          <w:sz w:val="28"/>
          <w:szCs w:val="28"/>
          <w:highlight w:val="none"/>
        </w:rPr>
      </w:pPr>
      <w:bookmarkStart w:id="87" w:name="_Toc4774"/>
      <w:r>
        <w:rPr>
          <w:rFonts w:hint="eastAsia"/>
          <w:color w:val="auto"/>
          <w:sz w:val="28"/>
          <w:szCs w:val="28"/>
          <w:highlight w:val="none"/>
        </w:rPr>
        <w:t>合同履约保函联系方式：</w:t>
      </w:r>
      <w:bookmarkEnd w:id="87"/>
    </w:p>
    <w:tbl>
      <w:tblPr>
        <w:tblStyle w:val="21"/>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1791"/>
        <w:gridCol w:w="147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Arial" w:hAnsi="Arial"/>
                <w:color w:val="auto"/>
                <w:sz w:val="32"/>
                <w:szCs w:val="32"/>
                <w:highlight w:val="none"/>
              </w:rPr>
            </w:pPr>
            <w:r>
              <w:rPr>
                <w:rFonts w:hint="eastAsia" w:ascii="Arial" w:hAnsi="Arial"/>
                <w:color w:val="auto"/>
                <w:sz w:val="32"/>
                <w:szCs w:val="32"/>
                <w:highlight w:val="none"/>
              </w:rPr>
              <w:t>保险公司</w:t>
            </w:r>
          </w:p>
        </w:tc>
        <w:tc>
          <w:tcPr>
            <w:tcW w:w="1791" w:type="dxa"/>
            <w:vAlign w:val="center"/>
          </w:tcPr>
          <w:p>
            <w:pPr>
              <w:jc w:val="center"/>
              <w:rPr>
                <w:rFonts w:ascii="Arial" w:hAnsi="Arial"/>
                <w:color w:val="auto"/>
                <w:sz w:val="32"/>
                <w:szCs w:val="32"/>
                <w:highlight w:val="none"/>
              </w:rPr>
            </w:pPr>
            <w:r>
              <w:rPr>
                <w:rFonts w:hint="eastAsia" w:ascii="Arial" w:hAnsi="Arial"/>
                <w:color w:val="auto"/>
                <w:sz w:val="32"/>
                <w:szCs w:val="32"/>
                <w:highlight w:val="none"/>
              </w:rPr>
              <w:t>保费率</w:t>
            </w:r>
          </w:p>
        </w:tc>
        <w:tc>
          <w:tcPr>
            <w:tcW w:w="1471" w:type="dxa"/>
            <w:vAlign w:val="center"/>
          </w:tcPr>
          <w:p>
            <w:pPr>
              <w:jc w:val="center"/>
              <w:rPr>
                <w:rFonts w:ascii="Arial" w:hAnsi="Arial"/>
                <w:color w:val="auto"/>
                <w:sz w:val="32"/>
                <w:szCs w:val="32"/>
                <w:highlight w:val="none"/>
              </w:rPr>
            </w:pPr>
            <w:r>
              <w:rPr>
                <w:rFonts w:hint="eastAsia" w:ascii="Arial" w:hAnsi="Arial"/>
                <w:color w:val="auto"/>
                <w:sz w:val="32"/>
                <w:szCs w:val="32"/>
                <w:highlight w:val="none"/>
              </w:rPr>
              <w:t>联系人</w:t>
            </w:r>
          </w:p>
        </w:tc>
        <w:tc>
          <w:tcPr>
            <w:tcW w:w="1678" w:type="dxa"/>
            <w:vAlign w:val="center"/>
          </w:tcPr>
          <w:p>
            <w:pPr>
              <w:jc w:val="center"/>
              <w:rPr>
                <w:rFonts w:ascii="Arial" w:hAnsi="Arial"/>
                <w:color w:val="auto"/>
                <w:sz w:val="32"/>
                <w:szCs w:val="32"/>
                <w:highlight w:val="none"/>
              </w:rPr>
            </w:pPr>
            <w:r>
              <w:rPr>
                <w:rFonts w:hint="eastAsia" w:ascii="Arial" w:hAnsi="Arial"/>
                <w:color w:val="auto"/>
                <w:sz w:val="32"/>
                <w:szCs w:val="3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17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4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67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17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14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67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17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14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67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17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年费率1.5%，最低保费500元</w:t>
            </w:r>
          </w:p>
        </w:tc>
        <w:tc>
          <w:tcPr>
            <w:tcW w:w="14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67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17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4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67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17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14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67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17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14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67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17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14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67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ind w:firstLine="640" w:firstLineChars="200"/>
        <w:rPr>
          <w:color w:val="auto"/>
          <w:sz w:val="32"/>
          <w:szCs w:val="32"/>
          <w:highlight w:val="none"/>
        </w:rPr>
      </w:pPr>
    </w:p>
    <w:p>
      <w:pPr>
        <w:ind w:firstLine="640" w:firstLineChars="200"/>
        <w:outlineLvl w:val="0"/>
        <w:rPr>
          <w:color w:val="auto"/>
          <w:sz w:val="32"/>
          <w:szCs w:val="32"/>
          <w:highlight w:val="none"/>
        </w:rPr>
      </w:pPr>
      <w:bookmarkStart w:id="88" w:name="_Toc4077"/>
      <w:r>
        <w:rPr>
          <w:rFonts w:hint="eastAsia"/>
          <w:color w:val="auto"/>
          <w:sz w:val="32"/>
          <w:szCs w:val="32"/>
          <w:highlight w:val="none"/>
        </w:rPr>
        <w:t>预付款保函联系方式</w:t>
      </w:r>
      <w:bookmarkEnd w:id="88"/>
    </w:p>
    <w:tbl>
      <w:tblPr>
        <w:tblStyle w:val="2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602"/>
        <w:gridCol w:w="202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pPr>
              <w:jc w:val="center"/>
              <w:rPr>
                <w:rFonts w:ascii="Arial" w:hAnsi="Arial"/>
                <w:color w:val="auto"/>
                <w:sz w:val="32"/>
                <w:szCs w:val="32"/>
                <w:highlight w:val="none"/>
              </w:rPr>
            </w:pPr>
            <w:r>
              <w:rPr>
                <w:rFonts w:hint="eastAsia" w:ascii="Arial" w:hAnsi="Arial"/>
                <w:color w:val="auto"/>
                <w:sz w:val="32"/>
                <w:szCs w:val="32"/>
                <w:highlight w:val="none"/>
              </w:rPr>
              <w:t>保险公司</w:t>
            </w:r>
          </w:p>
        </w:tc>
        <w:tc>
          <w:tcPr>
            <w:tcW w:w="1602" w:type="dxa"/>
            <w:vAlign w:val="center"/>
          </w:tcPr>
          <w:p>
            <w:pPr>
              <w:jc w:val="center"/>
              <w:rPr>
                <w:rFonts w:ascii="Arial" w:hAnsi="Arial"/>
                <w:color w:val="auto"/>
                <w:sz w:val="32"/>
                <w:szCs w:val="32"/>
                <w:highlight w:val="none"/>
              </w:rPr>
            </w:pPr>
            <w:r>
              <w:rPr>
                <w:rFonts w:hint="eastAsia" w:ascii="Arial" w:hAnsi="Arial"/>
                <w:color w:val="auto"/>
                <w:sz w:val="32"/>
                <w:szCs w:val="32"/>
                <w:highlight w:val="none"/>
              </w:rPr>
              <w:t>保费率</w:t>
            </w:r>
          </w:p>
        </w:tc>
        <w:tc>
          <w:tcPr>
            <w:tcW w:w="2027" w:type="dxa"/>
            <w:vAlign w:val="center"/>
          </w:tcPr>
          <w:p>
            <w:pPr>
              <w:jc w:val="center"/>
              <w:rPr>
                <w:rFonts w:ascii="Arial" w:hAnsi="Arial"/>
                <w:color w:val="auto"/>
                <w:sz w:val="32"/>
                <w:szCs w:val="32"/>
                <w:highlight w:val="none"/>
              </w:rPr>
            </w:pPr>
            <w:r>
              <w:rPr>
                <w:rFonts w:hint="eastAsia" w:ascii="Arial" w:hAnsi="Arial"/>
                <w:color w:val="auto"/>
                <w:sz w:val="32"/>
                <w:szCs w:val="32"/>
                <w:highlight w:val="none"/>
              </w:rPr>
              <w:t>联系人</w:t>
            </w:r>
          </w:p>
        </w:tc>
        <w:tc>
          <w:tcPr>
            <w:tcW w:w="1923" w:type="dxa"/>
            <w:vAlign w:val="center"/>
          </w:tcPr>
          <w:p>
            <w:pPr>
              <w:jc w:val="center"/>
              <w:rPr>
                <w:rFonts w:ascii="Arial" w:hAnsi="Arial"/>
                <w:color w:val="auto"/>
                <w:sz w:val="32"/>
                <w:szCs w:val="32"/>
                <w:highlight w:val="none"/>
              </w:rPr>
            </w:pPr>
            <w:r>
              <w:rPr>
                <w:rFonts w:hint="eastAsia" w:ascii="Arial" w:hAnsi="Arial"/>
                <w:color w:val="auto"/>
                <w:sz w:val="32"/>
                <w:szCs w:val="3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160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20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92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160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20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92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160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20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92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pStyle w:val="9"/>
        <w:rPr>
          <w:color w:val="auto"/>
          <w:highlight w:val="none"/>
        </w:rPr>
      </w:pPr>
    </w:p>
    <w:p>
      <w:pPr>
        <w:pStyle w:val="9"/>
        <w:rPr>
          <w:color w:val="auto"/>
          <w:highlight w:val="none"/>
        </w:rPr>
      </w:pPr>
    </w:p>
    <w:bookmarkEnd w:id="89"/>
    <w:sectPr>
      <w:headerReference r:id="rId3" w:type="default"/>
      <w:footerReference r:id="rId4" w:type="default"/>
      <w:pgSz w:w="11906" w:h="16838"/>
      <w:pgMar w:top="1440" w:right="1418" w:bottom="1440" w:left="1418"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30</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y1/SAQAAqw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Wb6myTthaeaX798uP35d&#10;fn5l66RQH7CixPtwB5OHZCa6Qws2/YkIG7Kq56uqaohMUnC5Xq3XJQku6Wx2CKd4uB4A41vlLUtG&#10;zYHGltUUp/cYx9Q5JVVz/lYbQ3FRGfdXgDDHiMqzn26n/seOkxWH/TDR2PvmTPTpNVDVzsMXznra&#10;hZo7Wn3OzDtHUqe1mQ2Yjf1sCCfpYs3HhjG8OUbqLjedio0ViGxyaIaZ9rRvaUn+9HPWwxvb/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X7LX9IBAACr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center"/>
      <w:rPr>
        <w:rFonts w:hint="eastAsia"/>
        <w:b/>
        <w:i/>
        <w:color w:val="000000"/>
        <w:kern w:val="0"/>
        <w:sz w:val="18"/>
        <w:u w:val="single"/>
      </w:rPr>
    </w:pPr>
    <w:r>
      <w:rPr>
        <w:rFonts w:hint="eastAsia"/>
        <w:b/>
        <w:i/>
        <w:color w:val="000000"/>
        <w:kern w:val="0"/>
        <w:sz w:val="18"/>
        <w:u w:val="single"/>
      </w:rPr>
      <w:t>台州市</w:t>
    </w:r>
    <w:r>
      <w:rPr>
        <w:rFonts w:hint="eastAsia"/>
        <w:b/>
        <w:i/>
        <w:color w:val="000000"/>
        <w:kern w:val="0"/>
        <w:sz w:val="18"/>
        <w:u w:val="single"/>
        <w:lang w:eastAsia="zh-CN"/>
      </w:rPr>
      <w:t>椒江区</w:t>
    </w:r>
    <w:r>
      <w:rPr>
        <w:rFonts w:hint="eastAsia"/>
        <w:b/>
        <w:i/>
        <w:color w:val="000000"/>
        <w:kern w:val="0"/>
        <w:sz w:val="18"/>
        <w:u w:val="single"/>
      </w:rPr>
      <w:t xml:space="preserve">政府采购公开招标文件 </w:t>
    </w:r>
    <w:r>
      <w:rPr>
        <w:rFonts w:hint="eastAsia"/>
        <w:b/>
        <w:i/>
        <w:color w:val="000000"/>
        <w:kern w:val="0"/>
        <w:sz w:val="18"/>
        <w:u w:val="single"/>
        <w:lang w:val="en-US" w:eastAsia="zh-CN"/>
      </w:rPr>
      <w:t>---服务</w:t>
    </w:r>
    <w:r>
      <w:rPr>
        <w:rFonts w:hint="eastAsia"/>
        <w:b/>
        <w:i/>
        <w:color w:val="000000"/>
        <w:kern w:val="0"/>
        <w:sz w:val="18"/>
        <w:u w:val="single"/>
      </w:rPr>
      <w:t xml:space="preserve">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kern w:val="0"/>
        <w:sz w:val="18"/>
        <w:u w:val="single"/>
        <w:lang w:val="en-US" w:eastAsia="zh-CN"/>
      </w:rPr>
      <w:t xml:space="preserve">                       </w:t>
    </w:r>
    <w:r>
      <w:rPr>
        <w:rFonts w:hint="eastAsia"/>
        <w:b/>
        <w:i/>
        <w:color w:val="000000"/>
        <w:kern w:val="0"/>
        <w:sz w:val="18"/>
        <w:u w:val="single"/>
      </w:rPr>
      <w:t>第</w:t>
    </w:r>
    <w:r>
      <w:rPr>
        <w:rFonts w:hint="eastAsia"/>
        <w:b/>
        <w:i/>
        <w:color w:val="000000"/>
        <w:kern w:val="0"/>
        <w:sz w:val="18"/>
        <w:u w:val="single"/>
      </w:rPr>
      <w:fldChar w:fldCharType="begin"/>
    </w:r>
    <w:r>
      <w:rPr>
        <w:rFonts w:hint="eastAsia"/>
        <w:b/>
        <w:i/>
        <w:color w:val="000000"/>
        <w:kern w:val="0"/>
        <w:sz w:val="18"/>
        <w:u w:val="single"/>
      </w:rPr>
      <w:instrText xml:space="preserve"> PAGE </w:instrText>
    </w:r>
    <w:r>
      <w:rPr>
        <w:rFonts w:hint="eastAsia"/>
        <w:b/>
        <w:i/>
        <w:color w:val="000000"/>
        <w:kern w:val="0"/>
        <w:sz w:val="18"/>
        <w:u w:val="single"/>
      </w:rPr>
      <w:fldChar w:fldCharType="separate"/>
    </w:r>
    <w:r>
      <w:rPr>
        <w:rFonts w:hint="eastAsia"/>
        <w:b/>
        <w:i/>
        <w:color w:val="000000"/>
        <w:kern w:val="0"/>
        <w:sz w:val="18"/>
        <w:u w:val="single"/>
      </w:rPr>
      <w:t>30</w:t>
    </w:r>
    <w:r>
      <w:rPr>
        <w:rFonts w:hint="eastAsia"/>
        <w:b/>
        <w:i/>
        <w:color w:val="000000"/>
        <w:kern w:val="0"/>
        <w:sz w:val="18"/>
        <w:u w:val="single"/>
      </w:rPr>
      <w:fldChar w:fldCharType="end"/>
    </w:r>
    <w:r>
      <w:rPr>
        <w:rFonts w:hint="eastAsia"/>
        <w:b/>
        <w:i/>
        <w:color w:val="000000"/>
        <w:kern w:val="0"/>
        <w:sz w:val="18"/>
        <w:u w:val="single"/>
      </w:rPr>
      <w:t>页共</w:t>
    </w:r>
    <w:r>
      <w:rPr>
        <w:rFonts w:hint="eastAsia"/>
        <w:b/>
        <w:i/>
        <w:color w:val="000000"/>
        <w:kern w:val="0"/>
        <w:sz w:val="18"/>
        <w:u w:val="single"/>
      </w:rPr>
      <w:fldChar w:fldCharType="begin"/>
    </w:r>
    <w:r>
      <w:rPr>
        <w:rFonts w:hint="eastAsia"/>
        <w:b/>
        <w:i/>
        <w:color w:val="000000"/>
        <w:kern w:val="0"/>
        <w:sz w:val="18"/>
        <w:u w:val="single"/>
      </w:rPr>
      <w:instrText xml:space="preserve"> NUMPAGES </w:instrText>
    </w:r>
    <w:r>
      <w:rPr>
        <w:rFonts w:hint="eastAsia"/>
        <w:b/>
        <w:i/>
        <w:color w:val="000000"/>
        <w:kern w:val="0"/>
        <w:sz w:val="18"/>
        <w:u w:val="single"/>
      </w:rPr>
      <w:fldChar w:fldCharType="separate"/>
    </w:r>
    <w:r>
      <w:rPr>
        <w:rFonts w:hint="eastAsia"/>
        <w:b/>
        <w:i/>
        <w:color w:val="000000"/>
        <w:kern w:val="0"/>
        <w:sz w:val="18"/>
        <w:u w:val="single"/>
      </w:rPr>
      <w:t>46</w:t>
    </w:r>
    <w:r>
      <w:rPr>
        <w:rFonts w:hint="eastAsia"/>
        <w:b/>
        <w:i/>
        <w:color w:val="000000"/>
        <w:kern w:val="0"/>
        <w:sz w:val="18"/>
        <w:u w:val="single"/>
      </w:rPr>
      <w:fldChar w:fldCharType="end"/>
    </w:r>
    <w:r>
      <w:rPr>
        <w:rFonts w:hint="eastAsia"/>
        <w:b/>
        <w:i/>
        <w:color w:val="000000"/>
        <w:kern w:val="0"/>
        <w:sz w:val="18"/>
        <w:u w:val="single"/>
      </w:rPr>
      <w:t xml:space="preserve">页 </w:t>
    </w:r>
  </w:p>
  <w:p>
    <w:pPr>
      <w:pStyle w:val="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C2ECBF28"/>
    <w:multiLevelType w:val="singleLevel"/>
    <w:tmpl w:val="C2ECBF28"/>
    <w:lvl w:ilvl="0" w:tentative="0">
      <w:start w:val="1"/>
      <w:numFmt w:val="decimal"/>
      <w:lvlText w:val="%1."/>
      <w:lvlJc w:val="left"/>
      <w:pPr>
        <w:tabs>
          <w:tab w:val="left" w:pos="312"/>
        </w:tabs>
      </w:pPr>
    </w:lvl>
  </w:abstractNum>
  <w:abstractNum w:abstractNumId="3">
    <w:nsid w:val="00000005"/>
    <w:multiLevelType w:val="singleLevel"/>
    <w:tmpl w:val="00000005"/>
    <w:lvl w:ilvl="0" w:tentative="0">
      <w:start w:val="1"/>
      <w:numFmt w:val="decimal"/>
      <w:pStyle w:val="8"/>
      <w:lvlText w:val="%1."/>
      <w:lvlJc w:val="left"/>
      <w:pPr>
        <w:tabs>
          <w:tab w:val="left" w:pos="360"/>
        </w:tabs>
        <w:ind w:left="360" w:hanging="360"/>
      </w:pPr>
    </w:lvl>
  </w:abstractNum>
  <w:abstractNum w:abstractNumId="4">
    <w:nsid w:val="00000007"/>
    <w:multiLevelType w:val="singleLevel"/>
    <w:tmpl w:val="00000007"/>
    <w:lvl w:ilvl="0" w:tentative="0">
      <w:start w:val="2"/>
      <w:numFmt w:val="chineseCounting"/>
      <w:suff w:val="space"/>
      <w:lvlText w:val="第%1章"/>
      <w:lvlJc w:val="left"/>
      <w:rPr>
        <w:rFonts w:hint="eastAsia"/>
      </w:rPr>
    </w:lvl>
  </w:abstractNum>
  <w:abstractNum w:abstractNumId="5">
    <w:nsid w:val="00000009"/>
    <w:multiLevelType w:val="multilevel"/>
    <w:tmpl w:val="00000009"/>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6">
    <w:nsid w:val="0000000A"/>
    <w:multiLevelType w:val="singleLevel"/>
    <w:tmpl w:val="0000000A"/>
    <w:lvl w:ilvl="0" w:tentative="0">
      <w:start w:val="1"/>
      <w:numFmt w:val="chineseCounting"/>
      <w:suff w:val="space"/>
      <w:lvlText w:val="第%1章"/>
      <w:lvlJc w:val="left"/>
      <w:rPr>
        <w:rFonts w:hint="eastAsia"/>
      </w:rPr>
    </w:lvl>
  </w:abstractNum>
  <w:abstractNum w:abstractNumId="7">
    <w:nsid w:val="54CE918C"/>
    <w:multiLevelType w:val="singleLevel"/>
    <w:tmpl w:val="54CE918C"/>
    <w:lvl w:ilvl="0" w:tentative="0">
      <w:start w:val="1"/>
      <w:numFmt w:val="decimal"/>
      <w:lvlText w:val="%1."/>
      <w:lvlJc w:val="left"/>
      <w:pPr>
        <w:tabs>
          <w:tab w:val="left" w:pos="312"/>
        </w:tabs>
      </w:pPr>
    </w:lvl>
  </w:abstractNum>
  <w:abstractNum w:abstractNumId="8">
    <w:nsid w:val="58417B96"/>
    <w:multiLevelType w:val="multilevel"/>
    <w:tmpl w:val="58417B96"/>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eastAsia="宋体" w:cs="宋体"/>
        <w:sz w:val="24"/>
        <w:szCs w:val="24"/>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8"/>
  </w:num>
  <w:num w:numId="3">
    <w:abstractNumId w:val="3"/>
  </w:num>
  <w:num w:numId="4">
    <w:abstractNumId w:val="6"/>
  </w:num>
  <w:num w:numId="5">
    <w:abstractNumId w:val="4"/>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2MyMDJjZGI5MGFkM2IwNTE1M2Y0NTgwNDZhMzAifQ=="/>
  </w:docVars>
  <w:rsids>
    <w:rsidRoot w:val="00AD0E73"/>
    <w:rsid w:val="000006D6"/>
    <w:rsid w:val="00001033"/>
    <w:rsid w:val="0000111B"/>
    <w:rsid w:val="00002D97"/>
    <w:rsid w:val="0000302A"/>
    <w:rsid w:val="00006093"/>
    <w:rsid w:val="00006414"/>
    <w:rsid w:val="00007672"/>
    <w:rsid w:val="00007900"/>
    <w:rsid w:val="000133D0"/>
    <w:rsid w:val="0001656C"/>
    <w:rsid w:val="00016B3D"/>
    <w:rsid w:val="0002117A"/>
    <w:rsid w:val="00026E97"/>
    <w:rsid w:val="0003053D"/>
    <w:rsid w:val="0003462D"/>
    <w:rsid w:val="000356F2"/>
    <w:rsid w:val="00036983"/>
    <w:rsid w:val="00040E56"/>
    <w:rsid w:val="00041FCE"/>
    <w:rsid w:val="00043FA8"/>
    <w:rsid w:val="000447FA"/>
    <w:rsid w:val="000449EC"/>
    <w:rsid w:val="00045244"/>
    <w:rsid w:val="000456EC"/>
    <w:rsid w:val="00046FF1"/>
    <w:rsid w:val="0005176E"/>
    <w:rsid w:val="000532A0"/>
    <w:rsid w:val="0005399B"/>
    <w:rsid w:val="00053A5F"/>
    <w:rsid w:val="00053B96"/>
    <w:rsid w:val="00054D6C"/>
    <w:rsid w:val="00057E99"/>
    <w:rsid w:val="00061834"/>
    <w:rsid w:val="000661CC"/>
    <w:rsid w:val="0006776D"/>
    <w:rsid w:val="0007116C"/>
    <w:rsid w:val="00071E28"/>
    <w:rsid w:val="00074229"/>
    <w:rsid w:val="00074A29"/>
    <w:rsid w:val="0007590D"/>
    <w:rsid w:val="00075EC8"/>
    <w:rsid w:val="000771E6"/>
    <w:rsid w:val="00080C63"/>
    <w:rsid w:val="00083067"/>
    <w:rsid w:val="00084457"/>
    <w:rsid w:val="0008462E"/>
    <w:rsid w:val="0008543A"/>
    <w:rsid w:val="000866CD"/>
    <w:rsid w:val="0009054F"/>
    <w:rsid w:val="000906D8"/>
    <w:rsid w:val="00092199"/>
    <w:rsid w:val="000922A9"/>
    <w:rsid w:val="000929DF"/>
    <w:rsid w:val="00094282"/>
    <w:rsid w:val="00094C1C"/>
    <w:rsid w:val="00096921"/>
    <w:rsid w:val="000A0687"/>
    <w:rsid w:val="000A0799"/>
    <w:rsid w:val="000A2A71"/>
    <w:rsid w:val="000A45EF"/>
    <w:rsid w:val="000A4F8D"/>
    <w:rsid w:val="000A613D"/>
    <w:rsid w:val="000A6323"/>
    <w:rsid w:val="000B1663"/>
    <w:rsid w:val="000B46EA"/>
    <w:rsid w:val="000B5468"/>
    <w:rsid w:val="000C1EDE"/>
    <w:rsid w:val="000C3C39"/>
    <w:rsid w:val="000C44ED"/>
    <w:rsid w:val="000C568B"/>
    <w:rsid w:val="000C5905"/>
    <w:rsid w:val="000C6752"/>
    <w:rsid w:val="000C7AA1"/>
    <w:rsid w:val="000D0588"/>
    <w:rsid w:val="000D3A21"/>
    <w:rsid w:val="000D3EE0"/>
    <w:rsid w:val="000E47BC"/>
    <w:rsid w:val="000E4C27"/>
    <w:rsid w:val="000E527A"/>
    <w:rsid w:val="000F1794"/>
    <w:rsid w:val="000F1DFF"/>
    <w:rsid w:val="000F468E"/>
    <w:rsid w:val="000F4DA0"/>
    <w:rsid w:val="000F5EBD"/>
    <w:rsid w:val="001016BE"/>
    <w:rsid w:val="00112014"/>
    <w:rsid w:val="00113898"/>
    <w:rsid w:val="00116351"/>
    <w:rsid w:val="001168F0"/>
    <w:rsid w:val="00116E11"/>
    <w:rsid w:val="0012125C"/>
    <w:rsid w:val="00122A0D"/>
    <w:rsid w:val="00124D05"/>
    <w:rsid w:val="00125251"/>
    <w:rsid w:val="00132362"/>
    <w:rsid w:val="00135B33"/>
    <w:rsid w:val="00136C1D"/>
    <w:rsid w:val="00136E6A"/>
    <w:rsid w:val="0014159F"/>
    <w:rsid w:val="00141DB1"/>
    <w:rsid w:val="00143403"/>
    <w:rsid w:val="001441AD"/>
    <w:rsid w:val="0014581F"/>
    <w:rsid w:val="00145B1A"/>
    <w:rsid w:val="00147284"/>
    <w:rsid w:val="00147563"/>
    <w:rsid w:val="001504FA"/>
    <w:rsid w:val="001532BC"/>
    <w:rsid w:val="00153B40"/>
    <w:rsid w:val="0015551C"/>
    <w:rsid w:val="00156453"/>
    <w:rsid w:val="00157053"/>
    <w:rsid w:val="0016318C"/>
    <w:rsid w:val="001650F9"/>
    <w:rsid w:val="00166FB1"/>
    <w:rsid w:val="0017034C"/>
    <w:rsid w:val="00170476"/>
    <w:rsid w:val="00172329"/>
    <w:rsid w:val="00173BC3"/>
    <w:rsid w:val="00176288"/>
    <w:rsid w:val="00176678"/>
    <w:rsid w:val="00180A68"/>
    <w:rsid w:val="00180CC0"/>
    <w:rsid w:val="001810AA"/>
    <w:rsid w:val="00181385"/>
    <w:rsid w:val="00184862"/>
    <w:rsid w:val="001854DD"/>
    <w:rsid w:val="00186D57"/>
    <w:rsid w:val="00193CC6"/>
    <w:rsid w:val="001950D5"/>
    <w:rsid w:val="00195706"/>
    <w:rsid w:val="00197C19"/>
    <w:rsid w:val="001A055E"/>
    <w:rsid w:val="001A120C"/>
    <w:rsid w:val="001A5192"/>
    <w:rsid w:val="001B1C09"/>
    <w:rsid w:val="001B4404"/>
    <w:rsid w:val="001C5037"/>
    <w:rsid w:val="001C5AEC"/>
    <w:rsid w:val="001C6321"/>
    <w:rsid w:val="001D4AEF"/>
    <w:rsid w:val="001E2C57"/>
    <w:rsid w:val="001E38A9"/>
    <w:rsid w:val="001E41E6"/>
    <w:rsid w:val="001E5145"/>
    <w:rsid w:val="001E54D8"/>
    <w:rsid w:val="001E5BEF"/>
    <w:rsid w:val="001E6A0E"/>
    <w:rsid w:val="001E7C5A"/>
    <w:rsid w:val="001F1D33"/>
    <w:rsid w:val="001F225D"/>
    <w:rsid w:val="001F2DEB"/>
    <w:rsid w:val="001F3F67"/>
    <w:rsid w:val="001F552F"/>
    <w:rsid w:val="001F675C"/>
    <w:rsid w:val="001F6D4B"/>
    <w:rsid w:val="00205150"/>
    <w:rsid w:val="00210300"/>
    <w:rsid w:val="00210911"/>
    <w:rsid w:val="002122F1"/>
    <w:rsid w:val="002125D2"/>
    <w:rsid w:val="0021532A"/>
    <w:rsid w:val="002156BC"/>
    <w:rsid w:val="00216FFE"/>
    <w:rsid w:val="00221BFC"/>
    <w:rsid w:val="00221F25"/>
    <w:rsid w:val="00224F48"/>
    <w:rsid w:val="002259B0"/>
    <w:rsid w:val="00226541"/>
    <w:rsid w:val="00230A5D"/>
    <w:rsid w:val="00232C74"/>
    <w:rsid w:val="002339D0"/>
    <w:rsid w:val="00234274"/>
    <w:rsid w:val="00240504"/>
    <w:rsid w:val="00240C6F"/>
    <w:rsid w:val="00240D19"/>
    <w:rsid w:val="00243715"/>
    <w:rsid w:val="002441C0"/>
    <w:rsid w:val="00244A36"/>
    <w:rsid w:val="00246F11"/>
    <w:rsid w:val="00247CEB"/>
    <w:rsid w:val="00247EA9"/>
    <w:rsid w:val="00250CC6"/>
    <w:rsid w:val="00250E40"/>
    <w:rsid w:val="00254CF0"/>
    <w:rsid w:val="002612D0"/>
    <w:rsid w:val="002615BA"/>
    <w:rsid w:val="00261A26"/>
    <w:rsid w:val="002623BE"/>
    <w:rsid w:val="002628D3"/>
    <w:rsid w:val="002658DD"/>
    <w:rsid w:val="0026741A"/>
    <w:rsid w:val="002728AE"/>
    <w:rsid w:val="00272AFE"/>
    <w:rsid w:val="00276263"/>
    <w:rsid w:val="00280CD8"/>
    <w:rsid w:val="0028101F"/>
    <w:rsid w:val="00285BA5"/>
    <w:rsid w:val="00291131"/>
    <w:rsid w:val="0029191D"/>
    <w:rsid w:val="00291ED2"/>
    <w:rsid w:val="00292C27"/>
    <w:rsid w:val="0029515A"/>
    <w:rsid w:val="0029739C"/>
    <w:rsid w:val="002A33DA"/>
    <w:rsid w:val="002A33E6"/>
    <w:rsid w:val="002A35BE"/>
    <w:rsid w:val="002A38EE"/>
    <w:rsid w:val="002A393F"/>
    <w:rsid w:val="002A4D4E"/>
    <w:rsid w:val="002B2F79"/>
    <w:rsid w:val="002B383A"/>
    <w:rsid w:val="002B419F"/>
    <w:rsid w:val="002C3179"/>
    <w:rsid w:val="002C3D89"/>
    <w:rsid w:val="002C4AED"/>
    <w:rsid w:val="002D08CA"/>
    <w:rsid w:val="002D13E5"/>
    <w:rsid w:val="002D1706"/>
    <w:rsid w:val="002D59AD"/>
    <w:rsid w:val="002E102E"/>
    <w:rsid w:val="002E54EE"/>
    <w:rsid w:val="002E558A"/>
    <w:rsid w:val="002E577B"/>
    <w:rsid w:val="002F07E3"/>
    <w:rsid w:val="002F3AA3"/>
    <w:rsid w:val="002F48B5"/>
    <w:rsid w:val="002F6B28"/>
    <w:rsid w:val="00303AA4"/>
    <w:rsid w:val="00303B0A"/>
    <w:rsid w:val="0030418A"/>
    <w:rsid w:val="0030482C"/>
    <w:rsid w:val="00305287"/>
    <w:rsid w:val="0030624F"/>
    <w:rsid w:val="003072A0"/>
    <w:rsid w:val="00307682"/>
    <w:rsid w:val="00307A68"/>
    <w:rsid w:val="00311A21"/>
    <w:rsid w:val="0031308D"/>
    <w:rsid w:val="003176C9"/>
    <w:rsid w:val="003205AB"/>
    <w:rsid w:val="0032135A"/>
    <w:rsid w:val="003275C6"/>
    <w:rsid w:val="00330DE2"/>
    <w:rsid w:val="00331684"/>
    <w:rsid w:val="00332B83"/>
    <w:rsid w:val="00334122"/>
    <w:rsid w:val="00334965"/>
    <w:rsid w:val="0033561E"/>
    <w:rsid w:val="0033686D"/>
    <w:rsid w:val="00342E2A"/>
    <w:rsid w:val="00346AD4"/>
    <w:rsid w:val="00350752"/>
    <w:rsid w:val="00351111"/>
    <w:rsid w:val="00353CCB"/>
    <w:rsid w:val="003554CE"/>
    <w:rsid w:val="0035587D"/>
    <w:rsid w:val="003566F8"/>
    <w:rsid w:val="0036031D"/>
    <w:rsid w:val="00360E24"/>
    <w:rsid w:val="00361FF4"/>
    <w:rsid w:val="00362FED"/>
    <w:rsid w:val="00363FC2"/>
    <w:rsid w:val="0036407E"/>
    <w:rsid w:val="00364E24"/>
    <w:rsid w:val="003707E8"/>
    <w:rsid w:val="00372902"/>
    <w:rsid w:val="003736F1"/>
    <w:rsid w:val="00373ECB"/>
    <w:rsid w:val="003747A3"/>
    <w:rsid w:val="003756D8"/>
    <w:rsid w:val="00377BFD"/>
    <w:rsid w:val="00381AA9"/>
    <w:rsid w:val="00381E79"/>
    <w:rsid w:val="003825A1"/>
    <w:rsid w:val="003833C7"/>
    <w:rsid w:val="00383BD9"/>
    <w:rsid w:val="00390DB1"/>
    <w:rsid w:val="00393A55"/>
    <w:rsid w:val="003940D5"/>
    <w:rsid w:val="003941E7"/>
    <w:rsid w:val="00396461"/>
    <w:rsid w:val="00396E2A"/>
    <w:rsid w:val="003A07EC"/>
    <w:rsid w:val="003A0B37"/>
    <w:rsid w:val="003A1170"/>
    <w:rsid w:val="003A19B5"/>
    <w:rsid w:val="003A2398"/>
    <w:rsid w:val="003A2EC2"/>
    <w:rsid w:val="003A2FB2"/>
    <w:rsid w:val="003A3AFB"/>
    <w:rsid w:val="003A42FA"/>
    <w:rsid w:val="003A798B"/>
    <w:rsid w:val="003A79A0"/>
    <w:rsid w:val="003B05C7"/>
    <w:rsid w:val="003B197C"/>
    <w:rsid w:val="003B4A73"/>
    <w:rsid w:val="003B5D41"/>
    <w:rsid w:val="003C0660"/>
    <w:rsid w:val="003C238E"/>
    <w:rsid w:val="003C2DA7"/>
    <w:rsid w:val="003C339C"/>
    <w:rsid w:val="003C3613"/>
    <w:rsid w:val="003C678D"/>
    <w:rsid w:val="003C6AFE"/>
    <w:rsid w:val="003D3DBC"/>
    <w:rsid w:val="003E1C28"/>
    <w:rsid w:val="003E6F8F"/>
    <w:rsid w:val="003E7682"/>
    <w:rsid w:val="003F14B9"/>
    <w:rsid w:val="003F3D61"/>
    <w:rsid w:val="003F3F41"/>
    <w:rsid w:val="003F416E"/>
    <w:rsid w:val="003F45D4"/>
    <w:rsid w:val="003F4E81"/>
    <w:rsid w:val="003F59D8"/>
    <w:rsid w:val="003F713F"/>
    <w:rsid w:val="00402F47"/>
    <w:rsid w:val="00404C07"/>
    <w:rsid w:val="00405D0C"/>
    <w:rsid w:val="00406300"/>
    <w:rsid w:val="0040710E"/>
    <w:rsid w:val="004075FE"/>
    <w:rsid w:val="00411E05"/>
    <w:rsid w:val="00413AFE"/>
    <w:rsid w:val="00414506"/>
    <w:rsid w:val="0041560F"/>
    <w:rsid w:val="00415900"/>
    <w:rsid w:val="004206C8"/>
    <w:rsid w:val="00430BEC"/>
    <w:rsid w:val="00432A28"/>
    <w:rsid w:val="00433408"/>
    <w:rsid w:val="004362C2"/>
    <w:rsid w:val="004366C0"/>
    <w:rsid w:val="0043706D"/>
    <w:rsid w:val="004414E0"/>
    <w:rsid w:val="0044321E"/>
    <w:rsid w:val="00444AFB"/>
    <w:rsid w:val="00444CD9"/>
    <w:rsid w:val="00444D54"/>
    <w:rsid w:val="00444FB1"/>
    <w:rsid w:val="00445210"/>
    <w:rsid w:val="00446A33"/>
    <w:rsid w:val="00447545"/>
    <w:rsid w:val="00447C73"/>
    <w:rsid w:val="004525F4"/>
    <w:rsid w:val="00453F3A"/>
    <w:rsid w:val="004553A4"/>
    <w:rsid w:val="00460421"/>
    <w:rsid w:val="00463F02"/>
    <w:rsid w:val="00464182"/>
    <w:rsid w:val="00465548"/>
    <w:rsid w:val="0046787C"/>
    <w:rsid w:val="00467CAA"/>
    <w:rsid w:val="004717A5"/>
    <w:rsid w:val="00471833"/>
    <w:rsid w:val="00471B76"/>
    <w:rsid w:val="0047541D"/>
    <w:rsid w:val="004759DC"/>
    <w:rsid w:val="004764EE"/>
    <w:rsid w:val="00476933"/>
    <w:rsid w:val="00476C8A"/>
    <w:rsid w:val="00480632"/>
    <w:rsid w:val="004824E3"/>
    <w:rsid w:val="004834B2"/>
    <w:rsid w:val="004836E0"/>
    <w:rsid w:val="004846DE"/>
    <w:rsid w:val="004861B0"/>
    <w:rsid w:val="0048696C"/>
    <w:rsid w:val="00487DAF"/>
    <w:rsid w:val="004906E2"/>
    <w:rsid w:val="004913AE"/>
    <w:rsid w:val="00491A4E"/>
    <w:rsid w:val="004929FD"/>
    <w:rsid w:val="00497175"/>
    <w:rsid w:val="004974EF"/>
    <w:rsid w:val="00497D35"/>
    <w:rsid w:val="004A00F4"/>
    <w:rsid w:val="004A10D7"/>
    <w:rsid w:val="004A1312"/>
    <w:rsid w:val="004A142F"/>
    <w:rsid w:val="004A1D31"/>
    <w:rsid w:val="004A204E"/>
    <w:rsid w:val="004A3D0D"/>
    <w:rsid w:val="004A6625"/>
    <w:rsid w:val="004A6C80"/>
    <w:rsid w:val="004B4C7C"/>
    <w:rsid w:val="004B6CCA"/>
    <w:rsid w:val="004C11BD"/>
    <w:rsid w:val="004C163C"/>
    <w:rsid w:val="004C1C0A"/>
    <w:rsid w:val="004C305C"/>
    <w:rsid w:val="004C31C3"/>
    <w:rsid w:val="004C32C3"/>
    <w:rsid w:val="004C447D"/>
    <w:rsid w:val="004C4C3E"/>
    <w:rsid w:val="004C7449"/>
    <w:rsid w:val="004D0BA0"/>
    <w:rsid w:val="004D229F"/>
    <w:rsid w:val="004D7865"/>
    <w:rsid w:val="004D799F"/>
    <w:rsid w:val="004E07A3"/>
    <w:rsid w:val="004E0A11"/>
    <w:rsid w:val="004E2765"/>
    <w:rsid w:val="004E6A64"/>
    <w:rsid w:val="004E71CB"/>
    <w:rsid w:val="004F0D7D"/>
    <w:rsid w:val="004F1667"/>
    <w:rsid w:val="004F1BAE"/>
    <w:rsid w:val="004F1F12"/>
    <w:rsid w:val="005007A7"/>
    <w:rsid w:val="00503532"/>
    <w:rsid w:val="00503B31"/>
    <w:rsid w:val="00506AA4"/>
    <w:rsid w:val="00507B1D"/>
    <w:rsid w:val="00513A91"/>
    <w:rsid w:val="00514086"/>
    <w:rsid w:val="0051693A"/>
    <w:rsid w:val="00520166"/>
    <w:rsid w:val="00521F68"/>
    <w:rsid w:val="00523473"/>
    <w:rsid w:val="00524F57"/>
    <w:rsid w:val="005253F4"/>
    <w:rsid w:val="00530913"/>
    <w:rsid w:val="005313F9"/>
    <w:rsid w:val="0053177B"/>
    <w:rsid w:val="005339E4"/>
    <w:rsid w:val="0053496B"/>
    <w:rsid w:val="0053767C"/>
    <w:rsid w:val="0053792C"/>
    <w:rsid w:val="0054051B"/>
    <w:rsid w:val="0054201F"/>
    <w:rsid w:val="0054254E"/>
    <w:rsid w:val="00542696"/>
    <w:rsid w:val="005438DF"/>
    <w:rsid w:val="00545151"/>
    <w:rsid w:val="00545E20"/>
    <w:rsid w:val="0055174C"/>
    <w:rsid w:val="00551BB7"/>
    <w:rsid w:val="005531DA"/>
    <w:rsid w:val="00555490"/>
    <w:rsid w:val="00555C73"/>
    <w:rsid w:val="00562A83"/>
    <w:rsid w:val="00563723"/>
    <w:rsid w:val="00565463"/>
    <w:rsid w:val="00565DDD"/>
    <w:rsid w:val="00570DF7"/>
    <w:rsid w:val="005735C2"/>
    <w:rsid w:val="00575012"/>
    <w:rsid w:val="00575409"/>
    <w:rsid w:val="0057691D"/>
    <w:rsid w:val="00580F5C"/>
    <w:rsid w:val="00581759"/>
    <w:rsid w:val="00581A3A"/>
    <w:rsid w:val="00583808"/>
    <w:rsid w:val="0058492A"/>
    <w:rsid w:val="00586AFA"/>
    <w:rsid w:val="0058718A"/>
    <w:rsid w:val="005930CC"/>
    <w:rsid w:val="0059450D"/>
    <w:rsid w:val="00595F01"/>
    <w:rsid w:val="0059711A"/>
    <w:rsid w:val="005975B2"/>
    <w:rsid w:val="005A143C"/>
    <w:rsid w:val="005A37D7"/>
    <w:rsid w:val="005A44B6"/>
    <w:rsid w:val="005A502C"/>
    <w:rsid w:val="005A6BD2"/>
    <w:rsid w:val="005A727F"/>
    <w:rsid w:val="005A7AE2"/>
    <w:rsid w:val="005B455A"/>
    <w:rsid w:val="005B5BED"/>
    <w:rsid w:val="005C084F"/>
    <w:rsid w:val="005C09CB"/>
    <w:rsid w:val="005C1D7E"/>
    <w:rsid w:val="005C3D22"/>
    <w:rsid w:val="005C3DD3"/>
    <w:rsid w:val="005C4E16"/>
    <w:rsid w:val="005C5F70"/>
    <w:rsid w:val="005C6AE8"/>
    <w:rsid w:val="005C72FF"/>
    <w:rsid w:val="005C7905"/>
    <w:rsid w:val="005D1102"/>
    <w:rsid w:val="005D2E2F"/>
    <w:rsid w:val="005D2F93"/>
    <w:rsid w:val="005D4E90"/>
    <w:rsid w:val="005D5227"/>
    <w:rsid w:val="005D6A96"/>
    <w:rsid w:val="005D7E4A"/>
    <w:rsid w:val="005E337E"/>
    <w:rsid w:val="005E57A3"/>
    <w:rsid w:val="005E798E"/>
    <w:rsid w:val="005F35C1"/>
    <w:rsid w:val="005F3D6D"/>
    <w:rsid w:val="005F41CF"/>
    <w:rsid w:val="005F481F"/>
    <w:rsid w:val="005F5ACB"/>
    <w:rsid w:val="005F6737"/>
    <w:rsid w:val="0060178B"/>
    <w:rsid w:val="0060187F"/>
    <w:rsid w:val="00602222"/>
    <w:rsid w:val="006023F0"/>
    <w:rsid w:val="00605FFE"/>
    <w:rsid w:val="006112A1"/>
    <w:rsid w:val="0061518A"/>
    <w:rsid w:val="00615BC0"/>
    <w:rsid w:val="0061671E"/>
    <w:rsid w:val="00620D09"/>
    <w:rsid w:val="00622218"/>
    <w:rsid w:val="00622AA3"/>
    <w:rsid w:val="006246BE"/>
    <w:rsid w:val="00626879"/>
    <w:rsid w:val="006319E6"/>
    <w:rsid w:val="00631F9E"/>
    <w:rsid w:val="006323E9"/>
    <w:rsid w:val="00634570"/>
    <w:rsid w:val="00634760"/>
    <w:rsid w:val="00634B06"/>
    <w:rsid w:val="006361F1"/>
    <w:rsid w:val="0064215D"/>
    <w:rsid w:val="0064394A"/>
    <w:rsid w:val="006445BA"/>
    <w:rsid w:val="006445DA"/>
    <w:rsid w:val="00645893"/>
    <w:rsid w:val="00645F69"/>
    <w:rsid w:val="00647939"/>
    <w:rsid w:val="00647C1A"/>
    <w:rsid w:val="00651B76"/>
    <w:rsid w:val="006521B4"/>
    <w:rsid w:val="0065506D"/>
    <w:rsid w:val="00655295"/>
    <w:rsid w:val="006603CE"/>
    <w:rsid w:val="00661CEB"/>
    <w:rsid w:val="0066600A"/>
    <w:rsid w:val="00666537"/>
    <w:rsid w:val="00666A22"/>
    <w:rsid w:val="00667066"/>
    <w:rsid w:val="00667596"/>
    <w:rsid w:val="00667BD4"/>
    <w:rsid w:val="00672D61"/>
    <w:rsid w:val="00674567"/>
    <w:rsid w:val="00674FF0"/>
    <w:rsid w:val="00675406"/>
    <w:rsid w:val="0067612E"/>
    <w:rsid w:val="0067766C"/>
    <w:rsid w:val="006812B0"/>
    <w:rsid w:val="0068571A"/>
    <w:rsid w:val="00685877"/>
    <w:rsid w:val="00686BC6"/>
    <w:rsid w:val="006870F0"/>
    <w:rsid w:val="006933BA"/>
    <w:rsid w:val="00696B3E"/>
    <w:rsid w:val="0069708F"/>
    <w:rsid w:val="006A368F"/>
    <w:rsid w:val="006A589F"/>
    <w:rsid w:val="006A7674"/>
    <w:rsid w:val="006B00A8"/>
    <w:rsid w:val="006B0792"/>
    <w:rsid w:val="006B1D76"/>
    <w:rsid w:val="006B2821"/>
    <w:rsid w:val="006B3B47"/>
    <w:rsid w:val="006B4ED4"/>
    <w:rsid w:val="006B53E6"/>
    <w:rsid w:val="006B74E8"/>
    <w:rsid w:val="006C3B51"/>
    <w:rsid w:val="006C4856"/>
    <w:rsid w:val="006C63B9"/>
    <w:rsid w:val="006D1C9E"/>
    <w:rsid w:val="006D3AB1"/>
    <w:rsid w:val="006D5181"/>
    <w:rsid w:val="006D5DF9"/>
    <w:rsid w:val="006D72AC"/>
    <w:rsid w:val="006E118F"/>
    <w:rsid w:val="006E3875"/>
    <w:rsid w:val="006E4B5B"/>
    <w:rsid w:val="006E6628"/>
    <w:rsid w:val="006E6E47"/>
    <w:rsid w:val="006E7AC4"/>
    <w:rsid w:val="006F0DF2"/>
    <w:rsid w:val="006F2757"/>
    <w:rsid w:val="006F4443"/>
    <w:rsid w:val="006F4993"/>
    <w:rsid w:val="006F5356"/>
    <w:rsid w:val="00700AEF"/>
    <w:rsid w:val="00704BB1"/>
    <w:rsid w:val="00711457"/>
    <w:rsid w:val="00713334"/>
    <w:rsid w:val="00714E4E"/>
    <w:rsid w:val="00715290"/>
    <w:rsid w:val="00717935"/>
    <w:rsid w:val="007243C8"/>
    <w:rsid w:val="00724A0A"/>
    <w:rsid w:val="007251B3"/>
    <w:rsid w:val="007252E6"/>
    <w:rsid w:val="0072649B"/>
    <w:rsid w:val="0073572F"/>
    <w:rsid w:val="00737E89"/>
    <w:rsid w:val="007402B3"/>
    <w:rsid w:val="00741666"/>
    <w:rsid w:val="007416AF"/>
    <w:rsid w:val="00742779"/>
    <w:rsid w:val="007466A6"/>
    <w:rsid w:val="0074733E"/>
    <w:rsid w:val="00747F51"/>
    <w:rsid w:val="00751ECD"/>
    <w:rsid w:val="00752EF7"/>
    <w:rsid w:val="00753534"/>
    <w:rsid w:val="0075552F"/>
    <w:rsid w:val="007557AD"/>
    <w:rsid w:val="007575B2"/>
    <w:rsid w:val="0076006F"/>
    <w:rsid w:val="00762770"/>
    <w:rsid w:val="00762C8E"/>
    <w:rsid w:val="00765C44"/>
    <w:rsid w:val="00767F3B"/>
    <w:rsid w:val="007700DA"/>
    <w:rsid w:val="00773B73"/>
    <w:rsid w:val="00776F5B"/>
    <w:rsid w:val="007773AE"/>
    <w:rsid w:val="0077759C"/>
    <w:rsid w:val="00777E49"/>
    <w:rsid w:val="00782C3F"/>
    <w:rsid w:val="00785D23"/>
    <w:rsid w:val="00787034"/>
    <w:rsid w:val="00790995"/>
    <w:rsid w:val="007927EE"/>
    <w:rsid w:val="0079368E"/>
    <w:rsid w:val="0079587A"/>
    <w:rsid w:val="007972D2"/>
    <w:rsid w:val="007972E0"/>
    <w:rsid w:val="007A0696"/>
    <w:rsid w:val="007A1133"/>
    <w:rsid w:val="007A218B"/>
    <w:rsid w:val="007B0FD3"/>
    <w:rsid w:val="007B1A25"/>
    <w:rsid w:val="007B277F"/>
    <w:rsid w:val="007B3B1F"/>
    <w:rsid w:val="007B3FFD"/>
    <w:rsid w:val="007B4486"/>
    <w:rsid w:val="007B474E"/>
    <w:rsid w:val="007B4809"/>
    <w:rsid w:val="007B54A8"/>
    <w:rsid w:val="007B58CD"/>
    <w:rsid w:val="007C0165"/>
    <w:rsid w:val="007C057A"/>
    <w:rsid w:val="007C0F2D"/>
    <w:rsid w:val="007C1D35"/>
    <w:rsid w:val="007C325A"/>
    <w:rsid w:val="007C3CA0"/>
    <w:rsid w:val="007D2ACC"/>
    <w:rsid w:val="007D2F4D"/>
    <w:rsid w:val="007D7B6A"/>
    <w:rsid w:val="007E2881"/>
    <w:rsid w:val="007E4268"/>
    <w:rsid w:val="007E4409"/>
    <w:rsid w:val="007E4C71"/>
    <w:rsid w:val="007E4CA5"/>
    <w:rsid w:val="007E4FA7"/>
    <w:rsid w:val="007E59BA"/>
    <w:rsid w:val="007E7505"/>
    <w:rsid w:val="007F0A88"/>
    <w:rsid w:val="007F1D8B"/>
    <w:rsid w:val="007F685C"/>
    <w:rsid w:val="007F6F49"/>
    <w:rsid w:val="00800725"/>
    <w:rsid w:val="00803306"/>
    <w:rsid w:val="00804423"/>
    <w:rsid w:val="00811826"/>
    <w:rsid w:val="00811864"/>
    <w:rsid w:val="00812529"/>
    <w:rsid w:val="00812998"/>
    <w:rsid w:val="00814AA1"/>
    <w:rsid w:val="00816219"/>
    <w:rsid w:val="00816C3F"/>
    <w:rsid w:val="008224B9"/>
    <w:rsid w:val="008228AB"/>
    <w:rsid w:val="0082460B"/>
    <w:rsid w:val="00824DD5"/>
    <w:rsid w:val="00825545"/>
    <w:rsid w:val="0082738C"/>
    <w:rsid w:val="00827887"/>
    <w:rsid w:val="008338C6"/>
    <w:rsid w:val="008405B8"/>
    <w:rsid w:val="00840FC5"/>
    <w:rsid w:val="00842984"/>
    <w:rsid w:val="00842B08"/>
    <w:rsid w:val="00844AB8"/>
    <w:rsid w:val="00847A58"/>
    <w:rsid w:val="00856C90"/>
    <w:rsid w:val="0085780B"/>
    <w:rsid w:val="0086010C"/>
    <w:rsid w:val="00860226"/>
    <w:rsid w:val="00860363"/>
    <w:rsid w:val="008620A3"/>
    <w:rsid w:val="00862C59"/>
    <w:rsid w:val="0086364C"/>
    <w:rsid w:val="0087132A"/>
    <w:rsid w:val="0087133B"/>
    <w:rsid w:val="00871769"/>
    <w:rsid w:val="00872956"/>
    <w:rsid w:val="008752CE"/>
    <w:rsid w:val="00875FD4"/>
    <w:rsid w:val="00877F1E"/>
    <w:rsid w:val="00877FBC"/>
    <w:rsid w:val="0088281B"/>
    <w:rsid w:val="008839DF"/>
    <w:rsid w:val="008846C0"/>
    <w:rsid w:val="00885070"/>
    <w:rsid w:val="00887702"/>
    <w:rsid w:val="008912CB"/>
    <w:rsid w:val="0089150F"/>
    <w:rsid w:val="008943B4"/>
    <w:rsid w:val="00896EAD"/>
    <w:rsid w:val="00897EDB"/>
    <w:rsid w:val="008A2662"/>
    <w:rsid w:val="008A4024"/>
    <w:rsid w:val="008B0381"/>
    <w:rsid w:val="008B0760"/>
    <w:rsid w:val="008B4861"/>
    <w:rsid w:val="008B7F34"/>
    <w:rsid w:val="008C2AFC"/>
    <w:rsid w:val="008C725C"/>
    <w:rsid w:val="008D094A"/>
    <w:rsid w:val="008D102D"/>
    <w:rsid w:val="008D4CA1"/>
    <w:rsid w:val="008D5327"/>
    <w:rsid w:val="008D5C01"/>
    <w:rsid w:val="008E33F7"/>
    <w:rsid w:val="008E51BE"/>
    <w:rsid w:val="008E5227"/>
    <w:rsid w:val="008E5344"/>
    <w:rsid w:val="008E5704"/>
    <w:rsid w:val="008E5856"/>
    <w:rsid w:val="008F09EF"/>
    <w:rsid w:val="008F46D6"/>
    <w:rsid w:val="008F5860"/>
    <w:rsid w:val="008F7350"/>
    <w:rsid w:val="008F7672"/>
    <w:rsid w:val="008F76A7"/>
    <w:rsid w:val="00903663"/>
    <w:rsid w:val="00904A6F"/>
    <w:rsid w:val="009050A9"/>
    <w:rsid w:val="00906D47"/>
    <w:rsid w:val="00907B58"/>
    <w:rsid w:val="009109B4"/>
    <w:rsid w:val="00910C22"/>
    <w:rsid w:val="00911FE4"/>
    <w:rsid w:val="009124A1"/>
    <w:rsid w:val="00912913"/>
    <w:rsid w:val="00912BA0"/>
    <w:rsid w:val="00914733"/>
    <w:rsid w:val="00924EA6"/>
    <w:rsid w:val="009279E2"/>
    <w:rsid w:val="00931079"/>
    <w:rsid w:val="00931909"/>
    <w:rsid w:val="00931AC9"/>
    <w:rsid w:val="00931EE0"/>
    <w:rsid w:val="00932EF3"/>
    <w:rsid w:val="00933A0B"/>
    <w:rsid w:val="00934542"/>
    <w:rsid w:val="009354BE"/>
    <w:rsid w:val="009359A8"/>
    <w:rsid w:val="00935D8E"/>
    <w:rsid w:val="0093649B"/>
    <w:rsid w:val="00936575"/>
    <w:rsid w:val="009368BF"/>
    <w:rsid w:val="009372AE"/>
    <w:rsid w:val="00940EA6"/>
    <w:rsid w:val="00942CDD"/>
    <w:rsid w:val="00945FFD"/>
    <w:rsid w:val="00946E86"/>
    <w:rsid w:val="0094777B"/>
    <w:rsid w:val="00947D01"/>
    <w:rsid w:val="00953341"/>
    <w:rsid w:val="009538B1"/>
    <w:rsid w:val="00953C57"/>
    <w:rsid w:val="00960E28"/>
    <w:rsid w:val="00962698"/>
    <w:rsid w:val="00963D12"/>
    <w:rsid w:val="009646A0"/>
    <w:rsid w:val="009676AE"/>
    <w:rsid w:val="00974273"/>
    <w:rsid w:val="009772AD"/>
    <w:rsid w:val="00977A20"/>
    <w:rsid w:val="00980C2E"/>
    <w:rsid w:val="00981678"/>
    <w:rsid w:val="009821E3"/>
    <w:rsid w:val="009843A1"/>
    <w:rsid w:val="009850BF"/>
    <w:rsid w:val="009861FD"/>
    <w:rsid w:val="00986D11"/>
    <w:rsid w:val="00987AD7"/>
    <w:rsid w:val="00990235"/>
    <w:rsid w:val="00990A5A"/>
    <w:rsid w:val="00991598"/>
    <w:rsid w:val="009939F5"/>
    <w:rsid w:val="00995922"/>
    <w:rsid w:val="009961DF"/>
    <w:rsid w:val="00997094"/>
    <w:rsid w:val="009A0F58"/>
    <w:rsid w:val="009A6C6E"/>
    <w:rsid w:val="009A6DBE"/>
    <w:rsid w:val="009B0620"/>
    <w:rsid w:val="009B160F"/>
    <w:rsid w:val="009B2745"/>
    <w:rsid w:val="009B5C7A"/>
    <w:rsid w:val="009B5D87"/>
    <w:rsid w:val="009B6CBE"/>
    <w:rsid w:val="009B7D29"/>
    <w:rsid w:val="009C2984"/>
    <w:rsid w:val="009C3396"/>
    <w:rsid w:val="009C3706"/>
    <w:rsid w:val="009C45FF"/>
    <w:rsid w:val="009C6679"/>
    <w:rsid w:val="009C73CC"/>
    <w:rsid w:val="009C7A36"/>
    <w:rsid w:val="009D376E"/>
    <w:rsid w:val="009D4822"/>
    <w:rsid w:val="009D6B62"/>
    <w:rsid w:val="009D7E9D"/>
    <w:rsid w:val="009E1E48"/>
    <w:rsid w:val="009E366A"/>
    <w:rsid w:val="009E3BD5"/>
    <w:rsid w:val="009E4CC8"/>
    <w:rsid w:val="009E5038"/>
    <w:rsid w:val="009E6160"/>
    <w:rsid w:val="009E7B55"/>
    <w:rsid w:val="009F350D"/>
    <w:rsid w:val="009F4799"/>
    <w:rsid w:val="00A00795"/>
    <w:rsid w:val="00A01D51"/>
    <w:rsid w:val="00A0296B"/>
    <w:rsid w:val="00A07B6E"/>
    <w:rsid w:val="00A101E0"/>
    <w:rsid w:val="00A10825"/>
    <w:rsid w:val="00A10CF0"/>
    <w:rsid w:val="00A12B9D"/>
    <w:rsid w:val="00A1359D"/>
    <w:rsid w:val="00A16058"/>
    <w:rsid w:val="00A16F65"/>
    <w:rsid w:val="00A1772D"/>
    <w:rsid w:val="00A202F9"/>
    <w:rsid w:val="00A21831"/>
    <w:rsid w:val="00A2250B"/>
    <w:rsid w:val="00A23C2A"/>
    <w:rsid w:val="00A248D8"/>
    <w:rsid w:val="00A25EF8"/>
    <w:rsid w:val="00A2730E"/>
    <w:rsid w:val="00A31850"/>
    <w:rsid w:val="00A3375D"/>
    <w:rsid w:val="00A4176A"/>
    <w:rsid w:val="00A44760"/>
    <w:rsid w:val="00A61CF8"/>
    <w:rsid w:val="00A7020F"/>
    <w:rsid w:val="00A7075A"/>
    <w:rsid w:val="00A71181"/>
    <w:rsid w:val="00A71203"/>
    <w:rsid w:val="00A80985"/>
    <w:rsid w:val="00A8137E"/>
    <w:rsid w:val="00A83E0F"/>
    <w:rsid w:val="00A85FBD"/>
    <w:rsid w:val="00A86917"/>
    <w:rsid w:val="00A8785B"/>
    <w:rsid w:val="00A91776"/>
    <w:rsid w:val="00A93C3B"/>
    <w:rsid w:val="00A94EC1"/>
    <w:rsid w:val="00A95631"/>
    <w:rsid w:val="00A96037"/>
    <w:rsid w:val="00A9647A"/>
    <w:rsid w:val="00AA2848"/>
    <w:rsid w:val="00AA2DDF"/>
    <w:rsid w:val="00AA3DAA"/>
    <w:rsid w:val="00AA6F75"/>
    <w:rsid w:val="00AA70F5"/>
    <w:rsid w:val="00AA720F"/>
    <w:rsid w:val="00AB0C13"/>
    <w:rsid w:val="00AB2E96"/>
    <w:rsid w:val="00AB4053"/>
    <w:rsid w:val="00AB5F35"/>
    <w:rsid w:val="00AC2126"/>
    <w:rsid w:val="00AC2352"/>
    <w:rsid w:val="00AC3A80"/>
    <w:rsid w:val="00AD0E73"/>
    <w:rsid w:val="00AD10E6"/>
    <w:rsid w:val="00AD16BE"/>
    <w:rsid w:val="00AD2A62"/>
    <w:rsid w:val="00AD3AFD"/>
    <w:rsid w:val="00AD45DE"/>
    <w:rsid w:val="00AD57E9"/>
    <w:rsid w:val="00AE2A0D"/>
    <w:rsid w:val="00AE3E35"/>
    <w:rsid w:val="00AE4E5E"/>
    <w:rsid w:val="00AE5756"/>
    <w:rsid w:val="00AF0DC9"/>
    <w:rsid w:val="00AF161C"/>
    <w:rsid w:val="00AF186A"/>
    <w:rsid w:val="00AF23BB"/>
    <w:rsid w:val="00AF36F4"/>
    <w:rsid w:val="00AF4F4A"/>
    <w:rsid w:val="00AF5897"/>
    <w:rsid w:val="00AF5DC0"/>
    <w:rsid w:val="00AF7D7B"/>
    <w:rsid w:val="00B00CF6"/>
    <w:rsid w:val="00B018C7"/>
    <w:rsid w:val="00B04874"/>
    <w:rsid w:val="00B0499B"/>
    <w:rsid w:val="00B073CF"/>
    <w:rsid w:val="00B117F9"/>
    <w:rsid w:val="00B12B56"/>
    <w:rsid w:val="00B17B34"/>
    <w:rsid w:val="00B22F2F"/>
    <w:rsid w:val="00B242B6"/>
    <w:rsid w:val="00B2468C"/>
    <w:rsid w:val="00B24F68"/>
    <w:rsid w:val="00B252F4"/>
    <w:rsid w:val="00B254C6"/>
    <w:rsid w:val="00B27B4A"/>
    <w:rsid w:val="00B32A8A"/>
    <w:rsid w:val="00B33B64"/>
    <w:rsid w:val="00B36AB2"/>
    <w:rsid w:val="00B4040F"/>
    <w:rsid w:val="00B40999"/>
    <w:rsid w:val="00B40BF8"/>
    <w:rsid w:val="00B425B3"/>
    <w:rsid w:val="00B4285C"/>
    <w:rsid w:val="00B451C2"/>
    <w:rsid w:val="00B52314"/>
    <w:rsid w:val="00B53A4B"/>
    <w:rsid w:val="00B55C15"/>
    <w:rsid w:val="00B56229"/>
    <w:rsid w:val="00B631CC"/>
    <w:rsid w:val="00B63B40"/>
    <w:rsid w:val="00B665A8"/>
    <w:rsid w:val="00B71105"/>
    <w:rsid w:val="00B7225F"/>
    <w:rsid w:val="00B76826"/>
    <w:rsid w:val="00B77367"/>
    <w:rsid w:val="00B817D0"/>
    <w:rsid w:val="00B87069"/>
    <w:rsid w:val="00B87091"/>
    <w:rsid w:val="00B90035"/>
    <w:rsid w:val="00B928B9"/>
    <w:rsid w:val="00B92B3B"/>
    <w:rsid w:val="00B932EA"/>
    <w:rsid w:val="00B937D8"/>
    <w:rsid w:val="00B93E25"/>
    <w:rsid w:val="00B9516B"/>
    <w:rsid w:val="00BA0431"/>
    <w:rsid w:val="00BA3A93"/>
    <w:rsid w:val="00BA3CE8"/>
    <w:rsid w:val="00BA43DB"/>
    <w:rsid w:val="00BA4AD9"/>
    <w:rsid w:val="00BA555B"/>
    <w:rsid w:val="00BB1F45"/>
    <w:rsid w:val="00BB2D10"/>
    <w:rsid w:val="00BD0785"/>
    <w:rsid w:val="00BD0FE6"/>
    <w:rsid w:val="00BD38C5"/>
    <w:rsid w:val="00BD64E3"/>
    <w:rsid w:val="00BD68F8"/>
    <w:rsid w:val="00BD6BBA"/>
    <w:rsid w:val="00BD7551"/>
    <w:rsid w:val="00BE108A"/>
    <w:rsid w:val="00BE1832"/>
    <w:rsid w:val="00BE194D"/>
    <w:rsid w:val="00BE31DC"/>
    <w:rsid w:val="00BE6B0E"/>
    <w:rsid w:val="00BF0E19"/>
    <w:rsid w:val="00BF2327"/>
    <w:rsid w:val="00BF4CFE"/>
    <w:rsid w:val="00C01D44"/>
    <w:rsid w:val="00C01E33"/>
    <w:rsid w:val="00C024D8"/>
    <w:rsid w:val="00C05070"/>
    <w:rsid w:val="00C069EB"/>
    <w:rsid w:val="00C06EB8"/>
    <w:rsid w:val="00C07202"/>
    <w:rsid w:val="00C1094D"/>
    <w:rsid w:val="00C115AB"/>
    <w:rsid w:val="00C12D36"/>
    <w:rsid w:val="00C156F5"/>
    <w:rsid w:val="00C21B4F"/>
    <w:rsid w:val="00C232E6"/>
    <w:rsid w:val="00C24F5E"/>
    <w:rsid w:val="00C343AC"/>
    <w:rsid w:val="00C4052E"/>
    <w:rsid w:val="00C42B1C"/>
    <w:rsid w:val="00C44A01"/>
    <w:rsid w:val="00C46320"/>
    <w:rsid w:val="00C50D57"/>
    <w:rsid w:val="00C514DE"/>
    <w:rsid w:val="00C515F4"/>
    <w:rsid w:val="00C52157"/>
    <w:rsid w:val="00C53A81"/>
    <w:rsid w:val="00C546B8"/>
    <w:rsid w:val="00C55F47"/>
    <w:rsid w:val="00C61CD8"/>
    <w:rsid w:val="00C62CBC"/>
    <w:rsid w:val="00C62F53"/>
    <w:rsid w:val="00C639F7"/>
    <w:rsid w:val="00C64AE9"/>
    <w:rsid w:val="00C65D36"/>
    <w:rsid w:val="00C66211"/>
    <w:rsid w:val="00C66D9E"/>
    <w:rsid w:val="00C702DE"/>
    <w:rsid w:val="00C70512"/>
    <w:rsid w:val="00C7056E"/>
    <w:rsid w:val="00C7157D"/>
    <w:rsid w:val="00C7182C"/>
    <w:rsid w:val="00C726F8"/>
    <w:rsid w:val="00C72CD1"/>
    <w:rsid w:val="00C73BC5"/>
    <w:rsid w:val="00C74EE6"/>
    <w:rsid w:val="00C7662F"/>
    <w:rsid w:val="00C77860"/>
    <w:rsid w:val="00C77C9C"/>
    <w:rsid w:val="00C80E07"/>
    <w:rsid w:val="00C843C1"/>
    <w:rsid w:val="00C856AD"/>
    <w:rsid w:val="00C87EBC"/>
    <w:rsid w:val="00C92294"/>
    <w:rsid w:val="00C93A24"/>
    <w:rsid w:val="00C94482"/>
    <w:rsid w:val="00C964C7"/>
    <w:rsid w:val="00CA1904"/>
    <w:rsid w:val="00CA1F7A"/>
    <w:rsid w:val="00CA4937"/>
    <w:rsid w:val="00CA4B35"/>
    <w:rsid w:val="00CA53CF"/>
    <w:rsid w:val="00CA6202"/>
    <w:rsid w:val="00CA795F"/>
    <w:rsid w:val="00CB0264"/>
    <w:rsid w:val="00CB317F"/>
    <w:rsid w:val="00CB537E"/>
    <w:rsid w:val="00CC2BFF"/>
    <w:rsid w:val="00CC5DD2"/>
    <w:rsid w:val="00CC6AEA"/>
    <w:rsid w:val="00CC6F6F"/>
    <w:rsid w:val="00CC7CB4"/>
    <w:rsid w:val="00CD0DBC"/>
    <w:rsid w:val="00CD0EA5"/>
    <w:rsid w:val="00CD1D28"/>
    <w:rsid w:val="00CD3E8A"/>
    <w:rsid w:val="00CD74B9"/>
    <w:rsid w:val="00CE0AD6"/>
    <w:rsid w:val="00CE3531"/>
    <w:rsid w:val="00CE4336"/>
    <w:rsid w:val="00CE485C"/>
    <w:rsid w:val="00CE48C8"/>
    <w:rsid w:val="00CE4FB0"/>
    <w:rsid w:val="00CE50E0"/>
    <w:rsid w:val="00CE5CE2"/>
    <w:rsid w:val="00CF16DA"/>
    <w:rsid w:val="00CF2DA8"/>
    <w:rsid w:val="00CF3904"/>
    <w:rsid w:val="00CF4132"/>
    <w:rsid w:val="00CF5550"/>
    <w:rsid w:val="00CF6A11"/>
    <w:rsid w:val="00CF72F4"/>
    <w:rsid w:val="00D0079C"/>
    <w:rsid w:val="00D05616"/>
    <w:rsid w:val="00D05BF3"/>
    <w:rsid w:val="00D06FBF"/>
    <w:rsid w:val="00D110AF"/>
    <w:rsid w:val="00D12850"/>
    <w:rsid w:val="00D12F9E"/>
    <w:rsid w:val="00D17A3C"/>
    <w:rsid w:val="00D20685"/>
    <w:rsid w:val="00D2088E"/>
    <w:rsid w:val="00D20A6F"/>
    <w:rsid w:val="00D212D7"/>
    <w:rsid w:val="00D21950"/>
    <w:rsid w:val="00D21B51"/>
    <w:rsid w:val="00D22EC7"/>
    <w:rsid w:val="00D23124"/>
    <w:rsid w:val="00D23814"/>
    <w:rsid w:val="00D2399D"/>
    <w:rsid w:val="00D23F89"/>
    <w:rsid w:val="00D25AEF"/>
    <w:rsid w:val="00D26394"/>
    <w:rsid w:val="00D2726E"/>
    <w:rsid w:val="00D3039D"/>
    <w:rsid w:val="00D31F1B"/>
    <w:rsid w:val="00D35DDC"/>
    <w:rsid w:val="00D362F7"/>
    <w:rsid w:val="00D36A7D"/>
    <w:rsid w:val="00D37C77"/>
    <w:rsid w:val="00D4019F"/>
    <w:rsid w:val="00D4114B"/>
    <w:rsid w:val="00D41194"/>
    <w:rsid w:val="00D42965"/>
    <w:rsid w:val="00D42AB6"/>
    <w:rsid w:val="00D454C6"/>
    <w:rsid w:val="00D455CB"/>
    <w:rsid w:val="00D505FB"/>
    <w:rsid w:val="00D510DB"/>
    <w:rsid w:val="00D51820"/>
    <w:rsid w:val="00D54D89"/>
    <w:rsid w:val="00D55911"/>
    <w:rsid w:val="00D62CE5"/>
    <w:rsid w:val="00D631A0"/>
    <w:rsid w:val="00D640E8"/>
    <w:rsid w:val="00D66DF6"/>
    <w:rsid w:val="00D67119"/>
    <w:rsid w:val="00D70859"/>
    <w:rsid w:val="00D7312E"/>
    <w:rsid w:val="00D76EEB"/>
    <w:rsid w:val="00D770CA"/>
    <w:rsid w:val="00D7744F"/>
    <w:rsid w:val="00D77612"/>
    <w:rsid w:val="00D82685"/>
    <w:rsid w:val="00D831E3"/>
    <w:rsid w:val="00D840E7"/>
    <w:rsid w:val="00D84522"/>
    <w:rsid w:val="00D85294"/>
    <w:rsid w:val="00D86327"/>
    <w:rsid w:val="00D86385"/>
    <w:rsid w:val="00D86414"/>
    <w:rsid w:val="00D868E9"/>
    <w:rsid w:val="00D8785D"/>
    <w:rsid w:val="00D90785"/>
    <w:rsid w:val="00D97778"/>
    <w:rsid w:val="00DA0374"/>
    <w:rsid w:val="00DA03F7"/>
    <w:rsid w:val="00DA136E"/>
    <w:rsid w:val="00DA150C"/>
    <w:rsid w:val="00DA5627"/>
    <w:rsid w:val="00DB0FD1"/>
    <w:rsid w:val="00DB2C19"/>
    <w:rsid w:val="00DB2FD2"/>
    <w:rsid w:val="00DB345A"/>
    <w:rsid w:val="00DB4E47"/>
    <w:rsid w:val="00DB67BB"/>
    <w:rsid w:val="00DB6F68"/>
    <w:rsid w:val="00DC084D"/>
    <w:rsid w:val="00DC195B"/>
    <w:rsid w:val="00DC5400"/>
    <w:rsid w:val="00DC6821"/>
    <w:rsid w:val="00DD292D"/>
    <w:rsid w:val="00DD4940"/>
    <w:rsid w:val="00DD56D7"/>
    <w:rsid w:val="00DD5F40"/>
    <w:rsid w:val="00DE151B"/>
    <w:rsid w:val="00DE229C"/>
    <w:rsid w:val="00DE2CB2"/>
    <w:rsid w:val="00DE679C"/>
    <w:rsid w:val="00DE70BF"/>
    <w:rsid w:val="00DF11D9"/>
    <w:rsid w:val="00DF1A54"/>
    <w:rsid w:val="00DF4485"/>
    <w:rsid w:val="00DF6AA9"/>
    <w:rsid w:val="00DF7DF1"/>
    <w:rsid w:val="00E00FBB"/>
    <w:rsid w:val="00E0176D"/>
    <w:rsid w:val="00E0322C"/>
    <w:rsid w:val="00E05200"/>
    <w:rsid w:val="00E067A5"/>
    <w:rsid w:val="00E06CF9"/>
    <w:rsid w:val="00E13C4D"/>
    <w:rsid w:val="00E15546"/>
    <w:rsid w:val="00E17CE7"/>
    <w:rsid w:val="00E209C2"/>
    <w:rsid w:val="00E20BD8"/>
    <w:rsid w:val="00E234AE"/>
    <w:rsid w:val="00E23641"/>
    <w:rsid w:val="00E26649"/>
    <w:rsid w:val="00E27C2E"/>
    <w:rsid w:val="00E27CB0"/>
    <w:rsid w:val="00E31C76"/>
    <w:rsid w:val="00E33313"/>
    <w:rsid w:val="00E34D72"/>
    <w:rsid w:val="00E35518"/>
    <w:rsid w:val="00E359BA"/>
    <w:rsid w:val="00E371FE"/>
    <w:rsid w:val="00E407ED"/>
    <w:rsid w:val="00E42DA7"/>
    <w:rsid w:val="00E47472"/>
    <w:rsid w:val="00E51656"/>
    <w:rsid w:val="00E6464B"/>
    <w:rsid w:val="00E70ADA"/>
    <w:rsid w:val="00E71589"/>
    <w:rsid w:val="00E71C8E"/>
    <w:rsid w:val="00E72B56"/>
    <w:rsid w:val="00E731FC"/>
    <w:rsid w:val="00E75970"/>
    <w:rsid w:val="00E75F24"/>
    <w:rsid w:val="00E75FC8"/>
    <w:rsid w:val="00E77841"/>
    <w:rsid w:val="00E822E2"/>
    <w:rsid w:val="00E8285B"/>
    <w:rsid w:val="00E84394"/>
    <w:rsid w:val="00E8533F"/>
    <w:rsid w:val="00E85D6A"/>
    <w:rsid w:val="00E8631F"/>
    <w:rsid w:val="00E86B83"/>
    <w:rsid w:val="00E93FFA"/>
    <w:rsid w:val="00E9404B"/>
    <w:rsid w:val="00E94C74"/>
    <w:rsid w:val="00E958BF"/>
    <w:rsid w:val="00E965A7"/>
    <w:rsid w:val="00E96ED2"/>
    <w:rsid w:val="00E97890"/>
    <w:rsid w:val="00E97A5C"/>
    <w:rsid w:val="00EA143C"/>
    <w:rsid w:val="00EA3167"/>
    <w:rsid w:val="00EA4F2B"/>
    <w:rsid w:val="00EA6D7B"/>
    <w:rsid w:val="00EB195F"/>
    <w:rsid w:val="00EB3023"/>
    <w:rsid w:val="00EB58E8"/>
    <w:rsid w:val="00EB5D74"/>
    <w:rsid w:val="00EB7073"/>
    <w:rsid w:val="00EC10B2"/>
    <w:rsid w:val="00EC2A1D"/>
    <w:rsid w:val="00EC79DD"/>
    <w:rsid w:val="00ED099A"/>
    <w:rsid w:val="00ED1166"/>
    <w:rsid w:val="00ED168A"/>
    <w:rsid w:val="00ED174C"/>
    <w:rsid w:val="00ED2C3F"/>
    <w:rsid w:val="00ED38B9"/>
    <w:rsid w:val="00ED3BD8"/>
    <w:rsid w:val="00ED4FED"/>
    <w:rsid w:val="00ED5FAF"/>
    <w:rsid w:val="00ED7010"/>
    <w:rsid w:val="00EE1923"/>
    <w:rsid w:val="00EE3D0B"/>
    <w:rsid w:val="00EE3ED3"/>
    <w:rsid w:val="00EE583E"/>
    <w:rsid w:val="00EE7B2E"/>
    <w:rsid w:val="00EF0512"/>
    <w:rsid w:val="00EF0B10"/>
    <w:rsid w:val="00EF2B18"/>
    <w:rsid w:val="00EF4943"/>
    <w:rsid w:val="00EF6C18"/>
    <w:rsid w:val="00EF7AB0"/>
    <w:rsid w:val="00EF7C48"/>
    <w:rsid w:val="00F00704"/>
    <w:rsid w:val="00F036B1"/>
    <w:rsid w:val="00F04657"/>
    <w:rsid w:val="00F0701B"/>
    <w:rsid w:val="00F072EA"/>
    <w:rsid w:val="00F07A75"/>
    <w:rsid w:val="00F1007F"/>
    <w:rsid w:val="00F132EA"/>
    <w:rsid w:val="00F1417F"/>
    <w:rsid w:val="00F14832"/>
    <w:rsid w:val="00F16613"/>
    <w:rsid w:val="00F16CEC"/>
    <w:rsid w:val="00F170AF"/>
    <w:rsid w:val="00F2171F"/>
    <w:rsid w:val="00F2300E"/>
    <w:rsid w:val="00F24CEB"/>
    <w:rsid w:val="00F268B8"/>
    <w:rsid w:val="00F27557"/>
    <w:rsid w:val="00F306F9"/>
    <w:rsid w:val="00F30D05"/>
    <w:rsid w:val="00F310D7"/>
    <w:rsid w:val="00F34779"/>
    <w:rsid w:val="00F34B42"/>
    <w:rsid w:val="00F34B9F"/>
    <w:rsid w:val="00F362AB"/>
    <w:rsid w:val="00F36FF4"/>
    <w:rsid w:val="00F37D27"/>
    <w:rsid w:val="00F4203B"/>
    <w:rsid w:val="00F4412E"/>
    <w:rsid w:val="00F4482E"/>
    <w:rsid w:val="00F452E1"/>
    <w:rsid w:val="00F45742"/>
    <w:rsid w:val="00F46389"/>
    <w:rsid w:val="00F540AE"/>
    <w:rsid w:val="00F5428F"/>
    <w:rsid w:val="00F56680"/>
    <w:rsid w:val="00F612EA"/>
    <w:rsid w:val="00F626D7"/>
    <w:rsid w:val="00F65D58"/>
    <w:rsid w:val="00F65E3D"/>
    <w:rsid w:val="00F66EE1"/>
    <w:rsid w:val="00F7417A"/>
    <w:rsid w:val="00F74CFE"/>
    <w:rsid w:val="00F80CF4"/>
    <w:rsid w:val="00F82A6D"/>
    <w:rsid w:val="00F85348"/>
    <w:rsid w:val="00F863BA"/>
    <w:rsid w:val="00F86875"/>
    <w:rsid w:val="00F87109"/>
    <w:rsid w:val="00F90524"/>
    <w:rsid w:val="00F90C6C"/>
    <w:rsid w:val="00F92057"/>
    <w:rsid w:val="00F940B3"/>
    <w:rsid w:val="00F9420E"/>
    <w:rsid w:val="00F94E9B"/>
    <w:rsid w:val="00F962C8"/>
    <w:rsid w:val="00F96912"/>
    <w:rsid w:val="00F97BED"/>
    <w:rsid w:val="00F97E12"/>
    <w:rsid w:val="00FA1A0A"/>
    <w:rsid w:val="00FA5A4B"/>
    <w:rsid w:val="00FB303D"/>
    <w:rsid w:val="00FB4A9B"/>
    <w:rsid w:val="00FB7492"/>
    <w:rsid w:val="00FB7E92"/>
    <w:rsid w:val="00FC2051"/>
    <w:rsid w:val="00FC4E5D"/>
    <w:rsid w:val="00FC6A6E"/>
    <w:rsid w:val="00FC6FA0"/>
    <w:rsid w:val="00FD157E"/>
    <w:rsid w:val="00FD36BD"/>
    <w:rsid w:val="00FD3875"/>
    <w:rsid w:val="00FE0D03"/>
    <w:rsid w:val="00FE2B49"/>
    <w:rsid w:val="00FE3C21"/>
    <w:rsid w:val="00FE5DDF"/>
    <w:rsid w:val="00FE7E1D"/>
    <w:rsid w:val="00FF32B1"/>
    <w:rsid w:val="00FF35F8"/>
    <w:rsid w:val="00FF63A8"/>
    <w:rsid w:val="00FF6AFC"/>
    <w:rsid w:val="010A75E4"/>
    <w:rsid w:val="011253ED"/>
    <w:rsid w:val="01154EDD"/>
    <w:rsid w:val="011949CD"/>
    <w:rsid w:val="011E0236"/>
    <w:rsid w:val="01205D5C"/>
    <w:rsid w:val="01231866"/>
    <w:rsid w:val="012A6BDB"/>
    <w:rsid w:val="012D0479"/>
    <w:rsid w:val="01311D17"/>
    <w:rsid w:val="013810EB"/>
    <w:rsid w:val="014852B3"/>
    <w:rsid w:val="014B3DB0"/>
    <w:rsid w:val="015B6D94"/>
    <w:rsid w:val="016814B1"/>
    <w:rsid w:val="01874535"/>
    <w:rsid w:val="01964270"/>
    <w:rsid w:val="01981D96"/>
    <w:rsid w:val="01B12E58"/>
    <w:rsid w:val="01B14C06"/>
    <w:rsid w:val="01C901A1"/>
    <w:rsid w:val="01CD4D28"/>
    <w:rsid w:val="01DD59FB"/>
    <w:rsid w:val="01E274B5"/>
    <w:rsid w:val="01E9478D"/>
    <w:rsid w:val="01F40F97"/>
    <w:rsid w:val="02026F06"/>
    <w:rsid w:val="02054F52"/>
    <w:rsid w:val="020C62E0"/>
    <w:rsid w:val="021475AE"/>
    <w:rsid w:val="0224362A"/>
    <w:rsid w:val="02247ACE"/>
    <w:rsid w:val="02250F96"/>
    <w:rsid w:val="022B2C0A"/>
    <w:rsid w:val="023D46EC"/>
    <w:rsid w:val="0242641A"/>
    <w:rsid w:val="025657AD"/>
    <w:rsid w:val="02581525"/>
    <w:rsid w:val="025C1016"/>
    <w:rsid w:val="02781BC8"/>
    <w:rsid w:val="02810A7C"/>
    <w:rsid w:val="02832A46"/>
    <w:rsid w:val="02876A49"/>
    <w:rsid w:val="02897931"/>
    <w:rsid w:val="028B36A9"/>
    <w:rsid w:val="028C11CF"/>
    <w:rsid w:val="02A429BD"/>
    <w:rsid w:val="02AB3D4B"/>
    <w:rsid w:val="02B250DA"/>
    <w:rsid w:val="02B726F0"/>
    <w:rsid w:val="02D40CFC"/>
    <w:rsid w:val="02DA1F3A"/>
    <w:rsid w:val="02E1151B"/>
    <w:rsid w:val="030376E3"/>
    <w:rsid w:val="031E62CB"/>
    <w:rsid w:val="0321400D"/>
    <w:rsid w:val="032A4C70"/>
    <w:rsid w:val="03356572"/>
    <w:rsid w:val="034D6BB0"/>
    <w:rsid w:val="035148F2"/>
    <w:rsid w:val="035241C7"/>
    <w:rsid w:val="0359119B"/>
    <w:rsid w:val="03667C72"/>
    <w:rsid w:val="036A7762"/>
    <w:rsid w:val="037203C5"/>
    <w:rsid w:val="037800D1"/>
    <w:rsid w:val="037B371D"/>
    <w:rsid w:val="03885E3A"/>
    <w:rsid w:val="03937432"/>
    <w:rsid w:val="039B791C"/>
    <w:rsid w:val="03A32C74"/>
    <w:rsid w:val="03A5079A"/>
    <w:rsid w:val="03BF0B5A"/>
    <w:rsid w:val="03CC3F79"/>
    <w:rsid w:val="03D82945"/>
    <w:rsid w:val="03E2554B"/>
    <w:rsid w:val="03E47515"/>
    <w:rsid w:val="03EC0177"/>
    <w:rsid w:val="03F07796"/>
    <w:rsid w:val="03F359AA"/>
    <w:rsid w:val="0400009D"/>
    <w:rsid w:val="040354C1"/>
    <w:rsid w:val="04041965"/>
    <w:rsid w:val="041B0A5C"/>
    <w:rsid w:val="041D2A27"/>
    <w:rsid w:val="04212517"/>
    <w:rsid w:val="043047C1"/>
    <w:rsid w:val="04334B7A"/>
    <w:rsid w:val="043D6C25"/>
    <w:rsid w:val="044E0194"/>
    <w:rsid w:val="04557215"/>
    <w:rsid w:val="0458580D"/>
    <w:rsid w:val="04697A1A"/>
    <w:rsid w:val="046E3282"/>
    <w:rsid w:val="04730898"/>
    <w:rsid w:val="04785EAF"/>
    <w:rsid w:val="047A1C27"/>
    <w:rsid w:val="047A5783"/>
    <w:rsid w:val="047C774D"/>
    <w:rsid w:val="047F0FEB"/>
    <w:rsid w:val="04910D1F"/>
    <w:rsid w:val="0495080F"/>
    <w:rsid w:val="0495521E"/>
    <w:rsid w:val="04977375"/>
    <w:rsid w:val="04C335CE"/>
    <w:rsid w:val="04D31337"/>
    <w:rsid w:val="04D76B65"/>
    <w:rsid w:val="04E43544"/>
    <w:rsid w:val="04E90B5B"/>
    <w:rsid w:val="04EE6171"/>
    <w:rsid w:val="04F76DD4"/>
    <w:rsid w:val="05047743"/>
    <w:rsid w:val="051A51B8"/>
    <w:rsid w:val="051F632A"/>
    <w:rsid w:val="05281683"/>
    <w:rsid w:val="053E7324"/>
    <w:rsid w:val="054A0784"/>
    <w:rsid w:val="0554620D"/>
    <w:rsid w:val="055C132D"/>
    <w:rsid w:val="055E32F7"/>
    <w:rsid w:val="055E50A5"/>
    <w:rsid w:val="056326BB"/>
    <w:rsid w:val="0567420E"/>
    <w:rsid w:val="056A1C9B"/>
    <w:rsid w:val="056E3497"/>
    <w:rsid w:val="05793C8D"/>
    <w:rsid w:val="058645FB"/>
    <w:rsid w:val="05926AFC"/>
    <w:rsid w:val="05AF295F"/>
    <w:rsid w:val="05B41169"/>
    <w:rsid w:val="05BE5B43"/>
    <w:rsid w:val="05BF74F0"/>
    <w:rsid w:val="05CA44E8"/>
    <w:rsid w:val="05E25CD6"/>
    <w:rsid w:val="05EF03F3"/>
    <w:rsid w:val="05F11A75"/>
    <w:rsid w:val="05F81055"/>
    <w:rsid w:val="05FD735A"/>
    <w:rsid w:val="060A6FDB"/>
    <w:rsid w:val="06147E59"/>
    <w:rsid w:val="062973DE"/>
    <w:rsid w:val="063302DF"/>
    <w:rsid w:val="06426774"/>
    <w:rsid w:val="06497B03"/>
    <w:rsid w:val="065237CB"/>
    <w:rsid w:val="065956EF"/>
    <w:rsid w:val="065A26E1"/>
    <w:rsid w:val="06622973"/>
    <w:rsid w:val="066B5CCB"/>
    <w:rsid w:val="067D1D52"/>
    <w:rsid w:val="068E19BA"/>
    <w:rsid w:val="069F7723"/>
    <w:rsid w:val="06A74D4B"/>
    <w:rsid w:val="06CA0059"/>
    <w:rsid w:val="06DE46EF"/>
    <w:rsid w:val="06F21F49"/>
    <w:rsid w:val="06F35CC1"/>
    <w:rsid w:val="071D4AEC"/>
    <w:rsid w:val="0728596A"/>
    <w:rsid w:val="074E24FA"/>
    <w:rsid w:val="074F4071"/>
    <w:rsid w:val="074F739B"/>
    <w:rsid w:val="0757624F"/>
    <w:rsid w:val="07603356"/>
    <w:rsid w:val="0768220B"/>
    <w:rsid w:val="076B1CFB"/>
    <w:rsid w:val="077010BF"/>
    <w:rsid w:val="07704ECD"/>
    <w:rsid w:val="077F44F7"/>
    <w:rsid w:val="07830DF3"/>
    <w:rsid w:val="07941252"/>
    <w:rsid w:val="079F3060"/>
    <w:rsid w:val="079F3753"/>
    <w:rsid w:val="07A34FF1"/>
    <w:rsid w:val="07C5765D"/>
    <w:rsid w:val="07E13D6B"/>
    <w:rsid w:val="07EA2C20"/>
    <w:rsid w:val="07EC6998"/>
    <w:rsid w:val="07EF0236"/>
    <w:rsid w:val="07F43A9E"/>
    <w:rsid w:val="07F615C4"/>
    <w:rsid w:val="07F71F0E"/>
    <w:rsid w:val="07F7533D"/>
    <w:rsid w:val="08053EFD"/>
    <w:rsid w:val="080735A4"/>
    <w:rsid w:val="08086F2D"/>
    <w:rsid w:val="08231E3D"/>
    <w:rsid w:val="08316AA1"/>
    <w:rsid w:val="08332819"/>
    <w:rsid w:val="083B28F7"/>
    <w:rsid w:val="083B347B"/>
    <w:rsid w:val="08485B98"/>
    <w:rsid w:val="084C5688"/>
    <w:rsid w:val="086E55FF"/>
    <w:rsid w:val="087370B9"/>
    <w:rsid w:val="08752E31"/>
    <w:rsid w:val="08827B62"/>
    <w:rsid w:val="08850B9A"/>
    <w:rsid w:val="088A663A"/>
    <w:rsid w:val="088D6E4C"/>
    <w:rsid w:val="0895702F"/>
    <w:rsid w:val="089963F4"/>
    <w:rsid w:val="089B1924"/>
    <w:rsid w:val="08A2799E"/>
    <w:rsid w:val="08AA0601"/>
    <w:rsid w:val="08C07E24"/>
    <w:rsid w:val="08C205CE"/>
    <w:rsid w:val="08CB2A51"/>
    <w:rsid w:val="08CC300D"/>
    <w:rsid w:val="08D8516E"/>
    <w:rsid w:val="08DD2784"/>
    <w:rsid w:val="08EE6740"/>
    <w:rsid w:val="08FA1588"/>
    <w:rsid w:val="08FA50E4"/>
    <w:rsid w:val="08FC70AE"/>
    <w:rsid w:val="09023F99"/>
    <w:rsid w:val="090D00B2"/>
    <w:rsid w:val="090D12BC"/>
    <w:rsid w:val="0926237D"/>
    <w:rsid w:val="092C7268"/>
    <w:rsid w:val="093F4E10"/>
    <w:rsid w:val="09542264"/>
    <w:rsid w:val="09694018"/>
    <w:rsid w:val="097035F9"/>
    <w:rsid w:val="097C01EF"/>
    <w:rsid w:val="098E102A"/>
    <w:rsid w:val="098F309D"/>
    <w:rsid w:val="099B2993"/>
    <w:rsid w:val="09A6526C"/>
    <w:rsid w:val="09A84B40"/>
    <w:rsid w:val="09C53944"/>
    <w:rsid w:val="09D16488"/>
    <w:rsid w:val="09DB4F16"/>
    <w:rsid w:val="09E85885"/>
    <w:rsid w:val="0A00672A"/>
    <w:rsid w:val="0A051F93"/>
    <w:rsid w:val="0A0D7099"/>
    <w:rsid w:val="0A1C108A"/>
    <w:rsid w:val="0A4725AB"/>
    <w:rsid w:val="0A540824"/>
    <w:rsid w:val="0A5D3B7D"/>
    <w:rsid w:val="0A60366D"/>
    <w:rsid w:val="0A6266FA"/>
    <w:rsid w:val="0A6E5D8A"/>
    <w:rsid w:val="0A796B86"/>
    <w:rsid w:val="0AA9114E"/>
    <w:rsid w:val="0AC038A3"/>
    <w:rsid w:val="0AC534D0"/>
    <w:rsid w:val="0AD57BB7"/>
    <w:rsid w:val="0ADD081A"/>
    <w:rsid w:val="0AE47DFA"/>
    <w:rsid w:val="0AEC092B"/>
    <w:rsid w:val="0B0264D2"/>
    <w:rsid w:val="0B113722"/>
    <w:rsid w:val="0B1C57E6"/>
    <w:rsid w:val="0B25671F"/>
    <w:rsid w:val="0B275F39"/>
    <w:rsid w:val="0B332B30"/>
    <w:rsid w:val="0B4C1C9B"/>
    <w:rsid w:val="0B585187"/>
    <w:rsid w:val="0B667E81"/>
    <w:rsid w:val="0B6E3925"/>
    <w:rsid w:val="0B6E5101"/>
    <w:rsid w:val="0B765BAA"/>
    <w:rsid w:val="0B837613"/>
    <w:rsid w:val="0B8C3D30"/>
    <w:rsid w:val="0B8D2240"/>
    <w:rsid w:val="0BA56018"/>
    <w:rsid w:val="0BAB0918"/>
    <w:rsid w:val="0BC8771C"/>
    <w:rsid w:val="0BCE4606"/>
    <w:rsid w:val="0BCF2858"/>
    <w:rsid w:val="0BD04E92"/>
    <w:rsid w:val="0BF17098"/>
    <w:rsid w:val="0BF95B27"/>
    <w:rsid w:val="0C304497"/>
    <w:rsid w:val="0C30706F"/>
    <w:rsid w:val="0C3841E3"/>
    <w:rsid w:val="0C476893"/>
    <w:rsid w:val="0C4B5C57"/>
    <w:rsid w:val="0C4F3999"/>
    <w:rsid w:val="0C4F5747"/>
    <w:rsid w:val="0C61547A"/>
    <w:rsid w:val="0C686809"/>
    <w:rsid w:val="0C71390F"/>
    <w:rsid w:val="0C811679"/>
    <w:rsid w:val="0C8A2C23"/>
    <w:rsid w:val="0CA06257"/>
    <w:rsid w:val="0CA737D5"/>
    <w:rsid w:val="0CAA0BCF"/>
    <w:rsid w:val="0CB42D1F"/>
    <w:rsid w:val="0CB657C6"/>
    <w:rsid w:val="0CB952B6"/>
    <w:rsid w:val="0CB95D06"/>
    <w:rsid w:val="0CC47EE3"/>
    <w:rsid w:val="0CD02F9A"/>
    <w:rsid w:val="0CF26DD0"/>
    <w:rsid w:val="0CF4371C"/>
    <w:rsid w:val="0CFD1647"/>
    <w:rsid w:val="0D004C93"/>
    <w:rsid w:val="0D084D42"/>
    <w:rsid w:val="0D0866B1"/>
    <w:rsid w:val="0D103128"/>
    <w:rsid w:val="0D130962"/>
    <w:rsid w:val="0D1F336B"/>
    <w:rsid w:val="0D314E4D"/>
    <w:rsid w:val="0D350DE1"/>
    <w:rsid w:val="0D3C36C5"/>
    <w:rsid w:val="0D505C1B"/>
    <w:rsid w:val="0D5C45C0"/>
    <w:rsid w:val="0D643474"/>
    <w:rsid w:val="0D676AC1"/>
    <w:rsid w:val="0D6D25D4"/>
    <w:rsid w:val="0D8458C4"/>
    <w:rsid w:val="0D9C676A"/>
    <w:rsid w:val="0DC92072"/>
    <w:rsid w:val="0DD34156"/>
    <w:rsid w:val="0DEE0F90"/>
    <w:rsid w:val="0E1A3B33"/>
    <w:rsid w:val="0E217DAF"/>
    <w:rsid w:val="0E2754CF"/>
    <w:rsid w:val="0E39045D"/>
    <w:rsid w:val="0E39220B"/>
    <w:rsid w:val="0E43308A"/>
    <w:rsid w:val="0E44635D"/>
    <w:rsid w:val="0E664FCA"/>
    <w:rsid w:val="0E682AF0"/>
    <w:rsid w:val="0E7019A5"/>
    <w:rsid w:val="0E72396F"/>
    <w:rsid w:val="0E7D2A40"/>
    <w:rsid w:val="0E8F4521"/>
    <w:rsid w:val="0E9953A0"/>
    <w:rsid w:val="0E9B4C74"/>
    <w:rsid w:val="0EA45715"/>
    <w:rsid w:val="0EA50F07"/>
    <w:rsid w:val="0EA52A8B"/>
    <w:rsid w:val="0EB16245"/>
    <w:rsid w:val="0EB427E8"/>
    <w:rsid w:val="0EB762A9"/>
    <w:rsid w:val="0EB9334C"/>
    <w:rsid w:val="0EC248F6"/>
    <w:rsid w:val="0EC56195"/>
    <w:rsid w:val="0EC8358F"/>
    <w:rsid w:val="0ECC12D1"/>
    <w:rsid w:val="0ECF2B6F"/>
    <w:rsid w:val="0ED10695"/>
    <w:rsid w:val="0ED62150"/>
    <w:rsid w:val="0EE3661B"/>
    <w:rsid w:val="0EF80318"/>
    <w:rsid w:val="0EF820C6"/>
    <w:rsid w:val="0EF97BEC"/>
    <w:rsid w:val="0F046CBD"/>
    <w:rsid w:val="0F1B7B63"/>
    <w:rsid w:val="0F1E7653"/>
    <w:rsid w:val="0F2E5AE8"/>
    <w:rsid w:val="0F307AB2"/>
    <w:rsid w:val="0F317386"/>
    <w:rsid w:val="0F36499C"/>
    <w:rsid w:val="0F3B0205"/>
    <w:rsid w:val="0F420484"/>
    <w:rsid w:val="0F4277E5"/>
    <w:rsid w:val="0F4946D0"/>
    <w:rsid w:val="0F53554E"/>
    <w:rsid w:val="0F557518"/>
    <w:rsid w:val="0F5D5F24"/>
    <w:rsid w:val="0F774D5B"/>
    <w:rsid w:val="0F7B4AA5"/>
    <w:rsid w:val="0F7E3B73"/>
    <w:rsid w:val="0F9A13CF"/>
    <w:rsid w:val="0F9D0EBF"/>
    <w:rsid w:val="0FA67D74"/>
    <w:rsid w:val="0FAE6C29"/>
    <w:rsid w:val="0FC41FA8"/>
    <w:rsid w:val="0FD03043"/>
    <w:rsid w:val="0FD83CA6"/>
    <w:rsid w:val="0FD85A54"/>
    <w:rsid w:val="0FDF3286"/>
    <w:rsid w:val="0FE268D2"/>
    <w:rsid w:val="0FEB1C2B"/>
    <w:rsid w:val="10207B26"/>
    <w:rsid w:val="1021389E"/>
    <w:rsid w:val="102B21FA"/>
    <w:rsid w:val="102D3FF1"/>
    <w:rsid w:val="103E1D5B"/>
    <w:rsid w:val="1066305F"/>
    <w:rsid w:val="106A2B50"/>
    <w:rsid w:val="106B4B1A"/>
    <w:rsid w:val="106D2640"/>
    <w:rsid w:val="106F63B8"/>
    <w:rsid w:val="1088747A"/>
    <w:rsid w:val="109B53FF"/>
    <w:rsid w:val="109C2F25"/>
    <w:rsid w:val="10A06571"/>
    <w:rsid w:val="10A32505"/>
    <w:rsid w:val="10CA1840"/>
    <w:rsid w:val="10CD1330"/>
    <w:rsid w:val="10D34B99"/>
    <w:rsid w:val="10E2302E"/>
    <w:rsid w:val="10F16DCD"/>
    <w:rsid w:val="10F62635"/>
    <w:rsid w:val="10F90377"/>
    <w:rsid w:val="11003A1E"/>
    <w:rsid w:val="11196324"/>
    <w:rsid w:val="112A22DF"/>
    <w:rsid w:val="112C42A9"/>
    <w:rsid w:val="113413B0"/>
    <w:rsid w:val="114710E3"/>
    <w:rsid w:val="11477335"/>
    <w:rsid w:val="11511F61"/>
    <w:rsid w:val="1154276F"/>
    <w:rsid w:val="115A6097"/>
    <w:rsid w:val="1178129C"/>
    <w:rsid w:val="11782DD0"/>
    <w:rsid w:val="11A2579D"/>
    <w:rsid w:val="11A55E09"/>
    <w:rsid w:val="11A976A8"/>
    <w:rsid w:val="11C24C0D"/>
    <w:rsid w:val="11E626AA"/>
    <w:rsid w:val="11F36B75"/>
    <w:rsid w:val="11FC3C7B"/>
    <w:rsid w:val="121D47C6"/>
    <w:rsid w:val="122F7A6E"/>
    <w:rsid w:val="123258EF"/>
    <w:rsid w:val="12353631"/>
    <w:rsid w:val="123A29F6"/>
    <w:rsid w:val="123E4294"/>
    <w:rsid w:val="124B40B0"/>
    <w:rsid w:val="124D2729"/>
    <w:rsid w:val="12541D09"/>
    <w:rsid w:val="125910CE"/>
    <w:rsid w:val="12681311"/>
    <w:rsid w:val="12753A2E"/>
    <w:rsid w:val="127C300E"/>
    <w:rsid w:val="129245E0"/>
    <w:rsid w:val="12957C2C"/>
    <w:rsid w:val="12977E48"/>
    <w:rsid w:val="12A165D1"/>
    <w:rsid w:val="12B24C82"/>
    <w:rsid w:val="12BE53D5"/>
    <w:rsid w:val="12CF1390"/>
    <w:rsid w:val="12DD1CFF"/>
    <w:rsid w:val="12E52961"/>
    <w:rsid w:val="12E666D9"/>
    <w:rsid w:val="12FB3F33"/>
    <w:rsid w:val="12FD414F"/>
    <w:rsid w:val="13090BB0"/>
    <w:rsid w:val="130C556C"/>
    <w:rsid w:val="13102B39"/>
    <w:rsid w:val="13184DE3"/>
    <w:rsid w:val="131E40C5"/>
    <w:rsid w:val="131F390F"/>
    <w:rsid w:val="13392CAD"/>
    <w:rsid w:val="13531FC1"/>
    <w:rsid w:val="13547AE7"/>
    <w:rsid w:val="13567AC4"/>
    <w:rsid w:val="135B0E75"/>
    <w:rsid w:val="135B70C7"/>
    <w:rsid w:val="13620456"/>
    <w:rsid w:val="136C6BDF"/>
    <w:rsid w:val="137570CE"/>
    <w:rsid w:val="137837D5"/>
    <w:rsid w:val="137F4B64"/>
    <w:rsid w:val="13871C6A"/>
    <w:rsid w:val="138F7867"/>
    <w:rsid w:val="13914897"/>
    <w:rsid w:val="13A26428"/>
    <w:rsid w:val="13A26AA4"/>
    <w:rsid w:val="13A740BB"/>
    <w:rsid w:val="13A75E69"/>
    <w:rsid w:val="13AC59D2"/>
    <w:rsid w:val="13AF2F6F"/>
    <w:rsid w:val="13B16EC8"/>
    <w:rsid w:val="13B50586"/>
    <w:rsid w:val="13BF1404"/>
    <w:rsid w:val="13C44C6D"/>
    <w:rsid w:val="13CC3B21"/>
    <w:rsid w:val="13D36C5E"/>
    <w:rsid w:val="13D749A0"/>
    <w:rsid w:val="13E53225"/>
    <w:rsid w:val="13EB01D6"/>
    <w:rsid w:val="13F07810"/>
    <w:rsid w:val="13F15336"/>
    <w:rsid w:val="14025795"/>
    <w:rsid w:val="14045069"/>
    <w:rsid w:val="14072DAB"/>
    <w:rsid w:val="14107EB2"/>
    <w:rsid w:val="141554C8"/>
    <w:rsid w:val="1424570B"/>
    <w:rsid w:val="142474B9"/>
    <w:rsid w:val="142C37E0"/>
    <w:rsid w:val="143040B0"/>
    <w:rsid w:val="14423DE3"/>
    <w:rsid w:val="146D2C0E"/>
    <w:rsid w:val="14795A57"/>
    <w:rsid w:val="149D101A"/>
    <w:rsid w:val="14A81E98"/>
    <w:rsid w:val="14AA20B4"/>
    <w:rsid w:val="14BE346A"/>
    <w:rsid w:val="14CD5DA3"/>
    <w:rsid w:val="14E31122"/>
    <w:rsid w:val="14F450DE"/>
    <w:rsid w:val="15082937"/>
    <w:rsid w:val="1510744B"/>
    <w:rsid w:val="151E3F90"/>
    <w:rsid w:val="1528122B"/>
    <w:rsid w:val="154F4A0A"/>
    <w:rsid w:val="15510782"/>
    <w:rsid w:val="155C2C83"/>
    <w:rsid w:val="15685C72"/>
    <w:rsid w:val="1568787A"/>
    <w:rsid w:val="15704FA4"/>
    <w:rsid w:val="1574621E"/>
    <w:rsid w:val="157955E3"/>
    <w:rsid w:val="15842905"/>
    <w:rsid w:val="15857FDB"/>
    <w:rsid w:val="15B0179A"/>
    <w:rsid w:val="15B50D11"/>
    <w:rsid w:val="15B825AF"/>
    <w:rsid w:val="15BA6327"/>
    <w:rsid w:val="15CC1BB7"/>
    <w:rsid w:val="15D05B4B"/>
    <w:rsid w:val="15D1541F"/>
    <w:rsid w:val="15D53161"/>
    <w:rsid w:val="15DD5F27"/>
    <w:rsid w:val="15E6711C"/>
    <w:rsid w:val="15E769F0"/>
    <w:rsid w:val="15F80BFE"/>
    <w:rsid w:val="15FA6724"/>
    <w:rsid w:val="161C272A"/>
    <w:rsid w:val="161F43DC"/>
    <w:rsid w:val="16201F02"/>
    <w:rsid w:val="162639BD"/>
    <w:rsid w:val="162A653D"/>
    <w:rsid w:val="162E0AC3"/>
    <w:rsid w:val="16442095"/>
    <w:rsid w:val="1646644B"/>
    <w:rsid w:val="164E6A70"/>
    <w:rsid w:val="165A5414"/>
    <w:rsid w:val="16605C62"/>
    <w:rsid w:val="16775B11"/>
    <w:rsid w:val="167A1613"/>
    <w:rsid w:val="16810BF3"/>
    <w:rsid w:val="16881F81"/>
    <w:rsid w:val="169D1035"/>
    <w:rsid w:val="169F1079"/>
    <w:rsid w:val="16A843D2"/>
    <w:rsid w:val="16BC1C2B"/>
    <w:rsid w:val="16D67381"/>
    <w:rsid w:val="16DE1BA1"/>
    <w:rsid w:val="16E342B8"/>
    <w:rsid w:val="16E64EFA"/>
    <w:rsid w:val="16F07B27"/>
    <w:rsid w:val="16F47617"/>
    <w:rsid w:val="16FC296F"/>
    <w:rsid w:val="171713C5"/>
    <w:rsid w:val="1730754C"/>
    <w:rsid w:val="1732013F"/>
    <w:rsid w:val="17375756"/>
    <w:rsid w:val="17555BDC"/>
    <w:rsid w:val="17602EFE"/>
    <w:rsid w:val="176C53FF"/>
    <w:rsid w:val="178A5EE4"/>
    <w:rsid w:val="17906B5C"/>
    <w:rsid w:val="17C23271"/>
    <w:rsid w:val="17DC5EA9"/>
    <w:rsid w:val="17E458DD"/>
    <w:rsid w:val="18032CC6"/>
    <w:rsid w:val="18041ADC"/>
    <w:rsid w:val="18116D3D"/>
    <w:rsid w:val="1816180F"/>
    <w:rsid w:val="18167A61"/>
    <w:rsid w:val="181B0BD3"/>
    <w:rsid w:val="182C1032"/>
    <w:rsid w:val="18300B23"/>
    <w:rsid w:val="183879D7"/>
    <w:rsid w:val="18491BE4"/>
    <w:rsid w:val="184B14B9"/>
    <w:rsid w:val="18534811"/>
    <w:rsid w:val="185F4F64"/>
    <w:rsid w:val="186662F2"/>
    <w:rsid w:val="186C2F41"/>
    <w:rsid w:val="186E33F9"/>
    <w:rsid w:val="187D363C"/>
    <w:rsid w:val="18891FE1"/>
    <w:rsid w:val="188E3A9B"/>
    <w:rsid w:val="18A5497C"/>
    <w:rsid w:val="18BA44B9"/>
    <w:rsid w:val="18BC4164"/>
    <w:rsid w:val="18C474BD"/>
    <w:rsid w:val="18D70F9E"/>
    <w:rsid w:val="18DA45EA"/>
    <w:rsid w:val="18E93AF4"/>
    <w:rsid w:val="18EA1B81"/>
    <w:rsid w:val="18ED431E"/>
    <w:rsid w:val="18ED6A14"/>
    <w:rsid w:val="18F41B50"/>
    <w:rsid w:val="18F8118C"/>
    <w:rsid w:val="19045B0B"/>
    <w:rsid w:val="191775ED"/>
    <w:rsid w:val="192B7E4B"/>
    <w:rsid w:val="192F0DDA"/>
    <w:rsid w:val="19371A3D"/>
    <w:rsid w:val="193A152D"/>
    <w:rsid w:val="193F08F1"/>
    <w:rsid w:val="195B1F88"/>
    <w:rsid w:val="1962216E"/>
    <w:rsid w:val="196E2B90"/>
    <w:rsid w:val="19704F4F"/>
    <w:rsid w:val="19792055"/>
    <w:rsid w:val="197C38F4"/>
    <w:rsid w:val="19DC592E"/>
    <w:rsid w:val="19E973A2"/>
    <w:rsid w:val="19EE425D"/>
    <w:rsid w:val="19F06ECA"/>
    <w:rsid w:val="19F11B39"/>
    <w:rsid w:val="19FB6F0E"/>
    <w:rsid w:val="19FD67E3"/>
    <w:rsid w:val="19FE255B"/>
    <w:rsid w:val="1A0C4C78"/>
    <w:rsid w:val="1A1B72A1"/>
    <w:rsid w:val="1A2226ED"/>
    <w:rsid w:val="1A332204"/>
    <w:rsid w:val="1A361CF4"/>
    <w:rsid w:val="1A5959E3"/>
    <w:rsid w:val="1A606D71"/>
    <w:rsid w:val="1A6525DA"/>
    <w:rsid w:val="1A670100"/>
    <w:rsid w:val="1A7171D0"/>
    <w:rsid w:val="1A93485A"/>
    <w:rsid w:val="1AA50C28"/>
    <w:rsid w:val="1AAE5D2F"/>
    <w:rsid w:val="1AB377E9"/>
    <w:rsid w:val="1AB4206D"/>
    <w:rsid w:val="1AB570BD"/>
    <w:rsid w:val="1AC15A62"/>
    <w:rsid w:val="1ACE63D1"/>
    <w:rsid w:val="1AD82DAC"/>
    <w:rsid w:val="1ADF238C"/>
    <w:rsid w:val="1AE768B0"/>
    <w:rsid w:val="1AEC6857"/>
    <w:rsid w:val="1AFD0A64"/>
    <w:rsid w:val="1B03120D"/>
    <w:rsid w:val="1B075976"/>
    <w:rsid w:val="1B097409"/>
    <w:rsid w:val="1B102545"/>
    <w:rsid w:val="1B495A57"/>
    <w:rsid w:val="1B5763C6"/>
    <w:rsid w:val="1B5C6AA6"/>
    <w:rsid w:val="1B5E1503"/>
    <w:rsid w:val="1B654990"/>
    <w:rsid w:val="1B6F3710"/>
    <w:rsid w:val="1B742AD4"/>
    <w:rsid w:val="1B7A20B5"/>
    <w:rsid w:val="1B811695"/>
    <w:rsid w:val="1B813443"/>
    <w:rsid w:val="1B99078D"/>
    <w:rsid w:val="1BBC447B"/>
    <w:rsid w:val="1BBC7205"/>
    <w:rsid w:val="1BDE593B"/>
    <w:rsid w:val="1BF12377"/>
    <w:rsid w:val="1BF924C9"/>
    <w:rsid w:val="1C13053F"/>
    <w:rsid w:val="1C1B5646"/>
    <w:rsid w:val="1C1C5BC2"/>
    <w:rsid w:val="1C1E6277"/>
    <w:rsid w:val="1C252021"/>
    <w:rsid w:val="1C2D7D56"/>
    <w:rsid w:val="1C3D380E"/>
    <w:rsid w:val="1C422BD3"/>
    <w:rsid w:val="1C44694B"/>
    <w:rsid w:val="1C475483"/>
    <w:rsid w:val="1C4921B3"/>
    <w:rsid w:val="1C556DAA"/>
    <w:rsid w:val="1C74266C"/>
    <w:rsid w:val="1C752FA8"/>
    <w:rsid w:val="1C7A236C"/>
    <w:rsid w:val="1C874A89"/>
    <w:rsid w:val="1C901B90"/>
    <w:rsid w:val="1C913B5A"/>
    <w:rsid w:val="1C914F55"/>
    <w:rsid w:val="1CA05B4B"/>
    <w:rsid w:val="1CA132FA"/>
    <w:rsid w:val="1CA26872"/>
    <w:rsid w:val="1CB515F6"/>
    <w:rsid w:val="1CC950A2"/>
    <w:rsid w:val="1CCB2BC8"/>
    <w:rsid w:val="1CD81789"/>
    <w:rsid w:val="1CDA105D"/>
    <w:rsid w:val="1CE04199"/>
    <w:rsid w:val="1CE123EB"/>
    <w:rsid w:val="1CFB0616"/>
    <w:rsid w:val="1CFD4D4B"/>
    <w:rsid w:val="1D0460DA"/>
    <w:rsid w:val="1D047E88"/>
    <w:rsid w:val="1D175E0D"/>
    <w:rsid w:val="1D1F2F14"/>
    <w:rsid w:val="1D342576"/>
    <w:rsid w:val="1D3544E5"/>
    <w:rsid w:val="1D392227"/>
    <w:rsid w:val="1D3A7D4E"/>
    <w:rsid w:val="1D4041CB"/>
    <w:rsid w:val="1D4D182F"/>
    <w:rsid w:val="1D6152DA"/>
    <w:rsid w:val="1D7A45EE"/>
    <w:rsid w:val="1D7B7E7D"/>
    <w:rsid w:val="1D8E4895"/>
    <w:rsid w:val="1D8F1E47"/>
    <w:rsid w:val="1D905BC0"/>
    <w:rsid w:val="1D990F18"/>
    <w:rsid w:val="1D9B4C90"/>
    <w:rsid w:val="1DA04055"/>
    <w:rsid w:val="1DA578BD"/>
    <w:rsid w:val="1DBC794D"/>
    <w:rsid w:val="1DBE44DB"/>
    <w:rsid w:val="1DCB4E4A"/>
    <w:rsid w:val="1DCD2970"/>
    <w:rsid w:val="1DCD471E"/>
    <w:rsid w:val="1DD106B2"/>
    <w:rsid w:val="1DE57CB9"/>
    <w:rsid w:val="1DF23F2A"/>
    <w:rsid w:val="1DF95513"/>
    <w:rsid w:val="1DFF733D"/>
    <w:rsid w:val="1E066426"/>
    <w:rsid w:val="1E075E82"/>
    <w:rsid w:val="1E0C16EA"/>
    <w:rsid w:val="1E197963"/>
    <w:rsid w:val="1E1C6D63"/>
    <w:rsid w:val="1E2C3B3A"/>
    <w:rsid w:val="1E4E3AB1"/>
    <w:rsid w:val="1E5B441F"/>
    <w:rsid w:val="1E650DFA"/>
    <w:rsid w:val="1E74728F"/>
    <w:rsid w:val="1E763170"/>
    <w:rsid w:val="1E766B63"/>
    <w:rsid w:val="1E7A2AF8"/>
    <w:rsid w:val="1E7E1EBC"/>
    <w:rsid w:val="1E845724"/>
    <w:rsid w:val="1E854FF8"/>
    <w:rsid w:val="1E9A6CF6"/>
    <w:rsid w:val="1EAC4663"/>
    <w:rsid w:val="1EB51D82"/>
    <w:rsid w:val="1EB9780F"/>
    <w:rsid w:val="1EBD29E4"/>
    <w:rsid w:val="1EDB10BC"/>
    <w:rsid w:val="1EF503D0"/>
    <w:rsid w:val="1EFC364D"/>
    <w:rsid w:val="1F0C571A"/>
    <w:rsid w:val="1F100D66"/>
    <w:rsid w:val="1F1F544D"/>
    <w:rsid w:val="1F2962CC"/>
    <w:rsid w:val="1F3A77F6"/>
    <w:rsid w:val="1F3C1B5B"/>
    <w:rsid w:val="1F413615"/>
    <w:rsid w:val="1F4275B2"/>
    <w:rsid w:val="1F4646DF"/>
    <w:rsid w:val="1F58270D"/>
    <w:rsid w:val="1F5844BB"/>
    <w:rsid w:val="1F653DDC"/>
    <w:rsid w:val="1F664308"/>
    <w:rsid w:val="1F841754"/>
    <w:rsid w:val="1F947BE9"/>
    <w:rsid w:val="1F994C45"/>
    <w:rsid w:val="1F996FAD"/>
    <w:rsid w:val="1FA11597"/>
    <w:rsid w:val="1FAA11BB"/>
    <w:rsid w:val="1FAD0CAB"/>
    <w:rsid w:val="1FBE4C66"/>
    <w:rsid w:val="1FCD6C57"/>
    <w:rsid w:val="1FD06747"/>
    <w:rsid w:val="1FE65F6B"/>
    <w:rsid w:val="1FF70178"/>
    <w:rsid w:val="1FFE1506"/>
    <w:rsid w:val="200059F9"/>
    <w:rsid w:val="200A1C59"/>
    <w:rsid w:val="20126D60"/>
    <w:rsid w:val="20216FA3"/>
    <w:rsid w:val="202A22FB"/>
    <w:rsid w:val="202D1DEC"/>
    <w:rsid w:val="202F346E"/>
    <w:rsid w:val="203942EC"/>
    <w:rsid w:val="203C7F04"/>
    <w:rsid w:val="203E7B55"/>
    <w:rsid w:val="204607B7"/>
    <w:rsid w:val="20670E5A"/>
    <w:rsid w:val="207B2B57"/>
    <w:rsid w:val="207E61A3"/>
    <w:rsid w:val="209E34B9"/>
    <w:rsid w:val="209F3D13"/>
    <w:rsid w:val="20A51982"/>
    <w:rsid w:val="20B10327"/>
    <w:rsid w:val="20B3409F"/>
    <w:rsid w:val="20B63B8F"/>
    <w:rsid w:val="20C4005A"/>
    <w:rsid w:val="20C95670"/>
    <w:rsid w:val="20E424AA"/>
    <w:rsid w:val="20EF0E4F"/>
    <w:rsid w:val="21022252"/>
    <w:rsid w:val="210B5C89"/>
    <w:rsid w:val="210F504D"/>
    <w:rsid w:val="211663DC"/>
    <w:rsid w:val="211B01F0"/>
    <w:rsid w:val="211D5CDD"/>
    <w:rsid w:val="212D170B"/>
    <w:rsid w:val="212E7BC9"/>
    <w:rsid w:val="21333432"/>
    <w:rsid w:val="21354AB4"/>
    <w:rsid w:val="21535882"/>
    <w:rsid w:val="21562C7C"/>
    <w:rsid w:val="216058A9"/>
    <w:rsid w:val="217E28FF"/>
    <w:rsid w:val="2181419D"/>
    <w:rsid w:val="218872DA"/>
    <w:rsid w:val="219D08AB"/>
    <w:rsid w:val="21AB2FC8"/>
    <w:rsid w:val="21CE6CB6"/>
    <w:rsid w:val="21E8421C"/>
    <w:rsid w:val="220B3A67"/>
    <w:rsid w:val="220F17A9"/>
    <w:rsid w:val="221768AF"/>
    <w:rsid w:val="222334A6"/>
    <w:rsid w:val="222F59A7"/>
    <w:rsid w:val="223810E1"/>
    <w:rsid w:val="223A24A7"/>
    <w:rsid w:val="22421B7E"/>
    <w:rsid w:val="22501B85"/>
    <w:rsid w:val="225E44DE"/>
    <w:rsid w:val="22743D02"/>
    <w:rsid w:val="227A17EF"/>
    <w:rsid w:val="22886BE7"/>
    <w:rsid w:val="229A7E88"/>
    <w:rsid w:val="22A2261D"/>
    <w:rsid w:val="22AA3280"/>
    <w:rsid w:val="22B815B5"/>
    <w:rsid w:val="22B934C3"/>
    <w:rsid w:val="22B97967"/>
    <w:rsid w:val="22C5630B"/>
    <w:rsid w:val="22CF2CE6"/>
    <w:rsid w:val="22D8603F"/>
    <w:rsid w:val="22DD18A7"/>
    <w:rsid w:val="22DD3655"/>
    <w:rsid w:val="22E744D4"/>
    <w:rsid w:val="22EE7610"/>
    <w:rsid w:val="22FF35CB"/>
    <w:rsid w:val="2318643B"/>
    <w:rsid w:val="231A0405"/>
    <w:rsid w:val="231B5F2B"/>
    <w:rsid w:val="23256DAA"/>
    <w:rsid w:val="232E5C5F"/>
    <w:rsid w:val="233A0AA7"/>
    <w:rsid w:val="23425BAE"/>
    <w:rsid w:val="234611FA"/>
    <w:rsid w:val="234E4553"/>
    <w:rsid w:val="235651B5"/>
    <w:rsid w:val="236505B4"/>
    <w:rsid w:val="237613B4"/>
    <w:rsid w:val="237D3FA7"/>
    <w:rsid w:val="239A1546"/>
    <w:rsid w:val="23A979DB"/>
    <w:rsid w:val="23AD1279"/>
    <w:rsid w:val="23B02B18"/>
    <w:rsid w:val="23C10881"/>
    <w:rsid w:val="23C61679"/>
    <w:rsid w:val="23D5432C"/>
    <w:rsid w:val="23E12CD1"/>
    <w:rsid w:val="23E629DD"/>
    <w:rsid w:val="23F549CE"/>
    <w:rsid w:val="24294678"/>
    <w:rsid w:val="243279D1"/>
    <w:rsid w:val="2452597D"/>
    <w:rsid w:val="245A7058"/>
    <w:rsid w:val="24661428"/>
    <w:rsid w:val="24681644"/>
    <w:rsid w:val="247E6772"/>
    <w:rsid w:val="249877BB"/>
    <w:rsid w:val="24A106B2"/>
    <w:rsid w:val="24AA3A0B"/>
    <w:rsid w:val="24CA5E5B"/>
    <w:rsid w:val="24CF3471"/>
    <w:rsid w:val="24CF6FCD"/>
    <w:rsid w:val="24E707BB"/>
    <w:rsid w:val="24E72569"/>
    <w:rsid w:val="24E76A0D"/>
    <w:rsid w:val="24EE7D9B"/>
    <w:rsid w:val="24F353B2"/>
    <w:rsid w:val="25066475"/>
    <w:rsid w:val="250A44A9"/>
    <w:rsid w:val="25160479"/>
    <w:rsid w:val="251D5326"/>
    <w:rsid w:val="252A06A8"/>
    <w:rsid w:val="2533755C"/>
    <w:rsid w:val="253D662D"/>
    <w:rsid w:val="25457290"/>
    <w:rsid w:val="25473008"/>
    <w:rsid w:val="25496D80"/>
    <w:rsid w:val="25537BFE"/>
    <w:rsid w:val="255A0F8D"/>
    <w:rsid w:val="25714529"/>
    <w:rsid w:val="257638ED"/>
    <w:rsid w:val="25777D91"/>
    <w:rsid w:val="25781413"/>
    <w:rsid w:val="25891872"/>
    <w:rsid w:val="25AB17E9"/>
    <w:rsid w:val="25D30D3F"/>
    <w:rsid w:val="25D86356"/>
    <w:rsid w:val="25E02329"/>
    <w:rsid w:val="25E42554"/>
    <w:rsid w:val="25F0544D"/>
    <w:rsid w:val="25F42076"/>
    <w:rsid w:val="25F807A6"/>
    <w:rsid w:val="25FF7D86"/>
    <w:rsid w:val="26025181"/>
    <w:rsid w:val="2609650F"/>
    <w:rsid w:val="26215F4F"/>
    <w:rsid w:val="26217CFD"/>
    <w:rsid w:val="262F7C34"/>
    <w:rsid w:val="26325A66"/>
    <w:rsid w:val="26347A30"/>
    <w:rsid w:val="26363969"/>
    <w:rsid w:val="26527EC1"/>
    <w:rsid w:val="265359DC"/>
    <w:rsid w:val="265F25D3"/>
    <w:rsid w:val="26647BE9"/>
    <w:rsid w:val="26834513"/>
    <w:rsid w:val="2685203A"/>
    <w:rsid w:val="26964247"/>
    <w:rsid w:val="26BA21D0"/>
    <w:rsid w:val="26C07516"/>
    <w:rsid w:val="26C16DEA"/>
    <w:rsid w:val="26C32B62"/>
    <w:rsid w:val="26C77E4F"/>
    <w:rsid w:val="26D353B8"/>
    <w:rsid w:val="26F7280B"/>
    <w:rsid w:val="26F96584"/>
    <w:rsid w:val="26FD42C6"/>
    <w:rsid w:val="26FE2F45"/>
    <w:rsid w:val="27052941"/>
    <w:rsid w:val="27225ADA"/>
    <w:rsid w:val="272730F1"/>
    <w:rsid w:val="2729330D"/>
    <w:rsid w:val="27321A96"/>
    <w:rsid w:val="274041B2"/>
    <w:rsid w:val="27521F0E"/>
    <w:rsid w:val="27547C5E"/>
    <w:rsid w:val="27606603"/>
    <w:rsid w:val="2786250D"/>
    <w:rsid w:val="2790703F"/>
    <w:rsid w:val="27951673"/>
    <w:rsid w:val="27B801ED"/>
    <w:rsid w:val="27BB1A8B"/>
    <w:rsid w:val="27C748D4"/>
    <w:rsid w:val="27C76682"/>
    <w:rsid w:val="27E62FAC"/>
    <w:rsid w:val="280253D0"/>
    <w:rsid w:val="281178FD"/>
    <w:rsid w:val="281F64BE"/>
    <w:rsid w:val="28245882"/>
    <w:rsid w:val="283261F1"/>
    <w:rsid w:val="283B73C3"/>
    <w:rsid w:val="28480714"/>
    <w:rsid w:val="284952E9"/>
    <w:rsid w:val="28643ED1"/>
    <w:rsid w:val="286D547B"/>
    <w:rsid w:val="28904CC6"/>
    <w:rsid w:val="289E7AC4"/>
    <w:rsid w:val="28A40771"/>
    <w:rsid w:val="28AC5FA3"/>
    <w:rsid w:val="28AF7842"/>
    <w:rsid w:val="28B22E8E"/>
    <w:rsid w:val="28C27A8D"/>
    <w:rsid w:val="28D13844"/>
    <w:rsid w:val="28D65333"/>
    <w:rsid w:val="28E92EBF"/>
    <w:rsid w:val="290A766E"/>
    <w:rsid w:val="290C4C94"/>
    <w:rsid w:val="29115E06"/>
    <w:rsid w:val="291A6206"/>
    <w:rsid w:val="29220014"/>
    <w:rsid w:val="29455AB0"/>
    <w:rsid w:val="294C2D87"/>
    <w:rsid w:val="295C2DFA"/>
    <w:rsid w:val="29600B3C"/>
    <w:rsid w:val="297B7724"/>
    <w:rsid w:val="29802F8C"/>
    <w:rsid w:val="29974478"/>
    <w:rsid w:val="29A9603F"/>
    <w:rsid w:val="29AE5D4B"/>
    <w:rsid w:val="29C35873"/>
    <w:rsid w:val="29CF181E"/>
    <w:rsid w:val="29D3130E"/>
    <w:rsid w:val="29DD218D"/>
    <w:rsid w:val="29E7300B"/>
    <w:rsid w:val="29E834C1"/>
    <w:rsid w:val="29E928DF"/>
    <w:rsid w:val="29F23E8A"/>
    <w:rsid w:val="2A007C29"/>
    <w:rsid w:val="2A027E45"/>
    <w:rsid w:val="2A102562"/>
    <w:rsid w:val="2A110088"/>
    <w:rsid w:val="2A151926"/>
    <w:rsid w:val="2A211288"/>
    <w:rsid w:val="2A21651D"/>
    <w:rsid w:val="2A247DBB"/>
    <w:rsid w:val="2A2953D2"/>
    <w:rsid w:val="2A305142"/>
    <w:rsid w:val="2A387640"/>
    <w:rsid w:val="2A455CC5"/>
    <w:rsid w:val="2A4C2E6E"/>
    <w:rsid w:val="2A6401B8"/>
    <w:rsid w:val="2AA42CAA"/>
    <w:rsid w:val="2AA902C1"/>
    <w:rsid w:val="2AAA4765"/>
    <w:rsid w:val="2AAB4039"/>
    <w:rsid w:val="2AAF3B29"/>
    <w:rsid w:val="2AB27175"/>
    <w:rsid w:val="2AB47391"/>
    <w:rsid w:val="2AB729DE"/>
    <w:rsid w:val="2ABF11E3"/>
    <w:rsid w:val="2AC5334C"/>
    <w:rsid w:val="2AD92954"/>
    <w:rsid w:val="2ADB2B70"/>
    <w:rsid w:val="2ADC0696"/>
    <w:rsid w:val="2ADC2444"/>
    <w:rsid w:val="2AE80DE9"/>
    <w:rsid w:val="2AED4651"/>
    <w:rsid w:val="2AF0216E"/>
    <w:rsid w:val="2AF75AE0"/>
    <w:rsid w:val="2AFE2A06"/>
    <w:rsid w:val="2B066093"/>
    <w:rsid w:val="2B0B2D29"/>
    <w:rsid w:val="2B22254D"/>
    <w:rsid w:val="2B3202B6"/>
    <w:rsid w:val="2B41674B"/>
    <w:rsid w:val="2B4F2C16"/>
    <w:rsid w:val="2B5B534A"/>
    <w:rsid w:val="2B5B5A5F"/>
    <w:rsid w:val="2B604E23"/>
    <w:rsid w:val="2B606BD1"/>
    <w:rsid w:val="2B612949"/>
    <w:rsid w:val="2B776079"/>
    <w:rsid w:val="2B7F799F"/>
    <w:rsid w:val="2B91322F"/>
    <w:rsid w:val="2B920D55"/>
    <w:rsid w:val="2B981169"/>
    <w:rsid w:val="2BB053C5"/>
    <w:rsid w:val="2BB4516F"/>
    <w:rsid w:val="2BC90C1A"/>
    <w:rsid w:val="2BC929C8"/>
    <w:rsid w:val="2BD650E5"/>
    <w:rsid w:val="2BD7671A"/>
    <w:rsid w:val="2BDB094E"/>
    <w:rsid w:val="2BEC66B7"/>
    <w:rsid w:val="2BF67536"/>
    <w:rsid w:val="2C0536F5"/>
    <w:rsid w:val="2C2440A3"/>
    <w:rsid w:val="2C2D0A57"/>
    <w:rsid w:val="2C324A12"/>
    <w:rsid w:val="2C3342E6"/>
    <w:rsid w:val="2C363DD6"/>
    <w:rsid w:val="2C365B84"/>
    <w:rsid w:val="2C3D6F12"/>
    <w:rsid w:val="2C4402A1"/>
    <w:rsid w:val="2C471B3F"/>
    <w:rsid w:val="2C5030EA"/>
    <w:rsid w:val="2C506C46"/>
    <w:rsid w:val="2C5F50DB"/>
    <w:rsid w:val="2C6721E1"/>
    <w:rsid w:val="2C6B3A80"/>
    <w:rsid w:val="2C82701B"/>
    <w:rsid w:val="2C924D0E"/>
    <w:rsid w:val="2C931228"/>
    <w:rsid w:val="2C9805ED"/>
    <w:rsid w:val="2C9D5C03"/>
    <w:rsid w:val="2CA62D0A"/>
    <w:rsid w:val="2CAB2EE9"/>
    <w:rsid w:val="2CB27900"/>
    <w:rsid w:val="2CBA67B5"/>
    <w:rsid w:val="2CD35299"/>
    <w:rsid w:val="2CE7063E"/>
    <w:rsid w:val="2CF63C91"/>
    <w:rsid w:val="2CF97FB5"/>
    <w:rsid w:val="2D047A30"/>
    <w:rsid w:val="2D067D50"/>
    <w:rsid w:val="2D0D2D89"/>
    <w:rsid w:val="2D1C2FCC"/>
    <w:rsid w:val="2D2533FF"/>
    <w:rsid w:val="2D406CBA"/>
    <w:rsid w:val="2D4744ED"/>
    <w:rsid w:val="2D6A3188"/>
    <w:rsid w:val="2D76092E"/>
    <w:rsid w:val="2D7746A6"/>
    <w:rsid w:val="2D7921CC"/>
    <w:rsid w:val="2D796670"/>
    <w:rsid w:val="2D8A6187"/>
    <w:rsid w:val="2D8D3ECA"/>
    <w:rsid w:val="2DA059AB"/>
    <w:rsid w:val="2DB91383"/>
    <w:rsid w:val="2DBB0A37"/>
    <w:rsid w:val="2DD30780"/>
    <w:rsid w:val="2DE33AEA"/>
    <w:rsid w:val="2DEF06E0"/>
    <w:rsid w:val="2E2A3BBE"/>
    <w:rsid w:val="2E2A7885"/>
    <w:rsid w:val="2E314855"/>
    <w:rsid w:val="2E3D144C"/>
    <w:rsid w:val="2E3F47E9"/>
    <w:rsid w:val="2E400F3C"/>
    <w:rsid w:val="2E4722CA"/>
    <w:rsid w:val="2E5D6319"/>
    <w:rsid w:val="2E76495E"/>
    <w:rsid w:val="2E76670C"/>
    <w:rsid w:val="2E7D2E4C"/>
    <w:rsid w:val="2E856631"/>
    <w:rsid w:val="2E953036"/>
    <w:rsid w:val="2E975000"/>
    <w:rsid w:val="2E980C79"/>
    <w:rsid w:val="2EA66FF1"/>
    <w:rsid w:val="2EB416B0"/>
    <w:rsid w:val="2EB93809"/>
    <w:rsid w:val="2ECB4CA9"/>
    <w:rsid w:val="2ED40002"/>
    <w:rsid w:val="2EDE49DD"/>
    <w:rsid w:val="2EEB70FA"/>
    <w:rsid w:val="2EF02962"/>
    <w:rsid w:val="2EF35FAE"/>
    <w:rsid w:val="2EF73CF0"/>
    <w:rsid w:val="2F051E27"/>
    <w:rsid w:val="2F503401"/>
    <w:rsid w:val="2F5702EB"/>
    <w:rsid w:val="2F6D2F57"/>
    <w:rsid w:val="2F6F1AD9"/>
    <w:rsid w:val="2F7470EF"/>
    <w:rsid w:val="2F7C5FA4"/>
    <w:rsid w:val="2F9652B7"/>
    <w:rsid w:val="2FBA4531"/>
    <w:rsid w:val="2FBB4D1E"/>
    <w:rsid w:val="2FC46D35"/>
    <w:rsid w:val="2FC55B9D"/>
    <w:rsid w:val="2FCB35A6"/>
    <w:rsid w:val="2FD47B8E"/>
    <w:rsid w:val="2FD85755"/>
    <w:rsid w:val="2FED29FE"/>
    <w:rsid w:val="2FEF0806"/>
    <w:rsid w:val="2FF43D8C"/>
    <w:rsid w:val="30011A9E"/>
    <w:rsid w:val="30073ABF"/>
    <w:rsid w:val="301B3A0F"/>
    <w:rsid w:val="30395C43"/>
    <w:rsid w:val="303F76FD"/>
    <w:rsid w:val="30515682"/>
    <w:rsid w:val="3054441E"/>
    <w:rsid w:val="305B205D"/>
    <w:rsid w:val="306D1792"/>
    <w:rsid w:val="307A49A5"/>
    <w:rsid w:val="308D761B"/>
    <w:rsid w:val="3095731D"/>
    <w:rsid w:val="30AE03DF"/>
    <w:rsid w:val="30B17ECF"/>
    <w:rsid w:val="30B26121"/>
    <w:rsid w:val="30B77EDE"/>
    <w:rsid w:val="30CA178B"/>
    <w:rsid w:val="30CB2D3F"/>
    <w:rsid w:val="30CC1F34"/>
    <w:rsid w:val="30CE6CD3"/>
    <w:rsid w:val="30DD6A5E"/>
    <w:rsid w:val="30F73B34"/>
    <w:rsid w:val="31126CE6"/>
    <w:rsid w:val="31230DCD"/>
    <w:rsid w:val="312C01ED"/>
    <w:rsid w:val="3138414C"/>
    <w:rsid w:val="31415477"/>
    <w:rsid w:val="314A4ADC"/>
    <w:rsid w:val="314E571E"/>
    <w:rsid w:val="317909ED"/>
    <w:rsid w:val="317C04DD"/>
    <w:rsid w:val="3186310A"/>
    <w:rsid w:val="318B0720"/>
    <w:rsid w:val="319475D5"/>
    <w:rsid w:val="319B6BB5"/>
    <w:rsid w:val="31DB3455"/>
    <w:rsid w:val="31DD5420"/>
    <w:rsid w:val="31E3055C"/>
    <w:rsid w:val="31E3230A"/>
    <w:rsid w:val="31E57E30"/>
    <w:rsid w:val="31F167D5"/>
    <w:rsid w:val="31F84007"/>
    <w:rsid w:val="320761D1"/>
    <w:rsid w:val="32096215"/>
    <w:rsid w:val="320B3E36"/>
    <w:rsid w:val="320F4EAD"/>
    <w:rsid w:val="3212499D"/>
    <w:rsid w:val="32193F7E"/>
    <w:rsid w:val="322E5C7B"/>
    <w:rsid w:val="323E39E4"/>
    <w:rsid w:val="3240775C"/>
    <w:rsid w:val="324E00CB"/>
    <w:rsid w:val="325113E6"/>
    <w:rsid w:val="325E7BE3"/>
    <w:rsid w:val="327B0795"/>
    <w:rsid w:val="328238D1"/>
    <w:rsid w:val="32827D75"/>
    <w:rsid w:val="32A41A99"/>
    <w:rsid w:val="32A95302"/>
    <w:rsid w:val="32B75C71"/>
    <w:rsid w:val="32BB404B"/>
    <w:rsid w:val="32CC4C7F"/>
    <w:rsid w:val="32DB1233"/>
    <w:rsid w:val="32F94B9B"/>
    <w:rsid w:val="330E3F00"/>
    <w:rsid w:val="33266952"/>
    <w:rsid w:val="332901F1"/>
    <w:rsid w:val="333301A8"/>
    <w:rsid w:val="33377562"/>
    <w:rsid w:val="333F7A14"/>
    <w:rsid w:val="33521DBE"/>
    <w:rsid w:val="336D632F"/>
    <w:rsid w:val="337551E4"/>
    <w:rsid w:val="33791178"/>
    <w:rsid w:val="33890C8F"/>
    <w:rsid w:val="33896EE1"/>
    <w:rsid w:val="339715FE"/>
    <w:rsid w:val="339C09C3"/>
    <w:rsid w:val="339F50F1"/>
    <w:rsid w:val="33A8380B"/>
    <w:rsid w:val="33B95A18"/>
    <w:rsid w:val="33BC1065"/>
    <w:rsid w:val="33BF7D6B"/>
    <w:rsid w:val="33C10429"/>
    <w:rsid w:val="33C551F0"/>
    <w:rsid w:val="33F46A50"/>
    <w:rsid w:val="33F64A48"/>
    <w:rsid w:val="341B5D8B"/>
    <w:rsid w:val="3421711A"/>
    <w:rsid w:val="34321327"/>
    <w:rsid w:val="343B467F"/>
    <w:rsid w:val="3445105A"/>
    <w:rsid w:val="34496D9C"/>
    <w:rsid w:val="344E43B3"/>
    <w:rsid w:val="344F1ED9"/>
    <w:rsid w:val="34525525"/>
    <w:rsid w:val="346516FC"/>
    <w:rsid w:val="346F257B"/>
    <w:rsid w:val="34741415"/>
    <w:rsid w:val="34A246FE"/>
    <w:rsid w:val="34AD15E3"/>
    <w:rsid w:val="34AF2977"/>
    <w:rsid w:val="34BA37F6"/>
    <w:rsid w:val="34C211CF"/>
    <w:rsid w:val="34D06958"/>
    <w:rsid w:val="34E40873"/>
    <w:rsid w:val="34E46AC5"/>
    <w:rsid w:val="352379CD"/>
    <w:rsid w:val="352E7D40"/>
    <w:rsid w:val="352F13DD"/>
    <w:rsid w:val="353E7664"/>
    <w:rsid w:val="3546508A"/>
    <w:rsid w:val="35507CB7"/>
    <w:rsid w:val="35521C81"/>
    <w:rsid w:val="355C665B"/>
    <w:rsid w:val="356E638F"/>
    <w:rsid w:val="357716E7"/>
    <w:rsid w:val="357C4F4F"/>
    <w:rsid w:val="35831E3A"/>
    <w:rsid w:val="35935DF5"/>
    <w:rsid w:val="35956011"/>
    <w:rsid w:val="359A53D6"/>
    <w:rsid w:val="359F0C3E"/>
    <w:rsid w:val="35A818A1"/>
    <w:rsid w:val="35BF6BEA"/>
    <w:rsid w:val="35D54660"/>
    <w:rsid w:val="35D8232D"/>
    <w:rsid w:val="35DA3A24"/>
    <w:rsid w:val="35E623C9"/>
    <w:rsid w:val="35E93C67"/>
    <w:rsid w:val="35ED3757"/>
    <w:rsid w:val="35F25212"/>
    <w:rsid w:val="35FB2318"/>
    <w:rsid w:val="36017203"/>
    <w:rsid w:val="36064819"/>
    <w:rsid w:val="36140CE4"/>
    <w:rsid w:val="36160F00"/>
    <w:rsid w:val="361E7DB5"/>
    <w:rsid w:val="36213401"/>
    <w:rsid w:val="36243D90"/>
    <w:rsid w:val="36267B40"/>
    <w:rsid w:val="362944A7"/>
    <w:rsid w:val="362D63E3"/>
    <w:rsid w:val="36317AE8"/>
    <w:rsid w:val="36343134"/>
    <w:rsid w:val="363C023B"/>
    <w:rsid w:val="364006FE"/>
    <w:rsid w:val="366D6646"/>
    <w:rsid w:val="368D0A96"/>
    <w:rsid w:val="369736C3"/>
    <w:rsid w:val="369B7657"/>
    <w:rsid w:val="36B14785"/>
    <w:rsid w:val="36CA3A99"/>
    <w:rsid w:val="36D466C5"/>
    <w:rsid w:val="36DC7261"/>
    <w:rsid w:val="36EA26A6"/>
    <w:rsid w:val="36F01751"/>
    <w:rsid w:val="36F46BDF"/>
    <w:rsid w:val="36F86858"/>
    <w:rsid w:val="370074BA"/>
    <w:rsid w:val="3724764D"/>
    <w:rsid w:val="372A4537"/>
    <w:rsid w:val="37321D6A"/>
    <w:rsid w:val="37337890"/>
    <w:rsid w:val="37377380"/>
    <w:rsid w:val="373A48BE"/>
    <w:rsid w:val="373B04F2"/>
    <w:rsid w:val="373B17DC"/>
    <w:rsid w:val="37515F68"/>
    <w:rsid w:val="375D66BB"/>
    <w:rsid w:val="376B8568"/>
    <w:rsid w:val="3772660A"/>
    <w:rsid w:val="37732382"/>
    <w:rsid w:val="37735EDE"/>
    <w:rsid w:val="377E6BFC"/>
    <w:rsid w:val="378B147A"/>
    <w:rsid w:val="378E2D18"/>
    <w:rsid w:val="3793032E"/>
    <w:rsid w:val="37A62F8A"/>
    <w:rsid w:val="37AD7642"/>
    <w:rsid w:val="37B409D1"/>
    <w:rsid w:val="37C2039D"/>
    <w:rsid w:val="37C55BB5"/>
    <w:rsid w:val="37F52D97"/>
    <w:rsid w:val="37F60FE9"/>
    <w:rsid w:val="37F737C4"/>
    <w:rsid w:val="380F5C07"/>
    <w:rsid w:val="3810197F"/>
    <w:rsid w:val="381B1350"/>
    <w:rsid w:val="3821593A"/>
    <w:rsid w:val="382611A3"/>
    <w:rsid w:val="38284F1B"/>
    <w:rsid w:val="383245C5"/>
    <w:rsid w:val="3836588A"/>
    <w:rsid w:val="384748D7"/>
    <w:rsid w:val="384B0F34"/>
    <w:rsid w:val="38665811"/>
    <w:rsid w:val="3872263A"/>
    <w:rsid w:val="387F6929"/>
    <w:rsid w:val="38A87E0A"/>
    <w:rsid w:val="38B247E4"/>
    <w:rsid w:val="38B90269"/>
    <w:rsid w:val="38B93DC5"/>
    <w:rsid w:val="38C2711D"/>
    <w:rsid w:val="38D83AB1"/>
    <w:rsid w:val="38DD097E"/>
    <w:rsid w:val="38E075A3"/>
    <w:rsid w:val="38E946AA"/>
    <w:rsid w:val="38F512A1"/>
    <w:rsid w:val="38FB262F"/>
    <w:rsid w:val="390D3AAA"/>
    <w:rsid w:val="39204F2E"/>
    <w:rsid w:val="3942200C"/>
    <w:rsid w:val="39691347"/>
    <w:rsid w:val="396957EB"/>
    <w:rsid w:val="396C7089"/>
    <w:rsid w:val="39785528"/>
    <w:rsid w:val="39842625"/>
    <w:rsid w:val="39972358"/>
    <w:rsid w:val="39975041"/>
    <w:rsid w:val="399C171C"/>
    <w:rsid w:val="39A131D7"/>
    <w:rsid w:val="39A607ED"/>
    <w:rsid w:val="39AE31FE"/>
    <w:rsid w:val="39C569AE"/>
    <w:rsid w:val="39FB310B"/>
    <w:rsid w:val="3A015A23"/>
    <w:rsid w:val="3A0F6392"/>
    <w:rsid w:val="3A184B1B"/>
    <w:rsid w:val="3A192D6D"/>
    <w:rsid w:val="3A231E3E"/>
    <w:rsid w:val="3A377697"/>
    <w:rsid w:val="3A40479E"/>
    <w:rsid w:val="3A550A2D"/>
    <w:rsid w:val="3A7B3A28"/>
    <w:rsid w:val="3A80103E"/>
    <w:rsid w:val="3A8723CC"/>
    <w:rsid w:val="3A96260F"/>
    <w:rsid w:val="3A9643BE"/>
    <w:rsid w:val="3AA20FB4"/>
    <w:rsid w:val="3AA30888"/>
    <w:rsid w:val="3AAF1923"/>
    <w:rsid w:val="3AB02FA5"/>
    <w:rsid w:val="3AB72C4A"/>
    <w:rsid w:val="3ADE5D64"/>
    <w:rsid w:val="3AFB6916"/>
    <w:rsid w:val="3B027CA5"/>
    <w:rsid w:val="3B0F5F1E"/>
    <w:rsid w:val="3B1D688D"/>
    <w:rsid w:val="3B381919"/>
    <w:rsid w:val="3B3B26B4"/>
    <w:rsid w:val="3B455DE4"/>
    <w:rsid w:val="3B47390A"/>
    <w:rsid w:val="3B497682"/>
    <w:rsid w:val="3B4C7172"/>
    <w:rsid w:val="3B4E4C98"/>
    <w:rsid w:val="3B602C1D"/>
    <w:rsid w:val="3B651FE2"/>
    <w:rsid w:val="3B7C7A57"/>
    <w:rsid w:val="3B9528C7"/>
    <w:rsid w:val="3BA50630"/>
    <w:rsid w:val="3BB507BE"/>
    <w:rsid w:val="3BCB62E9"/>
    <w:rsid w:val="3BDC22A4"/>
    <w:rsid w:val="3BDD7DCA"/>
    <w:rsid w:val="3BE473AB"/>
    <w:rsid w:val="3BE63123"/>
    <w:rsid w:val="3BF94E4A"/>
    <w:rsid w:val="3C0435A9"/>
    <w:rsid w:val="3C1F6635"/>
    <w:rsid w:val="3C2D0D52"/>
    <w:rsid w:val="3C4D4F50"/>
    <w:rsid w:val="3C53008C"/>
    <w:rsid w:val="3C543448"/>
    <w:rsid w:val="3C666F06"/>
    <w:rsid w:val="3C6D114E"/>
    <w:rsid w:val="3C7C61A7"/>
    <w:rsid w:val="3C812E4B"/>
    <w:rsid w:val="3C8C4768"/>
    <w:rsid w:val="3C942B7F"/>
    <w:rsid w:val="3CBF47AC"/>
    <w:rsid w:val="3CC86CCC"/>
    <w:rsid w:val="3CE60F00"/>
    <w:rsid w:val="3CF03B2D"/>
    <w:rsid w:val="3D0777F5"/>
    <w:rsid w:val="3D0F2205"/>
    <w:rsid w:val="3D1912D6"/>
    <w:rsid w:val="3D24609D"/>
    <w:rsid w:val="3D366C0B"/>
    <w:rsid w:val="3D385C00"/>
    <w:rsid w:val="3D4520CB"/>
    <w:rsid w:val="3D536596"/>
    <w:rsid w:val="3D5D7415"/>
    <w:rsid w:val="3D604DFD"/>
    <w:rsid w:val="3D630FC2"/>
    <w:rsid w:val="3D6A38DF"/>
    <w:rsid w:val="3D793B23"/>
    <w:rsid w:val="3D7E738B"/>
    <w:rsid w:val="3D8B21D4"/>
    <w:rsid w:val="3D8E5117"/>
    <w:rsid w:val="3D9F17DB"/>
    <w:rsid w:val="3DA768E2"/>
    <w:rsid w:val="3DAC3EF8"/>
    <w:rsid w:val="3DB26D9E"/>
    <w:rsid w:val="3DB71CAB"/>
    <w:rsid w:val="3DC079A3"/>
    <w:rsid w:val="3DCC6348"/>
    <w:rsid w:val="3DEE7D5D"/>
    <w:rsid w:val="3DEF2328"/>
    <w:rsid w:val="3E175815"/>
    <w:rsid w:val="3E1B3766"/>
    <w:rsid w:val="3E1F291C"/>
    <w:rsid w:val="3E2E2B5F"/>
    <w:rsid w:val="3E3573B4"/>
    <w:rsid w:val="3E3839DE"/>
    <w:rsid w:val="3E43680F"/>
    <w:rsid w:val="3E4800C5"/>
    <w:rsid w:val="3E630A5B"/>
    <w:rsid w:val="3E6A1B1C"/>
    <w:rsid w:val="3E703177"/>
    <w:rsid w:val="3E7F33BB"/>
    <w:rsid w:val="3E8A7F79"/>
    <w:rsid w:val="3E9E4827"/>
    <w:rsid w:val="3EA01CAF"/>
    <w:rsid w:val="3EA352FB"/>
    <w:rsid w:val="3EA846BF"/>
    <w:rsid w:val="3EAD7F28"/>
    <w:rsid w:val="3EAE5A4E"/>
    <w:rsid w:val="3EB5502E"/>
    <w:rsid w:val="3EC3599D"/>
    <w:rsid w:val="3EF618CF"/>
    <w:rsid w:val="3F011C8B"/>
    <w:rsid w:val="3F0538C0"/>
    <w:rsid w:val="3F204B9E"/>
    <w:rsid w:val="3F2226C4"/>
    <w:rsid w:val="3F280D1E"/>
    <w:rsid w:val="3F5900B0"/>
    <w:rsid w:val="3F6251B6"/>
    <w:rsid w:val="3F6410D0"/>
    <w:rsid w:val="3F6F342F"/>
    <w:rsid w:val="3F7D5B4C"/>
    <w:rsid w:val="3F827606"/>
    <w:rsid w:val="3F890995"/>
    <w:rsid w:val="3F8C3FE1"/>
    <w:rsid w:val="3F8F587F"/>
    <w:rsid w:val="3FA27361"/>
    <w:rsid w:val="3FA7706D"/>
    <w:rsid w:val="3FC45529"/>
    <w:rsid w:val="3FCE45FA"/>
    <w:rsid w:val="3FDC02F6"/>
    <w:rsid w:val="3FEF0026"/>
    <w:rsid w:val="3FF34060"/>
    <w:rsid w:val="3FF658FE"/>
    <w:rsid w:val="3FF73B50"/>
    <w:rsid w:val="3FFA719D"/>
    <w:rsid w:val="400272D5"/>
    <w:rsid w:val="40095632"/>
    <w:rsid w:val="400973E0"/>
    <w:rsid w:val="400C0C7E"/>
    <w:rsid w:val="400E0E9A"/>
    <w:rsid w:val="40186DDA"/>
    <w:rsid w:val="402B1A4C"/>
    <w:rsid w:val="40307651"/>
    <w:rsid w:val="40330901"/>
    <w:rsid w:val="40384169"/>
    <w:rsid w:val="40550877"/>
    <w:rsid w:val="40632F94"/>
    <w:rsid w:val="406B1E48"/>
    <w:rsid w:val="407C4056"/>
    <w:rsid w:val="407C6265"/>
    <w:rsid w:val="408B6047"/>
    <w:rsid w:val="408D1DBF"/>
    <w:rsid w:val="4090365D"/>
    <w:rsid w:val="40923879"/>
    <w:rsid w:val="409B6EA7"/>
    <w:rsid w:val="40A8689D"/>
    <w:rsid w:val="40A92971"/>
    <w:rsid w:val="40BB6424"/>
    <w:rsid w:val="40C17CBA"/>
    <w:rsid w:val="40DC2D46"/>
    <w:rsid w:val="40E8793D"/>
    <w:rsid w:val="40F005A0"/>
    <w:rsid w:val="40F63E08"/>
    <w:rsid w:val="40F938F8"/>
    <w:rsid w:val="40F956A6"/>
    <w:rsid w:val="410D73A4"/>
    <w:rsid w:val="412F2E76"/>
    <w:rsid w:val="414A4154"/>
    <w:rsid w:val="41546D80"/>
    <w:rsid w:val="415723CD"/>
    <w:rsid w:val="41597EF3"/>
    <w:rsid w:val="41627A2F"/>
    <w:rsid w:val="41670862"/>
    <w:rsid w:val="41744D2D"/>
    <w:rsid w:val="4182199A"/>
    <w:rsid w:val="41911D83"/>
    <w:rsid w:val="41AA2E44"/>
    <w:rsid w:val="41AE3884"/>
    <w:rsid w:val="41B4781F"/>
    <w:rsid w:val="41B67616"/>
    <w:rsid w:val="41BD0482"/>
    <w:rsid w:val="41BD66D4"/>
    <w:rsid w:val="41C21F3C"/>
    <w:rsid w:val="41CE08E1"/>
    <w:rsid w:val="41E22C3E"/>
    <w:rsid w:val="41F90598"/>
    <w:rsid w:val="41FC2D0E"/>
    <w:rsid w:val="42134546"/>
    <w:rsid w:val="42291FBB"/>
    <w:rsid w:val="42312C1E"/>
    <w:rsid w:val="42356ED1"/>
    <w:rsid w:val="424C5CAA"/>
    <w:rsid w:val="427A6373"/>
    <w:rsid w:val="42813BA5"/>
    <w:rsid w:val="42861CE4"/>
    <w:rsid w:val="428E0070"/>
    <w:rsid w:val="429535C7"/>
    <w:rsid w:val="429733C9"/>
    <w:rsid w:val="42A5645B"/>
    <w:rsid w:val="42A81132"/>
    <w:rsid w:val="42BC169C"/>
    <w:rsid w:val="42D315BE"/>
    <w:rsid w:val="42ED4D97"/>
    <w:rsid w:val="42ED5E2F"/>
    <w:rsid w:val="42F142DA"/>
    <w:rsid w:val="42FA74B4"/>
    <w:rsid w:val="431113AB"/>
    <w:rsid w:val="431C38CE"/>
    <w:rsid w:val="43213B3D"/>
    <w:rsid w:val="432B759C"/>
    <w:rsid w:val="43517087"/>
    <w:rsid w:val="43560B8E"/>
    <w:rsid w:val="435D2044"/>
    <w:rsid w:val="436A4639"/>
    <w:rsid w:val="437159C8"/>
    <w:rsid w:val="43795CCE"/>
    <w:rsid w:val="437B05F4"/>
    <w:rsid w:val="43866F99"/>
    <w:rsid w:val="43A062AD"/>
    <w:rsid w:val="43A37B4B"/>
    <w:rsid w:val="43AC686B"/>
    <w:rsid w:val="43AE09CA"/>
    <w:rsid w:val="43B6787E"/>
    <w:rsid w:val="43B835F7"/>
    <w:rsid w:val="43B9111D"/>
    <w:rsid w:val="43D441A9"/>
    <w:rsid w:val="43E268C5"/>
    <w:rsid w:val="43F32881"/>
    <w:rsid w:val="43FB1735"/>
    <w:rsid w:val="44022AC4"/>
    <w:rsid w:val="4404584A"/>
    <w:rsid w:val="440E76BA"/>
    <w:rsid w:val="44134CD1"/>
    <w:rsid w:val="44184095"/>
    <w:rsid w:val="441A7E0D"/>
    <w:rsid w:val="44226CC2"/>
    <w:rsid w:val="44292FB9"/>
    <w:rsid w:val="443A6EDB"/>
    <w:rsid w:val="443B5FD6"/>
    <w:rsid w:val="44444E8A"/>
    <w:rsid w:val="446A189B"/>
    <w:rsid w:val="44735770"/>
    <w:rsid w:val="447F4114"/>
    <w:rsid w:val="44801C3A"/>
    <w:rsid w:val="44823C05"/>
    <w:rsid w:val="44826404"/>
    <w:rsid w:val="4497145E"/>
    <w:rsid w:val="44A973E3"/>
    <w:rsid w:val="44AC2A30"/>
    <w:rsid w:val="44AE0556"/>
    <w:rsid w:val="44C61D43"/>
    <w:rsid w:val="44E977E0"/>
    <w:rsid w:val="44FA19ED"/>
    <w:rsid w:val="4504461A"/>
    <w:rsid w:val="450D7972"/>
    <w:rsid w:val="4517259F"/>
    <w:rsid w:val="45173616"/>
    <w:rsid w:val="451C7BB5"/>
    <w:rsid w:val="45237196"/>
    <w:rsid w:val="452D591E"/>
    <w:rsid w:val="45303661"/>
    <w:rsid w:val="45392515"/>
    <w:rsid w:val="453A003B"/>
    <w:rsid w:val="454D4212"/>
    <w:rsid w:val="457B2B2E"/>
    <w:rsid w:val="45806396"/>
    <w:rsid w:val="4583520C"/>
    <w:rsid w:val="458B6AE9"/>
    <w:rsid w:val="45905F87"/>
    <w:rsid w:val="459260C9"/>
    <w:rsid w:val="45A81BE9"/>
    <w:rsid w:val="45B778DE"/>
    <w:rsid w:val="45BC4EF4"/>
    <w:rsid w:val="45F14B9E"/>
    <w:rsid w:val="45F82F05"/>
    <w:rsid w:val="45FF2BF1"/>
    <w:rsid w:val="460C7C2A"/>
    <w:rsid w:val="46116FEE"/>
    <w:rsid w:val="46195EA3"/>
    <w:rsid w:val="461B1C1B"/>
    <w:rsid w:val="461E170B"/>
    <w:rsid w:val="463B22BD"/>
    <w:rsid w:val="465D2233"/>
    <w:rsid w:val="4670640B"/>
    <w:rsid w:val="467F03FC"/>
    <w:rsid w:val="467F664E"/>
    <w:rsid w:val="468772B0"/>
    <w:rsid w:val="4690085B"/>
    <w:rsid w:val="469320F9"/>
    <w:rsid w:val="469B2D5C"/>
    <w:rsid w:val="46A2058E"/>
    <w:rsid w:val="46B502C1"/>
    <w:rsid w:val="46B53E1D"/>
    <w:rsid w:val="46B856BC"/>
    <w:rsid w:val="46C54793"/>
    <w:rsid w:val="46C67DD9"/>
    <w:rsid w:val="46CB3641"/>
    <w:rsid w:val="46E14C12"/>
    <w:rsid w:val="46F030A7"/>
    <w:rsid w:val="46F04E55"/>
    <w:rsid w:val="4703162E"/>
    <w:rsid w:val="471274C2"/>
    <w:rsid w:val="47174AD8"/>
    <w:rsid w:val="471D19C3"/>
    <w:rsid w:val="47213261"/>
    <w:rsid w:val="47233C17"/>
    <w:rsid w:val="4723522B"/>
    <w:rsid w:val="47262546"/>
    <w:rsid w:val="4732546E"/>
    <w:rsid w:val="473368AA"/>
    <w:rsid w:val="473867FC"/>
    <w:rsid w:val="476B4E24"/>
    <w:rsid w:val="477409B2"/>
    <w:rsid w:val="478923B3"/>
    <w:rsid w:val="478E7C34"/>
    <w:rsid w:val="478F28C0"/>
    <w:rsid w:val="479003E6"/>
    <w:rsid w:val="479223B1"/>
    <w:rsid w:val="47A85730"/>
    <w:rsid w:val="47B972D2"/>
    <w:rsid w:val="47BB36B5"/>
    <w:rsid w:val="47E32A9D"/>
    <w:rsid w:val="47EA3F9B"/>
    <w:rsid w:val="47F170D7"/>
    <w:rsid w:val="47F374D7"/>
    <w:rsid w:val="47F40975"/>
    <w:rsid w:val="48064560"/>
    <w:rsid w:val="481B02EE"/>
    <w:rsid w:val="481B1D0B"/>
    <w:rsid w:val="48217291"/>
    <w:rsid w:val="48254FD3"/>
    <w:rsid w:val="48435459"/>
    <w:rsid w:val="48480CC1"/>
    <w:rsid w:val="484A67E7"/>
    <w:rsid w:val="484C07B1"/>
    <w:rsid w:val="485633DE"/>
    <w:rsid w:val="485A123B"/>
    <w:rsid w:val="485B27A2"/>
    <w:rsid w:val="4860600B"/>
    <w:rsid w:val="486C2C02"/>
    <w:rsid w:val="487806ED"/>
    <w:rsid w:val="488717E9"/>
    <w:rsid w:val="488B2930"/>
    <w:rsid w:val="488F68F0"/>
    <w:rsid w:val="48930DC1"/>
    <w:rsid w:val="489E630E"/>
    <w:rsid w:val="48BD520B"/>
    <w:rsid w:val="48C20A74"/>
    <w:rsid w:val="48C93BB0"/>
    <w:rsid w:val="48CF23C7"/>
    <w:rsid w:val="48DD3AFF"/>
    <w:rsid w:val="48E629B4"/>
    <w:rsid w:val="48FC3F85"/>
    <w:rsid w:val="4901159C"/>
    <w:rsid w:val="490C1CEF"/>
    <w:rsid w:val="49155107"/>
    <w:rsid w:val="49261002"/>
    <w:rsid w:val="4929464F"/>
    <w:rsid w:val="492C40FE"/>
    <w:rsid w:val="49415E3C"/>
    <w:rsid w:val="4953791E"/>
    <w:rsid w:val="4955166A"/>
    <w:rsid w:val="497A30FC"/>
    <w:rsid w:val="497A75A0"/>
    <w:rsid w:val="49843F7B"/>
    <w:rsid w:val="499611A0"/>
    <w:rsid w:val="499F1A5A"/>
    <w:rsid w:val="49A85A39"/>
    <w:rsid w:val="49AB1508"/>
    <w:rsid w:val="49B22896"/>
    <w:rsid w:val="49BB5BEF"/>
    <w:rsid w:val="49C86043"/>
    <w:rsid w:val="49D4280C"/>
    <w:rsid w:val="49D9060C"/>
    <w:rsid w:val="49E01A5C"/>
    <w:rsid w:val="49F27137"/>
    <w:rsid w:val="49F41101"/>
    <w:rsid w:val="49F904C5"/>
    <w:rsid w:val="49FB423D"/>
    <w:rsid w:val="4A0B54C6"/>
    <w:rsid w:val="4A103A3C"/>
    <w:rsid w:val="4A121587"/>
    <w:rsid w:val="4A1D0657"/>
    <w:rsid w:val="4A2B6FDA"/>
    <w:rsid w:val="4A351E80"/>
    <w:rsid w:val="4A3D2AA8"/>
    <w:rsid w:val="4A4E3A26"/>
    <w:rsid w:val="4A5120AF"/>
    <w:rsid w:val="4A6A4F1F"/>
    <w:rsid w:val="4A6F0787"/>
    <w:rsid w:val="4A742241"/>
    <w:rsid w:val="4A7E09CA"/>
    <w:rsid w:val="4A821143"/>
    <w:rsid w:val="4A941E17"/>
    <w:rsid w:val="4A9B77CE"/>
    <w:rsid w:val="4AA448D5"/>
    <w:rsid w:val="4AA77F21"/>
    <w:rsid w:val="4AAF5028"/>
    <w:rsid w:val="4AB16FF2"/>
    <w:rsid w:val="4AC24D5B"/>
    <w:rsid w:val="4AC5484B"/>
    <w:rsid w:val="4AC72371"/>
    <w:rsid w:val="4AEA6060"/>
    <w:rsid w:val="4AF33166"/>
    <w:rsid w:val="4B0B4954"/>
    <w:rsid w:val="4B1A6552"/>
    <w:rsid w:val="4B1F03FF"/>
    <w:rsid w:val="4B201A81"/>
    <w:rsid w:val="4B2652EA"/>
    <w:rsid w:val="4B271062"/>
    <w:rsid w:val="4B2C3E65"/>
    <w:rsid w:val="4B3043BA"/>
    <w:rsid w:val="4B315A3D"/>
    <w:rsid w:val="4B683B54"/>
    <w:rsid w:val="4B6D1D00"/>
    <w:rsid w:val="4B7C315C"/>
    <w:rsid w:val="4B906C07"/>
    <w:rsid w:val="4B991F60"/>
    <w:rsid w:val="4B9E7576"/>
    <w:rsid w:val="4B9F6E4A"/>
    <w:rsid w:val="4BA04788"/>
    <w:rsid w:val="4BA206E8"/>
    <w:rsid w:val="4BB46BB0"/>
    <w:rsid w:val="4BC36FDC"/>
    <w:rsid w:val="4BD20FCE"/>
    <w:rsid w:val="4BE62CCB"/>
    <w:rsid w:val="4BF2341E"/>
    <w:rsid w:val="4C003D8D"/>
    <w:rsid w:val="4C0110B0"/>
    <w:rsid w:val="4C0575F5"/>
    <w:rsid w:val="4C2555A1"/>
    <w:rsid w:val="4C26756B"/>
    <w:rsid w:val="4C2832E3"/>
    <w:rsid w:val="4C416153"/>
    <w:rsid w:val="4C4C5224"/>
    <w:rsid w:val="4C4F0870"/>
    <w:rsid w:val="4C572DE8"/>
    <w:rsid w:val="4C5A1638"/>
    <w:rsid w:val="4C6267F5"/>
    <w:rsid w:val="4C6836E0"/>
    <w:rsid w:val="4C6D6F48"/>
    <w:rsid w:val="4C6F4A6E"/>
    <w:rsid w:val="4C912C37"/>
    <w:rsid w:val="4C9149E5"/>
    <w:rsid w:val="4C9B3AB5"/>
    <w:rsid w:val="4C9C0C87"/>
    <w:rsid w:val="4CA12905"/>
    <w:rsid w:val="4CA74208"/>
    <w:rsid w:val="4CB21030"/>
    <w:rsid w:val="4CB66B41"/>
    <w:rsid w:val="4CBD3A2C"/>
    <w:rsid w:val="4CBE1552"/>
    <w:rsid w:val="4CEE0089"/>
    <w:rsid w:val="4CF338F1"/>
    <w:rsid w:val="4CF3744D"/>
    <w:rsid w:val="4CFB0F0A"/>
    <w:rsid w:val="4CFB6302"/>
    <w:rsid w:val="4D063B7A"/>
    <w:rsid w:val="4D1473C4"/>
    <w:rsid w:val="4D2C295F"/>
    <w:rsid w:val="4D3161C8"/>
    <w:rsid w:val="4D3254FE"/>
    <w:rsid w:val="4D370415"/>
    <w:rsid w:val="4D3A507C"/>
    <w:rsid w:val="4D3D2DBF"/>
    <w:rsid w:val="4D444572"/>
    <w:rsid w:val="4D5819A6"/>
    <w:rsid w:val="4D5D0D6B"/>
    <w:rsid w:val="4D6245D3"/>
    <w:rsid w:val="4D6E11CA"/>
    <w:rsid w:val="4D875DE8"/>
    <w:rsid w:val="4D8B3B2A"/>
    <w:rsid w:val="4D945ECC"/>
    <w:rsid w:val="4DA22C22"/>
    <w:rsid w:val="4DA44BEC"/>
    <w:rsid w:val="4DAC603F"/>
    <w:rsid w:val="4DAE7818"/>
    <w:rsid w:val="4DB03590"/>
    <w:rsid w:val="4DB46EC1"/>
    <w:rsid w:val="4DD454D1"/>
    <w:rsid w:val="4DD70B1D"/>
    <w:rsid w:val="4DD80FAB"/>
    <w:rsid w:val="4DE33966"/>
    <w:rsid w:val="4DF07E31"/>
    <w:rsid w:val="4DFC0584"/>
    <w:rsid w:val="4E037B64"/>
    <w:rsid w:val="4E0B1A82"/>
    <w:rsid w:val="4E0D453F"/>
    <w:rsid w:val="4E1753BE"/>
    <w:rsid w:val="4E182CEF"/>
    <w:rsid w:val="4E1B4F57"/>
    <w:rsid w:val="4E1F24C4"/>
    <w:rsid w:val="4E471689"/>
    <w:rsid w:val="4E4A5168"/>
    <w:rsid w:val="4E6A7BE3"/>
    <w:rsid w:val="4E962786"/>
    <w:rsid w:val="4EA36C51"/>
    <w:rsid w:val="4EB96475"/>
    <w:rsid w:val="4EC36DE4"/>
    <w:rsid w:val="4EC5306C"/>
    <w:rsid w:val="4ED82D9F"/>
    <w:rsid w:val="4EE44AF7"/>
    <w:rsid w:val="4EEF00E8"/>
    <w:rsid w:val="4EF70D4B"/>
    <w:rsid w:val="4EFE20DA"/>
    <w:rsid w:val="4F0040A4"/>
    <w:rsid w:val="4F0E056F"/>
    <w:rsid w:val="4F104F47"/>
    <w:rsid w:val="4F1163D7"/>
    <w:rsid w:val="4F1B2C8C"/>
    <w:rsid w:val="4F2F6737"/>
    <w:rsid w:val="4F5148FF"/>
    <w:rsid w:val="4F57402D"/>
    <w:rsid w:val="4F6939F7"/>
    <w:rsid w:val="4F6C798B"/>
    <w:rsid w:val="4F6E4033"/>
    <w:rsid w:val="4F701229"/>
    <w:rsid w:val="4F702FD7"/>
    <w:rsid w:val="4F7F321A"/>
    <w:rsid w:val="4F820F5D"/>
    <w:rsid w:val="4F863B71"/>
    <w:rsid w:val="4F947019"/>
    <w:rsid w:val="4F9C201E"/>
    <w:rsid w:val="4F9E1EC0"/>
    <w:rsid w:val="4F9F38BD"/>
    <w:rsid w:val="4FA017E4"/>
    <w:rsid w:val="4FA151C2"/>
    <w:rsid w:val="4FAC7D88"/>
    <w:rsid w:val="4FC275AB"/>
    <w:rsid w:val="4FE319FB"/>
    <w:rsid w:val="4FEE214E"/>
    <w:rsid w:val="4FFE1A90"/>
    <w:rsid w:val="502E69EF"/>
    <w:rsid w:val="50423872"/>
    <w:rsid w:val="50533AFA"/>
    <w:rsid w:val="5063375B"/>
    <w:rsid w:val="50724BE5"/>
    <w:rsid w:val="50770396"/>
    <w:rsid w:val="50772144"/>
    <w:rsid w:val="507B05BD"/>
    <w:rsid w:val="507E34D2"/>
    <w:rsid w:val="50973232"/>
    <w:rsid w:val="50974594"/>
    <w:rsid w:val="50A82C45"/>
    <w:rsid w:val="50B27620"/>
    <w:rsid w:val="50C03AEB"/>
    <w:rsid w:val="50CC248F"/>
    <w:rsid w:val="50D61560"/>
    <w:rsid w:val="50DE21C3"/>
    <w:rsid w:val="50DE6667"/>
    <w:rsid w:val="50E13A61"/>
    <w:rsid w:val="50E579F5"/>
    <w:rsid w:val="50E772C9"/>
    <w:rsid w:val="50F6575E"/>
    <w:rsid w:val="51055E4E"/>
    <w:rsid w:val="510936E3"/>
    <w:rsid w:val="51142088"/>
    <w:rsid w:val="5133250E"/>
    <w:rsid w:val="51385D77"/>
    <w:rsid w:val="5139389D"/>
    <w:rsid w:val="51453FF0"/>
    <w:rsid w:val="51501312"/>
    <w:rsid w:val="51595CED"/>
    <w:rsid w:val="515B1A65"/>
    <w:rsid w:val="517013E0"/>
    <w:rsid w:val="51767695"/>
    <w:rsid w:val="51786173"/>
    <w:rsid w:val="51842D6A"/>
    <w:rsid w:val="5187285A"/>
    <w:rsid w:val="518A40F8"/>
    <w:rsid w:val="51CB0999"/>
    <w:rsid w:val="51CC64BF"/>
    <w:rsid w:val="51CE0489"/>
    <w:rsid w:val="51DF61F2"/>
    <w:rsid w:val="51F7167C"/>
    <w:rsid w:val="52021EE1"/>
    <w:rsid w:val="520B50C3"/>
    <w:rsid w:val="520D6492"/>
    <w:rsid w:val="52151A67"/>
    <w:rsid w:val="52181704"/>
    <w:rsid w:val="521E5315"/>
    <w:rsid w:val="52203D03"/>
    <w:rsid w:val="52466271"/>
    <w:rsid w:val="524D7600"/>
    <w:rsid w:val="5267596A"/>
    <w:rsid w:val="526D4CDD"/>
    <w:rsid w:val="527252B8"/>
    <w:rsid w:val="52770B21"/>
    <w:rsid w:val="527728CF"/>
    <w:rsid w:val="52892465"/>
    <w:rsid w:val="528B0128"/>
    <w:rsid w:val="52943481"/>
    <w:rsid w:val="52952D55"/>
    <w:rsid w:val="5296509B"/>
    <w:rsid w:val="52A80CDA"/>
    <w:rsid w:val="52B15DE1"/>
    <w:rsid w:val="52B96A43"/>
    <w:rsid w:val="52BC4786"/>
    <w:rsid w:val="52CF270B"/>
    <w:rsid w:val="52D47D21"/>
    <w:rsid w:val="52E837CD"/>
    <w:rsid w:val="53051C89"/>
    <w:rsid w:val="530C52DB"/>
    <w:rsid w:val="53193986"/>
    <w:rsid w:val="531F7CC8"/>
    <w:rsid w:val="53220A8C"/>
    <w:rsid w:val="532365B3"/>
    <w:rsid w:val="53285977"/>
    <w:rsid w:val="53584479"/>
    <w:rsid w:val="535844AE"/>
    <w:rsid w:val="5371731E"/>
    <w:rsid w:val="53740BBC"/>
    <w:rsid w:val="53762B86"/>
    <w:rsid w:val="53890B0C"/>
    <w:rsid w:val="538F7095"/>
    <w:rsid w:val="53A5346C"/>
    <w:rsid w:val="53A56FC8"/>
    <w:rsid w:val="53A72D40"/>
    <w:rsid w:val="53AA2830"/>
    <w:rsid w:val="53D11159"/>
    <w:rsid w:val="53EC2E48"/>
    <w:rsid w:val="54104D89"/>
    <w:rsid w:val="541859EC"/>
    <w:rsid w:val="544467E1"/>
    <w:rsid w:val="546450D5"/>
    <w:rsid w:val="54656608"/>
    <w:rsid w:val="546D5D37"/>
    <w:rsid w:val="547E309C"/>
    <w:rsid w:val="5486329D"/>
    <w:rsid w:val="5495703C"/>
    <w:rsid w:val="54AF6350"/>
    <w:rsid w:val="54C51BDB"/>
    <w:rsid w:val="54CF4DC4"/>
    <w:rsid w:val="54D1276A"/>
    <w:rsid w:val="54E67898"/>
    <w:rsid w:val="54F9581D"/>
    <w:rsid w:val="54FE4BE1"/>
    <w:rsid w:val="552C79A0"/>
    <w:rsid w:val="552F7491"/>
    <w:rsid w:val="5531145B"/>
    <w:rsid w:val="55322ADD"/>
    <w:rsid w:val="55482300"/>
    <w:rsid w:val="554A42CB"/>
    <w:rsid w:val="554F18E1"/>
    <w:rsid w:val="55741347"/>
    <w:rsid w:val="55762895"/>
    <w:rsid w:val="55997B51"/>
    <w:rsid w:val="55A35789"/>
    <w:rsid w:val="55C45E2B"/>
    <w:rsid w:val="55CA71B9"/>
    <w:rsid w:val="55CC4CE0"/>
    <w:rsid w:val="55D039DF"/>
    <w:rsid w:val="55D122F6"/>
    <w:rsid w:val="55D16301"/>
    <w:rsid w:val="55D37EEE"/>
    <w:rsid w:val="55ED6F99"/>
    <w:rsid w:val="55F304BE"/>
    <w:rsid w:val="560E3646"/>
    <w:rsid w:val="561D553B"/>
    <w:rsid w:val="56260894"/>
    <w:rsid w:val="56290384"/>
    <w:rsid w:val="5637484F"/>
    <w:rsid w:val="563D3E2F"/>
    <w:rsid w:val="563E724A"/>
    <w:rsid w:val="565F5B54"/>
    <w:rsid w:val="56711C5C"/>
    <w:rsid w:val="56890E23"/>
    <w:rsid w:val="5693347C"/>
    <w:rsid w:val="569353E3"/>
    <w:rsid w:val="569C6DA8"/>
    <w:rsid w:val="56A451EF"/>
    <w:rsid w:val="56A65531"/>
    <w:rsid w:val="56B31333"/>
    <w:rsid w:val="56BC2FA6"/>
    <w:rsid w:val="56CB31E9"/>
    <w:rsid w:val="56D54068"/>
    <w:rsid w:val="56F50266"/>
    <w:rsid w:val="56F97D56"/>
    <w:rsid w:val="571406EC"/>
    <w:rsid w:val="571C3631"/>
    <w:rsid w:val="57340D8E"/>
    <w:rsid w:val="574D3BFE"/>
    <w:rsid w:val="57566F57"/>
    <w:rsid w:val="57572CCF"/>
    <w:rsid w:val="575C2923"/>
    <w:rsid w:val="5785470F"/>
    <w:rsid w:val="578F4217"/>
    <w:rsid w:val="57953CD5"/>
    <w:rsid w:val="579556E4"/>
    <w:rsid w:val="579D2DD8"/>
    <w:rsid w:val="579E6F11"/>
    <w:rsid w:val="57A001D2"/>
    <w:rsid w:val="57A8352A"/>
    <w:rsid w:val="57AE4316"/>
    <w:rsid w:val="57C2639A"/>
    <w:rsid w:val="57C739B1"/>
    <w:rsid w:val="57E427B4"/>
    <w:rsid w:val="580764A3"/>
    <w:rsid w:val="5818245E"/>
    <w:rsid w:val="581A61D6"/>
    <w:rsid w:val="581D5EF4"/>
    <w:rsid w:val="582174D0"/>
    <w:rsid w:val="582B2191"/>
    <w:rsid w:val="583059FA"/>
    <w:rsid w:val="583806A4"/>
    <w:rsid w:val="58466FCB"/>
    <w:rsid w:val="584A7B4C"/>
    <w:rsid w:val="58564C9F"/>
    <w:rsid w:val="585802CB"/>
    <w:rsid w:val="58586CFE"/>
    <w:rsid w:val="585F008D"/>
    <w:rsid w:val="58680944"/>
    <w:rsid w:val="587D0513"/>
    <w:rsid w:val="589D2963"/>
    <w:rsid w:val="58AB6E2E"/>
    <w:rsid w:val="58BA06EB"/>
    <w:rsid w:val="58C46142"/>
    <w:rsid w:val="58DA5965"/>
    <w:rsid w:val="58E21D44"/>
    <w:rsid w:val="58F307D5"/>
    <w:rsid w:val="58F702C5"/>
    <w:rsid w:val="58F72073"/>
    <w:rsid w:val="59024027"/>
    <w:rsid w:val="59047B05"/>
    <w:rsid w:val="591E1CF6"/>
    <w:rsid w:val="592D1F39"/>
    <w:rsid w:val="5939151B"/>
    <w:rsid w:val="593A6404"/>
    <w:rsid w:val="59417793"/>
    <w:rsid w:val="59441031"/>
    <w:rsid w:val="59463F6B"/>
    <w:rsid w:val="59661DC8"/>
    <w:rsid w:val="596C0096"/>
    <w:rsid w:val="59831B59"/>
    <w:rsid w:val="59A0270B"/>
    <w:rsid w:val="59B937CD"/>
    <w:rsid w:val="59BC46C1"/>
    <w:rsid w:val="59C26B25"/>
    <w:rsid w:val="59DD395F"/>
    <w:rsid w:val="59E273BE"/>
    <w:rsid w:val="59E921D4"/>
    <w:rsid w:val="59EF5441"/>
    <w:rsid w:val="5A1153B7"/>
    <w:rsid w:val="5A140973"/>
    <w:rsid w:val="5A250E62"/>
    <w:rsid w:val="5A2C21F1"/>
    <w:rsid w:val="5A3115B5"/>
    <w:rsid w:val="5A315A59"/>
    <w:rsid w:val="5A405C9C"/>
    <w:rsid w:val="5A583380"/>
    <w:rsid w:val="5A623E64"/>
    <w:rsid w:val="5A765FE0"/>
    <w:rsid w:val="5A7B0A82"/>
    <w:rsid w:val="5A7C4F26"/>
    <w:rsid w:val="5A7F0572"/>
    <w:rsid w:val="5A826076"/>
    <w:rsid w:val="5A932270"/>
    <w:rsid w:val="5A993F9B"/>
    <w:rsid w:val="5A9E1775"/>
    <w:rsid w:val="5AA24261"/>
    <w:rsid w:val="5AAC3332"/>
    <w:rsid w:val="5ACD687D"/>
    <w:rsid w:val="5AD741FD"/>
    <w:rsid w:val="5AD76600"/>
    <w:rsid w:val="5AE12FDB"/>
    <w:rsid w:val="5AE91E90"/>
    <w:rsid w:val="5AF32D0E"/>
    <w:rsid w:val="5AF50835"/>
    <w:rsid w:val="5AFF3461"/>
    <w:rsid w:val="5B066C99"/>
    <w:rsid w:val="5B0F5D9A"/>
    <w:rsid w:val="5B157129"/>
    <w:rsid w:val="5B1E422F"/>
    <w:rsid w:val="5B303F63"/>
    <w:rsid w:val="5B527A35"/>
    <w:rsid w:val="5B597015"/>
    <w:rsid w:val="5B70610D"/>
    <w:rsid w:val="5B791466"/>
    <w:rsid w:val="5B81656C"/>
    <w:rsid w:val="5B85045B"/>
    <w:rsid w:val="5B8904E1"/>
    <w:rsid w:val="5B8A71CF"/>
    <w:rsid w:val="5B953DC6"/>
    <w:rsid w:val="5BA35362"/>
    <w:rsid w:val="5BA46978"/>
    <w:rsid w:val="5BBC1352"/>
    <w:rsid w:val="5BC16969"/>
    <w:rsid w:val="5BC36B85"/>
    <w:rsid w:val="5BD13050"/>
    <w:rsid w:val="5BD448EE"/>
    <w:rsid w:val="5BD53AF1"/>
    <w:rsid w:val="5BE2525D"/>
    <w:rsid w:val="5BFD2097"/>
    <w:rsid w:val="5C451348"/>
    <w:rsid w:val="5C5617A7"/>
    <w:rsid w:val="5C593045"/>
    <w:rsid w:val="5C6A17FD"/>
    <w:rsid w:val="5C8B76A2"/>
    <w:rsid w:val="5C9522CF"/>
    <w:rsid w:val="5CA40764"/>
    <w:rsid w:val="5CB309A7"/>
    <w:rsid w:val="5CC948AC"/>
    <w:rsid w:val="5CCC1A69"/>
    <w:rsid w:val="5CD03307"/>
    <w:rsid w:val="5CD56B70"/>
    <w:rsid w:val="5CEB0141"/>
    <w:rsid w:val="5CED210B"/>
    <w:rsid w:val="5CEE378D"/>
    <w:rsid w:val="5CF7587D"/>
    <w:rsid w:val="5D02548B"/>
    <w:rsid w:val="5D170F36"/>
    <w:rsid w:val="5D1C479E"/>
    <w:rsid w:val="5D1F603D"/>
    <w:rsid w:val="5D2D4F3A"/>
    <w:rsid w:val="5D50269A"/>
    <w:rsid w:val="5D514F0A"/>
    <w:rsid w:val="5D543F38"/>
    <w:rsid w:val="5D5932FD"/>
    <w:rsid w:val="5D5E0913"/>
    <w:rsid w:val="5D6677C8"/>
    <w:rsid w:val="5D740137"/>
    <w:rsid w:val="5DAC3EA8"/>
    <w:rsid w:val="5DB70023"/>
    <w:rsid w:val="5DB744C7"/>
    <w:rsid w:val="5DC80482"/>
    <w:rsid w:val="5DD70C10"/>
    <w:rsid w:val="5DD938F3"/>
    <w:rsid w:val="5DE27796"/>
    <w:rsid w:val="5DEB5F1F"/>
    <w:rsid w:val="5DF70D68"/>
    <w:rsid w:val="5DFB15F4"/>
    <w:rsid w:val="5E035AB6"/>
    <w:rsid w:val="5E0F7E5F"/>
    <w:rsid w:val="5E483371"/>
    <w:rsid w:val="5E4F2952"/>
    <w:rsid w:val="5E651806"/>
    <w:rsid w:val="5E677C9B"/>
    <w:rsid w:val="5E6C52B2"/>
    <w:rsid w:val="5E7A7591"/>
    <w:rsid w:val="5E7B54F5"/>
    <w:rsid w:val="5E8130B1"/>
    <w:rsid w:val="5E8E5228"/>
    <w:rsid w:val="5E914D18"/>
    <w:rsid w:val="5E9B16F3"/>
    <w:rsid w:val="5EA42C9D"/>
    <w:rsid w:val="5EB6477F"/>
    <w:rsid w:val="5EBA601D"/>
    <w:rsid w:val="5EC23124"/>
    <w:rsid w:val="5ED15115"/>
    <w:rsid w:val="5ED52E57"/>
    <w:rsid w:val="5ED66BCF"/>
    <w:rsid w:val="5EE65064"/>
    <w:rsid w:val="5EF332DD"/>
    <w:rsid w:val="5F1A6ABC"/>
    <w:rsid w:val="5F2B0CC9"/>
    <w:rsid w:val="5F2E07B9"/>
    <w:rsid w:val="5F4B136B"/>
    <w:rsid w:val="5F50072F"/>
    <w:rsid w:val="5F543AF9"/>
    <w:rsid w:val="5F555D46"/>
    <w:rsid w:val="5F565EB7"/>
    <w:rsid w:val="5F7206A6"/>
    <w:rsid w:val="5F7A1712"/>
    <w:rsid w:val="5F9BAEF0"/>
    <w:rsid w:val="5FA7596E"/>
    <w:rsid w:val="5FA97E40"/>
    <w:rsid w:val="5FAA6092"/>
    <w:rsid w:val="5FAC5E68"/>
    <w:rsid w:val="5FB26B5A"/>
    <w:rsid w:val="5FBC4017"/>
    <w:rsid w:val="5FBC7B73"/>
    <w:rsid w:val="5FC15189"/>
    <w:rsid w:val="5FDC6467"/>
    <w:rsid w:val="5FDE5D3B"/>
    <w:rsid w:val="5FEA0B84"/>
    <w:rsid w:val="5FF4555F"/>
    <w:rsid w:val="600D11D9"/>
    <w:rsid w:val="600D6620"/>
    <w:rsid w:val="60212E75"/>
    <w:rsid w:val="602A2D2E"/>
    <w:rsid w:val="602D6CC3"/>
    <w:rsid w:val="602F356E"/>
    <w:rsid w:val="60343BAD"/>
    <w:rsid w:val="603E67DA"/>
    <w:rsid w:val="60433DF0"/>
    <w:rsid w:val="604364E6"/>
    <w:rsid w:val="607C2714"/>
    <w:rsid w:val="60831C82"/>
    <w:rsid w:val="608368E3"/>
    <w:rsid w:val="609B5661"/>
    <w:rsid w:val="60A96349"/>
    <w:rsid w:val="60BD0047"/>
    <w:rsid w:val="60BD2A28"/>
    <w:rsid w:val="610619ED"/>
    <w:rsid w:val="611D0AE5"/>
    <w:rsid w:val="612C0D28"/>
    <w:rsid w:val="613D1187"/>
    <w:rsid w:val="61442516"/>
    <w:rsid w:val="616B7AA3"/>
    <w:rsid w:val="617821BF"/>
    <w:rsid w:val="61A66D2D"/>
    <w:rsid w:val="61A97C7F"/>
    <w:rsid w:val="61B52ACC"/>
    <w:rsid w:val="61B551CA"/>
    <w:rsid w:val="61C40F61"/>
    <w:rsid w:val="61CB22EF"/>
    <w:rsid w:val="61CF0031"/>
    <w:rsid w:val="61DF5D9B"/>
    <w:rsid w:val="61E433B1"/>
    <w:rsid w:val="61ED495B"/>
    <w:rsid w:val="61FC07B7"/>
    <w:rsid w:val="61FF01EB"/>
    <w:rsid w:val="621A5025"/>
    <w:rsid w:val="622B3EB6"/>
    <w:rsid w:val="62353C0D"/>
    <w:rsid w:val="623C31ED"/>
    <w:rsid w:val="623C4F9B"/>
    <w:rsid w:val="623E0D13"/>
    <w:rsid w:val="62586279"/>
    <w:rsid w:val="625C73EB"/>
    <w:rsid w:val="62844A2A"/>
    <w:rsid w:val="628902D8"/>
    <w:rsid w:val="62917095"/>
    <w:rsid w:val="629D1EDE"/>
    <w:rsid w:val="62AB0D24"/>
    <w:rsid w:val="62C05BCC"/>
    <w:rsid w:val="62CE02E9"/>
    <w:rsid w:val="62D376AD"/>
    <w:rsid w:val="62E21FE6"/>
    <w:rsid w:val="62E33669"/>
    <w:rsid w:val="62EC224F"/>
    <w:rsid w:val="62ED3873"/>
    <w:rsid w:val="62F258C5"/>
    <w:rsid w:val="62FA7330"/>
    <w:rsid w:val="63027F93"/>
    <w:rsid w:val="63041F5D"/>
    <w:rsid w:val="631321A0"/>
    <w:rsid w:val="631A4DDD"/>
    <w:rsid w:val="63220635"/>
    <w:rsid w:val="632919C3"/>
    <w:rsid w:val="6333639E"/>
    <w:rsid w:val="633A772C"/>
    <w:rsid w:val="633B16F7"/>
    <w:rsid w:val="633F4E0E"/>
    <w:rsid w:val="63424833"/>
    <w:rsid w:val="634560D1"/>
    <w:rsid w:val="634E4F86"/>
    <w:rsid w:val="63554566"/>
    <w:rsid w:val="635734EF"/>
    <w:rsid w:val="636B3D8A"/>
    <w:rsid w:val="63793128"/>
    <w:rsid w:val="638210D3"/>
    <w:rsid w:val="63952BB5"/>
    <w:rsid w:val="639C03E7"/>
    <w:rsid w:val="639F1C85"/>
    <w:rsid w:val="63A1091B"/>
    <w:rsid w:val="63A80D4A"/>
    <w:rsid w:val="63AB687C"/>
    <w:rsid w:val="63BC2837"/>
    <w:rsid w:val="63BE035D"/>
    <w:rsid w:val="63CB4CDA"/>
    <w:rsid w:val="63CD67F3"/>
    <w:rsid w:val="63CE60C7"/>
    <w:rsid w:val="63E540E9"/>
    <w:rsid w:val="63E87188"/>
    <w:rsid w:val="63F46D08"/>
    <w:rsid w:val="642A59F3"/>
    <w:rsid w:val="643F0BC3"/>
    <w:rsid w:val="6445282D"/>
    <w:rsid w:val="644875EE"/>
    <w:rsid w:val="644A2B3B"/>
    <w:rsid w:val="644F5459"/>
    <w:rsid w:val="64713622"/>
    <w:rsid w:val="64746C6E"/>
    <w:rsid w:val="6476183A"/>
    <w:rsid w:val="647A1DAB"/>
    <w:rsid w:val="647E189B"/>
    <w:rsid w:val="648D35A7"/>
    <w:rsid w:val="64A130EA"/>
    <w:rsid w:val="64A55C96"/>
    <w:rsid w:val="64BA1C50"/>
    <w:rsid w:val="64C37BF6"/>
    <w:rsid w:val="64EA5D49"/>
    <w:rsid w:val="64EC5AA7"/>
    <w:rsid w:val="64F32289"/>
    <w:rsid w:val="64FB113D"/>
    <w:rsid w:val="64FB738F"/>
    <w:rsid w:val="65031DA0"/>
    <w:rsid w:val="651D2E62"/>
    <w:rsid w:val="652A6A68"/>
    <w:rsid w:val="65493C57"/>
    <w:rsid w:val="65562818"/>
    <w:rsid w:val="655D5954"/>
    <w:rsid w:val="65674A25"/>
    <w:rsid w:val="65705687"/>
    <w:rsid w:val="657333CA"/>
    <w:rsid w:val="6578453C"/>
    <w:rsid w:val="65987B75"/>
    <w:rsid w:val="65B83FF9"/>
    <w:rsid w:val="65BA6903"/>
    <w:rsid w:val="65E50103"/>
    <w:rsid w:val="65EE47FE"/>
    <w:rsid w:val="660D1128"/>
    <w:rsid w:val="660E6C4E"/>
    <w:rsid w:val="66104CAF"/>
    <w:rsid w:val="66140709"/>
    <w:rsid w:val="6626043C"/>
    <w:rsid w:val="663F32AC"/>
    <w:rsid w:val="66540B05"/>
    <w:rsid w:val="6655487D"/>
    <w:rsid w:val="6659611C"/>
    <w:rsid w:val="665E09E7"/>
    <w:rsid w:val="66636F9A"/>
    <w:rsid w:val="666B22F3"/>
    <w:rsid w:val="6686712D"/>
    <w:rsid w:val="66A3383B"/>
    <w:rsid w:val="66A614DD"/>
    <w:rsid w:val="66AE560F"/>
    <w:rsid w:val="66B27993"/>
    <w:rsid w:val="66B45A48"/>
    <w:rsid w:val="66CB3312"/>
    <w:rsid w:val="66CB37D3"/>
    <w:rsid w:val="66D226C7"/>
    <w:rsid w:val="66F37708"/>
    <w:rsid w:val="66FE3167"/>
    <w:rsid w:val="66FE6CC3"/>
    <w:rsid w:val="670342D9"/>
    <w:rsid w:val="671505CA"/>
    <w:rsid w:val="6727446C"/>
    <w:rsid w:val="672A5D0A"/>
    <w:rsid w:val="67334BBF"/>
    <w:rsid w:val="67492634"/>
    <w:rsid w:val="675B5EC3"/>
    <w:rsid w:val="675E59B4"/>
    <w:rsid w:val="676F1E85"/>
    <w:rsid w:val="677212BC"/>
    <w:rsid w:val="67780823"/>
    <w:rsid w:val="677F6056"/>
    <w:rsid w:val="6784366C"/>
    <w:rsid w:val="678A0557"/>
    <w:rsid w:val="678C42CF"/>
    <w:rsid w:val="67941A60"/>
    <w:rsid w:val="67982C74"/>
    <w:rsid w:val="67AC671F"/>
    <w:rsid w:val="67B6759E"/>
    <w:rsid w:val="67BB7225"/>
    <w:rsid w:val="67BF28F6"/>
    <w:rsid w:val="67C24194"/>
    <w:rsid w:val="67C368AD"/>
    <w:rsid w:val="67CC6DC1"/>
    <w:rsid w:val="67D82A1B"/>
    <w:rsid w:val="67EC1211"/>
    <w:rsid w:val="67EE6D37"/>
    <w:rsid w:val="67F26828"/>
    <w:rsid w:val="67F51E74"/>
    <w:rsid w:val="68000819"/>
    <w:rsid w:val="68016A6B"/>
    <w:rsid w:val="68077DF9"/>
    <w:rsid w:val="68145369"/>
    <w:rsid w:val="68182006"/>
    <w:rsid w:val="681A139C"/>
    <w:rsid w:val="681A3FD0"/>
    <w:rsid w:val="683A1F7D"/>
    <w:rsid w:val="68555008"/>
    <w:rsid w:val="685A261F"/>
    <w:rsid w:val="685F7C35"/>
    <w:rsid w:val="686F60CA"/>
    <w:rsid w:val="6884144A"/>
    <w:rsid w:val="688D47A2"/>
    <w:rsid w:val="68906041"/>
    <w:rsid w:val="689C2C37"/>
    <w:rsid w:val="689C49E5"/>
    <w:rsid w:val="689C6793"/>
    <w:rsid w:val="68A239A5"/>
    <w:rsid w:val="68A51AEC"/>
    <w:rsid w:val="68B97345"/>
    <w:rsid w:val="68BC0BE4"/>
    <w:rsid w:val="68C161FA"/>
    <w:rsid w:val="68C32CE5"/>
    <w:rsid w:val="68C63810"/>
    <w:rsid w:val="68CC405A"/>
    <w:rsid w:val="68D72F49"/>
    <w:rsid w:val="68E02B24"/>
    <w:rsid w:val="69006D22"/>
    <w:rsid w:val="6928506E"/>
    <w:rsid w:val="69333BC6"/>
    <w:rsid w:val="693C4375"/>
    <w:rsid w:val="693D1D24"/>
    <w:rsid w:val="693E5A9D"/>
    <w:rsid w:val="694110E9"/>
    <w:rsid w:val="694D7A8E"/>
    <w:rsid w:val="69513A22"/>
    <w:rsid w:val="6954706E"/>
    <w:rsid w:val="695E4DF9"/>
    <w:rsid w:val="698C2CAC"/>
    <w:rsid w:val="699B4C9D"/>
    <w:rsid w:val="699D27C3"/>
    <w:rsid w:val="699F6A64"/>
    <w:rsid w:val="69A27DD9"/>
    <w:rsid w:val="69A71894"/>
    <w:rsid w:val="69AB74DA"/>
    <w:rsid w:val="69AE49D0"/>
    <w:rsid w:val="69C53AC8"/>
    <w:rsid w:val="69D81A4D"/>
    <w:rsid w:val="69DA29CD"/>
    <w:rsid w:val="69DB32EB"/>
    <w:rsid w:val="69E20B1E"/>
    <w:rsid w:val="69E55F18"/>
    <w:rsid w:val="69EE74C3"/>
    <w:rsid w:val="69F12B0F"/>
    <w:rsid w:val="69F85C4B"/>
    <w:rsid w:val="6A0C39CC"/>
    <w:rsid w:val="6A232E0D"/>
    <w:rsid w:val="6A2B6690"/>
    <w:rsid w:val="6A2E78BF"/>
    <w:rsid w:val="6A2F401E"/>
    <w:rsid w:val="6A3F387A"/>
    <w:rsid w:val="6A415844"/>
    <w:rsid w:val="6A4B6921"/>
    <w:rsid w:val="6A521800"/>
    <w:rsid w:val="6A6432E1"/>
    <w:rsid w:val="6A6634FD"/>
    <w:rsid w:val="6A6D03E7"/>
    <w:rsid w:val="6A745C1A"/>
    <w:rsid w:val="6A7C687C"/>
    <w:rsid w:val="6A7D514D"/>
    <w:rsid w:val="6A7E25F5"/>
    <w:rsid w:val="6A8219B9"/>
    <w:rsid w:val="6A845731"/>
    <w:rsid w:val="6A883473"/>
    <w:rsid w:val="6AD00976"/>
    <w:rsid w:val="6AE82164"/>
    <w:rsid w:val="6AEB57B0"/>
    <w:rsid w:val="6AEF52A0"/>
    <w:rsid w:val="6AF40B09"/>
    <w:rsid w:val="6AFB1E97"/>
    <w:rsid w:val="6B0D18CC"/>
    <w:rsid w:val="6B1E16E2"/>
    <w:rsid w:val="6B2D401B"/>
    <w:rsid w:val="6B2D7B77"/>
    <w:rsid w:val="6B43383E"/>
    <w:rsid w:val="6B476E8A"/>
    <w:rsid w:val="6B4E646B"/>
    <w:rsid w:val="6B6D2669"/>
    <w:rsid w:val="6BA936A1"/>
    <w:rsid w:val="6BAF538C"/>
    <w:rsid w:val="6BCE135A"/>
    <w:rsid w:val="6BCE3D22"/>
    <w:rsid w:val="6BD55C3E"/>
    <w:rsid w:val="6BE02E3B"/>
    <w:rsid w:val="6BE06A22"/>
    <w:rsid w:val="6BE446D9"/>
    <w:rsid w:val="6BF120AB"/>
    <w:rsid w:val="6BF568E6"/>
    <w:rsid w:val="6BF863D7"/>
    <w:rsid w:val="6C136D6D"/>
    <w:rsid w:val="6C180827"/>
    <w:rsid w:val="6C1D7BEB"/>
    <w:rsid w:val="6C2471CC"/>
    <w:rsid w:val="6C4C04D0"/>
    <w:rsid w:val="6C586E75"/>
    <w:rsid w:val="6C6770B8"/>
    <w:rsid w:val="6C6E48EB"/>
    <w:rsid w:val="6C9D2ADA"/>
    <w:rsid w:val="6CA67BE1"/>
    <w:rsid w:val="6CB17718"/>
    <w:rsid w:val="6CB5251A"/>
    <w:rsid w:val="6CBF6EF4"/>
    <w:rsid w:val="6CC12C6C"/>
    <w:rsid w:val="6CC664D5"/>
    <w:rsid w:val="6CD55F77"/>
    <w:rsid w:val="6CDA27A6"/>
    <w:rsid w:val="6CE1330F"/>
    <w:rsid w:val="6CEF1588"/>
    <w:rsid w:val="6CF50B68"/>
    <w:rsid w:val="6CF51E5D"/>
    <w:rsid w:val="6CFC66E6"/>
    <w:rsid w:val="6D00152D"/>
    <w:rsid w:val="6D042B59"/>
    <w:rsid w:val="6D09622E"/>
    <w:rsid w:val="6D252106"/>
    <w:rsid w:val="6D394EF9"/>
    <w:rsid w:val="6D4A7E38"/>
    <w:rsid w:val="6D57537F"/>
    <w:rsid w:val="6D5C4743"/>
    <w:rsid w:val="6D664810"/>
    <w:rsid w:val="6D6F26C8"/>
    <w:rsid w:val="6D7B34A1"/>
    <w:rsid w:val="6D993E03"/>
    <w:rsid w:val="6DA5433C"/>
    <w:rsid w:val="6DB926A7"/>
    <w:rsid w:val="6DBD3434"/>
    <w:rsid w:val="6DC24EEE"/>
    <w:rsid w:val="6DC42A14"/>
    <w:rsid w:val="6DC72505"/>
    <w:rsid w:val="6DDF784E"/>
    <w:rsid w:val="6DE0074F"/>
    <w:rsid w:val="6DE36C13"/>
    <w:rsid w:val="6DF17581"/>
    <w:rsid w:val="6DF350FF"/>
    <w:rsid w:val="6DF42BCE"/>
    <w:rsid w:val="6DFD5F26"/>
    <w:rsid w:val="6E0967D7"/>
    <w:rsid w:val="6E0F7A08"/>
    <w:rsid w:val="6E313E22"/>
    <w:rsid w:val="6E3A4A84"/>
    <w:rsid w:val="6E510020"/>
    <w:rsid w:val="6E7220B1"/>
    <w:rsid w:val="6E8421A4"/>
    <w:rsid w:val="6E95615F"/>
    <w:rsid w:val="6E9879FD"/>
    <w:rsid w:val="6E9A5523"/>
    <w:rsid w:val="6EA36ACE"/>
    <w:rsid w:val="6EB56801"/>
    <w:rsid w:val="6EB74327"/>
    <w:rsid w:val="6EBB50AB"/>
    <w:rsid w:val="6EC32CCC"/>
    <w:rsid w:val="6ED4452B"/>
    <w:rsid w:val="6ED529FF"/>
    <w:rsid w:val="6EF2535F"/>
    <w:rsid w:val="6F2A2D4B"/>
    <w:rsid w:val="6F307C36"/>
    <w:rsid w:val="6F595014"/>
    <w:rsid w:val="6F743FC6"/>
    <w:rsid w:val="6F814935"/>
    <w:rsid w:val="6F8F7052"/>
    <w:rsid w:val="6FA83C70"/>
    <w:rsid w:val="6FB95E7D"/>
    <w:rsid w:val="6FC52A74"/>
    <w:rsid w:val="6FD26F3F"/>
    <w:rsid w:val="6FE253D4"/>
    <w:rsid w:val="6FE80510"/>
    <w:rsid w:val="7003534A"/>
    <w:rsid w:val="700510C2"/>
    <w:rsid w:val="701557A9"/>
    <w:rsid w:val="701D01BA"/>
    <w:rsid w:val="701D640C"/>
    <w:rsid w:val="7020414E"/>
    <w:rsid w:val="702F7EED"/>
    <w:rsid w:val="7031730C"/>
    <w:rsid w:val="70381498"/>
    <w:rsid w:val="70397F01"/>
    <w:rsid w:val="70477E4B"/>
    <w:rsid w:val="704A2F79"/>
    <w:rsid w:val="705838E8"/>
    <w:rsid w:val="70587444"/>
    <w:rsid w:val="705A140E"/>
    <w:rsid w:val="70683A7E"/>
    <w:rsid w:val="706E310B"/>
    <w:rsid w:val="707324D0"/>
    <w:rsid w:val="707F2C23"/>
    <w:rsid w:val="70815BA3"/>
    <w:rsid w:val="70822713"/>
    <w:rsid w:val="70840239"/>
    <w:rsid w:val="708F6BDE"/>
    <w:rsid w:val="70903082"/>
    <w:rsid w:val="70950698"/>
    <w:rsid w:val="70D07922"/>
    <w:rsid w:val="70DA42FD"/>
    <w:rsid w:val="70F133F4"/>
    <w:rsid w:val="70F32F72"/>
    <w:rsid w:val="70F51137"/>
    <w:rsid w:val="710D6C65"/>
    <w:rsid w:val="710E3FA6"/>
    <w:rsid w:val="7113780F"/>
    <w:rsid w:val="711517D9"/>
    <w:rsid w:val="711C4915"/>
    <w:rsid w:val="711E68DF"/>
    <w:rsid w:val="711F7F62"/>
    <w:rsid w:val="71327459"/>
    <w:rsid w:val="713752AB"/>
    <w:rsid w:val="71477C9A"/>
    <w:rsid w:val="714874B8"/>
    <w:rsid w:val="714913EB"/>
    <w:rsid w:val="714D4ACF"/>
    <w:rsid w:val="715220E5"/>
    <w:rsid w:val="71566079"/>
    <w:rsid w:val="715B3690"/>
    <w:rsid w:val="71600CA6"/>
    <w:rsid w:val="71771B4C"/>
    <w:rsid w:val="71777D9E"/>
    <w:rsid w:val="717B5AE0"/>
    <w:rsid w:val="71862DCB"/>
    <w:rsid w:val="718B55F7"/>
    <w:rsid w:val="718F6E95"/>
    <w:rsid w:val="71944EDF"/>
    <w:rsid w:val="7195747E"/>
    <w:rsid w:val="71970440"/>
    <w:rsid w:val="71A863FB"/>
    <w:rsid w:val="71AD1A11"/>
    <w:rsid w:val="71B608C6"/>
    <w:rsid w:val="71C72AD3"/>
    <w:rsid w:val="71CD20B4"/>
    <w:rsid w:val="71D92806"/>
    <w:rsid w:val="71FD12DA"/>
    <w:rsid w:val="720C2BDC"/>
    <w:rsid w:val="721675B7"/>
    <w:rsid w:val="7218332F"/>
    <w:rsid w:val="72200435"/>
    <w:rsid w:val="722F0678"/>
    <w:rsid w:val="7242215A"/>
    <w:rsid w:val="72435ED2"/>
    <w:rsid w:val="724D6D54"/>
    <w:rsid w:val="7251239D"/>
    <w:rsid w:val="725B76BF"/>
    <w:rsid w:val="725E2D0C"/>
    <w:rsid w:val="72750781"/>
    <w:rsid w:val="727D3192"/>
    <w:rsid w:val="7285473C"/>
    <w:rsid w:val="7289422C"/>
    <w:rsid w:val="729D3834"/>
    <w:rsid w:val="72A11576"/>
    <w:rsid w:val="72A46970"/>
    <w:rsid w:val="72A746B3"/>
    <w:rsid w:val="72AC1CC9"/>
    <w:rsid w:val="72C2773E"/>
    <w:rsid w:val="72CD0114"/>
    <w:rsid w:val="72DA05E4"/>
    <w:rsid w:val="72DB610A"/>
    <w:rsid w:val="72DD6326"/>
    <w:rsid w:val="72EE22E1"/>
    <w:rsid w:val="72F35B4A"/>
    <w:rsid w:val="73092C77"/>
    <w:rsid w:val="730D09BA"/>
    <w:rsid w:val="7315786E"/>
    <w:rsid w:val="73214465"/>
    <w:rsid w:val="7346211D"/>
    <w:rsid w:val="734B14E2"/>
    <w:rsid w:val="734F1159"/>
    <w:rsid w:val="735B07AF"/>
    <w:rsid w:val="735C36EF"/>
    <w:rsid w:val="736B1B84"/>
    <w:rsid w:val="736D1458"/>
    <w:rsid w:val="737D27AA"/>
    <w:rsid w:val="737E18B7"/>
    <w:rsid w:val="73922C6D"/>
    <w:rsid w:val="73B5603C"/>
    <w:rsid w:val="73BC23E0"/>
    <w:rsid w:val="73C117A4"/>
    <w:rsid w:val="73D414D7"/>
    <w:rsid w:val="73F456D6"/>
    <w:rsid w:val="73FA4E4E"/>
    <w:rsid w:val="73FB40F1"/>
    <w:rsid w:val="74000C22"/>
    <w:rsid w:val="74130252"/>
    <w:rsid w:val="7416130F"/>
    <w:rsid w:val="741B5358"/>
    <w:rsid w:val="742B404C"/>
    <w:rsid w:val="743261FE"/>
    <w:rsid w:val="74341F76"/>
    <w:rsid w:val="74373814"/>
    <w:rsid w:val="743E1680"/>
    <w:rsid w:val="74675EA7"/>
    <w:rsid w:val="747D391D"/>
    <w:rsid w:val="74807310"/>
    <w:rsid w:val="749A44CF"/>
    <w:rsid w:val="74D3178F"/>
    <w:rsid w:val="74DD0860"/>
    <w:rsid w:val="74E24A63"/>
    <w:rsid w:val="74E67714"/>
    <w:rsid w:val="74F55BA9"/>
    <w:rsid w:val="74F749D0"/>
    <w:rsid w:val="750202C6"/>
    <w:rsid w:val="75041948"/>
    <w:rsid w:val="75061B64"/>
    <w:rsid w:val="75071439"/>
    <w:rsid w:val="75232716"/>
    <w:rsid w:val="752D5343"/>
    <w:rsid w:val="753748D1"/>
    <w:rsid w:val="753E3B2D"/>
    <w:rsid w:val="754E0E15"/>
    <w:rsid w:val="755723C0"/>
    <w:rsid w:val="75572FED"/>
    <w:rsid w:val="75660855"/>
    <w:rsid w:val="75671ED7"/>
    <w:rsid w:val="756920F3"/>
    <w:rsid w:val="756B19C7"/>
    <w:rsid w:val="756E0C76"/>
    <w:rsid w:val="75864A53"/>
    <w:rsid w:val="759540EE"/>
    <w:rsid w:val="75AE7B06"/>
    <w:rsid w:val="75C83BAE"/>
    <w:rsid w:val="75DA08FB"/>
    <w:rsid w:val="75EF25F8"/>
    <w:rsid w:val="76085488"/>
    <w:rsid w:val="7611392E"/>
    <w:rsid w:val="76115C78"/>
    <w:rsid w:val="76117E14"/>
    <w:rsid w:val="762304F4"/>
    <w:rsid w:val="7625601A"/>
    <w:rsid w:val="762878B8"/>
    <w:rsid w:val="762B73A9"/>
    <w:rsid w:val="763224E5"/>
    <w:rsid w:val="76344381"/>
    <w:rsid w:val="76366479"/>
    <w:rsid w:val="764271F6"/>
    <w:rsid w:val="766052A4"/>
    <w:rsid w:val="76684159"/>
    <w:rsid w:val="766F54E7"/>
    <w:rsid w:val="769E5DCD"/>
    <w:rsid w:val="76A10006"/>
    <w:rsid w:val="76A333E3"/>
    <w:rsid w:val="76AC04E9"/>
    <w:rsid w:val="76BB24DB"/>
    <w:rsid w:val="76CE0460"/>
    <w:rsid w:val="76D20F35"/>
    <w:rsid w:val="76D6095E"/>
    <w:rsid w:val="76DD4B47"/>
    <w:rsid w:val="76F31C74"/>
    <w:rsid w:val="76FF686B"/>
    <w:rsid w:val="770245AD"/>
    <w:rsid w:val="770E6AAE"/>
    <w:rsid w:val="77134D0A"/>
    <w:rsid w:val="772256CF"/>
    <w:rsid w:val="772462D2"/>
    <w:rsid w:val="77334767"/>
    <w:rsid w:val="77420E4E"/>
    <w:rsid w:val="774509A1"/>
    <w:rsid w:val="7746449A"/>
    <w:rsid w:val="77495D38"/>
    <w:rsid w:val="775C1F10"/>
    <w:rsid w:val="776C09EA"/>
    <w:rsid w:val="777032C5"/>
    <w:rsid w:val="77822FF8"/>
    <w:rsid w:val="7783017F"/>
    <w:rsid w:val="77884038"/>
    <w:rsid w:val="778B7F8E"/>
    <w:rsid w:val="7794747D"/>
    <w:rsid w:val="77AB5CEF"/>
    <w:rsid w:val="77C72145"/>
    <w:rsid w:val="77E65C7D"/>
    <w:rsid w:val="77E85551"/>
    <w:rsid w:val="780E5C91"/>
    <w:rsid w:val="780F6F82"/>
    <w:rsid w:val="7831514A"/>
    <w:rsid w:val="78370287"/>
    <w:rsid w:val="78484242"/>
    <w:rsid w:val="785B5D23"/>
    <w:rsid w:val="785C1A9B"/>
    <w:rsid w:val="78615304"/>
    <w:rsid w:val="787119EB"/>
    <w:rsid w:val="788C2381"/>
    <w:rsid w:val="78AB42EA"/>
    <w:rsid w:val="78B813C8"/>
    <w:rsid w:val="78BD69DE"/>
    <w:rsid w:val="78C6346C"/>
    <w:rsid w:val="78CF29FB"/>
    <w:rsid w:val="78D635FC"/>
    <w:rsid w:val="790B4928"/>
    <w:rsid w:val="790B5211"/>
    <w:rsid w:val="79134850"/>
    <w:rsid w:val="791D122B"/>
    <w:rsid w:val="7920054A"/>
    <w:rsid w:val="792C3B64"/>
    <w:rsid w:val="792C76C0"/>
    <w:rsid w:val="794331AC"/>
    <w:rsid w:val="794669D3"/>
    <w:rsid w:val="79652BD2"/>
    <w:rsid w:val="796E1A86"/>
    <w:rsid w:val="79823784"/>
    <w:rsid w:val="79825532"/>
    <w:rsid w:val="798968C0"/>
    <w:rsid w:val="798C63B0"/>
    <w:rsid w:val="79975481"/>
    <w:rsid w:val="79A67472"/>
    <w:rsid w:val="79AC0800"/>
    <w:rsid w:val="79BC6C95"/>
    <w:rsid w:val="79C30024"/>
    <w:rsid w:val="79C619C0"/>
    <w:rsid w:val="79DC10E6"/>
    <w:rsid w:val="79E1494E"/>
    <w:rsid w:val="79E461EC"/>
    <w:rsid w:val="79ED6E4F"/>
    <w:rsid w:val="79F0693F"/>
    <w:rsid w:val="7A0423EA"/>
    <w:rsid w:val="7A0917AF"/>
    <w:rsid w:val="7A15509D"/>
    <w:rsid w:val="7A17211E"/>
    <w:rsid w:val="7A37456E"/>
    <w:rsid w:val="7A401675"/>
    <w:rsid w:val="7A4A24F3"/>
    <w:rsid w:val="7A6510DB"/>
    <w:rsid w:val="7AA10445"/>
    <w:rsid w:val="7AA470EB"/>
    <w:rsid w:val="7AAA4D40"/>
    <w:rsid w:val="7AAA546C"/>
    <w:rsid w:val="7AB160CE"/>
    <w:rsid w:val="7AB931D5"/>
    <w:rsid w:val="7AC73B44"/>
    <w:rsid w:val="7ACD2412"/>
    <w:rsid w:val="7AD11F0B"/>
    <w:rsid w:val="7AD66837"/>
    <w:rsid w:val="7AEE7031"/>
    <w:rsid w:val="7AEF309B"/>
    <w:rsid w:val="7B0F1047"/>
    <w:rsid w:val="7B1228E5"/>
    <w:rsid w:val="7B2E4868"/>
    <w:rsid w:val="7B37348A"/>
    <w:rsid w:val="7B38059E"/>
    <w:rsid w:val="7B407452"/>
    <w:rsid w:val="7B4852FD"/>
    <w:rsid w:val="7B4927AB"/>
    <w:rsid w:val="7B5D1DB2"/>
    <w:rsid w:val="7B690757"/>
    <w:rsid w:val="7B713AB0"/>
    <w:rsid w:val="7B7A2964"/>
    <w:rsid w:val="7B812F56"/>
    <w:rsid w:val="7B9A1258"/>
    <w:rsid w:val="7BA619AB"/>
    <w:rsid w:val="7BB51BEE"/>
    <w:rsid w:val="7BBD4F47"/>
    <w:rsid w:val="7BCB31C0"/>
    <w:rsid w:val="7BE40725"/>
    <w:rsid w:val="7BF1074D"/>
    <w:rsid w:val="7C0466D2"/>
    <w:rsid w:val="7C110C5B"/>
    <w:rsid w:val="7C1C3A1B"/>
    <w:rsid w:val="7C211032"/>
    <w:rsid w:val="7C33545A"/>
    <w:rsid w:val="7C3945CD"/>
    <w:rsid w:val="7C4D0079"/>
    <w:rsid w:val="7C5A471D"/>
    <w:rsid w:val="7C5E5DE2"/>
    <w:rsid w:val="7C6453C2"/>
    <w:rsid w:val="7C686C61"/>
    <w:rsid w:val="7C790E6E"/>
    <w:rsid w:val="7C914409"/>
    <w:rsid w:val="7C981EB1"/>
    <w:rsid w:val="7C9932BE"/>
    <w:rsid w:val="7CA51C63"/>
    <w:rsid w:val="7CAA54CB"/>
    <w:rsid w:val="7CAC1243"/>
    <w:rsid w:val="7CAD4FBB"/>
    <w:rsid w:val="7CDD506A"/>
    <w:rsid w:val="7CEF3F9C"/>
    <w:rsid w:val="7CF93D5D"/>
    <w:rsid w:val="7D00333D"/>
    <w:rsid w:val="7D0C1CE2"/>
    <w:rsid w:val="7D126BCC"/>
    <w:rsid w:val="7D1F7C67"/>
    <w:rsid w:val="7D2232B3"/>
    <w:rsid w:val="7D2E7EAA"/>
    <w:rsid w:val="7D340CBE"/>
    <w:rsid w:val="7D360B0D"/>
    <w:rsid w:val="7D40198C"/>
    <w:rsid w:val="7D407BDD"/>
    <w:rsid w:val="7D4A45B8"/>
    <w:rsid w:val="7D511DEB"/>
    <w:rsid w:val="7D515947"/>
    <w:rsid w:val="7D6F401F"/>
    <w:rsid w:val="7D7004C3"/>
    <w:rsid w:val="7D717D97"/>
    <w:rsid w:val="7D871368"/>
    <w:rsid w:val="7D9817C8"/>
    <w:rsid w:val="7DAC6685"/>
    <w:rsid w:val="7DB5168F"/>
    <w:rsid w:val="7DCE51E9"/>
    <w:rsid w:val="7DD24CD9"/>
    <w:rsid w:val="7DE20C95"/>
    <w:rsid w:val="7DEB5D9B"/>
    <w:rsid w:val="7DED1B13"/>
    <w:rsid w:val="7DEF11E8"/>
    <w:rsid w:val="7DF52776"/>
    <w:rsid w:val="7DF764EE"/>
    <w:rsid w:val="7E1370A0"/>
    <w:rsid w:val="7E1C3F62"/>
    <w:rsid w:val="7E1E7F1F"/>
    <w:rsid w:val="7E235C19"/>
    <w:rsid w:val="7E3314F0"/>
    <w:rsid w:val="7E33329E"/>
    <w:rsid w:val="7E3761D0"/>
    <w:rsid w:val="7E3E1B66"/>
    <w:rsid w:val="7E3E411D"/>
    <w:rsid w:val="7E486D4A"/>
    <w:rsid w:val="7E642C2D"/>
    <w:rsid w:val="7E663674"/>
    <w:rsid w:val="7E6E2528"/>
    <w:rsid w:val="7E755665"/>
    <w:rsid w:val="7E7D5CB9"/>
    <w:rsid w:val="7E7F4735"/>
    <w:rsid w:val="7E9F0934"/>
    <w:rsid w:val="7EAF6DC9"/>
    <w:rsid w:val="7EB73ECF"/>
    <w:rsid w:val="7EB75C7D"/>
    <w:rsid w:val="7EB77A2B"/>
    <w:rsid w:val="7EBB5B4C"/>
    <w:rsid w:val="7EDC6378"/>
    <w:rsid w:val="7EDE76AE"/>
    <w:rsid w:val="7EE12CFA"/>
    <w:rsid w:val="7EEA6053"/>
    <w:rsid w:val="7EF42A2E"/>
    <w:rsid w:val="7EF7251E"/>
    <w:rsid w:val="7EFC18E2"/>
    <w:rsid w:val="7F0215EE"/>
    <w:rsid w:val="7F0B00B5"/>
    <w:rsid w:val="7F164A93"/>
    <w:rsid w:val="7F231565"/>
    <w:rsid w:val="7F264BB1"/>
    <w:rsid w:val="7F343772"/>
    <w:rsid w:val="7F370B6C"/>
    <w:rsid w:val="7F3B240A"/>
    <w:rsid w:val="7F3B68AE"/>
    <w:rsid w:val="7F413799"/>
    <w:rsid w:val="7F4F4108"/>
    <w:rsid w:val="7F565496"/>
    <w:rsid w:val="7F582C29"/>
    <w:rsid w:val="7F623E3B"/>
    <w:rsid w:val="7F7B4EFD"/>
    <w:rsid w:val="7F9B734D"/>
    <w:rsid w:val="7F9F1FF5"/>
    <w:rsid w:val="7FA97CBC"/>
    <w:rsid w:val="7FAC155A"/>
    <w:rsid w:val="7FDD34C2"/>
    <w:rsid w:val="7FE02FB2"/>
    <w:rsid w:val="7FE707E4"/>
    <w:rsid w:val="7FF54CAF"/>
    <w:rsid w:val="7FFB096C"/>
    <w:rsid w:val="7FFF60BF"/>
    <w:rsid w:val="B5FF439F"/>
    <w:rsid w:val="BBEF107A"/>
    <w:rsid w:val="DCFFE652"/>
    <w:rsid w:val="FE035DE5"/>
    <w:rsid w:val="FF7BC11D"/>
    <w:rsid w:val="FF9A1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autoRedefine/>
    <w:qFormat/>
    <w:uiPriority w:val="0"/>
    <w:pPr>
      <w:keepNext/>
      <w:keepLines/>
      <w:tabs>
        <w:tab w:val="left" w:pos="8280"/>
      </w:tabs>
      <w:spacing w:before="260" w:after="260" w:line="416" w:lineRule="auto"/>
      <w:outlineLvl w:val="2"/>
    </w:pPr>
    <w:rPr>
      <w:bCs/>
      <w:szCs w:val="32"/>
    </w:rPr>
  </w:style>
  <w:style w:type="paragraph" w:styleId="6">
    <w:name w:val="heading 4"/>
    <w:next w:val="1"/>
    <w:autoRedefine/>
    <w:qFormat/>
    <w:uiPriority w:val="0"/>
    <w:pPr>
      <w:keepNext/>
      <w:keepLines/>
      <w:numPr>
        <w:ilvl w:val="3"/>
        <w:numId w:val="2"/>
      </w:numPr>
      <w:tabs>
        <w:tab w:val="left" w:pos="0"/>
      </w:tabs>
      <w:adjustRightInd w:val="0"/>
      <w:snapToGrid w:val="0"/>
      <w:ind w:left="0" w:firstLine="0"/>
      <w:outlineLvl w:val="3"/>
    </w:pPr>
    <w:rPr>
      <w:rFonts w:ascii="Calibri" w:hAnsi="Calibri" w:eastAsia="宋体" w:cs="Times New Roman"/>
      <w:b/>
      <w:sz w:val="24"/>
      <w:lang w:val="en-US" w:eastAsia="zh-CN" w:bidi="ar-SA"/>
    </w:rPr>
  </w:style>
  <w:style w:type="paragraph" w:styleId="7">
    <w:name w:val="heading 5"/>
    <w:next w:val="1"/>
    <w:autoRedefine/>
    <w:qFormat/>
    <w:uiPriority w:val="0"/>
    <w:pPr>
      <w:keepNext/>
      <w:keepLines/>
      <w:numPr>
        <w:ilvl w:val="4"/>
        <w:numId w:val="2"/>
      </w:numPr>
      <w:spacing w:line="360" w:lineRule="auto"/>
      <w:ind w:left="0" w:firstLine="0"/>
      <w:outlineLvl w:val="4"/>
    </w:pPr>
    <w:rPr>
      <w:rFonts w:ascii="Times New Roman" w:hAnsi="Times New Roman" w:eastAsia="宋体" w:cs="Times New Roman"/>
      <w:b/>
      <w:sz w:val="24"/>
      <w:lang w:val="en-US" w:eastAsia="zh-CN" w:bidi="ar-SA"/>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8">
    <w:name w:val="List Number"/>
    <w:basedOn w:val="1"/>
    <w:autoRedefine/>
    <w:qFormat/>
    <w:uiPriority w:val="0"/>
    <w:pPr>
      <w:numPr>
        <w:ilvl w:val="0"/>
        <w:numId w:val="3"/>
      </w:numPr>
    </w:pPr>
  </w:style>
  <w:style w:type="paragraph" w:styleId="9">
    <w:name w:val="Normal Indent"/>
    <w:basedOn w:val="1"/>
    <w:link w:val="59"/>
    <w:autoRedefine/>
    <w:qFormat/>
    <w:uiPriority w:val="99"/>
    <w:pPr>
      <w:ind w:firstLine="420"/>
    </w:pPr>
    <w:rPr>
      <w:szCs w:val="20"/>
    </w:rPr>
  </w:style>
  <w:style w:type="paragraph" w:styleId="10">
    <w:name w:val="annotation text"/>
    <w:basedOn w:val="1"/>
    <w:link w:val="64"/>
    <w:autoRedefine/>
    <w:qFormat/>
    <w:uiPriority w:val="0"/>
    <w:pPr>
      <w:jc w:val="left"/>
    </w:pPr>
  </w:style>
  <w:style w:type="paragraph" w:styleId="11">
    <w:name w:val="Body Text"/>
    <w:basedOn w:val="1"/>
    <w:next w:val="12"/>
    <w:autoRedefine/>
    <w:qFormat/>
    <w:uiPriority w:val="0"/>
    <w:pPr>
      <w:spacing w:line="360" w:lineRule="exact"/>
    </w:pPr>
    <w:rPr>
      <w:sz w:val="24"/>
    </w:rPr>
  </w:style>
  <w:style w:type="paragraph" w:styleId="12">
    <w:name w:val="Body Text First Indent"/>
    <w:basedOn w:val="11"/>
    <w:next w:val="1"/>
    <w:autoRedefine/>
    <w:qFormat/>
    <w:uiPriority w:val="0"/>
    <w:pPr>
      <w:ind w:firstLine="200" w:firstLineChars="200"/>
    </w:pPr>
  </w:style>
  <w:style w:type="paragraph" w:styleId="13">
    <w:name w:val="Body Text Indent"/>
    <w:basedOn w:val="1"/>
    <w:next w:val="1"/>
    <w:autoRedefine/>
    <w:qFormat/>
    <w:uiPriority w:val="0"/>
    <w:pPr>
      <w:spacing w:after="120"/>
      <w:ind w:left="420" w:leftChars="200"/>
    </w:pPr>
  </w:style>
  <w:style w:type="paragraph" w:styleId="14">
    <w:name w:val="Plain Text"/>
    <w:basedOn w:val="1"/>
    <w:next w:val="15"/>
    <w:link w:val="61"/>
    <w:autoRedefine/>
    <w:qFormat/>
    <w:uiPriority w:val="0"/>
    <w:rPr>
      <w:rFonts w:ascii="宋体" w:hAnsi="Courier New" w:cs="宋体"/>
    </w:rPr>
  </w:style>
  <w:style w:type="paragraph" w:styleId="15">
    <w:name w:val="Date"/>
    <w:basedOn w:val="1"/>
    <w:next w:val="1"/>
    <w:autoRedefine/>
    <w:qFormat/>
    <w:uiPriority w:val="0"/>
    <w:pPr>
      <w:ind w:left="2500" w:leftChars="2500"/>
    </w:pPr>
    <w:rPr>
      <w:rFonts w:ascii="Calibri" w:hAnsi="Calibri" w:eastAsia="楷体_GB2312" w:cs="宋体"/>
      <w:sz w:val="32"/>
      <w:szCs w:val="22"/>
    </w:rPr>
  </w:style>
  <w:style w:type="paragraph" w:styleId="16">
    <w:name w:val="Balloon Text"/>
    <w:basedOn w:val="1"/>
    <w:link w:val="49"/>
    <w:autoRedefine/>
    <w:qFormat/>
    <w:uiPriority w:val="0"/>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19">
    <w:name w:val="Body Text First Indent 2"/>
    <w:basedOn w:val="13"/>
    <w:next w:val="1"/>
    <w:autoRedefine/>
    <w:qFormat/>
    <w:uiPriority w:val="0"/>
    <w:pPr>
      <w:ind w:firstLine="420"/>
    </w:pPr>
  </w:style>
  <w:style w:type="table" w:styleId="21">
    <w:name w:val="Table Grid"/>
    <w:basedOn w:val="20"/>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autoRedefine/>
    <w:qFormat/>
    <w:uiPriority w:val="0"/>
    <w:rPr>
      <w:color w:val="800080"/>
      <w:u w:val="single"/>
    </w:rPr>
  </w:style>
  <w:style w:type="character" w:styleId="24">
    <w:name w:val="Hyperlink"/>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styleId="27">
    <w:name w:val="List Paragraph"/>
    <w:basedOn w:val="1"/>
    <w:autoRedefine/>
    <w:qFormat/>
    <w:uiPriority w:val="34"/>
    <w:pPr>
      <w:ind w:firstLine="420" w:firstLineChars="200"/>
    </w:pPr>
    <w:rPr>
      <w:rFonts w:ascii="Calibri" w:hAnsi="Calibri"/>
      <w:szCs w:val="22"/>
    </w:rPr>
  </w:style>
  <w:style w:type="paragraph" w:customStyle="1" w:styleId="2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3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autoRedefine/>
    <w:qFormat/>
    <w:uiPriority w:val="0"/>
    <w:rPr>
      <w:rFonts w:ascii="Times New Roman" w:hAnsi="Times New Roman" w:eastAsia="宋体" w:cs="Times New Roman"/>
      <w:sz w:val="21"/>
      <w:szCs w:val="22"/>
      <w:lang w:val="en-US" w:eastAsia="zh-CN" w:bidi="ar-SA"/>
    </w:rPr>
  </w:style>
  <w:style w:type="paragraph" w:customStyle="1" w:styleId="3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autoRedefine/>
    <w:qFormat/>
    <w:uiPriority w:val="0"/>
    <w:pPr>
      <w:widowControl/>
      <w:jc w:val="left"/>
    </w:pPr>
    <w:rPr>
      <w:rFonts w:ascii="宋体" w:hAnsi="Courier New" w:cs="宋体"/>
      <w:szCs w:val="21"/>
    </w:rPr>
  </w:style>
  <w:style w:type="paragraph" w:customStyle="1" w:styleId="37">
    <w:name w:val="纯文本_0_1"/>
    <w:basedOn w:val="1"/>
    <w:autoRedefine/>
    <w:qFormat/>
    <w:uiPriority w:val="0"/>
    <w:pPr>
      <w:widowControl/>
      <w:jc w:val="left"/>
    </w:pPr>
    <w:rPr>
      <w:rFonts w:ascii="宋体" w:hAnsi="Courier New" w:cs="宋体"/>
      <w:szCs w:val="21"/>
    </w:rPr>
  </w:style>
  <w:style w:type="paragraph" w:customStyle="1" w:styleId="3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2"/>
    <w:autoRedefine/>
    <w:qFormat/>
    <w:uiPriority w:val="0"/>
    <w:rPr>
      <w:rFonts w:hint="default" w:ascii="Arial" w:hAnsi="Arial" w:cs="Arial"/>
      <w:color w:val="000000"/>
      <w:sz w:val="20"/>
      <w:szCs w:val="20"/>
      <w:u w:val="none"/>
    </w:rPr>
  </w:style>
  <w:style w:type="character" w:customStyle="1" w:styleId="43">
    <w:name w:val="font01"/>
    <w:basedOn w:val="22"/>
    <w:autoRedefine/>
    <w:qFormat/>
    <w:uiPriority w:val="0"/>
    <w:rPr>
      <w:rFonts w:hint="eastAsia" w:ascii="宋体" w:hAnsi="宋体" w:eastAsia="宋体" w:cs="宋体"/>
      <w:color w:val="000000"/>
      <w:sz w:val="20"/>
      <w:szCs w:val="20"/>
      <w:u w:val="none"/>
    </w:rPr>
  </w:style>
  <w:style w:type="paragraph" w:customStyle="1" w:styleId="44">
    <w:name w:val="纯文本1"/>
    <w:basedOn w:val="45"/>
    <w:autoRedefine/>
    <w:qFormat/>
    <w:uiPriority w:val="0"/>
    <w:pPr>
      <w:widowControl/>
      <w:jc w:val="left"/>
    </w:pPr>
    <w:rPr>
      <w:rFonts w:ascii="宋体" w:hAnsi="Courier New"/>
    </w:rPr>
  </w:style>
  <w:style w:type="paragraph" w:customStyle="1" w:styleId="4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autoRedefine/>
    <w:qFormat/>
    <w:uiPriority w:val="1"/>
    <w:rPr>
      <w:rFonts w:ascii="宋体" w:hAnsi="宋体" w:cs="宋体"/>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character" w:customStyle="1" w:styleId="48">
    <w:name w:val="标题 1 Char Char"/>
    <w:basedOn w:val="22"/>
    <w:autoRedefine/>
    <w:qFormat/>
    <w:uiPriority w:val="0"/>
    <w:rPr>
      <w:rFonts w:eastAsia="宋体"/>
      <w:b/>
      <w:spacing w:val="-2"/>
      <w:sz w:val="24"/>
      <w:lang w:val="en-US" w:eastAsia="zh-CN" w:bidi="ar-SA"/>
    </w:rPr>
  </w:style>
  <w:style w:type="character" w:customStyle="1" w:styleId="49">
    <w:name w:val="批注框文本 Char"/>
    <w:basedOn w:val="22"/>
    <w:link w:val="16"/>
    <w:autoRedefine/>
    <w:qFormat/>
    <w:uiPriority w:val="0"/>
    <w:rPr>
      <w:kern w:val="2"/>
      <w:sz w:val="18"/>
      <w:szCs w:val="18"/>
    </w:rPr>
  </w:style>
  <w:style w:type="character" w:customStyle="1" w:styleId="50">
    <w:name w:val="NormalCharacter"/>
    <w:autoRedefine/>
    <w:qFormat/>
    <w:uiPriority w:val="0"/>
  </w:style>
  <w:style w:type="paragraph" w:customStyle="1" w:styleId="51">
    <w:name w:val="NormalIndent"/>
    <w:basedOn w:val="1"/>
    <w:autoRedefine/>
    <w:qFormat/>
    <w:uiPriority w:val="0"/>
    <w:pPr>
      <w:ind w:firstLine="420"/>
    </w:pPr>
    <w:rPr>
      <w:szCs w:val="20"/>
    </w:rPr>
  </w:style>
  <w:style w:type="paragraph" w:customStyle="1" w:styleId="52">
    <w:name w:val="表格文字"/>
    <w:basedOn w:val="1"/>
    <w:next w:val="11"/>
    <w:autoRedefine/>
    <w:qFormat/>
    <w:uiPriority w:val="0"/>
    <w:rPr>
      <w:rFonts w:ascii="Arial" w:hAnsi="Arial"/>
      <w:szCs w:val="21"/>
    </w:rPr>
  </w:style>
  <w:style w:type="paragraph" w:customStyle="1" w:styleId="53">
    <w:name w:val="MY正文"/>
    <w:basedOn w:val="1"/>
    <w:autoRedefine/>
    <w:qFormat/>
    <w:uiPriority w:val="0"/>
    <w:pPr>
      <w:spacing w:line="360" w:lineRule="auto"/>
      <w:ind w:firstLine="200" w:firstLineChars="200"/>
    </w:pPr>
    <w:rPr>
      <w:sz w:val="24"/>
    </w:rPr>
  </w:style>
  <w:style w:type="paragraph" w:customStyle="1" w:styleId="54">
    <w:name w:val="默认段落字体 Para Char Char Char Char Char Char Char Char Char1 Char Char Char Char"/>
    <w:basedOn w:val="1"/>
    <w:autoRedefine/>
    <w:qFormat/>
    <w:uiPriority w:val="0"/>
    <w:rPr>
      <w:rFonts w:ascii="Tahoma" w:hAnsi="Tahoma"/>
      <w:sz w:val="24"/>
      <w:szCs w:val="20"/>
    </w:rPr>
  </w:style>
  <w:style w:type="paragraph" w:customStyle="1" w:styleId="55">
    <w:name w:val="正文2"/>
    <w:basedOn w:val="1"/>
    <w:autoRedefine/>
    <w:qFormat/>
    <w:uiPriority w:val="0"/>
    <w:pPr>
      <w:spacing w:before="156" w:line="360" w:lineRule="auto"/>
      <w:ind w:firstLine="510" w:firstLineChars="200"/>
    </w:pPr>
    <w:rPr>
      <w:sz w:val="24"/>
      <w:szCs w:val="20"/>
    </w:rPr>
  </w:style>
  <w:style w:type="character" w:customStyle="1" w:styleId="56">
    <w:name w:val="font41"/>
    <w:basedOn w:val="22"/>
    <w:autoRedefine/>
    <w:qFormat/>
    <w:uiPriority w:val="0"/>
    <w:rPr>
      <w:rFonts w:hint="eastAsia" w:ascii="宋体" w:hAnsi="宋体" w:eastAsia="宋体" w:cs="宋体"/>
      <w:color w:val="000000"/>
      <w:sz w:val="24"/>
      <w:szCs w:val="24"/>
      <w:u w:val="none"/>
    </w:rPr>
  </w:style>
  <w:style w:type="character" w:customStyle="1" w:styleId="57">
    <w:name w:val="font11"/>
    <w:basedOn w:val="22"/>
    <w:autoRedefine/>
    <w:qFormat/>
    <w:uiPriority w:val="0"/>
    <w:rPr>
      <w:rFonts w:hint="eastAsia" w:ascii="宋体" w:hAnsi="宋体" w:eastAsia="宋体" w:cs="宋体"/>
      <w:color w:val="000000"/>
      <w:sz w:val="16"/>
      <w:szCs w:val="16"/>
      <w:u w:val="none"/>
    </w:rPr>
  </w:style>
  <w:style w:type="paragraph" w:customStyle="1" w:styleId="5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正文缩进 Char"/>
    <w:link w:val="9"/>
    <w:autoRedefine/>
    <w:qFormat/>
    <w:locked/>
    <w:uiPriority w:val="99"/>
    <w:rPr>
      <w:kern w:val="2"/>
      <w:sz w:val="21"/>
    </w:rPr>
  </w:style>
  <w:style w:type="paragraph" w:customStyle="1" w:styleId="60">
    <w:name w:val="UserStyle_8"/>
    <w:basedOn w:val="1"/>
    <w:autoRedefine/>
    <w:qFormat/>
    <w:uiPriority w:val="0"/>
    <w:pPr>
      <w:widowControl/>
      <w:spacing w:before="30"/>
      <w:ind w:left="100" w:right="100"/>
      <w:textAlignment w:val="baseline"/>
    </w:pPr>
    <w:rPr>
      <w:rFonts w:ascii="方正书宋简体" w:hAnsi="宋体" w:eastAsia="方正书宋简体" w:cstheme="minorBidi"/>
      <w:color w:val="000000"/>
      <w:kern w:val="0"/>
      <w:szCs w:val="21"/>
    </w:rPr>
  </w:style>
  <w:style w:type="character" w:customStyle="1" w:styleId="61">
    <w:name w:val="纯文本 Char"/>
    <w:link w:val="14"/>
    <w:autoRedefine/>
    <w:qFormat/>
    <w:uiPriority w:val="99"/>
    <w:rPr>
      <w:rFonts w:ascii="宋体" w:hAnsi="Courier New" w:cs="宋体"/>
      <w:kern w:val="2"/>
      <w:sz w:val="21"/>
      <w:szCs w:val="24"/>
    </w:rPr>
  </w:style>
  <w:style w:type="paragraph" w:customStyle="1" w:styleId="62">
    <w:name w:val="PlainText"/>
    <w:basedOn w:val="1"/>
    <w:autoRedefine/>
    <w:qFormat/>
    <w:uiPriority w:val="0"/>
    <w:pPr>
      <w:widowControl/>
      <w:textAlignment w:val="baseline"/>
    </w:pPr>
    <w:rPr>
      <w:rFonts w:ascii="宋体" w:hAnsi="Courier New" w:cstheme="minorBidi"/>
    </w:rPr>
  </w:style>
  <w:style w:type="paragraph" w:customStyle="1" w:styleId="63">
    <w:name w:val="BodyText"/>
    <w:basedOn w:val="1"/>
    <w:autoRedefine/>
    <w:qFormat/>
    <w:uiPriority w:val="0"/>
    <w:pPr>
      <w:widowControl/>
      <w:spacing w:line="360" w:lineRule="exact"/>
      <w:textAlignment w:val="baseline"/>
    </w:pPr>
    <w:rPr>
      <w:rFonts w:cstheme="minorBidi"/>
      <w:sz w:val="24"/>
    </w:rPr>
  </w:style>
  <w:style w:type="character" w:customStyle="1" w:styleId="64">
    <w:name w:val="批注文字 Char"/>
    <w:basedOn w:val="22"/>
    <w:link w:val="10"/>
    <w:autoRedefine/>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22128</Words>
  <Characters>23453</Characters>
  <Lines>185</Lines>
  <Paragraphs>52</Paragraphs>
  <TotalTime>23</TotalTime>
  <ScaleCrop>false</ScaleCrop>
  <LinksUpToDate>false</LinksUpToDate>
  <CharactersWithSpaces>24576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2022-03-10T23:51:00Z</dcterms:created>
  <dc:creator>Thorpe521</dc:creator>
  <cp:lastModifiedBy>桃浪三</cp:lastModifiedBy>
  <cp:lastPrinted>2024-07-16T22:31:00Z</cp:lastPrinted>
  <dcterms:modified xsi:type="dcterms:W3CDTF">2024-09-24T02:06:17Z</dcterms:modified>
  <cp:revision>4018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D77D0EC519FF0AFDDCFAE666A9D47714_43</vt:lpwstr>
  </property>
</Properties>
</file>