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hint="eastAsia" w:ascii="宋体"/>
          <w:b/>
          <w:kern w:val="0"/>
          <w:sz w:val="52"/>
          <w:szCs w:val="52"/>
        </w:rPr>
        <w:t>台州市政府采购</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hint="eastAsia" w:ascii="宋体"/>
          <w:b/>
          <w:kern w:val="0"/>
          <w:sz w:val="52"/>
          <w:szCs w:val="52"/>
        </w:rPr>
        <w:t>竞争性磋商文件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eastAsia="宋体"/>
          <w:b/>
          <w:bCs/>
          <w:color w:val="auto"/>
          <w:kern w:val="0"/>
          <w:sz w:val="52"/>
          <w:szCs w:val="52"/>
          <w:lang w:eastAsia="zh-CN"/>
        </w:rPr>
      </w:pPr>
      <w:r>
        <w:rPr>
          <w:rFonts w:hint="eastAsia" w:ascii="宋体"/>
          <w:b/>
          <w:bCs/>
          <w:color w:val="auto"/>
          <w:kern w:val="0"/>
          <w:sz w:val="28"/>
          <w:lang w:eastAsia="zh-CN"/>
        </w:rPr>
        <w:t>TZTX-2024-CS053-1</w:t>
      </w:r>
    </w:p>
    <w:p>
      <w:pPr>
        <w:autoSpaceDE w:val="0"/>
        <w:autoSpaceDN w:val="0"/>
        <w:adjustRightInd w:val="0"/>
        <w:spacing w:line="360" w:lineRule="auto"/>
        <w:jc w:val="left"/>
        <w:rPr>
          <w:rFonts w:ascii="宋体"/>
          <w:kern w:val="0"/>
          <w:sz w:val="28"/>
        </w:rPr>
      </w:pPr>
    </w:p>
    <w:p>
      <w:pPr>
        <w:autoSpaceDE w:val="0"/>
        <w:autoSpaceDN w:val="0"/>
        <w:adjustRightInd w:val="0"/>
        <w:spacing w:line="360" w:lineRule="auto"/>
        <w:jc w:val="center"/>
        <w:rPr>
          <w:rFonts w:ascii="宋体"/>
          <w:kern w:val="0"/>
          <w:sz w:val="28"/>
        </w:rPr>
      </w:pPr>
      <w:r>
        <w:rPr>
          <w:rFonts w:hint="eastAsia" w:ascii="宋体"/>
          <w:kern w:val="0"/>
          <w:sz w:val="28"/>
        </w:rPr>
        <w:t>采购项目：后勤保障服务项目</w:t>
      </w:r>
    </w:p>
    <w:p>
      <w:pPr>
        <w:autoSpaceDE w:val="0"/>
        <w:autoSpaceDN w:val="0"/>
        <w:adjustRightInd w:val="0"/>
        <w:spacing w:line="360" w:lineRule="auto"/>
        <w:jc w:val="center"/>
        <w:rPr>
          <w:rFonts w:ascii="宋体"/>
          <w:kern w:val="0"/>
          <w:sz w:val="28"/>
        </w:rPr>
      </w:pPr>
      <w:r>
        <w:rPr>
          <w:rFonts w:hint="eastAsia" w:ascii="宋体"/>
          <w:kern w:val="0"/>
          <w:sz w:val="28"/>
        </w:rPr>
        <w:t>采 购 人：台州市中级人民法院</w:t>
      </w:r>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cs="宋体"/>
          <w:kern w:val="0"/>
          <w:sz w:val="28"/>
          <w:szCs w:val="28"/>
        </w:rPr>
        <w:t>台州天兴工程管理咨询有限公司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eastAsia="宋体"/>
          <w:lang w:eastAsia="zh-CN"/>
        </w:rPr>
      </w:pPr>
      <w:r>
        <w:rPr>
          <w:rFonts w:hint="eastAsia" w:ascii="宋体" w:hAnsi="宋体" w:cs="宋体"/>
          <w:kern w:val="0"/>
          <w:sz w:val="28"/>
          <w:szCs w:val="28"/>
          <w:lang w:eastAsia="zh-CN"/>
        </w:rPr>
        <w:t>2024年</w:t>
      </w:r>
      <w:r>
        <w:rPr>
          <w:rFonts w:hint="eastAsia" w:ascii="宋体" w:hAnsi="宋体" w:cs="宋体"/>
          <w:kern w:val="0"/>
          <w:sz w:val="28"/>
          <w:szCs w:val="28"/>
          <w:lang w:val="en-US" w:eastAsia="zh-CN"/>
        </w:rPr>
        <w:t>08</w:t>
      </w:r>
      <w:r>
        <w:rPr>
          <w:rFonts w:hint="eastAsia" w:ascii="宋体" w:hAnsi="宋体" w:cs="宋体"/>
          <w:kern w:val="0"/>
          <w:sz w:val="28"/>
          <w:szCs w:val="28"/>
          <w:lang w:eastAsia="zh-CN"/>
        </w:rPr>
        <w:t>月</w:t>
      </w:r>
    </w:p>
    <w:p>
      <w:pPr>
        <w:spacing w:line="360" w:lineRule="auto"/>
      </w:pPr>
    </w:p>
    <w:p>
      <w:pPr>
        <w:pStyle w:val="26"/>
      </w:pPr>
    </w:p>
    <w:p>
      <w:pPr>
        <w:spacing w:line="360" w:lineRule="auto"/>
      </w:pPr>
    </w:p>
    <w:p>
      <w:pPr>
        <w:rPr>
          <w:rFonts w:ascii="宋体" w:hAnsi="宋体" w:cs="Arial"/>
          <w:b/>
          <w:bCs/>
          <w:sz w:val="36"/>
          <w:szCs w:val="36"/>
        </w:rPr>
      </w:pPr>
      <w:r>
        <w:rPr>
          <w:rFonts w:hint="eastAsia" w:ascii="宋体" w:hAnsi="宋体" w:cs="Arial"/>
          <w:b/>
          <w:bCs/>
          <w:sz w:val="36"/>
          <w:szCs w:val="36"/>
        </w:rPr>
        <w:br w:type="page"/>
      </w:r>
    </w:p>
    <w:sdt>
      <w:sdtPr>
        <w:rPr>
          <w:rFonts w:hint="eastAsia" w:ascii="宋体" w:hAnsi="宋体" w:cs="宋体"/>
          <w:sz w:val="32"/>
          <w:szCs w:val="32"/>
        </w:rPr>
        <w:id w:val="147453465"/>
      </w:sdtPr>
      <w:sdtEndPr>
        <w:rPr>
          <w:rFonts w:hint="eastAsia" w:ascii="Times New Roman" w:hAnsi="Times New Roman" w:cs="Times New Roman"/>
          <w:sz w:val="21"/>
          <w:szCs w:val="28"/>
        </w:rPr>
      </w:sdtEndPr>
      <w:sdtContent>
        <w:p>
          <w:pPr>
            <w:jc w:val="center"/>
            <w:rPr>
              <w:rFonts w:ascii="宋体" w:hAnsi="宋体" w:cs="宋体"/>
              <w:sz w:val="32"/>
              <w:szCs w:val="32"/>
            </w:rPr>
          </w:pPr>
        </w:p>
        <w:p>
          <w:pPr>
            <w:jc w:val="center"/>
            <w:rPr>
              <w:rFonts w:ascii="宋体" w:hAnsi="宋体" w:cs="宋体"/>
              <w:sz w:val="32"/>
              <w:szCs w:val="32"/>
            </w:rPr>
          </w:pPr>
        </w:p>
        <w:p>
          <w:pPr>
            <w:spacing w:line="360" w:lineRule="auto"/>
            <w:jc w:val="center"/>
            <w:rPr>
              <w:rFonts w:ascii="宋体" w:hAnsi="宋体" w:cs="宋体"/>
              <w:sz w:val="32"/>
              <w:szCs w:val="32"/>
            </w:rPr>
          </w:pPr>
          <w:r>
            <w:rPr>
              <w:rFonts w:hint="eastAsia" w:ascii="宋体" w:hAnsi="宋体" w:cs="宋体"/>
              <w:sz w:val="32"/>
              <w:szCs w:val="32"/>
            </w:rPr>
            <w:t>目  录</w:t>
          </w:r>
        </w:p>
        <w:p>
          <w:pPr>
            <w:pStyle w:val="47"/>
            <w:tabs>
              <w:tab w:val="right" w:leader="dot" w:pos="9070"/>
            </w:tabs>
            <w:spacing w:line="360" w:lineRule="auto"/>
            <w:rPr>
              <w:rFonts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TOC \o "1-1" \h \u </w:instrText>
          </w:r>
          <w:r>
            <w:rPr>
              <w:rFonts w:hint="eastAsia" w:ascii="宋体" w:hAnsi="宋体" w:cs="宋体"/>
              <w:sz w:val="32"/>
              <w:szCs w:val="32"/>
            </w:rPr>
            <w:fldChar w:fldCharType="separate"/>
          </w:r>
          <w:r>
            <w:fldChar w:fldCharType="begin"/>
          </w:r>
          <w:r>
            <w:instrText xml:space="preserve"> HYPERLINK \l "_Toc32401" </w:instrText>
          </w:r>
          <w:r>
            <w:fldChar w:fldCharType="separate"/>
          </w:r>
          <w:r>
            <w:rPr>
              <w:rFonts w:hint="eastAsia" w:ascii="宋体" w:hAnsi="宋体" w:cs="宋体"/>
              <w:sz w:val="32"/>
              <w:szCs w:val="32"/>
            </w:rPr>
            <w:t>第一章 磋商邀请</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_Toc32401 </w:instrText>
          </w:r>
          <w:r>
            <w:rPr>
              <w:rFonts w:hint="eastAsia" w:ascii="宋体" w:hAnsi="宋体" w:cs="宋体"/>
              <w:sz w:val="32"/>
              <w:szCs w:val="32"/>
            </w:rPr>
            <w:fldChar w:fldCharType="separate"/>
          </w:r>
          <w:r>
            <w:rPr>
              <w:rFonts w:hint="eastAsia" w:ascii="宋体" w:hAnsi="宋体" w:cs="宋体"/>
              <w:sz w:val="32"/>
              <w:szCs w:val="32"/>
            </w:rPr>
            <w:t>3</w:t>
          </w:r>
          <w:r>
            <w:rPr>
              <w:rFonts w:hint="eastAsia" w:ascii="宋体" w:hAnsi="宋体" w:cs="宋体"/>
              <w:sz w:val="32"/>
              <w:szCs w:val="32"/>
            </w:rPr>
            <w:fldChar w:fldCharType="end"/>
          </w:r>
          <w:r>
            <w:rPr>
              <w:rFonts w:hint="eastAsia" w:ascii="宋体" w:hAnsi="宋体" w:cs="宋体"/>
              <w:sz w:val="32"/>
              <w:szCs w:val="32"/>
            </w:rPr>
            <w:fldChar w:fldCharType="end"/>
          </w:r>
        </w:p>
        <w:p>
          <w:pPr>
            <w:pStyle w:val="47"/>
            <w:tabs>
              <w:tab w:val="right" w:leader="dot" w:pos="9070"/>
            </w:tabs>
            <w:spacing w:line="360" w:lineRule="auto"/>
            <w:rPr>
              <w:rFonts w:ascii="宋体" w:hAnsi="宋体" w:cs="宋体"/>
              <w:sz w:val="32"/>
              <w:szCs w:val="32"/>
            </w:rPr>
          </w:pPr>
          <w:r>
            <w:fldChar w:fldCharType="begin"/>
          </w:r>
          <w:r>
            <w:instrText xml:space="preserve"> HYPERLINK \l "_Toc6994" </w:instrText>
          </w:r>
          <w:r>
            <w:fldChar w:fldCharType="separate"/>
          </w:r>
          <w:r>
            <w:rPr>
              <w:rFonts w:hint="eastAsia" w:ascii="宋体" w:hAnsi="宋体" w:cs="宋体"/>
              <w:sz w:val="32"/>
              <w:szCs w:val="32"/>
            </w:rPr>
            <w:t>第二章 供应商须知</w:t>
          </w:r>
          <w:r>
            <w:rPr>
              <w:rFonts w:hint="eastAsia" w:ascii="宋体" w:hAnsi="宋体" w:cs="宋体"/>
              <w:sz w:val="32"/>
              <w:szCs w:val="32"/>
            </w:rPr>
            <w:tab/>
          </w:r>
          <w:r>
            <w:rPr>
              <w:rFonts w:hint="eastAsia" w:ascii="宋体" w:hAnsi="宋体" w:cs="宋体"/>
              <w:sz w:val="32"/>
              <w:szCs w:val="32"/>
            </w:rPr>
            <w:t>5</w:t>
          </w:r>
          <w:r>
            <w:rPr>
              <w:rFonts w:hint="eastAsia" w:ascii="宋体" w:hAnsi="宋体" w:cs="宋体"/>
              <w:sz w:val="32"/>
              <w:szCs w:val="32"/>
            </w:rPr>
            <w:fldChar w:fldCharType="end"/>
          </w:r>
        </w:p>
        <w:p>
          <w:pPr>
            <w:pStyle w:val="47"/>
            <w:tabs>
              <w:tab w:val="right" w:leader="dot" w:pos="9070"/>
            </w:tabs>
            <w:spacing w:line="360" w:lineRule="auto"/>
            <w:rPr>
              <w:rFonts w:ascii="宋体" w:hAnsi="宋体" w:cs="宋体"/>
              <w:sz w:val="32"/>
              <w:szCs w:val="32"/>
            </w:rPr>
          </w:pPr>
          <w:r>
            <w:fldChar w:fldCharType="begin"/>
          </w:r>
          <w:r>
            <w:instrText xml:space="preserve"> HYPERLINK \l "_Toc29935" </w:instrText>
          </w:r>
          <w:r>
            <w:fldChar w:fldCharType="separate"/>
          </w:r>
          <w:r>
            <w:rPr>
              <w:rFonts w:hint="eastAsia" w:ascii="宋体" w:hAnsi="宋体" w:cs="宋体"/>
              <w:sz w:val="32"/>
              <w:szCs w:val="32"/>
            </w:rPr>
            <w:t>第三章 项目需求</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_Toc29935 </w:instrText>
          </w:r>
          <w:r>
            <w:rPr>
              <w:rFonts w:hint="eastAsia" w:ascii="宋体" w:hAnsi="宋体" w:cs="宋体"/>
              <w:sz w:val="32"/>
              <w:szCs w:val="32"/>
            </w:rPr>
            <w:fldChar w:fldCharType="separate"/>
          </w:r>
          <w:r>
            <w:rPr>
              <w:rFonts w:hint="eastAsia" w:ascii="宋体" w:hAnsi="宋体" w:cs="宋体"/>
              <w:sz w:val="32"/>
              <w:szCs w:val="32"/>
            </w:rPr>
            <w:t>15</w:t>
          </w:r>
          <w:r>
            <w:rPr>
              <w:rFonts w:hint="eastAsia" w:ascii="宋体" w:hAnsi="宋体" w:cs="宋体"/>
              <w:sz w:val="32"/>
              <w:szCs w:val="32"/>
            </w:rPr>
            <w:fldChar w:fldCharType="end"/>
          </w:r>
          <w:r>
            <w:rPr>
              <w:rFonts w:hint="eastAsia" w:ascii="宋体" w:hAnsi="宋体" w:cs="宋体"/>
              <w:sz w:val="32"/>
              <w:szCs w:val="32"/>
            </w:rPr>
            <w:fldChar w:fldCharType="end"/>
          </w:r>
        </w:p>
        <w:p>
          <w:pPr>
            <w:pStyle w:val="47"/>
            <w:tabs>
              <w:tab w:val="right" w:leader="dot" w:pos="9070"/>
            </w:tabs>
            <w:spacing w:line="360" w:lineRule="auto"/>
            <w:rPr>
              <w:rFonts w:ascii="宋体" w:hAnsi="宋体" w:cs="宋体"/>
              <w:sz w:val="32"/>
              <w:szCs w:val="32"/>
            </w:rPr>
          </w:pPr>
          <w:r>
            <w:fldChar w:fldCharType="begin"/>
          </w:r>
          <w:r>
            <w:instrText xml:space="preserve"> HYPERLINK \l "_Toc19531" </w:instrText>
          </w:r>
          <w:r>
            <w:fldChar w:fldCharType="separate"/>
          </w:r>
          <w:r>
            <w:rPr>
              <w:rFonts w:hint="eastAsia" w:ascii="宋体" w:hAnsi="宋体" w:cs="宋体"/>
              <w:sz w:val="32"/>
              <w:szCs w:val="32"/>
            </w:rPr>
            <w:t>第四章 磋商</w:t>
          </w:r>
          <w:r>
            <w:rPr>
              <w:rFonts w:hint="eastAsia" w:ascii="宋体" w:hAnsi="宋体" w:cs="宋体"/>
              <w:sz w:val="32"/>
              <w:szCs w:val="32"/>
            </w:rPr>
            <w:tab/>
          </w:r>
          <w:r>
            <w:rPr>
              <w:rFonts w:hint="eastAsia" w:ascii="宋体" w:hAnsi="宋体" w:cs="宋体"/>
              <w:sz w:val="32"/>
              <w:szCs w:val="32"/>
            </w:rPr>
            <w:t>20</w:t>
          </w:r>
          <w:r>
            <w:rPr>
              <w:rFonts w:hint="eastAsia" w:ascii="宋体" w:hAnsi="宋体" w:cs="宋体"/>
              <w:sz w:val="32"/>
              <w:szCs w:val="32"/>
            </w:rPr>
            <w:fldChar w:fldCharType="end"/>
          </w:r>
        </w:p>
        <w:p>
          <w:pPr>
            <w:pStyle w:val="47"/>
            <w:tabs>
              <w:tab w:val="right" w:leader="dot" w:pos="9070"/>
            </w:tabs>
            <w:spacing w:line="360" w:lineRule="auto"/>
            <w:rPr>
              <w:rFonts w:ascii="宋体" w:hAnsi="宋体" w:cs="宋体"/>
              <w:sz w:val="32"/>
              <w:szCs w:val="32"/>
            </w:rPr>
          </w:pPr>
          <w:r>
            <w:fldChar w:fldCharType="begin"/>
          </w:r>
          <w:r>
            <w:instrText xml:space="preserve"> HYPERLINK \l "_Toc21781" </w:instrText>
          </w:r>
          <w:r>
            <w:fldChar w:fldCharType="separate"/>
          </w:r>
          <w:r>
            <w:rPr>
              <w:rFonts w:hint="eastAsia" w:ascii="宋体" w:hAnsi="宋体" w:cs="宋体"/>
              <w:sz w:val="32"/>
              <w:szCs w:val="32"/>
            </w:rPr>
            <w:t>第五章 拟签订的合同文本</w:t>
          </w:r>
          <w:r>
            <w:rPr>
              <w:rFonts w:hint="eastAsia" w:ascii="宋体" w:hAnsi="宋体" w:cs="宋体"/>
              <w:sz w:val="32"/>
              <w:szCs w:val="32"/>
            </w:rPr>
            <w:tab/>
          </w:r>
          <w:r>
            <w:rPr>
              <w:rFonts w:hint="eastAsia" w:ascii="宋体" w:hAnsi="宋体" w:cs="宋体"/>
              <w:sz w:val="32"/>
              <w:szCs w:val="32"/>
            </w:rPr>
            <w:t>27</w:t>
          </w:r>
          <w:r>
            <w:rPr>
              <w:rFonts w:hint="eastAsia" w:ascii="宋体" w:hAnsi="宋体" w:cs="宋体"/>
              <w:sz w:val="32"/>
              <w:szCs w:val="32"/>
            </w:rPr>
            <w:fldChar w:fldCharType="end"/>
          </w:r>
        </w:p>
        <w:p>
          <w:pPr>
            <w:pStyle w:val="47"/>
            <w:tabs>
              <w:tab w:val="right" w:leader="dot" w:pos="9070"/>
            </w:tabs>
            <w:spacing w:line="360" w:lineRule="auto"/>
            <w:rPr>
              <w:rFonts w:ascii="宋体" w:hAnsi="宋体" w:cs="宋体"/>
              <w:sz w:val="32"/>
              <w:szCs w:val="32"/>
            </w:rPr>
          </w:pPr>
          <w:r>
            <w:fldChar w:fldCharType="begin"/>
          </w:r>
          <w:r>
            <w:instrText xml:space="preserve"> HYPERLINK \l "_Toc22166" </w:instrText>
          </w:r>
          <w:r>
            <w:fldChar w:fldCharType="separate"/>
          </w:r>
          <w:r>
            <w:rPr>
              <w:rFonts w:hint="eastAsia" w:ascii="宋体" w:hAnsi="宋体" w:cs="宋体"/>
              <w:sz w:val="32"/>
              <w:szCs w:val="32"/>
            </w:rPr>
            <w:t>第六章 响应文件格式</w:t>
          </w:r>
          <w:r>
            <w:rPr>
              <w:rFonts w:hint="eastAsia" w:ascii="宋体" w:hAnsi="宋体" w:cs="宋体"/>
              <w:sz w:val="32"/>
              <w:szCs w:val="32"/>
            </w:rPr>
            <w:tab/>
          </w:r>
          <w:r>
            <w:rPr>
              <w:rFonts w:hint="eastAsia" w:ascii="宋体" w:hAnsi="宋体" w:cs="宋体"/>
              <w:sz w:val="32"/>
              <w:szCs w:val="32"/>
            </w:rPr>
            <w:t>34</w:t>
          </w:r>
          <w:r>
            <w:rPr>
              <w:rFonts w:hint="eastAsia" w:ascii="宋体" w:hAnsi="宋体" w:cs="宋体"/>
              <w:sz w:val="32"/>
              <w:szCs w:val="32"/>
            </w:rPr>
            <w:fldChar w:fldCharType="end"/>
          </w:r>
        </w:p>
        <w:p>
          <w:pPr>
            <w:spacing w:line="360" w:lineRule="auto"/>
            <w:rPr>
              <w:sz w:val="28"/>
              <w:szCs w:val="28"/>
            </w:rPr>
          </w:pPr>
          <w:r>
            <w:rPr>
              <w:rFonts w:hint="eastAsia" w:ascii="宋体" w:hAnsi="宋体" w:cs="宋体"/>
              <w:sz w:val="32"/>
              <w:szCs w:val="32"/>
            </w:rPr>
            <w:fldChar w:fldCharType="end"/>
          </w:r>
        </w:p>
      </w:sdtContent>
    </w:sdt>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asciiTheme="majorEastAsia" w:hAnsiTheme="majorEastAsia" w:eastAsiaTheme="majorEastAsia"/>
          <w:b/>
          <w:sz w:val="36"/>
          <w:szCs w:val="36"/>
        </w:rPr>
      </w:pPr>
      <w:bookmarkStart w:id="0" w:name="_Toc32401"/>
      <w:r>
        <w:rPr>
          <w:rFonts w:hint="eastAsia" w:asciiTheme="majorEastAsia" w:hAnsiTheme="majorEastAsia" w:eastAsiaTheme="majorEastAsia"/>
          <w:b/>
          <w:kern w:val="0"/>
          <w:sz w:val="36"/>
          <w:szCs w:val="36"/>
        </w:rPr>
        <w:t>磋商邀请</w:t>
      </w:r>
      <w:bookmarkEnd w:id="0"/>
    </w:p>
    <w:p>
      <w:pPr>
        <w:pStyle w:val="5"/>
        <w:ind w:firstLine="480" w:firstLineChars="200"/>
        <w:rPr>
          <w:rFonts w:asciiTheme="minorEastAsia" w:hAnsiTheme="minorEastAsia" w:eastAsiaTheme="minorEastAsia" w:cstheme="minorEastAsia"/>
          <w:b w:val="0"/>
          <w:bCs/>
          <w:sz w:val="24"/>
          <w:szCs w:val="24"/>
        </w:rPr>
      </w:pPr>
      <w:bookmarkStart w:id="1" w:name="_Toc28359079"/>
      <w:bookmarkStart w:id="2" w:name="_Toc28359002"/>
      <w:bookmarkStart w:id="3" w:name="_Toc35393790"/>
      <w:bookmarkStart w:id="4" w:name="_Toc35393621"/>
      <w:bookmarkStart w:id="5" w:name="_Hlk24379207"/>
      <w:r>
        <w:rPr>
          <w:rFonts w:hint="eastAsia" w:cs="宋体"/>
          <w:b w:val="0"/>
          <w:bCs/>
          <w:sz w:val="24"/>
        </w:rPr>
        <w:t>台州天兴工程管理咨询有限公司</w:t>
      </w:r>
      <w:r>
        <w:rPr>
          <w:rFonts w:hint="eastAsia" w:cs="Arial"/>
          <w:b w:val="0"/>
          <w:bCs/>
          <w:sz w:val="24"/>
        </w:rPr>
        <w:t>受采购人委托，根据台州市政府采购（分散委托）预算执行确认书（</w:t>
      </w:r>
      <w:r>
        <w:rPr>
          <w:rFonts w:hint="eastAsia" w:cs="Arial"/>
          <w:b/>
          <w:bCs w:val="0"/>
          <w:sz w:val="24"/>
        </w:rPr>
        <w:t>临[2024]5211号</w:t>
      </w:r>
      <w:r>
        <w:rPr>
          <w:rFonts w:hint="eastAsia" w:cs="Arial"/>
          <w:b w:val="0"/>
          <w:bCs/>
          <w:sz w:val="24"/>
        </w:rPr>
        <w:t>）确认，现就台州市中级人民法院后勤保障服务项目</w:t>
      </w:r>
      <w:r>
        <w:rPr>
          <w:rFonts w:hint="eastAsia" w:cs="宋体"/>
          <w:b w:val="0"/>
          <w:bCs/>
          <w:sz w:val="24"/>
        </w:rPr>
        <w:t>进行竞争性磋商，欢迎符合资格条件的国内供应商参加磋商。</w:t>
      </w:r>
    </w:p>
    <w:p>
      <w:pPr>
        <w:pStyle w:val="5"/>
        <w:ind w:firstLine="482"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一、项目基本情况</w:t>
      </w:r>
      <w:bookmarkEnd w:id="1"/>
      <w:bookmarkEnd w:id="2"/>
      <w:bookmarkEnd w:id="3"/>
      <w:bookmarkEnd w:id="4"/>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482" w:firstLineChars="200"/>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项目编号：</w:t>
      </w:r>
      <w:r>
        <w:rPr>
          <w:rFonts w:hint="eastAsia" w:asciiTheme="minorEastAsia" w:hAnsiTheme="minorEastAsia" w:eastAsiaTheme="minorEastAsia" w:cstheme="minorEastAsia"/>
          <w:b/>
          <w:sz w:val="24"/>
          <w:lang w:eastAsia="zh-CN"/>
        </w:rPr>
        <w:t>TZTX-2024-CS053-1</w:t>
      </w:r>
    </w:p>
    <w:bookmarkEnd w:id="5"/>
    <w:p>
      <w:pPr>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项目名称：台州市中级人民法院后勤保障服务项目</w:t>
      </w:r>
    </w:p>
    <w:tbl>
      <w:tblPr>
        <w:tblStyle w:val="22"/>
        <w:tblW w:w="7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3600"/>
        <w:gridCol w:w="1330"/>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026" w:type="dxa"/>
            <w:vAlign w:val="center"/>
          </w:tcPr>
          <w:p>
            <w:pPr>
              <w:tabs>
                <w:tab w:val="left" w:pos="8280"/>
              </w:tabs>
              <w:autoSpaceDE w:val="0"/>
              <w:autoSpaceDN w:val="0"/>
              <w:adjustRightIn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标项号</w:t>
            </w:r>
          </w:p>
        </w:tc>
        <w:tc>
          <w:tcPr>
            <w:tcW w:w="3600" w:type="dxa"/>
            <w:vAlign w:val="center"/>
          </w:tcPr>
          <w:p>
            <w:pPr>
              <w:tabs>
                <w:tab w:val="left" w:pos="8280"/>
              </w:tabs>
              <w:autoSpaceDE w:val="0"/>
              <w:autoSpaceDN w:val="0"/>
              <w:adjustRightInd w:val="0"/>
              <w:ind w:firstLine="120" w:firstLineChars="5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标项名称</w:t>
            </w:r>
          </w:p>
        </w:tc>
        <w:tc>
          <w:tcPr>
            <w:tcW w:w="1330" w:type="dxa"/>
            <w:vAlign w:val="center"/>
          </w:tcPr>
          <w:p>
            <w:pPr>
              <w:tabs>
                <w:tab w:val="left" w:pos="8280"/>
              </w:tabs>
              <w:autoSpaceDE w:val="0"/>
              <w:autoSpaceDN w:val="0"/>
              <w:adjustRightIn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kern w:val="0"/>
                <w:sz w:val="24"/>
              </w:rPr>
              <w:t>服务期</w:t>
            </w:r>
          </w:p>
        </w:tc>
        <w:tc>
          <w:tcPr>
            <w:tcW w:w="1825" w:type="dxa"/>
            <w:vAlign w:val="center"/>
          </w:tcPr>
          <w:p>
            <w:pPr>
              <w:tabs>
                <w:tab w:val="left" w:pos="8280"/>
              </w:tabs>
              <w:autoSpaceDE w:val="0"/>
              <w:autoSpaceDN w:val="0"/>
              <w:adjustRightIn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预算</w:t>
            </w:r>
          </w:p>
          <w:p>
            <w:pPr>
              <w:tabs>
                <w:tab w:val="left" w:pos="8280"/>
              </w:tabs>
              <w:autoSpaceDE w:val="0"/>
              <w:autoSpaceDN w:val="0"/>
              <w:adjustRightIn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6" w:type="dxa"/>
            <w:vAlign w:val="center"/>
          </w:tcPr>
          <w:p>
            <w:pPr>
              <w:tabs>
                <w:tab w:val="left" w:pos="8280"/>
              </w:tabs>
              <w:autoSpaceDE w:val="0"/>
              <w:autoSpaceDN w:val="0"/>
              <w:adjustRightIn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w:t>
            </w:r>
          </w:p>
        </w:tc>
        <w:tc>
          <w:tcPr>
            <w:tcW w:w="3600"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台州市中级人民法院后勤保障服务项目</w:t>
            </w:r>
          </w:p>
        </w:tc>
        <w:tc>
          <w:tcPr>
            <w:tcW w:w="1330" w:type="dxa"/>
            <w:vAlign w:val="center"/>
          </w:tcPr>
          <w:p>
            <w:pPr>
              <w:tabs>
                <w:tab w:val="left" w:pos="8280"/>
              </w:tabs>
              <w:autoSpaceDE w:val="0"/>
              <w:autoSpaceDN w:val="0"/>
              <w:adjustRightInd w:val="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1年</w:t>
            </w:r>
          </w:p>
        </w:tc>
        <w:tc>
          <w:tcPr>
            <w:tcW w:w="1825" w:type="dxa"/>
            <w:vAlign w:val="center"/>
          </w:tcPr>
          <w:p>
            <w:pPr>
              <w:tabs>
                <w:tab w:val="left" w:pos="8280"/>
              </w:tabs>
              <w:autoSpaceDE w:val="0"/>
              <w:autoSpaceDN w:val="0"/>
              <w:adjustRightInd w:val="0"/>
              <w:jc w:val="center"/>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79</w:t>
            </w:r>
            <w:r>
              <w:rPr>
                <w:rFonts w:hint="eastAsia" w:asciiTheme="minorEastAsia" w:hAnsiTheme="minorEastAsia" w:eastAsiaTheme="minorEastAsia" w:cstheme="minorEastAsia"/>
                <w:b/>
                <w:bCs/>
                <w:sz w:val="24"/>
              </w:rPr>
              <w:t>.</w:t>
            </w:r>
            <w:r>
              <w:rPr>
                <w:rFonts w:asciiTheme="minorEastAsia" w:hAnsiTheme="minorEastAsia" w:eastAsiaTheme="minorEastAsia" w:cstheme="minorEastAsia"/>
                <w:b/>
                <w:bCs/>
                <w:sz w:val="24"/>
              </w:rPr>
              <w:t>90</w:t>
            </w:r>
          </w:p>
        </w:tc>
      </w:tr>
    </w:tbl>
    <w:p>
      <w:pPr>
        <w:pStyle w:val="5"/>
        <w:ind w:right="0" w:firstLine="482" w:firstLineChars="200"/>
        <w:rPr>
          <w:rFonts w:cs="宋体"/>
          <w:bCs/>
          <w:sz w:val="24"/>
          <w:szCs w:val="24"/>
        </w:rPr>
      </w:pPr>
      <w:bookmarkStart w:id="6" w:name="_Toc28359080"/>
      <w:bookmarkStart w:id="7" w:name="_Toc35393622"/>
      <w:bookmarkStart w:id="8" w:name="_Toc28359003"/>
      <w:bookmarkStart w:id="9" w:name="_Toc35393791"/>
      <w:r>
        <w:rPr>
          <w:rFonts w:hint="eastAsia" w:cs="宋体"/>
          <w:bCs/>
          <w:sz w:val="24"/>
          <w:szCs w:val="24"/>
        </w:rPr>
        <w:t>二、供应商的资格要求：</w:t>
      </w:r>
      <w:bookmarkEnd w:id="6"/>
      <w:bookmarkEnd w:id="7"/>
      <w:bookmarkEnd w:id="8"/>
      <w:bookmarkEnd w:id="9"/>
    </w:p>
    <w:p>
      <w:pPr>
        <w:spacing w:line="360" w:lineRule="auto"/>
        <w:ind w:firstLine="480" w:firstLineChars="200"/>
        <w:rPr>
          <w:rFonts w:ascii="宋体" w:hAnsi="宋体" w:cs="宋体"/>
          <w:sz w:val="24"/>
        </w:rPr>
      </w:pPr>
      <w:r>
        <w:rPr>
          <w:rFonts w:hint="eastAsia" w:ascii="宋体" w:hAnsi="宋体" w:cs="宋体"/>
          <w:sz w:val="24"/>
        </w:rPr>
        <w:t>（一）满足《中华人民共和国政府采购法》第二十二条规定</w:t>
      </w:r>
    </w:p>
    <w:p>
      <w:pPr>
        <w:spacing w:line="360" w:lineRule="auto"/>
        <w:ind w:firstLine="480" w:firstLineChars="200"/>
        <w:rPr>
          <w:rFonts w:ascii="宋体" w:hAnsi="宋体" w:cs="宋体"/>
          <w:sz w:val="24"/>
        </w:rPr>
      </w:pPr>
      <w:bookmarkStart w:id="10" w:name="_Toc35393623"/>
      <w:bookmarkStart w:id="11" w:name="_Toc35393792"/>
      <w:bookmarkStart w:id="12" w:name="_Toc28359081"/>
      <w:bookmarkStart w:id="13" w:name="_Toc28359004"/>
      <w:r>
        <w:rPr>
          <w:rFonts w:hint="eastAsia" w:ascii="宋体" w:hAnsi="宋体" w:cs="宋体"/>
          <w:sz w:val="24"/>
        </w:rPr>
        <w:t>（二）本项目的特定资格要求：</w:t>
      </w:r>
      <w:r>
        <w:rPr>
          <w:rFonts w:hint="eastAsia" w:hAnsi="宋体" w:cs="宋体"/>
          <w:sz w:val="24"/>
        </w:rPr>
        <w:t>无</w:t>
      </w:r>
    </w:p>
    <w:p>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（三）本项目</w:t>
      </w:r>
      <w:r>
        <w:rPr>
          <w:rFonts w:hint="eastAsia" w:ascii="宋体" w:hAnsi="宋体" w:cs="宋体"/>
          <w:b/>
          <w:bCs/>
          <w:sz w:val="24"/>
          <w:u w:val="none"/>
        </w:rPr>
        <w:t>不接受</w:t>
      </w:r>
      <w:r>
        <w:rPr>
          <w:rFonts w:hint="eastAsia" w:ascii="宋体" w:hAnsi="宋体" w:cs="宋体"/>
          <w:sz w:val="24"/>
        </w:rPr>
        <w:t>联合体投标</w:t>
      </w:r>
    </w:p>
    <w:p>
      <w:pPr>
        <w:spacing w:line="360" w:lineRule="auto"/>
        <w:ind w:firstLine="480" w:firstLineChars="200"/>
        <w:rPr>
          <w:rFonts w:ascii="宋体" w:hAnsi="宋体" w:cs="宋体"/>
          <w:sz w:val="24"/>
        </w:rPr>
      </w:pPr>
      <w:r>
        <w:rPr>
          <w:rFonts w:hint="eastAsia" w:ascii="宋体" w:hAnsi="宋体" w:cs="宋体"/>
          <w:sz w:val="24"/>
        </w:rPr>
        <w:t>（四）本项目</w:t>
      </w:r>
      <w:r>
        <w:rPr>
          <w:rFonts w:hint="eastAsia" w:ascii="宋体" w:hAnsi="宋体" w:cs="宋体"/>
          <w:b/>
          <w:bCs/>
          <w:sz w:val="24"/>
          <w:u w:val="none"/>
        </w:rPr>
        <w:t>是</w:t>
      </w:r>
      <w:r>
        <w:rPr>
          <w:rFonts w:hint="eastAsia" w:ascii="宋体" w:hAnsi="宋体" w:cs="宋体"/>
          <w:sz w:val="24"/>
          <w:lang w:eastAsia="zh-CN"/>
        </w:rPr>
        <w:t>专门面向</w:t>
      </w:r>
      <w:r>
        <w:rPr>
          <w:rFonts w:hint="eastAsia" w:ascii="宋体" w:hAnsi="宋体" w:cs="宋体"/>
          <w:sz w:val="24"/>
        </w:rPr>
        <w:t>中小企业</w:t>
      </w:r>
    </w:p>
    <w:p>
      <w:pPr>
        <w:spacing w:line="360" w:lineRule="auto"/>
        <w:ind w:firstLine="480" w:firstLineChars="200"/>
        <w:rPr>
          <w:rFonts w:hint="eastAsia" w:ascii="宋体" w:hAnsi="宋体" w:cs="宋体"/>
          <w:sz w:val="24"/>
        </w:rPr>
      </w:pPr>
      <w:r>
        <w:rPr>
          <w:rFonts w:hint="eastAsia" w:ascii="宋体" w:hAnsi="宋体" w:cs="宋体"/>
          <w:sz w:val="24"/>
        </w:rPr>
        <w:t>（五）信用记录：未被“信用中国”（www.creditchina.gov.cn)、中国政府采购网（www.ccgp.gov.cn）列入失信被执行人、重大税收违法失信主体、政府采购严重违法失信行为记录名单。</w:t>
      </w:r>
    </w:p>
    <w:p>
      <w:pPr>
        <w:spacing w:line="360" w:lineRule="auto"/>
        <w:ind w:firstLine="480" w:firstLineChars="200"/>
        <w:rPr>
          <w:rFonts w:ascii="宋体" w:hAnsi="宋体" w:cs="宋体"/>
          <w:sz w:val="24"/>
        </w:rPr>
      </w:pPr>
      <w:r>
        <w:rPr>
          <w:rFonts w:hint="eastAsia" w:ascii="宋体" w:hAnsi="宋体" w:cs="宋体"/>
          <w:sz w:val="24"/>
        </w:rPr>
        <w:t>（六）法律、行政法规规定的其他条件：单位负责人为同一人或者存在直接控股、管理关系的不同供应商，不得同时参加同一项目投标；为本项目提供整体设计、规范编制或者项目管理、监理、检测等服务的供应商，不得再参与本项目磋商。</w:t>
      </w:r>
    </w:p>
    <w:p>
      <w:pPr>
        <w:pStyle w:val="5"/>
        <w:ind w:right="0" w:firstLine="482" w:firstLineChars="200"/>
        <w:rPr>
          <w:rFonts w:cs="宋体"/>
          <w:bCs/>
          <w:sz w:val="24"/>
          <w:szCs w:val="24"/>
        </w:rPr>
      </w:pPr>
      <w:r>
        <w:rPr>
          <w:rFonts w:hint="eastAsia" w:cs="宋体"/>
          <w:bCs/>
          <w:sz w:val="24"/>
          <w:szCs w:val="24"/>
        </w:rPr>
        <w:t>三、获取磋商文件</w:t>
      </w:r>
      <w:bookmarkEnd w:id="10"/>
      <w:bookmarkEnd w:id="11"/>
      <w:bookmarkEnd w:id="12"/>
      <w:bookmarkEnd w:id="13"/>
    </w:p>
    <w:p>
      <w:pPr>
        <w:spacing w:line="360" w:lineRule="auto"/>
        <w:ind w:firstLine="480" w:firstLineChars="200"/>
        <w:rPr>
          <w:rFonts w:ascii="宋体" w:hAnsi="宋体" w:cs="宋体"/>
          <w:sz w:val="24"/>
        </w:rPr>
      </w:pPr>
      <w:r>
        <w:rPr>
          <w:rFonts w:hint="eastAsia" w:ascii="宋体" w:hAnsi="宋体" w:cs="宋体"/>
          <w:sz w:val="24"/>
        </w:rPr>
        <w:t>（一）时间：公告发布时间至磋商截止时间</w:t>
      </w:r>
    </w:p>
    <w:p>
      <w:pPr>
        <w:pStyle w:val="26"/>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（二）方式：浙江政府采购网</w:t>
      </w:r>
      <w:r>
        <w:rPr>
          <w:rFonts w:hint="eastAsia" w:ascii="宋体" w:hAnsi="宋体" w:eastAsia="宋体" w:cs="宋体"/>
          <w:kern w:val="2"/>
          <w:sz w:val="24"/>
          <w:szCs w:val="24"/>
        </w:rPr>
        <w:t>（https://zfcg.czt.zj.gov.cn）</w:t>
      </w:r>
      <w:r>
        <w:rPr>
          <w:rFonts w:hint="eastAsia" w:ascii="宋体" w:hAnsi="宋体" w:eastAsia="宋体" w:cs="宋体"/>
          <w:sz w:val="24"/>
          <w:szCs w:val="24"/>
        </w:rPr>
        <w:t>免费下载</w:t>
      </w:r>
    </w:p>
    <w:p>
      <w:pPr>
        <w:pStyle w:val="5"/>
        <w:ind w:right="0" w:firstLine="482" w:firstLineChars="200"/>
        <w:rPr>
          <w:rFonts w:cs="宋体"/>
          <w:bCs/>
          <w:sz w:val="24"/>
          <w:szCs w:val="24"/>
        </w:rPr>
      </w:pPr>
      <w:bookmarkStart w:id="14" w:name="_Toc28359005"/>
      <w:bookmarkStart w:id="15" w:name="_Toc28359082"/>
      <w:bookmarkStart w:id="16" w:name="_Toc35393793"/>
      <w:bookmarkStart w:id="17" w:name="_Toc35393624"/>
      <w:r>
        <w:rPr>
          <w:rFonts w:hint="eastAsia" w:cs="宋体"/>
          <w:bCs/>
          <w:sz w:val="24"/>
          <w:szCs w:val="24"/>
        </w:rPr>
        <w:t>四、提交</w:t>
      </w:r>
      <w:bookmarkEnd w:id="14"/>
      <w:bookmarkEnd w:id="15"/>
      <w:bookmarkEnd w:id="16"/>
      <w:bookmarkEnd w:id="17"/>
      <w:r>
        <w:rPr>
          <w:rFonts w:hint="eastAsia" w:cs="宋体"/>
          <w:bCs/>
          <w:sz w:val="24"/>
          <w:szCs w:val="24"/>
        </w:rPr>
        <w:t>响应文件</w:t>
      </w:r>
    </w:p>
    <w:p>
      <w:pPr>
        <w:spacing w:line="360" w:lineRule="auto"/>
        <w:ind w:firstLine="480" w:firstLineChars="200"/>
        <w:rPr>
          <w:rFonts w:ascii="宋体" w:hAnsi="宋体" w:cs="宋体"/>
          <w:iCs/>
          <w:sz w:val="24"/>
          <w:u w:val="single"/>
        </w:rPr>
      </w:pPr>
      <w:bookmarkStart w:id="18" w:name="_Toc28359084"/>
      <w:bookmarkStart w:id="19" w:name="_Toc35393625"/>
      <w:bookmarkStart w:id="20" w:name="_Toc35393794"/>
      <w:bookmarkStart w:id="21" w:name="_Toc28359007"/>
      <w:r>
        <w:rPr>
          <w:rFonts w:hint="eastAsia" w:ascii="宋体" w:hAnsi="宋体" w:cs="宋体"/>
          <w:sz w:val="24"/>
        </w:rPr>
        <w:t>（一）截止时间（磋商开始时间）：</w:t>
      </w:r>
      <w:r>
        <w:rPr>
          <w:rFonts w:hint="eastAsia" w:ascii="宋体" w:hAnsi="宋体" w:cs="宋体"/>
          <w:b/>
          <w:bCs/>
          <w:sz w:val="24"/>
          <w:u w:val="single"/>
          <w:lang w:eastAsia="zh-CN"/>
        </w:rPr>
        <w:t>2024年</w:t>
      </w:r>
      <w:r>
        <w:rPr>
          <w:rFonts w:hint="eastAsia" w:ascii="宋体" w:hAnsi="宋体" w:cs="宋体"/>
          <w:b/>
          <w:bCs/>
          <w:sz w:val="24"/>
          <w:u w:val="single"/>
          <w:lang w:val="en-US" w:eastAsia="zh-CN"/>
        </w:rPr>
        <w:t>09</w:t>
      </w:r>
      <w:r>
        <w:rPr>
          <w:rFonts w:hint="eastAsia" w:ascii="宋体" w:hAnsi="宋体" w:cs="宋体"/>
          <w:b/>
          <w:bCs/>
          <w:sz w:val="24"/>
          <w:u w:val="single"/>
          <w:lang w:eastAsia="zh-CN"/>
        </w:rPr>
        <w:t>月</w:t>
      </w:r>
      <w:r>
        <w:rPr>
          <w:rFonts w:hint="eastAsia" w:ascii="宋体" w:hAnsi="宋体" w:cs="宋体"/>
          <w:b/>
          <w:bCs/>
          <w:color w:val="auto"/>
          <w:sz w:val="24"/>
          <w:u w:val="single"/>
          <w:lang w:val="en-US" w:eastAsia="zh-CN"/>
        </w:rPr>
        <w:t>12</w:t>
      </w:r>
      <w:r>
        <w:rPr>
          <w:rFonts w:hint="eastAsia" w:ascii="宋体" w:hAnsi="宋体" w:cs="宋体"/>
          <w:b/>
          <w:bCs/>
          <w:color w:val="auto"/>
          <w:sz w:val="24"/>
          <w:u w:val="single"/>
        </w:rPr>
        <w:t>日0</w:t>
      </w:r>
      <w:r>
        <w:rPr>
          <w:rFonts w:hint="eastAsia" w:ascii="宋体" w:hAnsi="宋体" w:cs="宋体"/>
          <w:b/>
          <w:bCs/>
          <w:sz w:val="24"/>
          <w:u w:val="single"/>
        </w:rPr>
        <w:t>9:00整</w:t>
      </w:r>
      <w:r>
        <w:rPr>
          <w:rFonts w:hint="eastAsia" w:ascii="宋体" w:hAnsi="宋体" w:cs="宋体"/>
          <w:bCs/>
          <w:sz w:val="24"/>
        </w:rPr>
        <w:t>（北京时间）</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（二）提交网址：浙江政府采购云平台（http://www.zcygov.cn）</w:t>
      </w:r>
    </w:p>
    <w:bookmarkEnd w:id="18"/>
    <w:bookmarkEnd w:id="19"/>
    <w:bookmarkEnd w:id="20"/>
    <w:bookmarkEnd w:id="21"/>
    <w:p>
      <w:pPr>
        <w:pStyle w:val="2"/>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2"/>
        <w:spacing w:after="0" w:line="360" w:lineRule="auto"/>
        <w:ind w:left="0" w:leftChars="0" w:firstLine="480" w:firstLineChars="200"/>
        <w:rPr>
          <w:rFonts w:ascii="宋体" w:hAnsi="宋体" w:cs="宋体"/>
          <w:kern w:val="0"/>
          <w:sz w:val="24"/>
        </w:rPr>
      </w:pPr>
      <w:r>
        <w:rPr>
          <w:rFonts w:hint="eastAsia" w:ascii="宋体" w:hAnsi="宋体" w:cs="宋体"/>
          <w:kern w:val="0"/>
          <w:sz w:val="24"/>
        </w:rPr>
        <w:t>（一）公告网址：浙江政府采购网（</w:t>
      </w:r>
      <w:r>
        <w:rPr>
          <w:rFonts w:hint="eastAsia" w:ascii="宋体" w:hAnsi="宋体" w:cs="宋体"/>
          <w:sz w:val="24"/>
        </w:rPr>
        <w:t>https://zfcg.czt.zj.gov.cn</w:t>
      </w:r>
      <w:r>
        <w:rPr>
          <w:rFonts w:hint="eastAsia" w:ascii="宋体" w:hAnsi="宋体" w:cs="宋体"/>
          <w:kern w:val="0"/>
          <w:sz w:val="24"/>
        </w:rPr>
        <w:t>）</w:t>
      </w:r>
    </w:p>
    <w:p>
      <w:pPr>
        <w:pStyle w:val="2"/>
        <w:spacing w:after="0"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（二）公告期限：自本公告发布之日起3个工作日</w:t>
      </w:r>
    </w:p>
    <w:p>
      <w:pPr>
        <w:pStyle w:val="5"/>
        <w:ind w:right="0" w:firstLine="482" w:firstLineChars="200"/>
        <w:rPr>
          <w:rFonts w:asciiTheme="minorEastAsia" w:hAnsiTheme="minorEastAsia" w:eastAsiaTheme="minorEastAsia" w:cstheme="minorEastAsia"/>
          <w:bCs/>
          <w:sz w:val="24"/>
          <w:szCs w:val="24"/>
        </w:rPr>
      </w:pPr>
      <w:bookmarkStart w:id="22" w:name="_Toc35393626"/>
      <w:bookmarkStart w:id="23" w:name="_Toc35393795"/>
      <w:r>
        <w:rPr>
          <w:rFonts w:hint="eastAsia" w:asciiTheme="minorEastAsia" w:hAnsiTheme="minorEastAsia" w:eastAsiaTheme="minorEastAsia" w:cstheme="minorEastAsia"/>
          <w:bCs/>
          <w:sz w:val="24"/>
          <w:szCs w:val="24"/>
        </w:rPr>
        <w:t>六、</w:t>
      </w:r>
      <w:bookmarkEnd w:id="22"/>
      <w:bookmarkEnd w:id="23"/>
      <w:r>
        <w:rPr>
          <w:rFonts w:hint="eastAsia" w:asciiTheme="minorEastAsia" w:hAnsiTheme="minorEastAsia" w:eastAsiaTheme="minorEastAsia" w:cstheme="minorEastAsia"/>
          <w:bCs/>
          <w:sz w:val="24"/>
          <w:szCs w:val="24"/>
        </w:rPr>
        <w:t>注册报名</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参与政府采购项目的供应商，需登录浙江政府采购网（https://zfcg.czt.zj.gov.cn/）进行注册后报名。</w:t>
      </w:r>
    </w:p>
    <w:p>
      <w:pPr>
        <w:pStyle w:val="19"/>
        <w:widowControl w:val="0"/>
        <w:spacing w:before="0" w:beforeAutospacing="0" w:after="0" w:afterAutospacing="0" w:line="360" w:lineRule="auto"/>
        <w:ind w:firstLine="482" w:firstLineChars="200"/>
        <w:jc w:val="both"/>
        <w:rPr>
          <w:rFonts w:hint="default" w:asciiTheme="minorEastAsia" w:hAnsiTheme="minorEastAsia" w:eastAsiaTheme="minorEastAsia" w:cstheme="minorEastAsia"/>
          <w:b/>
          <w:bCs/>
        </w:rPr>
      </w:pPr>
      <w:bookmarkStart w:id="24" w:name="_Toc35393627"/>
      <w:bookmarkStart w:id="25" w:name="_Toc28359085"/>
      <w:bookmarkStart w:id="26" w:name="_Toc35393796"/>
      <w:bookmarkStart w:id="27" w:name="_Toc28359008"/>
      <w:r>
        <w:rPr>
          <w:rFonts w:asciiTheme="minorEastAsia" w:hAnsiTheme="minorEastAsia" w:eastAsiaTheme="minorEastAsia" w:cstheme="minorEastAsia"/>
          <w:b/>
          <w:bCs/>
          <w:kern w:val="2"/>
        </w:rPr>
        <w:t>七、</w:t>
      </w:r>
      <w:r>
        <w:rPr>
          <w:rFonts w:asciiTheme="minorEastAsia" w:hAnsiTheme="minorEastAsia" w:eastAsiaTheme="minorEastAsia" w:cstheme="minorEastAsia"/>
          <w:b/>
          <w:bCs/>
        </w:rPr>
        <w:t>联系</w:t>
      </w:r>
      <w:bookmarkEnd w:id="24"/>
      <w:bookmarkEnd w:id="25"/>
      <w:bookmarkEnd w:id="26"/>
      <w:bookmarkEnd w:id="27"/>
      <w:r>
        <w:rPr>
          <w:rFonts w:asciiTheme="minorEastAsia" w:hAnsiTheme="minorEastAsia" w:eastAsiaTheme="minorEastAsia" w:cstheme="minorEastAsia"/>
          <w:b/>
          <w:bCs/>
        </w:rPr>
        <w:t>方式</w:t>
      </w:r>
    </w:p>
    <w:p>
      <w:pPr>
        <w:snapToGrid w:val="0"/>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 xml:space="preserve">（一）采购人（受理磋商文件相关质疑及答复） </w:t>
      </w:r>
    </w:p>
    <w:p>
      <w:pPr>
        <w:snapToGrid w:val="0"/>
        <w:spacing w:line="360" w:lineRule="auto"/>
        <w:ind w:firstLine="480" w:firstLineChars="200"/>
        <w:rPr>
          <w:rFonts w:ascii="宋体" w:hAnsi="宋体" w:cs="宋体"/>
          <w:sz w:val="24"/>
          <w:u w:val="single"/>
        </w:rPr>
      </w:pPr>
      <w:r>
        <w:rPr>
          <w:rFonts w:hint="eastAsia" w:ascii="宋体" w:hAnsi="宋体" w:cs="宋体"/>
          <w:sz w:val="24"/>
        </w:rPr>
        <w:t>名 称：</w:t>
      </w:r>
      <w:r>
        <w:rPr>
          <w:rFonts w:hint="eastAsia" w:ascii="宋体" w:hAnsi="宋体" w:cs="宋体"/>
          <w:sz w:val="24"/>
          <w:u w:val="single"/>
        </w:rPr>
        <w:t>台州市中级人民法院</w:t>
      </w:r>
    </w:p>
    <w:p>
      <w:pPr>
        <w:snapToGrid w:val="0"/>
        <w:spacing w:line="360" w:lineRule="auto"/>
        <w:ind w:firstLine="480" w:firstLineChars="200"/>
        <w:rPr>
          <w:rFonts w:ascii="宋体" w:hAnsi="宋体" w:cs="宋体"/>
          <w:sz w:val="24"/>
          <w:u w:val="single"/>
        </w:rPr>
      </w:pPr>
      <w:r>
        <w:rPr>
          <w:rFonts w:hint="eastAsia" w:ascii="宋体" w:hAnsi="宋体" w:cs="宋体"/>
          <w:sz w:val="24"/>
        </w:rPr>
        <w:t>地址：</w:t>
      </w:r>
      <w:r>
        <w:rPr>
          <w:rFonts w:hint="eastAsia" w:ascii="宋体" w:hAnsi="宋体" w:cs="宋体"/>
          <w:sz w:val="24"/>
          <w:u w:val="single"/>
        </w:rPr>
        <w:t>台州经济开发区市府大道399号</w:t>
      </w:r>
    </w:p>
    <w:p>
      <w:pPr>
        <w:snapToGrid w:val="0"/>
        <w:spacing w:line="360" w:lineRule="auto"/>
        <w:ind w:firstLine="480" w:firstLineChars="200"/>
        <w:rPr>
          <w:rFonts w:ascii="宋体" w:hAnsi="宋体" w:cs="宋体"/>
          <w:sz w:val="24"/>
        </w:rPr>
      </w:pPr>
      <w:r>
        <w:rPr>
          <w:rFonts w:hint="eastAsia" w:ascii="宋体" w:hAnsi="宋体" w:cs="宋体"/>
          <w:sz w:val="24"/>
        </w:rPr>
        <w:t>联系人：</w:t>
      </w:r>
      <w:r>
        <w:rPr>
          <w:rFonts w:hint="eastAsia" w:ascii="宋体" w:hAnsi="宋体" w:cs="Arial"/>
          <w:sz w:val="24"/>
          <w:u w:val="single"/>
        </w:rPr>
        <w:t>林老师</w:t>
      </w:r>
      <w:r>
        <w:rPr>
          <w:rFonts w:hint="eastAsia" w:ascii="宋体" w:hAnsi="宋体" w:cs="宋体"/>
          <w:sz w:val="24"/>
          <w:u w:val="single"/>
        </w:rPr>
        <w:t>　</w:t>
      </w:r>
    </w:p>
    <w:p>
      <w:pPr>
        <w:snapToGrid w:val="0"/>
        <w:spacing w:line="360" w:lineRule="auto"/>
        <w:ind w:firstLine="480" w:firstLineChars="200"/>
        <w:rPr>
          <w:rFonts w:ascii="宋体" w:hAnsi="宋体" w:cs="宋体"/>
          <w:sz w:val="24"/>
          <w:u w:val="single"/>
        </w:rPr>
      </w:pPr>
      <w:r>
        <w:rPr>
          <w:rFonts w:hint="eastAsia" w:ascii="宋体" w:hAnsi="宋体" w:cs="宋体"/>
          <w:sz w:val="24"/>
        </w:rPr>
        <w:t>联系电话：</w:t>
      </w:r>
      <w:r>
        <w:rPr>
          <w:rFonts w:ascii="宋体" w:hAnsi="宋体" w:cs="Arial"/>
          <w:sz w:val="24"/>
          <w:u w:val="single"/>
        </w:rPr>
        <w:t>0576-88553020</w:t>
      </w:r>
    </w:p>
    <w:p>
      <w:pPr>
        <w:snapToGrid w:val="0"/>
        <w:spacing w:line="360" w:lineRule="auto"/>
        <w:ind w:firstLine="480" w:firstLineChars="200"/>
        <w:rPr>
          <w:rFonts w:hint="eastAsia" w:ascii="宋体" w:hAnsi="宋体" w:eastAsia="宋体" w:cs="宋体"/>
          <w:sz w:val="24"/>
          <w:u w:val="single"/>
          <w:lang w:eastAsia="zh-CN"/>
        </w:rPr>
      </w:pPr>
      <w:r>
        <w:rPr>
          <w:rFonts w:hint="eastAsia" w:ascii="宋体" w:hAnsi="宋体" w:cs="宋体"/>
          <w:sz w:val="24"/>
        </w:rPr>
        <w:t>质疑答复联系人：</w:t>
      </w:r>
      <w:r>
        <w:rPr>
          <w:rFonts w:hint="eastAsia" w:ascii="宋体" w:hAnsi="宋体" w:cs="宋体"/>
          <w:sz w:val="24"/>
          <w:u w:val="single"/>
        </w:rPr>
        <w:t>林</w:t>
      </w:r>
      <w:r>
        <w:rPr>
          <w:rFonts w:hint="eastAsia" w:ascii="宋体" w:hAnsi="宋体" w:cs="宋体"/>
          <w:sz w:val="24"/>
          <w:u w:val="single"/>
          <w:lang w:eastAsia="zh-CN"/>
        </w:rPr>
        <w:t>先生</w:t>
      </w:r>
    </w:p>
    <w:p>
      <w:pPr>
        <w:snapToGrid w:val="0"/>
        <w:spacing w:line="360" w:lineRule="auto"/>
        <w:ind w:firstLine="480" w:firstLineChars="200"/>
        <w:rPr>
          <w:rFonts w:ascii="宋体" w:hAnsi="宋体" w:cs="宋体"/>
          <w:sz w:val="24"/>
        </w:rPr>
      </w:pPr>
      <w:r>
        <w:rPr>
          <w:rFonts w:hint="eastAsia" w:ascii="宋体" w:hAnsi="宋体" w:cs="宋体"/>
          <w:sz w:val="24"/>
        </w:rPr>
        <w:t>质疑答复联系电话：</w:t>
      </w:r>
      <w:bookmarkStart w:id="28" w:name="_Toc28359009"/>
      <w:bookmarkStart w:id="29" w:name="_Toc28359086"/>
      <w:r>
        <w:rPr>
          <w:rFonts w:ascii="宋体" w:hAnsi="宋体" w:cs="Arial"/>
          <w:sz w:val="24"/>
          <w:u w:val="single"/>
        </w:rPr>
        <w:t>0576-88553020</w:t>
      </w:r>
    </w:p>
    <w:bookmarkEnd w:id="28"/>
    <w:bookmarkEnd w:id="29"/>
    <w:p>
      <w:pPr>
        <w:snapToGrid w:val="0"/>
        <w:spacing w:line="360" w:lineRule="auto"/>
        <w:ind w:firstLine="480" w:firstLineChars="200"/>
        <w:rPr>
          <w:rFonts w:ascii="宋体" w:hAnsi="宋体" w:cs="宋体"/>
          <w:sz w:val="24"/>
        </w:rPr>
      </w:pPr>
      <w:bookmarkStart w:id="30" w:name="_Toc28359010"/>
      <w:bookmarkStart w:id="31" w:name="_Toc28359087"/>
      <w:r>
        <w:rPr>
          <w:rFonts w:hint="eastAsia" w:ascii="宋体" w:hAnsi="宋体" w:cs="宋体"/>
          <w:sz w:val="24"/>
        </w:rPr>
        <w:t>（二）</w:t>
      </w:r>
      <w:r>
        <w:rPr>
          <w:rFonts w:hint="eastAsia" w:ascii="宋体" w:hAnsi="宋体" w:cs="宋体"/>
          <w:b/>
          <w:bCs/>
          <w:sz w:val="24"/>
        </w:rPr>
        <w:t>采购组织机构</w:t>
      </w:r>
    </w:p>
    <w:p>
      <w:pPr>
        <w:snapToGrid w:val="0"/>
        <w:spacing w:line="360" w:lineRule="auto"/>
        <w:ind w:firstLine="480" w:firstLineChars="200"/>
        <w:rPr>
          <w:rFonts w:ascii="宋体" w:hAnsi="宋体" w:cs="宋体"/>
          <w:sz w:val="24"/>
          <w:u w:val="single"/>
        </w:rPr>
      </w:pPr>
      <w:r>
        <w:rPr>
          <w:rFonts w:hint="eastAsia" w:ascii="宋体" w:hAnsi="宋体" w:cs="宋体"/>
          <w:sz w:val="24"/>
        </w:rPr>
        <w:t>名 称：</w:t>
      </w:r>
      <w:r>
        <w:rPr>
          <w:rFonts w:hint="eastAsia" w:ascii="宋体" w:hAnsi="宋体" w:cs="宋体"/>
          <w:sz w:val="24"/>
          <w:u w:val="single"/>
        </w:rPr>
        <w:t>台州天兴工程管理咨询有限公司</w:t>
      </w:r>
    </w:p>
    <w:p>
      <w:pPr>
        <w:snapToGrid w:val="0"/>
        <w:spacing w:line="360" w:lineRule="auto"/>
        <w:ind w:firstLine="480" w:firstLineChars="200"/>
        <w:rPr>
          <w:rFonts w:ascii="宋体" w:hAnsi="宋体" w:cs="宋体"/>
          <w:sz w:val="24"/>
          <w:u w:val="single"/>
        </w:rPr>
      </w:pPr>
      <w:r>
        <w:rPr>
          <w:rFonts w:hint="eastAsia" w:ascii="宋体" w:hAnsi="宋体" w:cs="宋体"/>
          <w:sz w:val="24"/>
        </w:rPr>
        <w:t>地 址：</w:t>
      </w:r>
      <w:r>
        <w:rPr>
          <w:rFonts w:cs="宋体"/>
          <w:sz w:val="24"/>
          <w:u w:val="single"/>
        </w:rPr>
        <w:t>浙江省台州市椒江区海门街道建设路105-16号</w:t>
      </w:r>
    </w:p>
    <w:p>
      <w:pPr>
        <w:pStyle w:val="19"/>
        <w:widowControl w:val="0"/>
        <w:adjustRightInd w:val="0"/>
        <w:snapToGrid w:val="0"/>
        <w:spacing w:before="0" w:beforeAutospacing="0" w:after="0" w:afterAutospacing="0" w:line="360" w:lineRule="auto"/>
        <w:ind w:firstLine="480" w:firstLineChars="200"/>
        <w:jc w:val="both"/>
        <w:rPr>
          <w:rFonts w:hint="default" w:cs="宋体"/>
        </w:rPr>
      </w:pPr>
      <w:r>
        <w:rPr>
          <w:rFonts w:cs="宋体"/>
          <w:kern w:val="2"/>
        </w:rPr>
        <w:t>项目联系人：</w:t>
      </w:r>
      <w:r>
        <w:rPr>
          <w:rFonts w:cs="宋体"/>
          <w:u w:val="single"/>
        </w:rPr>
        <w:t>金女士</w:t>
      </w:r>
    </w:p>
    <w:p>
      <w:pPr>
        <w:snapToGrid w:val="0"/>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0576-88322665</w:t>
      </w:r>
    </w:p>
    <w:p>
      <w:pPr>
        <w:snapToGrid w:val="0"/>
        <w:spacing w:line="360" w:lineRule="auto"/>
        <w:ind w:firstLine="480" w:firstLineChars="200"/>
        <w:rPr>
          <w:rFonts w:ascii="宋体" w:hAnsi="宋体" w:cs="宋体"/>
          <w:sz w:val="24"/>
          <w:u w:val="single"/>
        </w:rPr>
      </w:pPr>
      <w:r>
        <w:rPr>
          <w:rFonts w:hint="eastAsia" w:ascii="宋体" w:hAnsi="宋体" w:cs="宋体"/>
          <w:sz w:val="24"/>
        </w:rPr>
        <w:t>受理联系人：</w:t>
      </w:r>
      <w:r>
        <w:rPr>
          <w:rFonts w:hint="eastAsia" w:ascii="宋体" w:hAnsi="宋体" w:cs="宋体"/>
          <w:sz w:val="24"/>
          <w:u w:val="single"/>
        </w:rPr>
        <w:t>洪先生（受理注册、磋商结果相关质疑及答复）</w:t>
      </w:r>
    </w:p>
    <w:p>
      <w:pPr>
        <w:snapToGrid w:val="0"/>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0576-88898180</w:t>
      </w:r>
    </w:p>
    <w:p>
      <w:pPr>
        <w:snapToGrid w:val="0"/>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（三）同级政府采购监管机构</w:t>
      </w:r>
    </w:p>
    <w:p>
      <w:pPr>
        <w:snapToGrid w:val="0"/>
        <w:spacing w:line="360" w:lineRule="auto"/>
        <w:ind w:firstLine="480" w:firstLineChars="200"/>
        <w:rPr>
          <w:rFonts w:ascii="宋体" w:hAnsi="宋体" w:cs="宋体"/>
          <w:sz w:val="24"/>
          <w:u w:val="single"/>
          <w:lang w:bidi="en-US"/>
        </w:rPr>
      </w:pPr>
      <w:r>
        <w:rPr>
          <w:rFonts w:hint="eastAsia" w:asciiTheme="minorEastAsia" w:hAnsiTheme="minorEastAsia" w:eastAsiaTheme="minorEastAsia" w:cstheme="minorEastAsia"/>
          <w:sz w:val="24"/>
        </w:rPr>
        <w:t>名 称：</w:t>
      </w:r>
      <w:r>
        <w:rPr>
          <w:rFonts w:hint="eastAsia" w:ascii="宋体" w:hAnsi="宋体" w:cs="宋体"/>
          <w:sz w:val="24"/>
          <w:u w:val="single"/>
          <w:lang w:bidi="en-US"/>
        </w:rPr>
        <w:t>台州市财政局政府采购监管处</w:t>
      </w:r>
    </w:p>
    <w:p>
      <w:pPr>
        <w:snapToGrid w:val="0"/>
        <w:spacing w:line="360" w:lineRule="auto"/>
        <w:ind w:firstLine="480" w:firstLineChars="200"/>
        <w:rPr>
          <w:rFonts w:asciiTheme="minorEastAsia" w:hAnsiTheme="minorEastAsia" w:cstheme="minorEastAsia"/>
          <w:sz w:val="24"/>
          <w:u w:val="single"/>
        </w:rPr>
      </w:pPr>
      <w:r>
        <w:rPr>
          <w:rFonts w:hint="eastAsia" w:asciiTheme="minorEastAsia" w:hAnsiTheme="minorEastAsia" w:eastAsiaTheme="minorEastAsia" w:cstheme="minorEastAsia"/>
          <w:sz w:val="24"/>
        </w:rPr>
        <w:t>地 址：</w:t>
      </w:r>
      <w:r>
        <w:rPr>
          <w:rFonts w:hint="eastAsia" w:ascii="宋体" w:hAnsi="宋体" w:cs="宋体"/>
          <w:sz w:val="24"/>
          <w:u w:val="single"/>
          <w:lang w:bidi="en-US"/>
        </w:rPr>
        <w:t>台州市纬一路66号</w:t>
      </w:r>
    </w:p>
    <w:p>
      <w:pPr>
        <w:snapToGrid w:val="0"/>
        <w:spacing w:line="360" w:lineRule="auto"/>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联系人：</w:t>
      </w:r>
      <w:r>
        <w:rPr>
          <w:rFonts w:hint="eastAsia" w:ascii="宋体" w:hAnsi="宋体" w:cs="宋体"/>
          <w:sz w:val="24"/>
          <w:u w:val="single"/>
          <w:lang w:bidi="en-US"/>
        </w:rPr>
        <w:t>陈老师/李老师</w:t>
      </w:r>
    </w:p>
    <w:p>
      <w:pPr>
        <w:snapToGrid w:val="0"/>
        <w:spacing w:line="360" w:lineRule="auto"/>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联系电话：</w:t>
      </w:r>
      <w:r>
        <w:rPr>
          <w:rFonts w:hint="eastAsia" w:ascii="宋体" w:hAnsi="宋体" w:cs="宋体"/>
          <w:sz w:val="24"/>
          <w:u w:val="single"/>
          <w:lang w:bidi="en-US"/>
        </w:rPr>
        <w:t>0576-88206705/0576-88206731</w:t>
      </w:r>
    </w:p>
    <w:p>
      <w:pPr>
        <w:snapToGrid w:val="0"/>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（四）政采云平台</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r>
        <w:rPr>
          <w:rFonts w:asciiTheme="minorEastAsia" w:hAnsiTheme="minorEastAsia" w:eastAsiaTheme="minorEastAsia" w:cstheme="minorEastAsia"/>
          <w:sz w:val="24"/>
          <w:u w:val="single"/>
        </w:rPr>
        <w:t>95763</w:t>
      </w:r>
    </w:p>
    <w:p>
      <w:pPr>
        <w:pStyle w:val="26"/>
        <w:spacing w:line="360" w:lineRule="auto"/>
        <w:jc w:val="both"/>
        <w:rPr>
          <w:sz w:val="24"/>
          <w:szCs w:val="24"/>
        </w:rPr>
      </w:pPr>
    </w:p>
    <w:p>
      <w:pPr>
        <w:pStyle w:val="26"/>
        <w:spacing w:line="360" w:lineRule="auto"/>
        <w:jc w:val="both"/>
        <w:rPr>
          <w:sz w:val="24"/>
          <w:szCs w:val="24"/>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jc w:val="right"/>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shd w:val="clear" w:color="auto" w:fill="FFFFFF"/>
        </w:rPr>
        <w:t>台州天兴工程管理咨询有限公司</w:t>
      </w:r>
      <w:r>
        <w:rPr>
          <w:rFonts w:hint="eastAsia" w:asciiTheme="minorEastAsia" w:hAnsiTheme="minorEastAsia" w:eastAsiaTheme="minorEastAsia" w:cstheme="minorEastAsia"/>
          <w:kern w:val="0"/>
          <w:sz w:val="24"/>
        </w:rPr>
        <w:t xml:space="preserve"> </w:t>
      </w:r>
    </w:p>
    <w:p>
      <w:pPr>
        <w:widowControl/>
        <w:spacing w:line="360" w:lineRule="auto"/>
        <w:ind w:firstLine="480" w:firstLineChars="200"/>
        <w:rPr>
          <w:rFonts w:hint="eastAsia" w:asciiTheme="minorEastAsia" w:hAnsiTheme="minorEastAsia" w:eastAsiaTheme="minorEastAsia" w:cstheme="minorEastAsia"/>
          <w:kern w:val="0"/>
          <w:sz w:val="24"/>
          <w:lang w:eastAsia="zh-CN"/>
        </w:rPr>
      </w:pP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eastAsia="zh-CN"/>
        </w:rPr>
        <w:t>2024年</w:t>
      </w:r>
      <w:r>
        <w:rPr>
          <w:rFonts w:hint="eastAsia" w:asciiTheme="minorEastAsia" w:hAnsiTheme="minorEastAsia" w:eastAsiaTheme="minorEastAsia" w:cstheme="minorEastAsia"/>
          <w:kern w:val="0"/>
          <w:sz w:val="24"/>
          <w:lang w:val="en-US" w:eastAsia="zh-CN"/>
        </w:rPr>
        <w:t>08</w:t>
      </w:r>
      <w:r>
        <w:rPr>
          <w:rFonts w:hint="eastAsia" w:asciiTheme="minorEastAsia" w:hAnsiTheme="minorEastAsia" w:eastAsiaTheme="minorEastAsia" w:cstheme="minorEastAsia"/>
          <w:kern w:val="0"/>
          <w:sz w:val="24"/>
          <w:lang w:eastAsia="zh-CN"/>
        </w:rPr>
        <w:t>月</w:t>
      </w:r>
    </w:p>
    <w:bookmarkEnd w:id="30"/>
    <w:bookmarkEnd w:id="31"/>
    <w:p>
      <w:pPr>
        <w:numPr>
          <w:ilvl w:val="0"/>
          <w:numId w:val="4"/>
        </w:numPr>
        <w:spacing w:line="360" w:lineRule="auto"/>
        <w:jc w:val="center"/>
        <w:outlineLvl w:val="0"/>
        <w:rPr>
          <w:rFonts w:asciiTheme="minorEastAsia" w:hAnsiTheme="minorEastAsia" w:eastAsiaTheme="minorEastAsia"/>
          <w:b/>
          <w:sz w:val="36"/>
          <w:szCs w:val="36"/>
        </w:rPr>
      </w:pPr>
      <w:bookmarkStart w:id="32" w:name="_Toc6994"/>
      <w:r>
        <w:rPr>
          <w:rFonts w:hint="eastAsia" w:asciiTheme="minorEastAsia" w:hAnsiTheme="minorEastAsia" w:eastAsiaTheme="minorEastAsia"/>
          <w:b/>
          <w:sz w:val="36"/>
          <w:szCs w:val="36"/>
        </w:rPr>
        <w:t>供应商须知</w:t>
      </w:r>
      <w:bookmarkEnd w:id="32"/>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22"/>
        <w:tblW w:w="9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49"/>
        <w:gridCol w:w="6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r>
              <w:rPr>
                <w:rFonts w:hint="eastAsia" w:ascii="宋体" w:hAnsi="宋体" w:cs="宋体"/>
                <w:b/>
                <w:sz w:val="24"/>
              </w:rPr>
              <w:t>序号</w:t>
            </w:r>
          </w:p>
        </w:tc>
        <w:tc>
          <w:tcPr>
            <w:tcW w:w="2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r>
              <w:rPr>
                <w:rFonts w:hint="eastAsia" w:ascii="宋体" w:hAnsi="宋体" w:cs="宋体"/>
                <w:b/>
                <w:sz w:val="24"/>
              </w:rPr>
              <w:t>事项</w:t>
            </w:r>
          </w:p>
        </w:tc>
        <w:tc>
          <w:tcPr>
            <w:tcW w:w="68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21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rPr>
              <w:t>是否允许联合体</w:t>
            </w:r>
          </w:p>
        </w:tc>
        <w:tc>
          <w:tcPr>
            <w:tcW w:w="68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shd w:val="clear" w:color="auto" w:fill="FFFFFF"/>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21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rPr>
              <w:t>是否允许分包</w:t>
            </w:r>
          </w:p>
        </w:tc>
        <w:tc>
          <w:tcPr>
            <w:tcW w:w="68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shd w:val="clear" w:color="auto" w:fill="FFFFFF"/>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3</w:t>
            </w:r>
          </w:p>
        </w:tc>
        <w:tc>
          <w:tcPr>
            <w:tcW w:w="21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4"/>
              </w:rPr>
            </w:pPr>
            <w:r>
              <w:rPr>
                <w:rFonts w:hint="eastAsia" w:ascii="宋体" w:hAnsi="宋体" w:cs="宋体"/>
                <w:kern w:val="0"/>
                <w:sz w:val="24"/>
              </w:rPr>
              <w:t>是否包含政府强制采购节能产品</w:t>
            </w:r>
          </w:p>
        </w:tc>
        <w:tc>
          <w:tcPr>
            <w:tcW w:w="68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4"/>
              </w:rPr>
            </w:pPr>
            <w:r>
              <w:rPr>
                <w:rFonts w:hint="eastAsia" w:ascii="宋体" w:hAnsi="宋体" w:cs="宋体"/>
                <w:sz w:val="24"/>
                <w:shd w:val="clear" w:color="auto" w:fill="FFFFFF"/>
              </w:rPr>
              <w:t>否，具体清单见招标需求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w:t>
            </w:r>
          </w:p>
        </w:tc>
        <w:tc>
          <w:tcPr>
            <w:tcW w:w="21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4"/>
              </w:rPr>
            </w:pPr>
            <w:r>
              <w:rPr>
                <w:rFonts w:hint="eastAsia" w:ascii="宋体" w:hAnsi="宋体" w:cs="宋体"/>
                <w:kern w:val="0"/>
                <w:sz w:val="24"/>
              </w:rPr>
              <w:t>答疑会或</w:t>
            </w:r>
            <w:r>
              <w:rPr>
                <w:rFonts w:hint="eastAsia" w:ascii="宋体" w:hAnsi="宋体" w:cs="宋体"/>
                <w:sz w:val="24"/>
              </w:rPr>
              <w:t>现场踏勘</w:t>
            </w:r>
          </w:p>
        </w:tc>
        <w:tc>
          <w:tcPr>
            <w:tcW w:w="68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 w:val="24"/>
              </w:rPr>
            </w:pPr>
            <w:r>
              <w:rPr>
                <w:rFonts w:hint="eastAsia" w:ascii="宋体" w:hAnsi="宋体" w:cs="宋体"/>
                <w:kern w:val="0"/>
                <w:sz w:val="24"/>
                <w:lang w:bidi="en-US"/>
              </w:rPr>
              <w:t>供应商可自行前往现场踏勘。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21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4"/>
              </w:rPr>
            </w:pPr>
            <w:r>
              <w:rPr>
                <w:rFonts w:hint="eastAsia" w:ascii="宋体" w:hAnsi="宋体" w:cs="宋体"/>
                <w:sz w:val="24"/>
              </w:rPr>
              <w:t>响应文件的制作和递交</w:t>
            </w:r>
          </w:p>
        </w:tc>
        <w:tc>
          <w:tcPr>
            <w:tcW w:w="68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请供应商仔细阅读“政府采购项目电子交易操作指南”。</w:t>
            </w:r>
          </w:p>
          <w:p>
            <w:pPr>
              <w:rPr>
                <w:rFonts w:ascii="宋体" w:hAnsi="宋体" w:cs="宋体"/>
                <w:sz w:val="24"/>
              </w:rPr>
            </w:pPr>
            <w:r>
              <w:rPr>
                <w:rFonts w:hint="eastAsia" w:ascii="宋体" w:hAnsi="宋体" w:cs="宋体"/>
                <w:sz w:val="24"/>
              </w:rPr>
              <w:t>1.响应文件的制作：供应商按照本项目磋商文件和政采云平台的要求,通过政采云电子交易客户端编制、加密并递交响应文件（下载网址：</w:t>
            </w:r>
            <w:r>
              <w:fldChar w:fldCharType="begin"/>
            </w:r>
            <w:r>
              <w:instrText xml:space="preserve"> HYPERLINK "http://www.zjzfcg.gov.cn/bidClientTemplate/2019-09-24/12975.html）。" </w:instrText>
            </w:r>
            <w:r>
              <w:fldChar w:fldCharType="separate"/>
            </w:r>
            <w:r>
              <w:rPr>
                <w:rFonts w:hint="eastAsia" w:ascii="宋体" w:hAnsi="宋体" w:cs="宋体"/>
                <w:sz w:val="24"/>
              </w:rPr>
              <w:t>https://zfcg.czt.zj.gov.cn/download/index.html）。</w:t>
            </w:r>
            <w:r>
              <w:rPr>
                <w:rFonts w:hint="eastAsia" w:ascii="宋体" w:hAnsi="宋体" w:cs="宋体"/>
                <w:sz w:val="24"/>
              </w:rPr>
              <w:fldChar w:fldCharType="end"/>
            </w:r>
          </w:p>
          <w:p>
            <w:pPr>
              <w:rPr>
                <w:rFonts w:ascii="宋体" w:hAnsi="宋体" w:cs="宋体"/>
                <w:sz w:val="24"/>
              </w:rPr>
            </w:pPr>
            <w:r>
              <w:rPr>
                <w:rFonts w:hint="eastAsia" w:ascii="宋体" w:hAnsi="宋体" w:cs="宋体"/>
                <w:sz w:val="24"/>
              </w:rPr>
              <w:t>2.递交响应文件：供应商应当在响应截止时间前（磋商当天北京时间</w:t>
            </w:r>
            <w:r>
              <w:rPr>
                <w:rFonts w:hint="eastAsia" w:ascii="宋体" w:hAnsi="宋体" w:cs="宋体"/>
                <w:b/>
                <w:sz w:val="24"/>
              </w:rPr>
              <w:t>09:00</w:t>
            </w:r>
            <w:r>
              <w:rPr>
                <w:rFonts w:hint="eastAsia" w:ascii="宋体" w:hAnsi="宋体" w:cs="宋体"/>
                <w:sz w:val="24"/>
              </w:rPr>
              <w:t>）完成响应文件的递交，逾期递交的响应文件恕不接受。补充或者修改响应文件的，应当先行撤回原文件，补充、修改后重新递交。响应截止时间前未完成递交的，视为撤回响应文件。</w:t>
            </w:r>
          </w:p>
          <w:p>
            <w:pPr>
              <w:rPr>
                <w:rFonts w:ascii="宋体" w:hAnsi="宋体" w:cs="宋体"/>
                <w:kern w:val="0"/>
                <w:sz w:val="24"/>
              </w:rPr>
            </w:pPr>
            <w:r>
              <w:rPr>
                <w:rFonts w:hint="eastAsia" w:ascii="宋体" w:hAnsi="宋体" w:cs="宋体"/>
                <w:sz w:val="24"/>
              </w:rPr>
              <w:t>3.响应文件解密：供应商应在开标当天北京时</w:t>
            </w:r>
            <w:r>
              <w:rPr>
                <w:rFonts w:hint="eastAsia" w:ascii="宋体" w:hAnsi="宋体" w:cs="宋体"/>
                <w:b/>
                <w:sz w:val="24"/>
              </w:rPr>
              <w:t>09:00</w:t>
            </w:r>
            <w:r>
              <w:rPr>
                <w:rFonts w:hint="eastAsia" w:ascii="宋体" w:hAnsi="宋体" w:cs="宋体"/>
                <w:sz w:val="24"/>
              </w:rPr>
              <w:t>至</w:t>
            </w:r>
            <w:r>
              <w:rPr>
                <w:rFonts w:hint="eastAsia" w:ascii="宋体" w:hAnsi="宋体" w:cs="宋体"/>
                <w:b/>
                <w:sz w:val="24"/>
              </w:rPr>
              <w:t>09:30</w:t>
            </w:r>
            <w:r>
              <w:rPr>
                <w:rFonts w:hint="eastAsia" w:ascii="宋体" w:hAnsi="宋体" w:cs="宋体"/>
                <w:sz w:val="24"/>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6</w:t>
            </w:r>
          </w:p>
        </w:tc>
        <w:tc>
          <w:tcPr>
            <w:tcW w:w="2149"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firstLine="0"/>
              <w:rPr>
                <w:rFonts w:ascii="宋体" w:hAnsi="宋体" w:cs="宋体"/>
                <w:kern w:val="0"/>
                <w:sz w:val="24"/>
              </w:rPr>
            </w:pPr>
            <w:r>
              <w:rPr>
                <w:rFonts w:hint="eastAsia" w:asciiTheme="minorEastAsia" w:hAnsiTheme="minorEastAsia" w:eastAsiaTheme="minorEastAsia" w:cstheme="minorEastAsia"/>
                <w:sz w:val="24"/>
              </w:rPr>
              <w:t>电子备份响应文件的递交</w:t>
            </w:r>
          </w:p>
        </w:tc>
        <w:tc>
          <w:tcPr>
            <w:tcW w:w="6877"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firstLine="0"/>
              <w:rPr>
                <w:rFonts w:ascii="宋体" w:hAnsi="宋体" w:cs="宋体"/>
                <w:sz w:val="24"/>
              </w:rPr>
            </w:pPr>
            <w:r>
              <w:rPr>
                <w:rFonts w:hint="eastAsia" w:ascii="宋体" w:hAnsi="宋体" w:cs="宋体"/>
                <w:sz w:val="24"/>
              </w:rPr>
              <w:t>电子备份响应文件是通过“政采云电子交易客户端”制作响应文件产生的备份文件</w:t>
            </w:r>
            <w:r>
              <w:rPr>
                <w:rFonts w:hint="eastAsia" w:ascii="宋体" w:hAnsi="宋体" w:cs="宋体"/>
                <w:b/>
                <w:sz w:val="24"/>
              </w:rPr>
              <w:t>[文件格式.bfbs]</w:t>
            </w:r>
            <w:r>
              <w:rPr>
                <w:rFonts w:hint="eastAsia" w:ascii="宋体" w:hAnsi="宋体" w:cs="宋体"/>
                <w:sz w:val="24"/>
              </w:rPr>
              <w:t>，其他方式编制的视为无效的电子备份响应文件。</w:t>
            </w:r>
          </w:p>
          <w:p>
            <w:pPr>
              <w:pStyle w:val="2"/>
              <w:spacing w:after="0"/>
              <w:ind w:left="0" w:leftChars="0" w:firstLine="0"/>
              <w:rPr>
                <w:rFonts w:ascii="宋体" w:hAnsi="宋体" w:cs="宋体"/>
                <w:sz w:val="24"/>
              </w:rPr>
            </w:pPr>
            <w:r>
              <w:rPr>
                <w:rFonts w:hint="eastAsia" w:ascii="宋体" w:hAnsi="宋体" w:cs="宋体"/>
                <w:sz w:val="24"/>
              </w:rPr>
              <w:t>1.使用前提：供应商自行在线解密操作失败无法按时寻求技术人员帮助解密，或者寻求技术人员帮助仍无法按时完成解密。</w:t>
            </w:r>
          </w:p>
          <w:p>
            <w:pPr>
              <w:pStyle w:val="2"/>
              <w:spacing w:after="0"/>
              <w:ind w:left="0" w:leftChars="0" w:firstLine="0"/>
              <w:rPr>
                <w:rFonts w:ascii="宋体" w:hAnsi="宋体" w:cs="宋体"/>
                <w:sz w:val="24"/>
              </w:rPr>
            </w:pPr>
            <w:r>
              <w:rPr>
                <w:rFonts w:hint="eastAsia" w:ascii="宋体" w:hAnsi="宋体" w:cs="宋体"/>
                <w:sz w:val="24"/>
              </w:rPr>
              <w:t>2.投递邮箱：可发送备份响应文件至2821919349@qq.com 邮箱。</w:t>
            </w:r>
          </w:p>
          <w:p>
            <w:pPr>
              <w:pStyle w:val="2"/>
              <w:spacing w:after="0"/>
              <w:ind w:left="0" w:leftChars="0" w:firstLine="0"/>
              <w:rPr>
                <w:rFonts w:ascii="宋体" w:hAnsi="宋体" w:cs="宋体"/>
                <w:sz w:val="24"/>
              </w:rPr>
            </w:pPr>
            <w:r>
              <w:rPr>
                <w:rFonts w:hint="eastAsia" w:ascii="宋体" w:hAnsi="宋体" w:cs="宋体"/>
                <w:sz w:val="24"/>
              </w:rPr>
              <w:t>3.递交截止时间：磋商当天</w:t>
            </w:r>
            <w:r>
              <w:rPr>
                <w:rFonts w:hint="eastAsia" w:ascii="宋体" w:hAnsi="宋体" w:cs="宋体"/>
                <w:b/>
                <w:sz w:val="24"/>
                <w:u w:val="single"/>
              </w:rPr>
              <w:t>09:00</w:t>
            </w:r>
            <w:r>
              <w:rPr>
                <w:rFonts w:hint="eastAsia" w:ascii="宋体" w:hAnsi="宋体" w:cs="宋体"/>
                <w:sz w:val="24"/>
              </w:rPr>
              <w:t>（北京时间）</w:t>
            </w:r>
          </w:p>
          <w:p>
            <w:pPr>
              <w:pStyle w:val="2"/>
              <w:spacing w:after="0"/>
              <w:ind w:left="0" w:leftChars="0" w:firstLine="0"/>
              <w:rPr>
                <w:rFonts w:ascii="宋体" w:hAnsi="宋体" w:cs="宋体"/>
                <w:kern w:val="0"/>
                <w:sz w:val="24"/>
              </w:rPr>
            </w:pPr>
            <w:r>
              <w:rPr>
                <w:rFonts w:hint="eastAsia" w:ascii="宋体" w:hAnsi="宋体" w:cs="宋体"/>
                <w:sz w:val="24"/>
              </w:rPr>
              <w:t>4.未按上述要求递交电子备份响应文件或所提供的电子备份响应文件不符合要求的视同放弃，后果由供应商自行承担。仅提交备份响应文件但未于政采云平台正式上传响应</w:t>
            </w:r>
            <w:r>
              <w:rPr>
                <w:rFonts w:hint="eastAsia" w:ascii="宋体" w:hAnsi="宋体" w:cs="宋体"/>
                <w:sz w:val="24"/>
                <w:shd w:val="clear" w:color="auto" w:fill="FFFFFF"/>
              </w:rPr>
              <w:t>的，磋商无效</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7</w:t>
            </w:r>
          </w:p>
        </w:tc>
        <w:tc>
          <w:tcPr>
            <w:tcW w:w="2149"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firstLine="0"/>
              <w:rPr>
                <w:rFonts w:ascii="宋体" w:hAnsi="宋体" w:cs="宋体"/>
                <w:kern w:val="0"/>
                <w:sz w:val="24"/>
              </w:rPr>
            </w:pPr>
            <w:r>
              <w:rPr>
                <w:rFonts w:hint="eastAsia" w:ascii="宋体" w:hAnsi="宋体" w:cs="宋体"/>
                <w:kern w:val="0"/>
                <w:sz w:val="24"/>
              </w:rPr>
              <w:t>成交供应商纸质备份文件的归档要求</w:t>
            </w:r>
          </w:p>
        </w:tc>
        <w:tc>
          <w:tcPr>
            <w:tcW w:w="6877"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firstLine="0"/>
              <w:rPr>
                <w:rFonts w:ascii="宋体" w:hAnsi="宋体" w:cs="宋体"/>
                <w:kern w:val="0"/>
                <w:sz w:val="24"/>
              </w:rPr>
            </w:pPr>
            <w:r>
              <w:rPr>
                <w:rFonts w:hint="eastAsia" w:ascii="宋体" w:hAnsi="宋体" w:cs="宋体"/>
                <w:sz w:val="24"/>
              </w:rPr>
              <w:t>成交后需提供纸质磋商响应文件给采购代理机构作为备案存档，纸质响应文件系电子响应文件纸质版，两者内容应一致；数量合计2份。邮寄到浙江省台州市椒江区海门街道建设路105-16号，收件人金女士，联系电话15355602733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8</w:t>
            </w:r>
          </w:p>
        </w:tc>
        <w:tc>
          <w:tcPr>
            <w:tcW w:w="2149" w:type="dxa"/>
            <w:tcBorders>
              <w:top w:val="single" w:color="auto" w:sz="4" w:space="0"/>
              <w:left w:val="single" w:color="auto" w:sz="4" w:space="0"/>
              <w:bottom w:val="single" w:color="auto" w:sz="4" w:space="0"/>
              <w:right w:val="single" w:color="auto" w:sz="4" w:space="0"/>
            </w:tcBorders>
            <w:vAlign w:val="center"/>
          </w:tcPr>
          <w:p>
            <w:pPr>
              <w:pStyle w:val="8"/>
              <w:ind w:firstLine="0"/>
              <w:rPr>
                <w:rFonts w:ascii="宋体" w:hAnsi="宋体" w:cs="宋体"/>
                <w:kern w:val="0"/>
                <w:sz w:val="24"/>
                <w:szCs w:val="24"/>
              </w:rPr>
            </w:pPr>
            <w:r>
              <w:rPr>
                <w:rFonts w:hint="eastAsia" w:ascii="宋体" w:hAnsi="宋体" w:cs="宋体"/>
                <w:sz w:val="24"/>
                <w:szCs w:val="24"/>
              </w:rPr>
              <w:t>不见面开标</w:t>
            </w:r>
          </w:p>
        </w:tc>
        <w:tc>
          <w:tcPr>
            <w:tcW w:w="6877" w:type="dxa"/>
            <w:tcBorders>
              <w:top w:val="single" w:color="auto" w:sz="4" w:space="0"/>
              <w:left w:val="single" w:color="auto" w:sz="4" w:space="0"/>
              <w:bottom w:val="single" w:color="auto" w:sz="4" w:space="0"/>
              <w:right w:val="single" w:color="auto" w:sz="4" w:space="0"/>
            </w:tcBorders>
            <w:vAlign w:val="center"/>
          </w:tcPr>
          <w:p>
            <w:pPr>
              <w:pStyle w:val="19"/>
              <w:spacing w:before="0" w:beforeAutospacing="0" w:after="0" w:afterAutospacing="0"/>
              <w:jc w:val="both"/>
              <w:rPr>
                <w:rFonts w:hint="default" w:cs="宋体"/>
              </w:rPr>
            </w:pPr>
            <w:r>
              <w:rPr>
                <w:rFonts w:cs="宋体"/>
              </w:rPr>
              <w:t>采购组织机构按照磋商文件规定的时间通过“政采云平台”组织开标，所有供应商均应当准时在线参加。如未参加，</w:t>
            </w:r>
            <w:r>
              <w:rPr>
                <w:rFonts w:cs="宋体"/>
                <w:bCs/>
              </w:rPr>
              <w:t>造成无法递交响应文件、递交失败等后果由供应商自行承担。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9</w:t>
            </w:r>
          </w:p>
        </w:tc>
        <w:tc>
          <w:tcPr>
            <w:tcW w:w="21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4"/>
              </w:rPr>
            </w:pPr>
            <w:r>
              <w:rPr>
                <w:rFonts w:hint="eastAsia" w:ascii="宋体" w:hAnsi="宋体" w:cs="宋体"/>
                <w:sz w:val="24"/>
              </w:rPr>
              <w:t>样品递交要求</w:t>
            </w:r>
          </w:p>
        </w:tc>
        <w:tc>
          <w:tcPr>
            <w:tcW w:w="6877" w:type="dxa"/>
            <w:tcBorders>
              <w:top w:val="single" w:color="auto" w:sz="4" w:space="0"/>
              <w:left w:val="single" w:color="auto" w:sz="4" w:space="0"/>
              <w:bottom w:val="single" w:color="auto" w:sz="4" w:space="0"/>
              <w:right w:val="single" w:color="auto" w:sz="4" w:space="0"/>
            </w:tcBorders>
            <w:vAlign w:val="center"/>
          </w:tcPr>
          <w:p>
            <w:pPr>
              <w:pStyle w:val="11"/>
              <w:ind w:firstLine="480" w:firstLineChars="200"/>
              <w:jc w:val="both"/>
              <w:rPr>
                <w:rFonts w:ascii="宋体" w:hAnsi="宋体" w:cs="宋体"/>
                <w:kern w:val="0"/>
                <w:sz w:val="24"/>
              </w:rPr>
            </w:pPr>
            <w:r>
              <w:rPr>
                <w:rFonts w:hint="eastAsia" w:ascii="宋体" w:hAnsi="宋体" w:cs="宋体"/>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10</w:t>
            </w:r>
          </w:p>
        </w:tc>
        <w:tc>
          <w:tcPr>
            <w:tcW w:w="21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4"/>
              </w:rPr>
            </w:pPr>
            <w:r>
              <w:rPr>
                <w:rFonts w:hint="eastAsia" w:ascii="宋体" w:hAnsi="宋体" w:cs="宋体"/>
                <w:sz w:val="24"/>
              </w:rPr>
              <w:t>在线演示要求</w:t>
            </w:r>
          </w:p>
        </w:tc>
        <w:tc>
          <w:tcPr>
            <w:tcW w:w="6877" w:type="dxa"/>
            <w:tcBorders>
              <w:top w:val="single" w:color="auto" w:sz="4" w:space="0"/>
              <w:left w:val="single" w:color="auto" w:sz="4" w:space="0"/>
              <w:bottom w:val="single" w:color="auto" w:sz="4" w:space="0"/>
              <w:right w:val="single" w:color="auto" w:sz="4" w:space="0"/>
            </w:tcBorders>
            <w:vAlign w:val="center"/>
          </w:tcPr>
          <w:p>
            <w:pPr>
              <w:pStyle w:val="11"/>
              <w:ind w:firstLine="480" w:firstLineChars="200"/>
              <w:jc w:val="both"/>
              <w:rPr>
                <w:rFonts w:ascii="宋体" w:hAnsi="宋体" w:cs="宋体"/>
                <w:kern w:val="0"/>
                <w:sz w:val="24"/>
              </w:rPr>
            </w:pPr>
            <w:r>
              <w:rPr>
                <w:rFonts w:ascii="宋体" w:hAnsi="宋体" w:cs="宋体"/>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11</w:t>
            </w:r>
          </w:p>
        </w:tc>
        <w:tc>
          <w:tcPr>
            <w:tcW w:w="21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rPr>
              <w:t>磋商注意事项</w:t>
            </w:r>
          </w:p>
        </w:tc>
        <w:tc>
          <w:tcPr>
            <w:tcW w:w="6877" w:type="dxa"/>
            <w:tcBorders>
              <w:top w:val="single" w:color="auto" w:sz="4" w:space="0"/>
              <w:left w:val="single" w:color="auto" w:sz="4" w:space="0"/>
              <w:bottom w:val="single" w:color="auto" w:sz="4" w:space="0"/>
              <w:right w:val="single" w:color="auto" w:sz="4" w:space="0"/>
            </w:tcBorders>
            <w:vAlign w:val="center"/>
          </w:tcPr>
          <w:p>
            <w:pPr>
              <w:pStyle w:val="9"/>
              <w:adjustRightInd w:val="0"/>
              <w:snapToGrid w:val="0"/>
              <w:ind w:firstLine="480" w:firstLineChars="200"/>
              <w:rPr>
                <w:rFonts w:hAnsi="宋体" w:cs="宋体"/>
                <w:bCs/>
                <w:sz w:val="24"/>
              </w:rPr>
            </w:pPr>
            <w:r>
              <w:rPr>
                <w:rFonts w:hint="eastAsia" w:hAnsi="宋体" w:cs="宋体"/>
                <w:bCs/>
                <w:sz w:val="24"/>
              </w:rPr>
              <w:t>1.本项目实行电子采购，采用电子响应文件。若供应商参与本项目，自行承担磋商活动一切费用。</w:t>
            </w:r>
          </w:p>
          <w:p>
            <w:pPr>
              <w:pStyle w:val="9"/>
              <w:adjustRightInd w:val="0"/>
              <w:snapToGrid w:val="0"/>
              <w:ind w:firstLine="480" w:firstLineChars="200"/>
              <w:rPr>
                <w:rFonts w:hAnsi="宋体" w:cs="宋体"/>
                <w:sz w:val="24"/>
              </w:rPr>
            </w:pPr>
            <w:r>
              <w:rPr>
                <w:rFonts w:hint="eastAsia" w:hAnsi="宋体" w:cs="宋体"/>
                <w:bCs/>
                <w:sz w:val="24"/>
              </w:rPr>
              <w:t>2.磋商前准备：各供应商在磋商前确保成为浙江省政府采购网正式注册供应商，并完成CA数字证书办理。因未注册入库、未办理CA数字证书等原因造成无法递交响应文件或递交失败等后果由供应商自行承担。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12</w:t>
            </w:r>
          </w:p>
        </w:tc>
        <w:tc>
          <w:tcPr>
            <w:tcW w:w="21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rPr>
              <w:t>信用信息查询渠道</w:t>
            </w:r>
          </w:p>
        </w:tc>
        <w:tc>
          <w:tcPr>
            <w:tcW w:w="687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24"/>
              </w:rPr>
            </w:pPr>
            <w:r>
              <w:rPr>
                <w:rFonts w:hint="eastAsia" w:ascii="宋体" w:hAnsi="宋体" w:cs="宋体"/>
                <w:sz w:val="24"/>
              </w:rPr>
              <w:t>信用中国（网址：</w:t>
            </w:r>
            <w:r>
              <w:fldChar w:fldCharType="begin"/>
            </w:r>
            <w:r>
              <w:instrText xml:space="preserve"> HYPERLINK "http://www.creditchina.gov.cn" </w:instrText>
            </w:r>
            <w:r>
              <w:fldChar w:fldCharType="separate"/>
            </w:r>
            <w:r>
              <w:rPr>
                <w:rFonts w:hint="eastAsia" w:ascii="宋体" w:hAnsi="宋体" w:cs="宋体"/>
                <w:sz w:val="24"/>
              </w:rPr>
              <w:t>http://www.creditchina.gov.cn</w:t>
            </w:r>
            <w:r>
              <w:rPr>
                <w:rFonts w:hint="eastAsia" w:ascii="宋体" w:hAnsi="宋体" w:cs="宋体"/>
                <w:sz w:val="24"/>
              </w:rPr>
              <w:fldChar w:fldCharType="end"/>
            </w:r>
            <w:r>
              <w:rPr>
                <w:rFonts w:hint="eastAsia" w:ascii="宋体" w:hAnsi="宋体" w:cs="宋体"/>
                <w:sz w:val="24"/>
              </w:rPr>
              <w:t>)</w:t>
            </w:r>
          </w:p>
          <w:p>
            <w:pPr>
              <w:snapToGrid w:val="0"/>
              <w:rPr>
                <w:rFonts w:ascii="宋体" w:hAnsi="宋体" w:cs="宋体"/>
                <w:sz w:val="24"/>
              </w:rPr>
            </w:pPr>
            <w:r>
              <w:rPr>
                <w:rFonts w:hint="eastAsia" w:ascii="宋体" w:hAnsi="宋体" w:cs="宋体"/>
                <w:sz w:val="24"/>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13</w:t>
            </w:r>
          </w:p>
        </w:tc>
        <w:tc>
          <w:tcPr>
            <w:tcW w:w="21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rPr>
              <w:t>中小企业预留份额情况</w:t>
            </w:r>
          </w:p>
        </w:tc>
        <w:tc>
          <w:tcPr>
            <w:tcW w:w="687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24"/>
                <w:shd w:val="clear" w:color="auto" w:fill="FFFFFF"/>
              </w:rPr>
            </w:pPr>
            <w:r>
              <w:rPr>
                <w:rFonts w:hint="eastAsia" w:ascii="宋体" w:hAnsi="宋体" w:cs="宋体"/>
                <w:sz w:val="24"/>
              </w:rPr>
              <w:t>根据《政府采购促进中小企业发展管理办法》财库〔2020〕46号文件的规定，本项目</w:t>
            </w:r>
            <w:r>
              <w:rPr>
                <w:rFonts w:hint="eastAsia" w:ascii="宋体" w:hAnsi="宋体" w:cs="宋体"/>
                <w:b/>
                <w:sz w:val="24"/>
              </w:rPr>
              <w:t xml:space="preserve"> 是</w:t>
            </w:r>
            <w:r>
              <w:rPr>
                <w:rFonts w:hint="eastAsia" w:ascii="宋体" w:hAnsi="宋体" w:cs="宋体"/>
                <w:b/>
                <w:sz w:val="24"/>
                <w:lang w:val="en-US" w:eastAsia="zh-CN"/>
              </w:rPr>
              <w:t xml:space="preserve"> </w:t>
            </w:r>
            <w:r>
              <w:rPr>
                <w:rFonts w:hint="eastAsia" w:ascii="宋体" w:hAnsi="宋体" w:cs="宋体"/>
                <w:sz w:val="24"/>
              </w:rPr>
              <w:t>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14</w:t>
            </w:r>
          </w:p>
        </w:tc>
        <w:tc>
          <w:tcPr>
            <w:tcW w:w="21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rPr>
              <w:t>中小企业优惠措施</w:t>
            </w:r>
          </w:p>
        </w:tc>
        <w:tc>
          <w:tcPr>
            <w:tcW w:w="68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1.项目属性（</w:t>
            </w:r>
            <w:r>
              <w:rPr>
                <w:rFonts w:hint="eastAsia" w:ascii="宋体" w:hAnsi="宋体" w:cs="微软雅黑"/>
                <w:b/>
                <w:sz w:val="24"/>
              </w:rPr>
              <w:t>服务类</w:t>
            </w:r>
            <w:r>
              <w:rPr>
                <w:rFonts w:hint="eastAsia" w:ascii="宋体" w:hAnsi="宋体" w:cs="宋体"/>
                <w:sz w:val="24"/>
              </w:rPr>
              <w:t>）</w:t>
            </w:r>
          </w:p>
          <w:p>
            <w:pPr>
              <w:jc w:val="left"/>
              <w:rPr>
                <w:rFonts w:ascii="宋体" w:hAnsi="宋体" w:cs="宋体"/>
                <w:sz w:val="24"/>
              </w:rPr>
            </w:pPr>
            <w:r>
              <w:rPr>
                <w:rFonts w:hint="eastAsia" w:ascii="宋体" w:hAnsi="宋体" w:cs="宋体"/>
                <w:sz w:val="24"/>
              </w:rPr>
              <w:t>2.中小企业划分标准所属行业（具体根据《中小企业划型标准规定》执行）</w:t>
            </w:r>
          </w:p>
          <w:p>
            <w:pPr>
              <w:jc w:val="left"/>
              <w:rPr>
                <w:rFonts w:ascii="宋体" w:hAnsi="宋体" w:cs="宋体"/>
                <w:sz w:val="24"/>
              </w:rPr>
            </w:pPr>
            <w:r>
              <w:rPr>
                <w:rFonts w:hint="eastAsia" w:ascii="宋体" w:hAnsi="宋体" w:cs="宋体"/>
                <w:sz w:val="24"/>
              </w:rPr>
              <w:t>采购标的：</w:t>
            </w:r>
            <w:r>
              <w:rPr>
                <w:rFonts w:hint="eastAsia" w:ascii="宋体" w:hAnsi="宋体" w:cs="宋体"/>
                <w:b/>
                <w:sz w:val="24"/>
                <w:u w:val="single"/>
              </w:rPr>
              <w:t>后勤保障服务</w:t>
            </w:r>
            <w:r>
              <w:rPr>
                <w:rFonts w:hint="eastAsia" w:ascii="宋体" w:hAnsi="宋体" w:cs="宋体"/>
                <w:sz w:val="24"/>
              </w:rPr>
              <w:t>，所属行业：</w:t>
            </w:r>
            <w:r>
              <w:rPr>
                <w:rFonts w:hint="eastAsia" w:ascii="宋体" w:hAnsi="宋体" w:cs="微软雅黑"/>
                <w:b/>
                <w:sz w:val="24"/>
                <w:u w:val="single"/>
              </w:rPr>
              <w:t>（十）餐饮业</w:t>
            </w:r>
            <w:r>
              <w:rPr>
                <w:rFonts w:hint="eastAsia" w:ascii="宋体" w:hAnsi="宋体" w:cs="宋体"/>
                <w:sz w:val="24"/>
                <w:u w:val="single"/>
              </w:rPr>
              <w:t>。</w:t>
            </w:r>
          </w:p>
          <w:p>
            <w:pPr>
              <w:jc w:val="left"/>
              <w:rPr>
                <w:rFonts w:ascii="宋体" w:hAnsi="宋体" w:cs="宋体"/>
                <w:sz w:val="24"/>
              </w:rPr>
            </w:pPr>
            <w:r>
              <w:rPr>
                <w:rFonts w:hint="eastAsia" w:ascii="宋体" w:hAnsi="宋体" w:cs="宋体"/>
                <w:sz w:val="24"/>
              </w:rPr>
              <w:t>划分标准如下：</w:t>
            </w:r>
            <w:r>
              <w:rPr>
                <w:rFonts w:hint="eastAsia" w:ascii="黑体" w:hAnsi="黑体" w:eastAsia="黑体" w:cs="黑体"/>
                <w:sz w:val="24"/>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jc w:val="left"/>
              <w:rPr>
                <w:rFonts w:ascii="宋体" w:hAnsi="宋体" w:cs="宋体"/>
                <w:sz w:val="24"/>
              </w:rPr>
            </w:pPr>
            <w:r>
              <w:rPr>
                <w:rFonts w:hint="eastAsia" w:ascii="宋体" w:hAnsi="宋体" w:cs="宋体"/>
                <w:sz w:val="24"/>
              </w:rPr>
              <w:t>3.属于享受政府采购支持政策的残疾人福利性单位，应满足财库</w:t>
            </w:r>
            <w:r>
              <w:rPr>
                <w:rFonts w:hint="eastAsia" w:cs="宋体"/>
                <w:bCs/>
                <w:sz w:val="24"/>
              </w:rPr>
              <w:t>〔</w:t>
            </w:r>
            <w:r>
              <w:rPr>
                <w:rFonts w:hint="eastAsia" w:ascii="宋体" w:hAnsi="宋体" w:cs="宋体"/>
                <w:sz w:val="24"/>
              </w:rPr>
              <w:t>2017〕141号文件第一条的规定，并在投标文件中提供残疾人福利性单位声明函（见附件）。</w:t>
            </w:r>
          </w:p>
          <w:p>
            <w:pPr>
              <w:jc w:val="left"/>
              <w:rPr>
                <w:rFonts w:ascii="宋体" w:hAnsi="宋体" w:cs="宋体"/>
                <w:sz w:val="24"/>
              </w:rPr>
            </w:pPr>
            <w:r>
              <w:rPr>
                <w:rFonts w:hint="eastAsia" w:ascii="宋体" w:hAnsi="宋体" w:cs="宋体"/>
                <w:sz w:val="24"/>
              </w:rPr>
              <w:t>4.根据财库</w:t>
            </w:r>
            <w:r>
              <w:rPr>
                <w:rFonts w:hint="eastAsia" w:cs="宋体"/>
                <w:bCs/>
                <w:sz w:val="24"/>
              </w:rPr>
              <w:t>〔</w:t>
            </w:r>
            <w:r>
              <w:rPr>
                <w:rFonts w:hint="eastAsia" w:ascii="宋体" w:hAnsi="宋体" w:cs="宋体"/>
                <w:sz w:val="24"/>
              </w:rPr>
              <w:t>2014〕68号的相关规定，在政府采购活动中，监狱企业视同小型、微型企业，在投标文件中提供由省级以上监狱管理局、戒毒管理局（含新疆生产建设兵团）出具的属于监狱企业的证明文件（格式自拟）。</w:t>
            </w:r>
          </w:p>
          <w:p>
            <w:pPr>
              <w:snapToGrid w:val="0"/>
              <w:rPr>
                <w:rFonts w:ascii="宋体" w:hAnsi="宋体" w:cs="宋体"/>
                <w:sz w:val="24"/>
              </w:rPr>
            </w:pPr>
            <w:r>
              <w:rPr>
                <w:rFonts w:hint="eastAsia" w:ascii="宋体" w:hAnsi="宋体" w:cs="宋体"/>
                <w:sz w:val="24"/>
              </w:rPr>
              <w:t>(注：未提供以上材料或未填写必要内容的，均不享受政府采购支持政策）。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15</w:t>
            </w:r>
          </w:p>
        </w:tc>
        <w:tc>
          <w:tcPr>
            <w:tcW w:w="21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 w:val="24"/>
              </w:rPr>
            </w:pPr>
            <w:r>
              <w:rPr>
                <w:rFonts w:hint="eastAsia" w:ascii="宋体" w:hAnsi="宋体" w:cs="宋体"/>
                <w:sz w:val="24"/>
              </w:rPr>
              <w:t>采购代理机构代理费用的收取标准和方式</w:t>
            </w:r>
          </w:p>
        </w:tc>
        <w:tc>
          <w:tcPr>
            <w:tcW w:w="687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 w:val="24"/>
              </w:rPr>
            </w:pPr>
            <w:r>
              <w:rPr>
                <w:rFonts w:hint="eastAsia" w:ascii="宋体" w:hAnsi="宋体" w:cs="宋体"/>
                <w:sz w:val="24"/>
              </w:rPr>
              <w:t>1.本次采购项目采购代理服务费</w:t>
            </w:r>
            <w:r>
              <w:rPr>
                <w:rFonts w:hint="eastAsia" w:ascii="宋体" w:hAnsi="宋体" w:cs="宋体"/>
                <w:sz w:val="24"/>
                <w:lang w:eastAsia="zh-CN"/>
              </w:rPr>
              <w:t>按</w:t>
            </w:r>
            <w:r>
              <w:rPr>
                <w:rFonts w:hint="eastAsia" w:ascii="宋体" w:hAnsi="宋体" w:cs="宋体"/>
                <w:sz w:val="24"/>
              </w:rPr>
              <w:t>人民币</w:t>
            </w:r>
            <w:r>
              <w:rPr>
                <w:rFonts w:hint="eastAsia" w:ascii="宋体" w:hAnsi="宋体" w:cs="宋体"/>
                <w:sz w:val="24"/>
                <w:u w:val="single"/>
              </w:rPr>
              <w:t>壹万元整（¥10000.00）</w:t>
            </w:r>
            <w:r>
              <w:rPr>
                <w:rFonts w:hint="eastAsia" w:ascii="宋体" w:hAnsi="宋体" w:cs="宋体"/>
                <w:sz w:val="24"/>
              </w:rPr>
              <w:t>收取，由成交人在成交结果公示后五个工作日内支付给采购代理机构。</w:t>
            </w:r>
          </w:p>
          <w:p>
            <w:pPr>
              <w:snapToGrid w:val="0"/>
              <w:jc w:val="left"/>
              <w:rPr>
                <w:rFonts w:ascii="宋体" w:hAnsi="宋体" w:cs="宋体"/>
                <w:sz w:val="24"/>
              </w:rPr>
            </w:pPr>
            <w:r>
              <w:rPr>
                <w:rFonts w:hint="eastAsia" w:ascii="宋体" w:hAnsi="宋体" w:cs="宋体"/>
                <w:sz w:val="24"/>
              </w:rPr>
              <w:t>2.服务费缴纳账户信息：</w:t>
            </w:r>
          </w:p>
          <w:p>
            <w:pPr>
              <w:jc w:val="left"/>
              <w:rPr>
                <w:rFonts w:ascii="宋体" w:hAnsi="宋体" w:cs="宋体"/>
                <w:sz w:val="24"/>
              </w:rPr>
            </w:pPr>
            <w:r>
              <w:rPr>
                <w:rFonts w:hint="eastAsia" w:ascii="宋体" w:hAnsi="宋体" w:cs="宋体"/>
                <w:sz w:val="24"/>
              </w:rPr>
              <w:t xml:space="preserve">开户行：台州银行椒江支行    </w:t>
            </w:r>
            <w:r>
              <w:rPr>
                <w:rFonts w:hint="eastAsia" w:ascii="宋体" w:hAnsi="宋体" w:cs="宋体"/>
                <w:sz w:val="24"/>
                <w:lang w:val="en-US" w:eastAsia="zh-CN"/>
              </w:rPr>
              <w:t xml:space="preserve">  </w:t>
            </w:r>
            <w:r>
              <w:rPr>
                <w:rFonts w:hint="eastAsia" w:ascii="宋体" w:hAnsi="宋体" w:cs="宋体"/>
                <w:sz w:val="24"/>
              </w:rPr>
              <w:t>账号：540017383000015</w:t>
            </w:r>
          </w:p>
          <w:p>
            <w:pPr>
              <w:snapToGrid w:val="0"/>
              <w:spacing w:line="360" w:lineRule="auto"/>
              <w:jc w:val="left"/>
              <w:rPr>
                <w:rFonts w:hAnsi="宋体"/>
              </w:rPr>
            </w:pPr>
            <w:r>
              <w:rPr>
                <w:rFonts w:hint="eastAsia" w:ascii="宋体" w:hAnsi="宋体" w:cs="宋体"/>
                <w:sz w:val="24"/>
              </w:rPr>
              <w:t>开户名：台州天兴工程管理咨询有限公司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16</w:t>
            </w:r>
          </w:p>
        </w:tc>
        <w:tc>
          <w:tcPr>
            <w:tcW w:w="21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微软雅黑"/>
                <w:sz w:val="24"/>
              </w:rPr>
              <w:t>履约保证金</w:t>
            </w:r>
          </w:p>
        </w:tc>
        <w:tc>
          <w:tcPr>
            <w:tcW w:w="687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 w:val="24"/>
              </w:rPr>
            </w:pPr>
            <w:r>
              <w:rPr>
                <w:rFonts w:hint="eastAsia" w:ascii="宋体" w:hAnsi="宋体" w:cs="微软雅黑"/>
                <w:sz w:val="24"/>
              </w:rPr>
              <w:t>合同签订同时，成交供应商须提交合同总价1%的履约担保（履约保证金可以以银行转账、由银行或保险公司出具的保函保单等形式）给采购人。服务期满无质量与服务问题十个工作日内退还履约保证金。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17</w:t>
            </w:r>
          </w:p>
        </w:tc>
        <w:tc>
          <w:tcPr>
            <w:tcW w:w="21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lang w:val="zh-CN"/>
              </w:rPr>
              <w:t>实质性条款</w:t>
            </w:r>
          </w:p>
        </w:tc>
        <w:tc>
          <w:tcPr>
            <w:tcW w:w="68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kern w:val="0"/>
                <w:sz w:val="24"/>
                <w:lang w:val="zh-CN"/>
              </w:rPr>
              <w:t>带“</w:t>
            </w:r>
            <w:r>
              <w:rPr>
                <w:rFonts w:hint="eastAsia" w:ascii="宋体" w:hAnsi="宋体" w:cs="宋体"/>
                <w:bCs/>
                <w:sz w:val="24"/>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18</w:t>
            </w:r>
          </w:p>
        </w:tc>
        <w:tc>
          <w:tcPr>
            <w:tcW w:w="21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rPr>
              <w:t>主要性能参数</w:t>
            </w:r>
          </w:p>
        </w:tc>
        <w:tc>
          <w:tcPr>
            <w:tcW w:w="68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19</w:t>
            </w:r>
          </w:p>
        </w:tc>
        <w:tc>
          <w:tcPr>
            <w:tcW w:w="21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rPr>
              <w:t>书面形式</w:t>
            </w:r>
          </w:p>
        </w:tc>
        <w:tc>
          <w:tcPr>
            <w:tcW w:w="68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20</w:t>
            </w:r>
          </w:p>
        </w:tc>
        <w:tc>
          <w:tcPr>
            <w:tcW w:w="21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rPr>
              <w:t>解释权</w:t>
            </w:r>
          </w:p>
        </w:tc>
        <w:tc>
          <w:tcPr>
            <w:tcW w:w="68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rPr>
              <w:t>本招标文件解释权属于采购人和采购组织机构</w:t>
            </w:r>
          </w:p>
        </w:tc>
      </w:tr>
    </w:tbl>
    <w:p>
      <w:pPr>
        <w:pStyle w:val="9"/>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10"/>
        <w:spacing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w:t>
      </w:r>
      <w:r>
        <w:rPr>
          <w:rFonts w:hint="eastAsia" w:asciiTheme="minorEastAsia" w:hAnsiTheme="minorEastAsia" w:eastAsiaTheme="minorEastAsia"/>
          <w:sz w:val="24"/>
        </w:rPr>
        <w:t>磋商文件</w:t>
      </w:r>
      <w:r>
        <w:rPr>
          <w:rFonts w:asciiTheme="minorEastAsia" w:hAnsiTheme="minorEastAsia" w:eastAsiaTheme="minorEastAsia"/>
          <w:sz w:val="24"/>
        </w:rPr>
        <w:t>依据《中华人民共和国政府采购法》、《中华人民共和国政府采购法实施条例》（国务院令第658号）和</w:t>
      </w:r>
      <w:r>
        <w:rPr>
          <w:rFonts w:hAnsi="宋体"/>
          <w:sz w:val="24"/>
        </w:rPr>
        <w:t>《政府采购竞争性磋商采购方式管理暂行办法》</w:t>
      </w:r>
      <w:r>
        <w:rPr>
          <w:rFonts w:asciiTheme="minorEastAsia" w:hAnsiTheme="minorEastAsia" w:eastAsiaTheme="minorEastAsia"/>
          <w:sz w:val="24"/>
        </w:rPr>
        <w:t>（</w:t>
      </w:r>
      <w:r>
        <w:rPr>
          <w:rFonts w:hAnsi="宋体"/>
          <w:sz w:val="24"/>
        </w:rPr>
        <w:t>财库〔</w:t>
      </w:r>
      <w:r>
        <w:rPr>
          <w:sz w:val="24"/>
        </w:rPr>
        <w:t>2014</w:t>
      </w:r>
      <w:r>
        <w:rPr>
          <w:rFonts w:hAnsi="宋体"/>
          <w:sz w:val="24"/>
        </w:rPr>
        <w:t>〕</w:t>
      </w:r>
      <w:r>
        <w:rPr>
          <w:sz w:val="24"/>
        </w:rPr>
        <w:t>214</w:t>
      </w:r>
      <w:r>
        <w:rPr>
          <w:rFonts w:hAnsi="宋体"/>
          <w:sz w:val="24"/>
        </w:rPr>
        <w:t>号</w:t>
      </w:r>
      <w:r>
        <w:rPr>
          <w:rFonts w:asciiTheme="minorEastAsia" w:hAnsiTheme="minorEastAsia" w:eastAsiaTheme="minorEastAsia"/>
          <w:sz w:val="24"/>
        </w:rPr>
        <w:t>）及国家和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磋商</w:t>
      </w:r>
      <w:r>
        <w:rPr>
          <w:rFonts w:asciiTheme="minorEastAsia" w:hAnsiTheme="minorEastAsia" w:eastAsiaTheme="minorEastAsia"/>
          <w:sz w:val="24"/>
        </w:rPr>
        <w:t>供应商应仔细阅读本项目</w:t>
      </w:r>
      <w:r>
        <w:rPr>
          <w:rFonts w:hint="eastAsia" w:asciiTheme="minorEastAsia" w:hAnsiTheme="minorEastAsia" w:eastAsiaTheme="minorEastAsia"/>
          <w:sz w:val="24"/>
        </w:rPr>
        <w:t>采购</w:t>
      </w:r>
      <w:r>
        <w:rPr>
          <w:rFonts w:asciiTheme="minorEastAsia" w:hAnsiTheme="minorEastAsia" w:eastAsiaTheme="minorEastAsia"/>
          <w:sz w:val="24"/>
        </w:rPr>
        <w:t>公告及</w:t>
      </w:r>
      <w:r>
        <w:rPr>
          <w:rFonts w:hint="eastAsia" w:asciiTheme="minorEastAsia" w:hAnsiTheme="minorEastAsia" w:eastAsiaTheme="minorEastAsia"/>
          <w:sz w:val="24"/>
        </w:rPr>
        <w:t>磋商文件</w:t>
      </w:r>
      <w:r>
        <w:rPr>
          <w:rFonts w:asciiTheme="minorEastAsia" w:hAnsiTheme="minorEastAsia" w:eastAsiaTheme="minorEastAsia"/>
          <w:sz w:val="24"/>
        </w:rPr>
        <w:t>的所有内容（包括变更、补充、澄清以及修改等，均为</w:t>
      </w:r>
      <w:r>
        <w:rPr>
          <w:rFonts w:hint="eastAsia" w:asciiTheme="minorEastAsia" w:hAnsiTheme="minorEastAsia" w:eastAsiaTheme="minorEastAsia"/>
          <w:sz w:val="24"/>
        </w:rPr>
        <w:t>磋商文件</w:t>
      </w:r>
      <w:r>
        <w:rPr>
          <w:rFonts w:asciiTheme="minorEastAsia" w:hAnsiTheme="minorEastAsia" w:eastAsiaTheme="minorEastAsia"/>
          <w:sz w:val="24"/>
        </w:rPr>
        <w:t>的组成部分），按照</w:t>
      </w:r>
      <w:r>
        <w:rPr>
          <w:rFonts w:hint="eastAsia" w:asciiTheme="minorEastAsia" w:hAnsiTheme="minorEastAsia" w:eastAsiaTheme="minorEastAsia"/>
          <w:sz w:val="24"/>
        </w:rPr>
        <w:t>磋商文件</w:t>
      </w:r>
      <w:r>
        <w:rPr>
          <w:rFonts w:asciiTheme="minorEastAsia" w:hAnsiTheme="minorEastAsia" w:eastAsiaTheme="minorEastAsia"/>
          <w:sz w:val="24"/>
        </w:rPr>
        <w:t>要求以及格式编制</w:t>
      </w:r>
      <w:r>
        <w:rPr>
          <w:rFonts w:hint="eastAsia" w:asciiTheme="minorEastAsia" w:hAnsiTheme="minorEastAsia" w:eastAsiaTheme="minorEastAsia"/>
          <w:sz w:val="24"/>
        </w:rPr>
        <w:t>响应文件</w:t>
      </w:r>
      <w:r>
        <w:rPr>
          <w:rFonts w:asciiTheme="minorEastAsia" w:hAnsiTheme="minorEastAsia" w:eastAsiaTheme="minorEastAsia"/>
          <w:sz w:val="24"/>
        </w:rPr>
        <w:t>，并保证其真实性，</w:t>
      </w:r>
      <w:r>
        <w:rPr>
          <w:rFonts w:ascii="宋体" w:hAnsi="宋体" w:cs="宋体"/>
          <w:sz w:val="24"/>
        </w:rPr>
        <w:t>否则由此引起的一切后果应由投标供应商承担。</w:t>
      </w: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本磋商文件适用于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w:t>
      </w:r>
      <w:r>
        <w:rPr>
          <w:rFonts w:hint="eastAsia" w:ascii="宋体" w:hAnsi="宋体"/>
          <w:sz w:val="24"/>
        </w:rPr>
        <w:t>磋商、</w:t>
      </w:r>
      <w:r>
        <w:rPr>
          <w:rFonts w:hint="eastAsia" w:ascii="宋体" w:hAnsi="宋体"/>
          <w:bCs/>
          <w:sz w:val="24"/>
        </w:rPr>
        <w:t>评审、确定成交供应商</w:t>
      </w:r>
      <w:r>
        <w:rPr>
          <w:rFonts w:hint="eastAsia" w:asciiTheme="minorEastAsia" w:hAnsiTheme="minorEastAsia" w:eastAsiaTheme="minorEastAsia"/>
          <w:sz w:val="24"/>
        </w:rPr>
        <w:t>、验收、合同履约、付款等行为（法律、法规另有规定的，从其规定）。</w:t>
      </w:r>
    </w:p>
    <w:p>
      <w:pPr>
        <w:pStyle w:val="12"/>
        <w:spacing w:line="360" w:lineRule="auto"/>
        <w:ind w:firstLine="480" w:firstLineChars="200"/>
      </w:pPr>
      <w:r>
        <w:t>本</w:t>
      </w:r>
      <w:r>
        <w:rPr>
          <w:rFonts w:hint="eastAsia"/>
        </w:rPr>
        <w:t>磋商文件</w:t>
      </w:r>
      <w:r>
        <w:t>仅适用于本次</w:t>
      </w:r>
      <w:r>
        <w:rPr>
          <w:rFonts w:hint="eastAsia"/>
        </w:rPr>
        <w:t>采购</w:t>
      </w:r>
      <w:r>
        <w:t>公告中所涉及的项目和内容。</w:t>
      </w: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6"/>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rPr>
        <w:t>采购人：是指依法进行政府采购的国家机关、事业单位和团体组织。</w:t>
      </w:r>
    </w:p>
    <w:p>
      <w:pPr>
        <w:pStyle w:val="6"/>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w:t>
      </w:r>
      <w:r>
        <w:rPr>
          <w:rFonts w:hint="eastAsia"/>
          <w:bCs w:val="0"/>
          <w:sz w:val="24"/>
          <w:szCs w:val="24"/>
        </w:rPr>
        <w:t>磋商</w:t>
      </w:r>
      <w:r>
        <w:rPr>
          <w:rFonts w:hint="eastAsia"/>
          <w:bCs w:val="0"/>
          <w:sz w:val="24"/>
          <w:szCs w:val="24"/>
          <w:lang w:val="zh-CN"/>
        </w:rPr>
        <w:t>的集中采购机构</w:t>
      </w:r>
      <w:r>
        <w:rPr>
          <w:rFonts w:hint="eastAsia" w:cs="Arial"/>
          <w:bCs w:val="0"/>
          <w:sz w:val="24"/>
          <w:szCs w:val="24"/>
        </w:rPr>
        <w:t>/</w:t>
      </w:r>
      <w:r>
        <w:rPr>
          <w:rFonts w:hint="eastAsia"/>
          <w:bCs w:val="0"/>
          <w:sz w:val="24"/>
          <w:szCs w:val="24"/>
          <w:lang w:val="zh-CN"/>
        </w:rPr>
        <w:t>采购代理机构。</w:t>
      </w:r>
    </w:p>
    <w:p>
      <w:pPr>
        <w:snapToGrid w:val="0"/>
        <w:spacing w:line="360" w:lineRule="auto"/>
        <w:ind w:firstLine="480" w:firstLineChars="200"/>
        <w:rPr>
          <w:rFonts w:ascii="宋体" w:hAnsi="宋体"/>
          <w:strike/>
          <w:sz w:val="24"/>
          <w:lang w:val="zh-CN"/>
        </w:rPr>
      </w:pPr>
      <w:r>
        <w:rPr>
          <w:rFonts w:hint="eastAsia" w:asciiTheme="minorEastAsia" w:hAnsiTheme="minorEastAsia" w:eastAsiaTheme="minorEastAsia"/>
          <w:sz w:val="24"/>
        </w:rPr>
        <w:t>3.供应商：是指向采购人提供货物、工程或者服务的法人、其他组织或者自然人</w:t>
      </w:r>
      <w:r>
        <w:rPr>
          <w:rFonts w:asciiTheme="minorEastAsia" w:hAnsiTheme="minorEastAsia" w:eastAsiaTheme="minorEastAsia"/>
          <w:sz w:val="24"/>
        </w:rPr>
        <w:t>。</w:t>
      </w:r>
    </w:p>
    <w:p>
      <w:pPr>
        <w:snapToGrid w:val="0"/>
        <w:spacing w:line="360" w:lineRule="auto"/>
        <w:ind w:firstLine="480" w:firstLineChars="200"/>
        <w:rPr>
          <w:rFonts w:ascii="宋体" w:hAnsi="宋体"/>
          <w:sz w:val="24"/>
          <w:lang w:val="zh-CN"/>
        </w:rPr>
      </w:pPr>
      <w:r>
        <w:rPr>
          <w:rFonts w:hint="eastAsia" w:ascii="宋体" w:hAnsi="宋体"/>
          <w:sz w:val="24"/>
        </w:rPr>
        <w:t>4.成交</w:t>
      </w:r>
      <w:r>
        <w:rPr>
          <w:rFonts w:hint="eastAsia" w:ascii="宋体" w:hAnsi="宋体"/>
          <w:sz w:val="24"/>
          <w:lang w:val="zh-CN"/>
        </w:rPr>
        <w:t>供应商：是指经</w:t>
      </w:r>
      <w:r>
        <w:rPr>
          <w:rFonts w:hint="eastAsia" w:asciiTheme="minorEastAsia" w:hAnsiTheme="minorEastAsia" w:eastAsiaTheme="minorEastAsia" w:cstheme="minorBidi"/>
          <w:sz w:val="24"/>
        </w:rPr>
        <w:t>磋商小组</w:t>
      </w:r>
      <w:r>
        <w:rPr>
          <w:rFonts w:hint="eastAsia" w:ascii="宋体" w:hAnsi="宋体"/>
          <w:sz w:val="24"/>
          <w:lang w:val="zh-CN"/>
        </w:rPr>
        <w:t>评审确定的对</w:t>
      </w:r>
      <w:r>
        <w:rPr>
          <w:rFonts w:hint="eastAsia" w:ascii="宋体" w:hAnsi="宋体"/>
          <w:sz w:val="24"/>
        </w:rPr>
        <w:t>磋商文件作出</w:t>
      </w:r>
      <w:r>
        <w:rPr>
          <w:rFonts w:hint="eastAsia" w:ascii="宋体" w:hAnsi="宋体"/>
          <w:sz w:val="24"/>
          <w:lang w:val="zh-CN"/>
        </w:rPr>
        <w:t>实质性响应，经采购人按照规定在</w:t>
      </w:r>
      <w:r>
        <w:rPr>
          <w:rFonts w:hint="eastAsia" w:asciiTheme="minorEastAsia" w:hAnsiTheme="minorEastAsia" w:eastAsiaTheme="minorEastAsia" w:cstheme="minorBidi"/>
          <w:sz w:val="24"/>
        </w:rPr>
        <w:t>磋商小组</w:t>
      </w:r>
      <w:r>
        <w:rPr>
          <w:rFonts w:hint="eastAsia" w:ascii="宋体" w:hAnsi="宋体"/>
          <w:sz w:val="24"/>
          <w:lang w:val="zh-CN"/>
        </w:rPr>
        <w:t>推荐的</w:t>
      </w:r>
      <w:r>
        <w:rPr>
          <w:rFonts w:hint="eastAsia" w:ascii="宋体" w:hAnsi="宋体"/>
          <w:sz w:val="24"/>
        </w:rPr>
        <w:t>成交</w:t>
      </w:r>
      <w:r>
        <w:rPr>
          <w:rFonts w:hint="eastAsia" w:ascii="宋体" w:hAnsi="宋体"/>
          <w:sz w:val="24"/>
          <w:lang w:val="zh-CN"/>
        </w:rPr>
        <w:t>候选人中确定的或受采购人委托直接确认的，与采购人签订合同资格的供应商。</w:t>
      </w:r>
    </w:p>
    <w:p>
      <w:pPr>
        <w:pStyle w:val="2"/>
        <w:spacing w:after="0" w:line="360" w:lineRule="auto"/>
        <w:ind w:left="0" w:leftChars="0" w:firstLine="480" w:firstLineChars="200"/>
      </w:pPr>
      <w:r>
        <w:rPr>
          <w:rFonts w:hint="eastAsia" w:ascii="宋体" w:hAnsi="宋体"/>
          <w:sz w:val="24"/>
        </w:rPr>
        <w:t>5.联合体：本项目不接受联合体磋商。</w:t>
      </w:r>
    </w:p>
    <w:p>
      <w:pPr>
        <w:snapToGrid w:val="0"/>
        <w:spacing w:line="360" w:lineRule="auto"/>
        <w:ind w:firstLine="482" w:firstLineChars="200"/>
        <w:rPr>
          <w:b/>
          <w:bCs/>
          <w:sz w:val="24"/>
        </w:rPr>
      </w:pPr>
      <w:r>
        <w:rPr>
          <w:rFonts w:hint="eastAsia"/>
          <w:b/>
          <w:bCs/>
          <w:sz w:val="24"/>
        </w:rPr>
        <w:t>（四）</w:t>
      </w:r>
      <w:r>
        <w:rPr>
          <w:b/>
          <w:bCs/>
          <w:sz w:val="24"/>
        </w:rPr>
        <w:t>语言文字以及度量衡单位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磋商响应文件以及供应商与采购代理机构就有磋商事宜的所有来往函电，均应以中文汉语书写，除签字、盖章、专用名称等特殊情形外。磋商响应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pPr>
        <w:pStyle w:val="27"/>
        <w:tabs>
          <w:tab w:val="left" w:pos="437"/>
        </w:tabs>
        <w:spacing w:line="360" w:lineRule="auto"/>
        <w:ind w:firstLine="482"/>
        <w:rPr>
          <w:b/>
          <w:bCs/>
          <w:sz w:val="24"/>
          <w:szCs w:val="24"/>
        </w:rPr>
      </w:pPr>
      <w:r>
        <w:rPr>
          <w:rFonts w:hint="eastAsia"/>
          <w:b/>
          <w:bCs/>
          <w:sz w:val="24"/>
          <w:szCs w:val="24"/>
        </w:rPr>
        <w:t>（五）</w:t>
      </w:r>
      <w:r>
        <w:rPr>
          <w:b/>
          <w:bCs/>
          <w:sz w:val="24"/>
          <w:szCs w:val="24"/>
        </w:rPr>
        <w:t>现场踏勘</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1.磋商文件规定组织踏勘现场的，采购人按磋商文件规定的时间、地点组织供应商踏勘项目现场。</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2.供应商自行承担踏勘现场发生的责任、风险和自身费用。</w:t>
      </w:r>
    </w:p>
    <w:p>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w:t>
      </w:r>
      <w:r>
        <w:rPr>
          <w:rFonts w:hint="eastAsia"/>
          <w:sz w:val="24"/>
        </w:rPr>
        <w:t>磋</w:t>
      </w:r>
      <w:bookmarkStart w:id="119" w:name="_GoBack"/>
      <w:bookmarkEnd w:id="119"/>
      <w:r>
        <w:rPr>
          <w:rFonts w:hint="eastAsia"/>
          <w:sz w:val="24"/>
        </w:rPr>
        <w:t>商文件</w:t>
      </w:r>
      <w:r>
        <w:rPr>
          <w:sz w:val="24"/>
        </w:rPr>
        <w:t>的修改或不作为</w:t>
      </w:r>
      <w:r>
        <w:rPr>
          <w:rFonts w:hint="eastAsia"/>
          <w:sz w:val="24"/>
        </w:rPr>
        <w:t>供应商</w:t>
      </w:r>
      <w:r>
        <w:rPr>
          <w:sz w:val="24"/>
        </w:rPr>
        <w:t>编制</w:t>
      </w:r>
      <w:r>
        <w:rPr>
          <w:rFonts w:hint="eastAsia"/>
          <w:sz w:val="24"/>
        </w:rPr>
        <w:t>响应文件</w:t>
      </w:r>
      <w:r>
        <w:rPr>
          <w:sz w:val="24"/>
        </w:rPr>
        <w:t>的依据。</w:t>
      </w:r>
    </w:p>
    <w:p>
      <w:pPr>
        <w:pStyle w:val="9"/>
        <w:snapToGrid w:val="0"/>
        <w:spacing w:line="360" w:lineRule="auto"/>
        <w:ind w:firstLine="482" w:firstLineChars="200"/>
        <w:rPr>
          <w:rFonts w:hAnsi="宋体"/>
          <w:b/>
          <w:sz w:val="24"/>
        </w:rPr>
      </w:pPr>
      <w:r>
        <w:rPr>
          <w:rFonts w:hint="eastAsia" w:hAnsi="宋体"/>
          <w:b/>
          <w:sz w:val="24"/>
        </w:rPr>
        <w:t>（六）特别说明</w:t>
      </w:r>
    </w:p>
    <w:p>
      <w:pPr>
        <w:pStyle w:val="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1.供应商磋商</w:t>
      </w:r>
      <w:r>
        <w:rPr>
          <w:rFonts w:asciiTheme="minorEastAsia" w:hAnsiTheme="minorEastAsia" w:eastAsiaTheme="minorEastAsia"/>
          <w:sz w:val="24"/>
        </w:rPr>
        <w:t>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w:t>
      </w:r>
      <w:r>
        <w:rPr>
          <w:rFonts w:hint="eastAsia" w:asciiTheme="minorEastAsia" w:hAnsiTheme="minorEastAsia" w:eastAsiaTheme="minorEastAsia"/>
          <w:sz w:val="24"/>
        </w:rPr>
        <w:t>供应商磋商</w:t>
      </w:r>
      <w:r>
        <w:rPr>
          <w:rFonts w:asciiTheme="minorEastAsia" w:hAnsiTheme="minorEastAsia" w:eastAsiaTheme="minorEastAsia"/>
          <w:sz w:val="24"/>
        </w:rPr>
        <w:t>所使用的采购项目实施人员必须为本法人员工。</w:t>
      </w:r>
    </w:p>
    <w:p>
      <w:pPr>
        <w:pStyle w:val="2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2.供应商所投产品除磋商文件中明确规定要求“提供官网截图或相应检测报告的证明材料”以外，所有技术参数描述均以响应文件为准。供应商对所投产品技术参数的真实性承担法律责任。项目招标结束后、质疑期限内，如有质疑供应商认为中标供应商所投产品、响应文件技术参数与采购需求存在重大偏离、错误、甚至造假的情况，</w:t>
      </w:r>
      <w:r>
        <w:rPr>
          <w:rFonts w:ascii="宋体" w:hAnsi="宋体" w:cs="宋体"/>
          <w:sz w:val="24"/>
          <w:szCs w:val="24"/>
        </w:rPr>
        <w:t>如采购文件中未明确规定要求“提供官网截图或相应检测报告的证明材料”的，应提供其他具</w:t>
      </w:r>
      <w:r>
        <w:rPr>
          <w:rFonts w:hint="eastAsia" w:asciiTheme="minorEastAsia" w:hAnsiTheme="minorEastAsia" w:eastAsiaTheme="minorEastAsia" w:cstheme="minorBidi"/>
          <w:sz w:val="24"/>
        </w:rPr>
        <w:t>体有效的证明材料。</w:t>
      </w:r>
    </w:p>
    <w:p>
      <w:pPr>
        <w:pStyle w:val="2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3.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pStyle w:val="2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4.磋商所使用的资格、信誉、荣誉、业绩、企业认证等证明材料必须为供应商自身所拥有，供应商母公司（总机构）或者同一母公司下属的其他子公司（同一总机构下属的其他分支机构）的人员、业绩、荣誉、知识产权、项目案例等不作为供应商的资信文件。</w:t>
      </w:r>
    </w:p>
    <w:p>
      <w:pPr>
        <w:pStyle w:val="2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5.本磋商文件中关于电子磋商、响应内容、流程如与政采云系统中最新的内容、操作不一致的，以政采云系统中的要求为准。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二、磋商文件</w:t>
      </w:r>
    </w:p>
    <w:p>
      <w:pPr>
        <w:pStyle w:val="2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（一）磋商文件由磋商文件总目录所列内容组成。</w:t>
      </w:r>
    </w:p>
    <w:p>
      <w:pPr>
        <w:pStyle w:val="2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（二）供应商在规定的时间内未对磋商文件提出疑问、质疑或要求澄清的，将视其为无异议。</w:t>
      </w:r>
    </w:p>
    <w:p>
      <w:pPr>
        <w:pStyle w:val="2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（三）对磋商文件中描述有歧义或前后不一致的地方，磋商小组有权进行评判，但对同一条款的评判应适用于每个供应商。</w:t>
      </w:r>
    </w:p>
    <w:p>
      <w:pPr>
        <w:pStyle w:val="27"/>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cstheme="minorBidi"/>
          <w:sz w:val="24"/>
        </w:rPr>
        <w:t>（四）采购组织机构对磋商文件进行必要的澄清更正的，澄清或者修改的内容可能影响磋商文件编制的，于磋商截止时间的5日前在浙江省政府采购网上以更正公告的形式通知各潜在的投标人。不足5日的，采购人或者采购组织机构应当顺延提交响应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三、响应文件</w:t>
      </w:r>
    </w:p>
    <w:p>
      <w:pPr>
        <w:pStyle w:val="8"/>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（一）响应文件的编制</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 xml:space="preserve"> 供应商接到磋商文件后，按照采购组织机构的要求提供：磋商响应文件</w:t>
      </w:r>
      <w:r>
        <w:rPr>
          <w:rFonts w:hint="eastAsia" w:asciiTheme="minorEastAsia" w:hAnsiTheme="minorEastAsia" w:eastAsiaTheme="minorEastAsia"/>
          <w:kern w:val="0"/>
          <w:sz w:val="24"/>
          <w:lang w:val="zh-CN"/>
        </w:rPr>
        <w:t>。【特别提示：如在磋商响应时有要求提供资料原件的，将原件扫描放入投标文件。】</w:t>
      </w:r>
      <w:r>
        <w:rPr>
          <w:rFonts w:hint="eastAsia" w:asciiTheme="minorEastAsia" w:hAnsiTheme="minorEastAsia" w:eastAsiaTheme="minorEastAsia"/>
          <w:bCs/>
          <w:kern w:val="0"/>
          <w:sz w:val="24"/>
        </w:rPr>
        <w:t>本磋商文件中若有多标项的，若参与多标项投标的，则按每个标项分别独立编制磋商响应文件。</w:t>
      </w:r>
    </w:p>
    <w:p>
      <w:pPr>
        <w:snapToGrid w:val="0"/>
        <w:spacing w:line="360" w:lineRule="auto"/>
        <w:ind w:firstLine="482" w:firstLineChars="200"/>
        <w:rPr>
          <w:rFonts w:ascii="宋体" w:hAnsi="宋体"/>
          <w:kern w:val="0"/>
          <w:sz w:val="24"/>
        </w:rPr>
      </w:pPr>
      <w:r>
        <w:rPr>
          <w:rFonts w:hint="eastAsia" w:ascii="宋体" w:hAnsi="宋体" w:cs="宋体"/>
          <w:b/>
          <w:sz w:val="24"/>
        </w:rPr>
        <w:t>▲</w:t>
      </w:r>
      <w:r>
        <w:rPr>
          <w:rFonts w:hint="eastAsia" w:ascii="宋体" w:hAnsi="宋体"/>
          <w:b/>
          <w:sz w:val="24"/>
        </w:rPr>
        <w:t>1、资格证明内容的组成：</w:t>
      </w:r>
    </w:p>
    <w:p>
      <w:pPr>
        <w:widowControl/>
        <w:spacing w:line="360" w:lineRule="auto"/>
        <w:ind w:right="60" w:firstLine="480" w:firstLineChars="200"/>
        <w:jc w:val="left"/>
        <w:outlineLvl w:val="0"/>
        <w:rPr>
          <w:rFonts w:ascii="宋体" w:hAnsi="宋体" w:cs="宋体"/>
          <w:sz w:val="24"/>
        </w:rPr>
      </w:pPr>
      <w:r>
        <w:rPr>
          <w:rFonts w:hint="eastAsia" w:ascii="宋体" w:hAnsi="宋体" w:cs="宋体"/>
          <w:sz w:val="24"/>
        </w:rPr>
        <w:t>（1）磋商声明书。</w:t>
      </w:r>
    </w:p>
    <w:p>
      <w:pPr>
        <w:widowControl/>
        <w:spacing w:line="360" w:lineRule="auto"/>
        <w:ind w:right="60" w:firstLine="480" w:firstLineChars="200"/>
        <w:jc w:val="left"/>
        <w:outlineLvl w:val="0"/>
        <w:rPr>
          <w:rFonts w:ascii="宋体" w:hAnsi="宋体" w:cs="宋体"/>
          <w:sz w:val="24"/>
        </w:rPr>
      </w:pPr>
      <w:r>
        <w:rPr>
          <w:rFonts w:hint="eastAsia" w:ascii="宋体" w:hAnsi="宋体" w:cs="宋体"/>
          <w:sz w:val="24"/>
        </w:rPr>
        <w:t>（2）授权委托书（法定代表人亲自办理磋商响应事宜的，则无需提交)。</w:t>
      </w:r>
    </w:p>
    <w:p>
      <w:pPr>
        <w:widowControl/>
        <w:spacing w:line="360" w:lineRule="auto"/>
        <w:ind w:right="60" w:firstLine="480" w:firstLineChars="200"/>
        <w:jc w:val="left"/>
        <w:outlineLvl w:val="0"/>
        <w:rPr>
          <w:rFonts w:ascii="宋体" w:hAnsi="宋体" w:cs="宋体"/>
          <w:sz w:val="24"/>
        </w:rPr>
      </w:pPr>
      <w:r>
        <w:rPr>
          <w:rFonts w:hint="eastAsia" w:ascii="宋体" w:hAnsi="宋体" w:cs="宋体"/>
          <w:sz w:val="24"/>
        </w:rPr>
        <w:t>（3）法人或者其他组织的营业执照等证明文件，自然人的身份证明。</w:t>
      </w:r>
    </w:p>
    <w:p>
      <w:pPr>
        <w:snapToGrid w:val="0"/>
        <w:spacing w:line="360" w:lineRule="auto"/>
        <w:ind w:firstLine="480" w:firstLineChars="200"/>
        <w:rPr>
          <w:rFonts w:ascii="宋体" w:hAnsi="宋体" w:cs="宋体"/>
          <w:sz w:val="24"/>
        </w:rPr>
      </w:pPr>
      <w:r>
        <w:rPr>
          <w:rFonts w:hint="eastAsia" w:ascii="宋体" w:hAnsi="宋体" w:cs="宋体"/>
          <w:sz w:val="24"/>
        </w:rPr>
        <w:t>（4）财务报告、依法缴纳税收和社会保障资金的相关材料。</w:t>
      </w:r>
    </w:p>
    <w:p>
      <w:pPr>
        <w:snapToGrid w:val="0"/>
        <w:spacing w:line="360" w:lineRule="auto"/>
        <w:ind w:firstLine="480" w:firstLineChars="200"/>
        <w:rPr>
          <w:rFonts w:ascii="宋体" w:hAnsi="宋体" w:cs="宋体"/>
          <w:sz w:val="24"/>
        </w:rPr>
      </w:pPr>
      <w:r>
        <w:rPr>
          <w:rFonts w:hint="eastAsia" w:ascii="宋体" w:hAnsi="宋体" w:cs="宋体"/>
          <w:sz w:val="24"/>
        </w:rPr>
        <w:t>（5）具备履行合同所必需的设备和专业技术能力的证明材料(根据项目性质提供)。</w:t>
      </w:r>
    </w:p>
    <w:p>
      <w:pPr>
        <w:widowControl/>
        <w:spacing w:line="360" w:lineRule="auto"/>
        <w:ind w:right="60" w:firstLine="480" w:firstLineChars="200"/>
        <w:jc w:val="left"/>
        <w:outlineLvl w:val="0"/>
        <w:rPr>
          <w:rFonts w:ascii="宋体" w:hAnsi="宋体" w:cs="宋体"/>
          <w:sz w:val="24"/>
        </w:rPr>
      </w:pPr>
      <w:r>
        <w:rPr>
          <w:rFonts w:hint="eastAsia" w:ascii="宋体" w:hAnsi="宋体" w:cs="宋体"/>
          <w:sz w:val="24"/>
        </w:rPr>
        <w:t>（6）提供采购公告中符合供应商特定条件的有效资质证书复印件（磋商供应商特定条件中有要求的必须提供），以及需要说明的其他资料。</w:t>
      </w:r>
    </w:p>
    <w:p>
      <w:pPr>
        <w:spacing w:line="360" w:lineRule="auto"/>
        <w:ind w:firstLine="480" w:firstLineChars="200"/>
        <w:rPr>
          <w:rFonts w:asciiTheme="minorEastAsia" w:hAnsiTheme="minorEastAsia" w:eastAsiaTheme="minorEastAsia"/>
          <w:kern w:val="0"/>
          <w:sz w:val="24"/>
          <w:lang w:val="en-GB"/>
        </w:rPr>
      </w:pPr>
      <w:r>
        <w:rPr>
          <w:rFonts w:hint="eastAsia" w:ascii="宋体" w:hAnsi="宋体" w:cs="宋体"/>
          <w:sz w:val="24"/>
        </w:rPr>
        <w:t>（7）中小企业等声明函、残疾人福利性单位声明函。</w:t>
      </w:r>
    </w:p>
    <w:p>
      <w:pPr>
        <w:widowControl/>
        <w:spacing w:line="360" w:lineRule="auto"/>
        <w:ind w:right="60" w:firstLine="442" w:firstLineChars="200"/>
        <w:jc w:val="left"/>
        <w:outlineLvl w:val="0"/>
        <w:rPr>
          <w:rFonts w:ascii="宋体" w:hAnsi="宋体" w:cs="宋体"/>
          <w:b/>
          <w:sz w:val="22"/>
        </w:rPr>
      </w:pPr>
      <w:r>
        <w:rPr>
          <w:rFonts w:hint="eastAsia" w:ascii="宋体" w:hAnsi="宋体" w:cs="宋体"/>
          <w:b/>
          <w:sz w:val="22"/>
        </w:rPr>
        <w:t>注：根据《浙江省财政厅关于进一步加大政府采购支持中小企业力度助力扎实稳住经济的通知》（浙财采监〔2022〕8号）中“简化对政府采购供应商资格条件的形式审查，供应商书面承诺符合参与政府采购活动资格条件的，不需要再提供财务状况报告、依法缴纳税收和社会保障资金记录、无重大违法记录等证明材料。”本项目投标供应商属于中小企业范畴的，可以以书面承诺代替相关证明材料。</w:t>
      </w:r>
    </w:p>
    <w:p>
      <w:pPr>
        <w:snapToGrid w:val="0"/>
        <w:spacing w:line="360" w:lineRule="auto"/>
        <w:ind w:firstLine="482" w:firstLineChars="200"/>
        <w:rPr>
          <w:rFonts w:ascii="宋体" w:hAnsi="宋体" w:cs="宋体"/>
          <w:sz w:val="24"/>
          <w:u w:val="single"/>
        </w:rPr>
      </w:pPr>
      <w:r>
        <w:rPr>
          <w:rFonts w:hint="eastAsia" w:ascii="宋体" w:hAnsi="宋体"/>
          <w:b/>
          <w:sz w:val="24"/>
        </w:rPr>
        <w:t>2、商务与技术内容的组成：</w:t>
      </w:r>
    </w:p>
    <w:p>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（1）供应商情况介绍（人员与技术力量、企业规模、经营业绩等）。</w:t>
      </w:r>
    </w:p>
    <w:p>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（2）磋商响应方案描述：</w:t>
      </w:r>
    </w:p>
    <w:p>
      <w:pPr>
        <w:pStyle w:val="8"/>
        <w:widowControl/>
        <w:adjustRightInd w:val="0"/>
        <w:snapToGrid w:val="0"/>
        <w:spacing w:line="360" w:lineRule="auto"/>
        <w:ind w:left="218" w:leftChars="104" w:firstLine="619" w:firstLineChars="258"/>
        <w:rPr>
          <w:rFonts w:ascii="宋体" w:hAnsi="宋体" w:cs="宋体"/>
          <w:sz w:val="24"/>
          <w:szCs w:val="24"/>
        </w:rPr>
      </w:pPr>
      <w:r>
        <w:rPr>
          <w:rFonts w:hint="eastAsia" w:ascii="宋体" w:hAnsi="宋体" w:cs="宋体"/>
          <w:sz w:val="24"/>
          <w:szCs w:val="24"/>
        </w:rPr>
        <w:t>A.项目需求的理解与分析(供应商对项目现状及需求的理解情况，对项目现状和需求描述的全面性、准确性、针对性，对项目重点、难点的把握，解决方案及合理化建议)。</w:t>
      </w:r>
    </w:p>
    <w:p>
      <w:pPr>
        <w:pStyle w:val="8"/>
        <w:widowControl/>
        <w:adjustRightInd w:val="0"/>
        <w:snapToGrid w:val="0"/>
        <w:spacing w:line="360" w:lineRule="auto"/>
        <w:ind w:left="218" w:leftChars="104" w:firstLine="619" w:firstLineChars="258"/>
        <w:rPr>
          <w:rFonts w:ascii="宋体" w:hAnsi="宋体" w:cs="宋体"/>
          <w:sz w:val="24"/>
          <w:szCs w:val="24"/>
        </w:rPr>
      </w:pPr>
      <w:r>
        <w:rPr>
          <w:rFonts w:hint="eastAsia" w:ascii="宋体" w:hAnsi="宋体" w:cs="宋体"/>
          <w:sz w:val="24"/>
          <w:szCs w:val="24"/>
        </w:rPr>
        <w:t>B.项目组织实施方案（包括项目工期、确保项目的措施或方案、项目实施进度安排、项目实施人员及项目负责人的资质、类似经验及社保证明等）。</w:t>
      </w:r>
    </w:p>
    <w:p>
      <w:pPr>
        <w:pStyle w:val="8"/>
        <w:widowControl/>
        <w:adjustRightInd w:val="0"/>
        <w:snapToGrid w:val="0"/>
        <w:spacing w:line="360" w:lineRule="auto"/>
        <w:ind w:left="218" w:leftChars="104" w:firstLine="619" w:firstLineChars="258"/>
        <w:rPr>
          <w:rFonts w:ascii="宋体" w:hAnsi="宋体" w:cs="宋体"/>
          <w:sz w:val="24"/>
          <w:szCs w:val="24"/>
        </w:rPr>
      </w:pPr>
      <w:r>
        <w:rPr>
          <w:rFonts w:hint="eastAsia" w:ascii="宋体" w:hAnsi="宋体" w:cs="宋体"/>
          <w:sz w:val="24"/>
          <w:szCs w:val="24"/>
        </w:rPr>
        <w:t>C.</w:t>
      </w:r>
      <w:r>
        <w:rPr>
          <w:rFonts w:ascii="宋体" w:hAnsi="宋体" w:cs="宋体"/>
          <w:sz w:val="24"/>
          <w:szCs w:val="24"/>
        </w:rPr>
        <w:t>验收方案</w:t>
      </w:r>
      <w:r>
        <w:rPr>
          <w:rFonts w:hint="eastAsia" w:ascii="宋体" w:hAnsi="宋体" w:cs="宋体"/>
          <w:sz w:val="24"/>
          <w:szCs w:val="24"/>
        </w:rPr>
        <w:t>（包括项目验收标准和验收方法等）和措施。</w:t>
      </w:r>
    </w:p>
    <w:p>
      <w:pPr>
        <w:pStyle w:val="8"/>
        <w:widowControl/>
        <w:adjustRightInd w:val="0"/>
        <w:snapToGrid w:val="0"/>
        <w:spacing w:line="360" w:lineRule="auto"/>
        <w:ind w:firstLineChars="175"/>
        <w:rPr>
          <w:rFonts w:ascii="宋体" w:hAnsi="宋体" w:cs="宋体"/>
          <w:sz w:val="24"/>
          <w:szCs w:val="24"/>
        </w:rPr>
      </w:pPr>
      <w:r>
        <w:rPr>
          <w:rFonts w:hint="eastAsia" w:ascii="宋体" w:hAnsi="宋体" w:cs="宋体"/>
          <w:sz w:val="24"/>
          <w:szCs w:val="24"/>
        </w:rPr>
        <w:t>（3）技术需求响应表。</w:t>
      </w:r>
    </w:p>
    <w:p>
      <w:pPr>
        <w:pStyle w:val="8"/>
        <w:widowControl/>
        <w:adjustRightInd w:val="0"/>
        <w:snapToGrid w:val="0"/>
        <w:spacing w:line="360" w:lineRule="auto"/>
        <w:ind w:firstLineChars="175"/>
        <w:rPr>
          <w:rFonts w:ascii="宋体" w:hAnsi="宋体" w:cs="宋体"/>
          <w:sz w:val="24"/>
          <w:szCs w:val="24"/>
        </w:rPr>
      </w:pPr>
      <w:r>
        <w:rPr>
          <w:rFonts w:hint="eastAsia" w:ascii="宋体" w:hAnsi="宋体" w:cs="宋体"/>
          <w:sz w:val="24"/>
          <w:szCs w:val="24"/>
        </w:rPr>
        <w:t>（4）商务</w:t>
      </w:r>
      <w:r>
        <w:rPr>
          <w:rFonts w:hint="eastAsia" w:ascii="宋体" w:hAnsi="宋体" w:cs="宋体"/>
          <w:sz w:val="24"/>
          <w:szCs w:val="24"/>
          <w:lang w:val="en-US" w:eastAsia="zh-CN"/>
        </w:rPr>
        <w:t>需求</w:t>
      </w:r>
      <w:r>
        <w:rPr>
          <w:rFonts w:hint="eastAsia" w:ascii="宋体" w:hAnsi="宋体" w:cs="宋体"/>
          <w:sz w:val="24"/>
          <w:szCs w:val="24"/>
        </w:rPr>
        <w:t>响应表。</w:t>
      </w:r>
    </w:p>
    <w:p>
      <w:pPr>
        <w:autoSpaceDE w:val="0"/>
        <w:autoSpaceDN w:val="0"/>
        <w:adjustRightInd w:val="0"/>
        <w:spacing w:line="360" w:lineRule="auto"/>
        <w:ind w:firstLine="424" w:firstLineChars="177"/>
        <w:rPr>
          <w:rFonts w:ascii="宋体" w:hAnsi="宋体" w:cs="宋体"/>
          <w:sz w:val="24"/>
        </w:rPr>
      </w:pPr>
      <w:r>
        <w:rPr>
          <w:rFonts w:hint="eastAsia" w:ascii="宋体" w:hAnsi="宋体" w:cs="宋体"/>
          <w:sz w:val="24"/>
        </w:rPr>
        <w:t>（5）</w:t>
      </w:r>
      <w:r>
        <w:rPr>
          <w:rFonts w:hint="eastAsia" w:ascii="宋体" w:hAnsi="宋体"/>
          <w:kern w:val="0"/>
          <w:sz w:val="24"/>
        </w:rPr>
        <w:t>供应商</w:t>
      </w:r>
      <w:r>
        <w:rPr>
          <w:rFonts w:ascii="宋体" w:hAnsi="宋体"/>
          <w:kern w:val="0"/>
          <w:sz w:val="24"/>
        </w:rPr>
        <w:t>通过的</w:t>
      </w:r>
      <w:r>
        <w:rPr>
          <w:rFonts w:hint="eastAsia" w:ascii="宋体" w:hAnsi="宋体"/>
          <w:kern w:val="0"/>
          <w:sz w:val="24"/>
        </w:rPr>
        <w:t>质量管理和</w:t>
      </w:r>
      <w:r>
        <w:rPr>
          <w:rFonts w:ascii="宋体" w:hAnsi="宋体"/>
          <w:kern w:val="0"/>
          <w:sz w:val="24"/>
        </w:rPr>
        <w:t>质量</w:t>
      </w:r>
      <w:r>
        <w:rPr>
          <w:rFonts w:hint="eastAsia" w:ascii="宋体" w:hAnsi="宋体"/>
          <w:kern w:val="0"/>
          <w:sz w:val="24"/>
        </w:rPr>
        <w:t>保证</w:t>
      </w:r>
      <w:r>
        <w:rPr>
          <w:rFonts w:ascii="宋体" w:hAnsi="宋体"/>
          <w:kern w:val="0"/>
          <w:sz w:val="24"/>
        </w:rPr>
        <w:t>体系、环保体系、</w:t>
      </w:r>
      <w:r>
        <w:rPr>
          <w:rFonts w:hint="eastAsia" w:ascii="宋体" w:hAnsi="宋体"/>
          <w:sz w:val="24"/>
        </w:rPr>
        <w:t>自主创新相关证书、软件著作权证等等与本项目相关</w:t>
      </w:r>
      <w:r>
        <w:rPr>
          <w:rFonts w:ascii="宋体" w:hAnsi="宋体"/>
          <w:kern w:val="0"/>
          <w:sz w:val="24"/>
        </w:rPr>
        <w:t>的认证证书</w:t>
      </w:r>
      <w:r>
        <w:rPr>
          <w:rFonts w:hint="eastAsia" w:ascii="宋体" w:hAnsi="宋体"/>
          <w:kern w:val="0"/>
          <w:sz w:val="24"/>
        </w:rPr>
        <w:t>或文件。</w:t>
      </w:r>
    </w:p>
    <w:p>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kern w:val="0"/>
          <w:sz w:val="24"/>
          <w:szCs w:val="24"/>
        </w:rPr>
        <w:t>（6）近年来类似项目的成功案例（提供证明材料，具体见评分细则对应评分项）。</w:t>
      </w:r>
    </w:p>
    <w:p>
      <w:pPr>
        <w:snapToGrid w:val="0"/>
        <w:spacing w:line="360" w:lineRule="auto"/>
        <w:ind w:firstLine="480" w:firstLineChars="200"/>
        <w:rPr>
          <w:rFonts w:ascii="宋体"/>
          <w:sz w:val="24"/>
          <w:lang w:val="zh-CN"/>
        </w:rPr>
      </w:pPr>
      <w:r>
        <w:rPr>
          <w:rFonts w:hint="eastAsia" w:ascii="宋体" w:hAnsi="宋体" w:cs="宋体"/>
          <w:sz w:val="24"/>
        </w:rPr>
        <w:t>（7）供应商认为需要提供的其他资料（包括可能影响供应商商务与技术内容评分的各类证明材料）。</w:t>
      </w:r>
    </w:p>
    <w:p>
      <w:pPr>
        <w:autoSpaceDE w:val="0"/>
        <w:autoSpaceDN w:val="0"/>
        <w:adjustRightInd w:val="0"/>
        <w:spacing w:line="360" w:lineRule="auto"/>
        <w:ind w:left="426" w:firstLine="65" w:firstLineChars="27"/>
        <w:rPr>
          <w:rFonts w:ascii="宋体" w:hAnsi="宋体"/>
          <w:b/>
          <w:kern w:val="0"/>
          <w:sz w:val="24"/>
        </w:rPr>
      </w:pPr>
      <w:r>
        <w:rPr>
          <w:rFonts w:hint="eastAsia" w:ascii="宋体" w:hAnsi="宋体"/>
          <w:b/>
          <w:kern w:val="0"/>
          <w:sz w:val="24"/>
        </w:rPr>
        <w:t>3、报价内容的组成</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（1）首次报价一览表。</w:t>
      </w:r>
    </w:p>
    <w:p>
      <w:pPr>
        <w:autoSpaceDE w:val="0"/>
        <w:autoSpaceDN w:val="0"/>
        <w:adjustRightInd w:val="0"/>
        <w:spacing w:line="360" w:lineRule="auto"/>
        <w:ind w:firstLine="480" w:firstLineChars="200"/>
        <w:rPr>
          <w:rFonts w:asciiTheme="minorEastAsia" w:hAnsiTheme="minorEastAsia" w:eastAsiaTheme="minorEastAsia"/>
          <w:kern w:val="0"/>
          <w:sz w:val="24"/>
          <w:lang w:val="en-GB"/>
        </w:rPr>
      </w:pPr>
      <w:r>
        <w:rPr>
          <w:rFonts w:hint="eastAsia" w:asciiTheme="minorEastAsia" w:hAnsiTheme="minorEastAsia" w:eastAsiaTheme="minorEastAsia"/>
          <w:kern w:val="0"/>
          <w:sz w:val="24"/>
        </w:rPr>
        <w:t>（2）报价明细表。</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（3）针对报价投标人认为其他需要说明的。</w:t>
      </w:r>
    </w:p>
    <w:p>
      <w:pPr>
        <w:pStyle w:val="8"/>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（二）报价</w:t>
      </w:r>
    </w:p>
    <w:p>
      <w:pPr>
        <w:pStyle w:val="50"/>
        <w:spacing w:line="360" w:lineRule="auto"/>
        <w:ind w:firstLine="480"/>
      </w:pPr>
      <w:r>
        <w:rPr>
          <w:rFonts w:hint="eastAsia" w:ascii="宋体" w:hAnsi="宋体" w:cs="宋体"/>
          <w:sz w:val="24"/>
        </w:rPr>
        <w:t>1.▲</w:t>
      </w:r>
      <w:r>
        <w:rPr>
          <w:rFonts w:hint="eastAsia" w:ascii="宋体" w:hAnsi="宋体" w:cs="宋体"/>
          <w:b/>
          <w:sz w:val="24"/>
          <w:u w:val="thick"/>
        </w:rPr>
        <w:t>本次磋商报价为含税人民币价</w:t>
      </w:r>
      <w:r>
        <w:rPr>
          <w:rFonts w:hint="eastAsia" w:ascii="宋体" w:hAnsi="宋体" w:cs="宋体"/>
          <w:sz w:val="24"/>
          <w:u w:val="thick"/>
        </w:rPr>
        <w:t>。</w:t>
      </w:r>
    </w:p>
    <w:p>
      <w:pPr>
        <w:pStyle w:val="8"/>
        <w:spacing w:line="360" w:lineRule="auto"/>
        <w:rPr>
          <w:rFonts w:asciiTheme="minorEastAsia" w:hAnsiTheme="minorEastAsia" w:eastAsiaTheme="minorEastAsia"/>
          <w:bCs/>
          <w:kern w:val="0"/>
          <w:sz w:val="24"/>
        </w:rPr>
      </w:pPr>
      <w:r>
        <w:rPr>
          <w:rFonts w:hint="eastAsia" w:asciiTheme="minorEastAsia" w:hAnsiTheme="minorEastAsia" w:eastAsiaTheme="minorEastAsia"/>
          <w:bCs/>
          <w:kern w:val="0"/>
          <w:sz w:val="24"/>
        </w:rPr>
        <w:t>2.供应商应按照采购需求内容、责任范围以及合同条款进行报价。并按“首次报价一览表”和“报价明细表”规定的格式报出总价和分项价格。总价中不得包含磋商文件要求以外的内容，否则，在评审时不予核减。</w:t>
      </w:r>
    </w:p>
    <w:p>
      <w:pPr>
        <w:pStyle w:val="8"/>
        <w:spacing w:line="360" w:lineRule="auto"/>
        <w:rPr>
          <w:rFonts w:asciiTheme="minorEastAsia" w:hAnsiTheme="minorEastAsia" w:eastAsiaTheme="minorEastAsia"/>
          <w:bCs/>
          <w:kern w:val="0"/>
          <w:sz w:val="24"/>
        </w:rPr>
      </w:pPr>
      <w:r>
        <w:rPr>
          <w:rFonts w:hint="eastAsia" w:asciiTheme="minorEastAsia" w:hAnsiTheme="minorEastAsia" w:eastAsiaTheme="minorEastAsia"/>
          <w:bCs/>
          <w:kern w:val="0"/>
          <w:sz w:val="24"/>
        </w:rPr>
        <w:t>3.磋商总报价是包括基本工资、加班费、社保费、节假日补助费、节假日费、高温费、年终考核奖、年休假、补偿金、管理培训费、服装费、劳保用品、体检费、税费、员工就餐费、其他费用等各项费用及不可预见费等所需的全部费用。</w:t>
      </w:r>
    </w:p>
    <w:p>
      <w:pPr>
        <w:pStyle w:val="50"/>
        <w:spacing w:line="360" w:lineRule="auto"/>
        <w:ind w:firstLine="480"/>
      </w:pPr>
      <w:r>
        <w:rPr>
          <w:rFonts w:hint="eastAsia" w:ascii="宋体" w:hAnsi="宋体" w:cs="宋体"/>
          <w:sz w:val="24"/>
        </w:rPr>
        <w:t>4▲</w:t>
      </w:r>
      <w:r>
        <w:rPr>
          <w:rFonts w:hint="eastAsia" w:ascii="宋体" w:hAnsi="宋体" w:cs="宋体"/>
          <w:b/>
          <w:sz w:val="24"/>
          <w:u w:val="thick"/>
        </w:rPr>
        <w:t>所投标项最后一轮报价只允许有一个报价，不接受有选择报价的响应文件。</w:t>
      </w:r>
    </w:p>
    <w:p>
      <w:pPr>
        <w:pStyle w:val="8"/>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（三）响应文件的有效期</w:t>
      </w:r>
    </w:p>
    <w:p>
      <w:pPr>
        <w:pStyle w:val="8"/>
        <w:spacing w:line="360" w:lineRule="auto"/>
        <w:ind w:firstLine="480" w:firstLineChars="200"/>
        <w:rPr>
          <w:rFonts w:ascii="宋体" w:hAnsi="宋体"/>
          <w:sz w:val="24"/>
          <w:lang w:val="en-GB"/>
        </w:rPr>
      </w:pPr>
      <w:r>
        <w:rPr>
          <w:rFonts w:hint="eastAsia" w:ascii="宋体" w:hAnsi="宋体"/>
          <w:sz w:val="24"/>
        </w:rPr>
        <w:t>1.响应文件有效期为磋商</w:t>
      </w:r>
      <w:r>
        <w:rPr>
          <w:rFonts w:hint="eastAsia" w:ascii="宋体" w:hAnsi="宋体"/>
          <w:sz w:val="24"/>
          <w:lang w:val="en-GB"/>
        </w:rPr>
        <w:t>截止日起90天。</w:t>
      </w:r>
    </w:p>
    <w:p>
      <w:pPr>
        <w:pStyle w:val="8"/>
        <w:spacing w:line="360" w:lineRule="auto"/>
        <w:ind w:firstLine="480" w:firstLineChars="200"/>
        <w:rPr>
          <w:rFonts w:ascii="宋体" w:hAnsi="宋体"/>
          <w:sz w:val="24"/>
          <w:lang w:val="en-GB"/>
        </w:rPr>
      </w:pPr>
      <w:r>
        <w:rPr>
          <w:rFonts w:hint="eastAsia" w:ascii="宋体" w:hAnsi="宋体"/>
          <w:sz w:val="24"/>
        </w:rPr>
        <w:t>2.</w:t>
      </w:r>
      <w:r>
        <w:rPr>
          <w:rFonts w:hint="eastAsia" w:ascii="宋体" w:hAnsi="宋体"/>
          <w:sz w:val="24"/>
          <w:lang w:val="en-GB"/>
        </w:rPr>
        <w:t>在特殊情况下，采购人可与</w:t>
      </w:r>
      <w:r>
        <w:rPr>
          <w:rFonts w:hint="eastAsia" w:ascii="宋体" w:hAnsi="宋体"/>
          <w:sz w:val="24"/>
        </w:rPr>
        <w:t>供应商</w:t>
      </w:r>
      <w:r>
        <w:rPr>
          <w:rFonts w:hint="eastAsia" w:ascii="宋体" w:hAnsi="宋体"/>
          <w:sz w:val="24"/>
          <w:lang w:val="en-GB"/>
        </w:rPr>
        <w:t>协商延长</w:t>
      </w:r>
      <w:r>
        <w:rPr>
          <w:rFonts w:hint="eastAsia" w:ascii="宋体" w:hAnsi="宋体"/>
          <w:sz w:val="24"/>
        </w:rPr>
        <w:t>响应文件</w:t>
      </w:r>
      <w:r>
        <w:rPr>
          <w:rFonts w:hint="eastAsia" w:ascii="宋体" w:hAnsi="宋体"/>
          <w:sz w:val="24"/>
          <w:lang w:val="en-GB"/>
        </w:rPr>
        <w:t>的有效期，这种要求和答复均以书面形式进行。</w:t>
      </w:r>
    </w:p>
    <w:p>
      <w:pPr>
        <w:snapToGrid w:val="0"/>
        <w:spacing w:line="360" w:lineRule="auto"/>
        <w:ind w:firstLine="480" w:firstLineChars="200"/>
        <w:rPr>
          <w:rFonts w:asciiTheme="minorEastAsia" w:hAnsiTheme="minorEastAsia" w:eastAsiaTheme="minorEastAsia"/>
          <w:sz w:val="24"/>
        </w:rPr>
      </w:pPr>
      <w:bookmarkStart w:id="33" w:name="_Toc8754"/>
      <w:r>
        <w:rPr>
          <w:rFonts w:hint="eastAsia" w:ascii="宋体" w:hAnsi="宋体"/>
          <w:sz w:val="24"/>
        </w:rPr>
        <w:t>3.成交供应商</w:t>
      </w:r>
      <w:r>
        <w:rPr>
          <w:rFonts w:asciiTheme="minorEastAsia" w:hAnsiTheme="minorEastAsia" w:eastAsiaTheme="minorEastAsia"/>
          <w:sz w:val="24"/>
        </w:rPr>
        <w:t>的</w:t>
      </w:r>
      <w:r>
        <w:rPr>
          <w:rFonts w:hint="eastAsia" w:asciiTheme="minorEastAsia" w:hAnsiTheme="minorEastAsia" w:eastAsiaTheme="minorEastAsia"/>
          <w:sz w:val="24"/>
        </w:rPr>
        <w:t>响应文件</w:t>
      </w:r>
      <w:r>
        <w:rPr>
          <w:rFonts w:asciiTheme="minorEastAsia" w:hAnsiTheme="minorEastAsia" w:eastAsiaTheme="minorEastAsia"/>
          <w:sz w:val="24"/>
        </w:rPr>
        <w:t>自开标之日起至合同履行完毕均应保持有效。</w:t>
      </w:r>
      <w:bookmarkEnd w:id="33"/>
    </w:p>
    <w:p>
      <w:pPr>
        <w:snapToGrid w:val="0"/>
        <w:spacing w:line="360" w:lineRule="auto"/>
        <w:ind w:firstLine="482" w:firstLineChars="200"/>
        <w:rPr>
          <w:rFonts w:asciiTheme="minorEastAsia" w:hAnsiTheme="minorEastAsia" w:eastAsiaTheme="minorEastAsia"/>
          <w:b/>
          <w:kern w:val="0"/>
          <w:sz w:val="24"/>
        </w:rPr>
      </w:pPr>
      <w:bookmarkStart w:id="34" w:name="_Toc14235"/>
      <w:r>
        <w:rPr>
          <w:rFonts w:hint="eastAsia" w:asciiTheme="minorEastAsia" w:hAnsiTheme="minorEastAsia" w:eastAsiaTheme="minorEastAsia"/>
          <w:b/>
          <w:kern w:val="0"/>
          <w:sz w:val="24"/>
        </w:rPr>
        <w:t>（四）响应文件的签署</w:t>
      </w:r>
      <w:bookmarkEnd w:id="34"/>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响应文件中。</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2.响应文件中所有的插字、涂改和增删，必须由法定代表人或经其正式授权的代表在旁边签字或盖章才有效。</w:t>
      </w:r>
    </w:p>
    <w:p>
      <w:pPr>
        <w:pStyle w:val="50"/>
        <w:spacing w:line="360" w:lineRule="auto"/>
        <w:ind w:firstLine="480"/>
        <w:rPr>
          <w:rFonts w:ascii="宋体" w:hAnsi="宋体" w:cs="宋体"/>
          <w:sz w:val="24"/>
        </w:rPr>
      </w:pPr>
      <w:r>
        <w:rPr>
          <w:rFonts w:hint="eastAsia" w:ascii="宋体" w:hAnsi="宋体" w:cs="宋体"/>
          <w:sz w:val="24"/>
        </w:rPr>
        <w:t>3.磋商响应文件应当对采购文件规定的内容进行对应明确说明，对采购文件规定的实质性内容应当作出响应。</w:t>
      </w:r>
    </w:p>
    <w:p>
      <w:pPr>
        <w:pStyle w:val="50"/>
        <w:spacing w:line="360" w:lineRule="auto"/>
        <w:ind w:firstLine="480"/>
        <w:rPr>
          <w:rFonts w:ascii="宋体" w:hAnsi="宋体" w:cs="宋体"/>
          <w:sz w:val="24"/>
        </w:rPr>
      </w:pPr>
      <w:r>
        <w:rPr>
          <w:rFonts w:hint="eastAsia" w:ascii="宋体" w:hAnsi="宋体" w:cs="宋体"/>
          <w:sz w:val="24"/>
        </w:rPr>
        <w:t>4.采购人如对采购文件有澄清或修改，供应商应按澄清或修改内容对电子磋商响应文件进行补充或者修改，补充和修改时如已传输提交了磋商响应文件的，应当先行撤回原文件，补充、修改后重新传输提交。</w:t>
      </w:r>
    </w:p>
    <w:p>
      <w:pPr>
        <w:pStyle w:val="9"/>
        <w:ind w:firstLine="480" w:firstLineChars="200"/>
        <w:rPr>
          <w:sz w:val="24"/>
        </w:rPr>
      </w:pPr>
      <w:r>
        <w:rPr>
          <w:rFonts w:hint="eastAsia" w:hAnsi="宋体" w:cs="宋体"/>
          <w:sz w:val="24"/>
        </w:rPr>
        <w:t>5.由于字迹模糊或表达不清引起的后果由供应商负责。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kern w:val="0"/>
          <w:sz w:val="24"/>
        </w:rPr>
        <w:t>响应文件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1.供应商应在“供应商须知前附表”规定响应文件提交的截止时间前提交响应文件。</w:t>
      </w:r>
    </w:p>
    <w:p>
      <w:pPr>
        <w:tabs>
          <w:tab w:val="left" w:pos="1418"/>
        </w:tabs>
        <w:autoSpaceDE w:val="0"/>
        <w:autoSpaceDN w:val="0"/>
        <w:adjustRightIn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2.供应商提交的磋商响应文件均不予退还。</w:t>
      </w:r>
    </w:p>
    <w:p>
      <w:pPr>
        <w:tabs>
          <w:tab w:val="left" w:pos="1418"/>
        </w:tabs>
        <w:autoSpaceDE w:val="0"/>
        <w:autoSpaceDN w:val="0"/>
        <w:adjustRightIn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3.逾期传输的或逾期送达的或者未送达指定地点的磋商响应文件，采购人将不予受理。</w:t>
      </w:r>
    </w:p>
    <w:p>
      <w:pPr>
        <w:tabs>
          <w:tab w:val="left" w:pos="1418"/>
        </w:tabs>
        <w:autoSpaceDE w:val="0"/>
        <w:autoSpaceDN w:val="0"/>
        <w:adjustRightIn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4.采购人如因故推迟磋商响应文件提交截止时间，应以书面形式通知所有供应商。在这种情况下，采购人和供应商的权利和义务将受到新的磋商响应文件提交截止时间的约束。</w:t>
      </w: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kern w:val="0"/>
          <w:sz w:val="24"/>
        </w:rPr>
        <w:t>四、</w:t>
      </w:r>
      <w:r>
        <w:rPr>
          <w:rFonts w:hint="eastAsia" w:asciiTheme="minorEastAsia" w:hAnsiTheme="minorEastAsia" w:eastAsiaTheme="minorEastAsia"/>
          <w:b/>
          <w:sz w:val="24"/>
        </w:rPr>
        <w:t>磋商</w:t>
      </w:r>
      <w:r>
        <w:rPr>
          <w:rFonts w:asciiTheme="minorEastAsia" w:hAnsiTheme="minorEastAsia" w:eastAsiaTheme="minorEastAsia"/>
          <w:b/>
          <w:sz w:val="24"/>
        </w:rPr>
        <w:t>程序</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（一）磋商开始时间到后，主持人准时组织磋商。</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（二）宣布磋商纪律。</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（三）宣布采购组织机构工作人员。</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（四）供应商登录政采云平台，用“项目采购-开标评标”功能对响应文件进行在线解密。在线解密</w:t>
      </w:r>
      <w:r>
        <w:rPr>
          <w:rFonts w:hint="eastAsia" w:ascii="宋体" w:hAnsi="宋体" w:cs="宋体"/>
          <w:bCs/>
          <w:kern w:val="0"/>
          <w:sz w:val="24"/>
          <w:szCs w:val="24"/>
        </w:rPr>
        <w:t>响应文件</w:t>
      </w:r>
      <w:r>
        <w:rPr>
          <w:rFonts w:hint="eastAsia" w:ascii="宋体" w:hAnsi="宋体" w:cs="宋体"/>
          <w:sz w:val="24"/>
          <w:szCs w:val="24"/>
        </w:rPr>
        <w:t>时间为磋商时间起半个小时内。</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（五）采购组织机构工作人员当众宣布磋商响应供应商名称和磋商文件规定的需要宣布的其他内容。</w:t>
      </w:r>
    </w:p>
    <w:p>
      <w:pPr>
        <w:pStyle w:val="9"/>
        <w:snapToGrid w:val="0"/>
        <w:spacing w:line="360" w:lineRule="auto"/>
        <w:ind w:firstLine="480" w:firstLineChars="200"/>
        <w:rPr>
          <w:rFonts w:hAnsi="宋体" w:cs="宋体"/>
          <w:bCs/>
          <w:sz w:val="24"/>
        </w:rPr>
      </w:pPr>
      <w:r>
        <w:rPr>
          <w:rFonts w:hint="eastAsia" w:hAnsi="宋体" w:cs="宋体"/>
          <w:bCs/>
          <w:sz w:val="24"/>
        </w:rPr>
        <w:t>（六）磋商(详见第四章)。</w:t>
      </w:r>
    </w:p>
    <w:p>
      <w:pPr>
        <w:pStyle w:val="9"/>
        <w:snapToGrid w:val="0"/>
        <w:spacing w:line="360" w:lineRule="auto"/>
        <w:ind w:firstLine="480" w:firstLineChars="200"/>
        <w:rPr>
          <w:rFonts w:hAnsi="宋体" w:cs="宋体"/>
          <w:sz w:val="24"/>
        </w:rPr>
      </w:pPr>
      <w:r>
        <w:rPr>
          <w:rFonts w:hint="eastAsia" w:hAnsi="宋体" w:cs="宋体"/>
          <w:bCs/>
          <w:sz w:val="24"/>
        </w:rPr>
        <w:t>（七）磋商结果公告。</w:t>
      </w:r>
    </w:p>
    <w:p>
      <w:pPr>
        <w:pStyle w:val="8"/>
        <w:spacing w:line="360" w:lineRule="auto"/>
        <w:ind w:firstLine="482" w:firstLineChars="200"/>
        <w:rPr>
          <w:b/>
          <w:bCs/>
          <w:sz w:val="24"/>
          <w:szCs w:val="24"/>
        </w:rPr>
      </w:pPr>
      <w:r>
        <w:rPr>
          <w:rFonts w:hint="eastAsia"/>
          <w:b/>
          <w:bCs/>
          <w:sz w:val="24"/>
          <w:szCs w:val="24"/>
        </w:rPr>
        <w:t>五、磋商异议</w:t>
      </w:r>
    </w:p>
    <w:p>
      <w:pPr>
        <w:pStyle w:val="8"/>
        <w:spacing w:line="360" w:lineRule="auto"/>
        <w:ind w:firstLine="480" w:firstLineChars="200"/>
        <w:rPr>
          <w:sz w:val="24"/>
          <w:szCs w:val="24"/>
        </w:rPr>
      </w:pPr>
      <w:r>
        <w:rPr>
          <w:rFonts w:hint="eastAsia"/>
          <w:sz w:val="24"/>
          <w:szCs w:val="24"/>
        </w:rPr>
        <w:t>供应商代表对磋商过程和磋商记录有疑义，以及认为采购人、采购</w:t>
      </w:r>
      <w:r>
        <w:rPr>
          <w:rFonts w:hint="eastAsia" w:asciiTheme="minorEastAsia" w:hAnsiTheme="minorEastAsia" w:eastAsiaTheme="minorEastAsia" w:cstheme="minorBidi"/>
          <w:sz w:val="24"/>
          <w:szCs w:val="24"/>
        </w:rPr>
        <w:t>组织</w:t>
      </w:r>
      <w:r>
        <w:rPr>
          <w:rFonts w:hint="eastAsia"/>
          <w:sz w:val="24"/>
          <w:szCs w:val="24"/>
        </w:rPr>
        <w:t>机构相关工作人员有需要回避的情形的，应当场提出询问或者回避申请，磋商会议结束后不再接受相关询问、质疑或者回避申请。</w:t>
      </w:r>
    </w:p>
    <w:p>
      <w:pPr>
        <w:pStyle w:val="19"/>
        <w:spacing w:before="0" w:beforeAutospacing="0" w:after="0" w:afterAutospacing="0" w:line="360" w:lineRule="auto"/>
        <w:ind w:firstLine="482" w:firstLineChars="200"/>
        <w:jc w:val="both"/>
        <w:rPr>
          <w:rFonts w:hint="default" w:asciiTheme="minorEastAsia" w:hAnsiTheme="minorEastAsia"/>
          <w:b/>
        </w:rPr>
      </w:pPr>
      <w:r>
        <w:rPr>
          <w:rFonts w:asciiTheme="minorEastAsia" w:hAnsiTheme="minorEastAsia" w:eastAsiaTheme="minorEastAsia"/>
          <w:b/>
        </w:rPr>
        <w:t>六、</w:t>
      </w:r>
      <w:r>
        <w:rPr>
          <w:b/>
        </w:rPr>
        <w:t>磋商结果确定</w:t>
      </w:r>
    </w:p>
    <w:p>
      <w:pPr>
        <w:pStyle w:val="19"/>
        <w:spacing w:before="0" w:beforeAutospacing="0" w:after="0" w:afterAutospacing="0" w:line="440" w:lineRule="exact"/>
        <w:ind w:firstLine="480" w:firstLineChars="200"/>
        <w:jc w:val="both"/>
        <w:rPr>
          <w:rFonts w:hint="default" w:asciiTheme="minorEastAsia" w:hAnsiTheme="minorEastAsia" w:eastAsiaTheme="minorEastAsia"/>
        </w:rPr>
      </w:pPr>
      <w:r>
        <w:rPr>
          <w:rFonts w:asciiTheme="minorEastAsia" w:hAnsiTheme="minorEastAsia" w:eastAsiaTheme="minorEastAsia"/>
        </w:rPr>
        <w:t>（一）</w:t>
      </w:r>
      <w:r>
        <w:t>确定成交供应商。</w:t>
      </w:r>
      <w:r>
        <w:rPr>
          <w:rFonts w:asciiTheme="minorEastAsia" w:hAnsiTheme="minorEastAsia" w:eastAsiaTheme="minorEastAsia"/>
        </w:rPr>
        <w:t>磋商小组根据采购单位的</w:t>
      </w:r>
      <w:r>
        <w:t>《授权意见确认书》</w:t>
      </w:r>
      <w:r>
        <w:rPr>
          <w:rFonts w:asciiTheme="minorEastAsia" w:hAnsiTheme="minorEastAsia" w:eastAsiaTheme="minorEastAsia"/>
        </w:rPr>
        <w:t>，推荐成交候选人或确定成交供应商。其中推荐成交候选人的，采购组织机构在评审结束后2个工作日内将评审报告送采购人，采购人自收到评审报告之日起5个工作日内，从评审报告提出的成交候选供应商中，确定排序第一的成交候选人为成交供应商，如排序并列，按技术水平得分高者为成交供应商，如技术水平得分也相同，按履约能力得分高者为成交供应商。采购人逾期未确定成交供应商且不提出异议的，视为确定评审报告提出的排序第一的供应商为成交供应商。在评审报告推荐的成交候选人中确定成交供应商。</w:t>
      </w:r>
    </w:p>
    <w:p>
      <w:pPr>
        <w:spacing w:line="440" w:lineRule="exact"/>
        <w:ind w:firstLine="480" w:firstLineChars="200"/>
        <w:rPr>
          <w:rFonts w:ascii="宋体" w:hAnsi="宋体"/>
          <w:kern w:val="0"/>
          <w:sz w:val="24"/>
        </w:rPr>
      </w:pPr>
      <w:r>
        <w:rPr>
          <w:rFonts w:hint="eastAsia" w:asciiTheme="minorEastAsia" w:hAnsiTheme="minorEastAsia" w:eastAsiaTheme="minorEastAsia"/>
          <w:sz w:val="24"/>
        </w:rPr>
        <w:t>（二）</w:t>
      </w:r>
      <w:r>
        <w:rPr>
          <w:rFonts w:hint="eastAsia" w:ascii="宋体" w:hAnsi="宋体"/>
          <w:kern w:val="0"/>
          <w:sz w:val="24"/>
        </w:rPr>
        <w:t>发布成交结果公告。采购组织机构自成交供应商</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浙江政府采购</w:t>
      </w:r>
      <w:r>
        <w:rPr>
          <w:rFonts w:ascii="宋体" w:hAnsi="宋体"/>
          <w:kern w:val="0"/>
          <w:sz w:val="24"/>
        </w:rPr>
        <w:t>网</w:t>
      </w:r>
      <w:r>
        <w:rPr>
          <w:rFonts w:hint="eastAsia" w:ascii="宋体" w:hAnsi="宋体"/>
          <w:kern w:val="0"/>
          <w:sz w:val="24"/>
        </w:rPr>
        <w:t>上</w:t>
      </w:r>
      <w:r>
        <w:rPr>
          <w:rFonts w:ascii="宋体" w:hAnsi="宋体"/>
          <w:kern w:val="0"/>
          <w:sz w:val="24"/>
        </w:rPr>
        <w:t>公告</w:t>
      </w:r>
      <w:r>
        <w:rPr>
          <w:rFonts w:hint="eastAsia" w:ascii="宋体" w:hAnsi="宋体"/>
          <w:kern w:val="0"/>
          <w:sz w:val="24"/>
        </w:rPr>
        <w:t>成交结果，成交</w:t>
      </w:r>
      <w:r>
        <w:rPr>
          <w:sz w:val="24"/>
        </w:rPr>
        <w:t>结果公告期为 1 个工作日</w:t>
      </w:r>
      <w:r>
        <w:rPr>
          <w:rFonts w:hint="eastAsia" w:ascii="宋体" w:hAnsi="宋体"/>
          <w:kern w:val="0"/>
          <w:sz w:val="24"/>
        </w:rPr>
        <w:t>。采购人、采购代理机构及磋商小组对未成交的供应商不作落标原因解释。</w:t>
      </w:r>
    </w:p>
    <w:p>
      <w:pPr>
        <w:pStyle w:val="11"/>
        <w:spacing w:line="440" w:lineRule="exact"/>
        <w:ind w:firstLine="480" w:firstLineChars="200"/>
        <w:jc w:val="both"/>
      </w:pPr>
      <w:r>
        <w:rPr>
          <w:rFonts w:hint="eastAsia" w:ascii="宋体" w:hAnsi="宋体"/>
          <w:kern w:val="0"/>
          <w:sz w:val="24"/>
        </w:rPr>
        <w:t>（三）发放成交通知书。采购组织机构在发布成交结果公告的同时，</w:t>
      </w:r>
      <w:r>
        <w:rPr>
          <w:rFonts w:hint="eastAsia"/>
          <w:sz w:val="24"/>
        </w:rPr>
        <w:t>通过政采云平台向成交供应商发放成交通知书</w:t>
      </w:r>
      <w:r>
        <w:rPr>
          <w:rFonts w:hint="eastAsia" w:ascii="宋体" w:hAnsi="宋体"/>
          <w:kern w:val="0"/>
          <w:sz w:val="24"/>
        </w:rPr>
        <w:t>。</w:t>
      </w:r>
    </w:p>
    <w:p>
      <w:pPr>
        <w:spacing w:line="440" w:lineRule="exact"/>
        <w:ind w:firstLine="482" w:firstLineChars="200"/>
        <w:rPr>
          <w:rFonts w:ascii="宋体" w:hAnsi="宋体"/>
          <w:kern w:val="0"/>
          <w:sz w:val="24"/>
        </w:rPr>
      </w:pPr>
      <w:r>
        <w:rPr>
          <w:rFonts w:hint="eastAsia" w:asciiTheme="minorEastAsia" w:hAnsiTheme="minorEastAsia" w:eastAsiaTheme="minorEastAsia"/>
          <w:b/>
          <w:sz w:val="24"/>
        </w:rPr>
        <w:t>七</w:t>
      </w:r>
      <w:r>
        <w:rPr>
          <w:rFonts w:asciiTheme="minorEastAsia" w:hAnsiTheme="minorEastAsia" w:eastAsiaTheme="minorEastAsia"/>
          <w:b/>
          <w:sz w:val="24"/>
        </w:rPr>
        <w:t>、</w:t>
      </w:r>
      <w:r>
        <w:rPr>
          <w:rFonts w:hint="eastAsia" w:ascii="宋体" w:hAnsi="宋体"/>
          <w:b/>
          <w:kern w:val="0"/>
          <w:sz w:val="24"/>
        </w:rPr>
        <w:t>合同签订及公告</w:t>
      </w:r>
    </w:p>
    <w:p>
      <w:pPr>
        <w:spacing w:line="440" w:lineRule="exact"/>
        <w:ind w:firstLine="482" w:firstLineChars="200"/>
        <w:rPr>
          <w:rFonts w:ascii="宋体" w:hAnsi="宋体"/>
          <w:b/>
          <w:kern w:val="0"/>
          <w:sz w:val="24"/>
        </w:rPr>
      </w:pPr>
      <w:r>
        <w:rPr>
          <w:rFonts w:hint="eastAsia" w:ascii="宋体" w:hAnsi="宋体"/>
          <w:b/>
          <w:sz w:val="24"/>
        </w:rPr>
        <w:t>（一）签订合同</w:t>
      </w:r>
    </w:p>
    <w:p>
      <w:pPr>
        <w:pStyle w:val="19"/>
        <w:spacing w:before="0" w:beforeAutospacing="0" w:after="0" w:afterAutospacing="0" w:line="440" w:lineRule="exact"/>
        <w:ind w:firstLine="480" w:firstLineChars="200"/>
        <w:jc w:val="both"/>
        <w:rPr>
          <w:rFonts w:hint="default"/>
        </w:rPr>
      </w:pPr>
      <w:r>
        <w:t>1.采购人应当自成交通知书发出之日起30日内，按照磋商文件和成交供应商响应文件内容要求，与成交供应商签订书面合同。</w:t>
      </w:r>
    </w:p>
    <w:p>
      <w:pPr>
        <w:pStyle w:val="19"/>
        <w:spacing w:before="0" w:beforeAutospacing="0" w:after="0" w:afterAutospacing="0" w:line="440" w:lineRule="exact"/>
        <w:ind w:firstLine="480" w:firstLineChars="200"/>
        <w:jc w:val="both"/>
        <w:rPr>
          <w:rFonts w:hint="default"/>
        </w:rPr>
      </w:pPr>
      <w:r>
        <w:t>2.采购文件及补充文件、磋商修改文件、成交供应商的磋商响应文件及磋商响应修改文件、磋商过程中有关承诺文件和成交通知书均作为合同附件。</w:t>
      </w:r>
    </w:p>
    <w:p>
      <w:pPr>
        <w:pStyle w:val="19"/>
        <w:spacing w:before="0" w:beforeAutospacing="0" w:after="0" w:afterAutospacing="0" w:line="440" w:lineRule="exact"/>
        <w:ind w:firstLine="480" w:firstLineChars="200"/>
        <w:jc w:val="both"/>
        <w:rPr>
          <w:rFonts w:hint="default"/>
        </w:rPr>
      </w:pPr>
      <w:r>
        <w:t>3.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pStyle w:val="19"/>
        <w:spacing w:before="0" w:beforeAutospacing="0" w:after="0" w:afterAutospacing="0" w:line="440" w:lineRule="exact"/>
        <w:ind w:firstLine="480" w:firstLineChars="200"/>
        <w:jc w:val="both"/>
        <w:rPr>
          <w:rFonts w:hint="default"/>
        </w:rPr>
      </w:pPr>
      <w:r>
        <w:t>4..成交供应商无故拖延、拒签合同的,将取消成交资格。</w:t>
      </w:r>
    </w:p>
    <w:p>
      <w:pPr>
        <w:pStyle w:val="19"/>
        <w:spacing w:before="0" w:beforeAutospacing="0" w:after="0" w:afterAutospacing="0" w:line="440" w:lineRule="exact"/>
        <w:ind w:firstLine="480" w:firstLineChars="200"/>
        <w:jc w:val="both"/>
        <w:rPr>
          <w:rFonts w:hint="default"/>
        </w:rPr>
      </w:pPr>
      <w:r>
        <w:t>5.成交供应商接到成交通知书后，在规定时间内借故否认已经承诺的条件而拒签合同者，以违约处理，并赔偿采购人由此造成的直接经济损失。采购人将向同级政府采购监管部门进行汇报。</w:t>
      </w:r>
    </w:p>
    <w:p>
      <w:pPr>
        <w:pStyle w:val="19"/>
        <w:spacing w:before="0" w:beforeAutospacing="0" w:after="0" w:afterAutospacing="0" w:line="440" w:lineRule="exact"/>
        <w:ind w:firstLine="480" w:firstLineChars="200"/>
        <w:jc w:val="both"/>
        <w:rPr>
          <w:rFonts w:hint="default"/>
        </w:rPr>
      </w:pPr>
      <w:r>
        <w:t>6.成交供应商拒绝与采购人签订合同的，采购人可以按照评审报告推荐的成交候选人名单排序，确定下一候选人为成交供应商，也可以重新开展政府采购活动。同时，拒绝与采购人签订合同的供应商不得参加对该项目重新开展的采购活动，由同级财政部门依法作出处理。</w:t>
      </w:r>
    </w:p>
    <w:p>
      <w:pPr>
        <w:pStyle w:val="19"/>
        <w:spacing w:before="0" w:beforeAutospacing="0" w:after="0" w:afterAutospacing="0" w:line="440" w:lineRule="exact"/>
        <w:ind w:firstLine="480" w:firstLineChars="200"/>
        <w:jc w:val="both"/>
        <w:rPr>
          <w:rFonts w:hint="default"/>
        </w:rPr>
      </w:pPr>
      <w:r>
        <w:t>7.询问或者质疑事项可能影响成交结果的，采购人应当暂停签订合同，已经签订合同的，应当中止履行合同。</w:t>
      </w:r>
    </w:p>
    <w:p>
      <w:pPr>
        <w:pStyle w:val="19"/>
        <w:spacing w:before="0" w:beforeAutospacing="0" w:after="0" w:afterAutospacing="0" w:line="440" w:lineRule="exact"/>
        <w:ind w:firstLine="482" w:firstLineChars="200"/>
        <w:jc w:val="both"/>
        <w:rPr>
          <w:rFonts w:hint="default" w:cs="仿宋_GB2312"/>
          <w:b/>
        </w:rPr>
      </w:pPr>
      <w:r>
        <w:rPr>
          <w:b/>
        </w:rPr>
        <w:t>（二）合同公告及备案</w:t>
      </w:r>
    </w:p>
    <w:p>
      <w:pPr>
        <w:pStyle w:val="3"/>
        <w:spacing w:after="0" w:line="440" w:lineRule="exact"/>
        <w:ind w:left="0" w:leftChars="0" w:firstLine="480" w:firstLineChars="200"/>
        <w:rPr>
          <w:rFonts w:ascii="宋体" w:hAnsi="宋体"/>
          <w:sz w:val="24"/>
        </w:rPr>
      </w:pPr>
      <w:r>
        <w:rPr>
          <w:rFonts w:hint="eastAsia" w:ascii="宋体" w:hAnsi="宋体"/>
          <w:sz w:val="24"/>
        </w:rPr>
        <w:t>1.采购人应当自政府采购合同签订之日起</w:t>
      </w:r>
      <w:r>
        <w:rPr>
          <w:rFonts w:hint="eastAsia" w:ascii="宋体" w:hAnsi="宋体"/>
          <w:sz w:val="24"/>
          <w:u w:val="single"/>
        </w:rPr>
        <w:t>2</w:t>
      </w:r>
      <w:r>
        <w:rPr>
          <w:rFonts w:hint="eastAsia" w:ascii="宋体" w:hAnsi="宋体"/>
          <w:sz w:val="24"/>
        </w:rPr>
        <w:t>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。采购人、采购代理机构及磋商小组对未成交的供应商不作落标原因解释。</w:t>
      </w:r>
    </w:p>
    <w:p>
      <w:pPr>
        <w:pStyle w:val="11"/>
        <w:spacing w:line="440" w:lineRule="exact"/>
        <w:ind w:firstLine="480" w:firstLineChars="200"/>
        <w:jc w:val="both"/>
        <w:rPr>
          <w:rFonts w:ascii="宋体" w:hAnsi="宋体"/>
          <w:sz w:val="24"/>
        </w:rPr>
      </w:pPr>
      <w:r>
        <w:rPr>
          <w:rFonts w:hint="eastAsia" w:ascii="宋体" w:hAnsi="宋体"/>
          <w:sz w:val="24"/>
        </w:rPr>
        <w:t>2.采购人应当自政府采购合同签订之日起</w:t>
      </w:r>
      <w:r>
        <w:rPr>
          <w:rFonts w:hint="eastAsia" w:ascii="宋体" w:hAnsi="宋体"/>
          <w:sz w:val="24"/>
          <w:u w:val="single"/>
        </w:rPr>
        <w:t>7</w:t>
      </w:r>
      <w:r>
        <w:rPr>
          <w:rFonts w:hint="eastAsia" w:ascii="宋体" w:hAnsi="宋体"/>
          <w:sz w:val="24"/>
        </w:rPr>
        <w:t>个工作日内，</w:t>
      </w:r>
      <w:r>
        <w:rPr>
          <w:rFonts w:hint="eastAsia"/>
          <w:sz w:val="24"/>
        </w:rPr>
        <w:t>将政府采购合同通过政采云平台提交至</w:t>
      </w:r>
      <w:r>
        <w:rPr>
          <w:rFonts w:hint="eastAsia" w:ascii="宋体" w:hAnsi="宋体"/>
          <w:sz w:val="24"/>
        </w:rPr>
        <w:t>同级人民政府财政部门备案存档。</w:t>
      </w:r>
    </w:p>
    <w:p>
      <w:pPr>
        <w:pStyle w:val="11"/>
        <w:spacing w:line="440" w:lineRule="exact"/>
        <w:ind w:firstLine="482" w:firstLineChars="200"/>
        <w:jc w:val="both"/>
        <w:rPr>
          <w:rFonts w:ascii="宋体" w:hAnsi="宋体"/>
          <w:b/>
          <w:bCs/>
          <w:sz w:val="24"/>
        </w:rPr>
      </w:pPr>
      <w:r>
        <w:rPr>
          <w:rFonts w:hint="eastAsia" w:ascii="宋体" w:hAnsi="宋体"/>
          <w:b/>
          <w:bCs/>
          <w:sz w:val="24"/>
        </w:rPr>
        <w:t>八、询问、质疑与投诉</w:t>
      </w:r>
    </w:p>
    <w:p>
      <w:pPr>
        <w:pStyle w:val="11"/>
        <w:spacing w:line="440" w:lineRule="exact"/>
        <w:ind w:firstLine="482" w:firstLineChars="200"/>
        <w:jc w:val="both"/>
        <w:rPr>
          <w:rFonts w:ascii="宋体" w:hAnsi="宋体"/>
          <w:b/>
          <w:bCs/>
          <w:sz w:val="24"/>
        </w:rPr>
      </w:pPr>
      <w:r>
        <w:rPr>
          <w:rFonts w:hint="eastAsia" w:ascii="宋体" w:hAnsi="宋体"/>
          <w:b/>
          <w:bCs/>
          <w:sz w:val="24"/>
        </w:rPr>
        <w:t>（一）询问</w:t>
      </w:r>
    </w:p>
    <w:p>
      <w:pPr>
        <w:pStyle w:val="11"/>
        <w:spacing w:line="440" w:lineRule="exact"/>
        <w:ind w:firstLine="480" w:firstLineChars="200"/>
        <w:jc w:val="both"/>
        <w:rPr>
          <w:rFonts w:ascii="宋体" w:hAnsi="宋体"/>
          <w:sz w:val="24"/>
        </w:rPr>
      </w:pPr>
      <w:r>
        <w:rPr>
          <w:rFonts w:hint="eastAsia" w:ascii="宋体" w:hAnsi="宋体"/>
          <w:sz w:val="24"/>
        </w:rPr>
        <w:t>磋商供应商对政府采购活动事项（磋商文件、采购过程和成交结果）有疑问的，可以向采购人或采购</w:t>
      </w:r>
      <w:r>
        <w:rPr>
          <w:rFonts w:hint="eastAsia" w:asciiTheme="minorEastAsia" w:hAnsiTheme="minorEastAsia" w:eastAsiaTheme="minorEastAsia" w:cstheme="minorBidi"/>
          <w:sz w:val="24"/>
        </w:rPr>
        <w:t>组织</w:t>
      </w:r>
      <w:r>
        <w:rPr>
          <w:rFonts w:hint="eastAsia" w:ascii="宋体" w:hAnsi="宋体"/>
          <w:sz w:val="24"/>
        </w:rPr>
        <w:t>机构提出询问，采购人或采购</w:t>
      </w:r>
      <w:r>
        <w:rPr>
          <w:rFonts w:hint="eastAsia" w:asciiTheme="minorEastAsia" w:hAnsiTheme="minorEastAsia" w:eastAsiaTheme="minorEastAsia" w:cstheme="minorBidi"/>
          <w:sz w:val="24"/>
        </w:rPr>
        <w:t>组织</w:t>
      </w:r>
      <w:r>
        <w:rPr>
          <w:rFonts w:hint="eastAsia" w:ascii="宋体" w:hAnsi="宋体"/>
          <w:sz w:val="24"/>
        </w:rPr>
        <w:t>机构将及时作出答复，但答复的内容不涉及商业秘密。询问可以口头方式提出，也可以书面方式提出。联系方式见第一章“磋商邀请”中“采购人、采购</w:t>
      </w:r>
      <w:r>
        <w:rPr>
          <w:rFonts w:hint="eastAsia" w:asciiTheme="minorEastAsia" w:hAnsiTheme="minorEastAsia" w:eastAsiaTheme="minorEastAsia" w:cstheme="minorBidi"/>
          <w:sz w:val="24"/>
        </w:rPr>
        <w:t>组织</w:t>
      </w:r>
      <w:r>
        <w:rPr>
          <w:rFonts w:hint="eastAsia" w:ascii="宋体" w:hAnsi="宋体"/>
          <w:sz w:val="24"/>
        </w:rPr>
        <w:t>机构的名称、地址和联系方式”。</w:t>
      </w:r>
    </w:p>
    <w:p>
      <w:pPr>
        <w:pStyle w:val="11"/>
        <w:spacing w:line="440" w:lineRule="exact"/>
        <w:ind w:firstLine="482" w:firstLineChars="200"/>
        <w:jc w:val="both"/>
        <w:rPr>
          <w:rFonts w:ascii="宋体" w:hAnsi="宋体"/>
          <w:b/>
          <w:bCs/>
          <w:sz w:val="24"/>
        </w:rPr>
      </w:pPr>
      <w:r>
        <w:rPr>
          <w:rFonts w:hint="eastAsia" w:ascii="宋体" w:hAnsi="宋体"/>
          <w:b/>
          <w:bCs/>
          <w:sz w:val="24"/>
        </w:rPr>
        <w:t>（二）质疑</w:t>
      </w:r>
    </w:p>
    <w:p>
      <w:pPr>
        <w:pStyle w:val="11"/>
        <w:spacing w:line="440" w:lineRule="exact"/>
        <w:ind w:firstLine="480" w:firstLineChars="200"/>
        <w:jc w:val="both"/>
        <w:rPr>
          <w:rFonts w:ascii="宋体" w:hAnsi="宋体"/>
          <w:sz w:val="24"/>
        </w:rPr>
      </w:pPr>
      <w:r>
        <w:rPr>
          <w:rFonts w:hint="eastAsia" w:ascii="宋体" w:hAnsi="宋体"/>
          <w:sz w:val="24"/>
        </w:rPr>
        <w:t>1.报名本项目的供应商认为磋商文件、采购过程和成交结果使自己的权益受到损害的，以书面形式或政采云平台的质疑系统一次性向采购人或采购</w:t>
      </w:r>
      <w:r>
        <w:rPr>
          <w:rFonts w:hint="eastAsia" w:asciiTheme="minorEastAsia" w:hAnsiTheme="minorEastAsia" w:eastAsiaTheme="minorEastAsia" w:cstheme="minorBidi"/>
          <w:sz w:val="24"/>
        </w:rPr>
        <w:t>组织</w:t>
      </w:r>
      <w:r>
        <w:rPr>
          <w:rFonts w:hint="eastAsia" w:ascii="宋体" w:hAnsi="宋体"/>
          <w:sz w:val="24"/>
        </w:rPr>
        <w:t>机构书面提出质疑：</w:t>
      </w:r>
    </w:p>
    <w:p>
      <w:pPr>
        <w:pStyle w:val="11"/>
        <w:spacing w:line="440" w:lineRule="exact"/>
        <w:ind w:firstLine="480" w:firstLineChars="200"/>
        <w:jc w:val="both"/>
        <w:rPr>
          <w:rFonts w:ascii="宋体" w:hAnsi="宋体"/>
          <w:sz w:val="24"/>
        </w:rPr>
      </w:pPr>
      <w:r>
        <w:rPr>
          <w:rFonts w:hint="eastAsia" w:ascii="宋体" w:hAnsi="宋体"/>
          <w:sz w:val="24"/>
        </w:rPr>
        <w:t>（1）供应商认为磋商文件的内容损害其权益的，应当自获取之日（公告期限届满后获取采购文件的，以公告期限届满之日为准）起7个工作日内且应当在采购响应截止时间之前，以书面形式一次性向采购人和采购代理机构提出同一环节的质疑。否则，被质疑人可不予接受。</w:t>
      </w:r>
    </w:p>
    <w:p>
      <w:pPr>
        <w:pStyle w:val="11"/>
        <w:spacing w:line="440" w:lineRule="exact"/>
        <w:ind w:firstLine="480" w:firstLineChars="200"/>
        <w:jc w:val="both"/>
        <w:rPr>
          <w:rFonts w:ascii="宋体" w:hAnsi="宋体"/>
          <w:sz w:val="24"/>
        </w:rPr>
      </w:pPr>
      <w:r>
        <w:rPr>
          <w:rFonts w:hint="eastAsia" w:ascii="宋体" w:hAnsi="宋体"/>
          <w:sz w:val="24"/>
        </w:rPr>
        <w:t>（2）供应商对采购过程提出质疑的，应当在各采购程序环节结束之日起7个工作日内提出质疑；逾期提出不予受理。</w:t>
      </w:r>
    </w:p>
    <w:p>
      <w:pPr>
        <w:pStyle w:val="11"/>
        <w:spacing w:line="440" w:lineRule="exact"/>
        <w:ind w:firstLine="480" w:firstLineChars="200"/>
        <w:jc w:val="both"/>
        <w:rPr>
          <w:rFonts w:ascii="宋体" w:hAnsi="宋体"/>
          <w:sz w:val="24"/>
        </w:rPr>
      </w:pPr>
      <w:r>
        <w:rPr>
          <w:rFonts w:hint="eastAsia" w:ascii="宋体" w:hAnsi="宋体"/>
          <w:sz w:val="24"/>
        </w:rPr>
        <w:t>（3）供应商对成交结果提出质疑的，应当在成交结果公告期限届满之日起7个工作日内提出质疑；逾期提出不予受理。</w:t>
      </w:r>
    </w:p>
    <w:p>
      <w:pPr>
        <w:pStyle w:val="11"/>
        <w:spacing w:line="440" w:lineRule="exact"/>
        <w:ind w:firstLine="480" w:firstLineChars="200"/>
        <w:jc w:val="both"/>
        <w:rPr>
          <w:rFonts w:ascii="宋体" w:hAnsi="宋体"/>
          <w:sz w:val="24"/>
        </w:rPr>
      </w:pPr>
      <w:r>
        <w:rPr>
          <w:rFonts w:hint="eastAsia" w:ascii="宋体" w:hAnsi="宋体"/>
          <w:sz w:val="24"/>
        </w:rPr>
        <w:t>（4）质疑书中涉及的相关材料中有外文资料的，应当将与质疑相关的外文资料完整、客观、真实地翻译为中文，并注明翻译人员姓名、工作单位、联系方式等信息。</w:t>
      </w:r>
    </w:p>
    <w:p>
      <w:pPr>
        <w:pStyle w:val="11"/>
        <w:spacing w:line="440" w:lineRule="exact"/>
        <w:ind w:firstLine="480" w:firstLineChars="200"/>
        <w:jc w:val="both"/>
        <w:rPr>
          <w:rFonts w:ascii="宋体" w:hAnsi="宋体"/>
          <w:sz w:val="24"/>
        </w:rPr>
      </w:pPr>
      <w:r>
        <w:rPr>
          <w:rFonts w:hint="eastAsia" w:ascii="宋体" w:hAnsi="宋体"/>
          <w:sz w:val="24"/>
        </w:rPr>
        <w:t>（5）供应商为自然人的，应当由本人签字；供应商为法人或者其他组织的，应当由法定代表人、主要负责人，或者其授权代表签字或者盖章，并加盖公章。否则不予受理。</w:t>
      </w:r>
    </w:p>
    <w:p>
      <w:pPr>
        <w:pStyle w:val="11"/>
        <w:spacing w:line="440" w:lineRule="exact"/>
        <w:ind w:firstLine="480" w:firstLineChars="200"/>
        <w:jc w:val="both"/>
        <w:rPr>
          <w:rFonts w:ascii="宋体" w:hAnsi="宋体"/>
          <w:sz w:val="24"/>
        </w:rPr>
      </w:pPr>
      <w:r>
        <w:rPr>
          <w:rFonts w:hint="eastAsia" w:ascii="宋体" w:hAnsi="宋体"/>
          <w:sz w:val="24"/>
        </w:rPr>
        <w:t>2.采购人或采购</w:t>
      </w:r>
      <w:r>
        <w:rPr>
          <w:rFonts w:hint="eastAsia" w:asciiTheme="minorEastAsia" w:hAnsiTheme="minorEastAsia" w:eastAsiaTheme="minorEastAsia" w:cstheme="minorBidi"/>
          <w:sz w:val="24"/>
        </w:rPr>
        <w:t>组织</w:t>
      </w:r>
      <w:r>
        <w:rPr>
          <w:rFonts w:hint="eastAsia" w:ascii="宋体" w:hAnsi="宋体"/>
          <w:sz w:val="24"/>
        </w:rPr>
        <w:t>机构在收到磋商供应商的书面质疑后7个工作日内作出答复，并以书面形式通知质疑磋商供应商和其他有关磋商供应商，但答复内容不涉及商业秘密。</w:t>
      </w:r>
    </w:p>
    <w:p>
      <w:pPr>
        <w:pStyle w:val="11"/>
        <w:spacing w:line="440" w:lineRule="exact"/>
        <w:ind w:firstLine="480" w:firstLineChars="200"/>
        <w:jc w:val="both"/>
        <w:rPr>
          <w:rFonts w:ascii="宋体" w:hAnsi="宋体"/>
          <w:sz w:val="24"/>
        </w:rPr>
      </w:pPr>
      <w:r>
        <w:rPr>
          <w:rFonts w:hint="eastAsia" w:ascii="宋体" w:hAnsi="宋体"/>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1"/>
        <w:spacing w:line="440" w:lineRule="exact"/>
        <w:ind w:firstLine="482" w:firstLineChars="200"/>
        <w:jc w:val="both"/>
        <w:rPr>
          <w:rFonts w:ascii="宋体" w:hAnsi="宋体"/>
          <w:b/>
          <w:bCs/>
          <w:sz w:val="24"/>
        </w:rPr>
      </w:pPr>
      <w:r>
        <w:rPr>
          <w:rFonts w:hint="eastAsia" w:ascii="宋体" w:hAnsi="宋体"/>
          <w:b/>
          <w:bCs/>
          <w:sz w:val="24"/>
        </w:rPr>
        <w:t>（三）投诉</w:t>
      </w:r>
    </w:p>
    <w:p>
      <w:pPr>
        <w:pStyle w:val="11"/>
        <w:spacing w:line="440" w:lineRule="exact"/>
        <w:ind w:firstLine="480" w:firstLineChars="200"/>
        <w:jc w:val="both"/>
        <w:rPr>
          <w:rFonts w:ascii="宋体" w:hAnsi="宋体"/>
          <w:sz w:val="24"/>
        </w:rPr>
      </w:pPr>
      <w:r>
        <w:rPr>
          <w:rFonts w:hint="eastAsia" w:ascii="宋体" w:hAnsi="宋体"/>
          <w:sz w:val="24"/>
        </w:rPr>
        <w:t>磋商供应商对采购人或采购</w:t>
      </w:r>
      <w:r>
        <w:rPr>
          <w:rFonts w:hint="eastAsia" w:asciiTheme="minorEastAsia" w:hAnsiTheme="minorEastAsia" w:eastAsiaTheme="minorEastAsia" w:cstheme="minorBidi"/>
          <w:sz w:val="24"/>
        </w:rPr>
        <w:t>组织</w:t>
      </w:r>
      <w:r>
        <w:rPr>
          <w:rFonts w:hint="eastAsia" w:ascii="宋体" w:hAnsi="宋体"/>
          <w:sz w:val="24"/>
        </w:rPr>
        <w:t>机构的质疑答复不满意或在规定时间内未得到答复的，可以在答复期满后15个工作日内，向同级政府采购监督管理机构投诉。</w:t>
      </w:r>
    </w:p>
    <w:p>
      <w:pPr>
        <w:pStyle w:val="11"/>
        <w:spacing w:line="440" w:lineRule="exact"/>
        <w:ind w:firstLine="480" w:firstLineChars="200"/>
        <w:rPr>
          <w:rFonts w:asciiTheme="minorEastAsia" w:hAnsiTheme="minorEastAsia" w:eastAsiaTheme="minorEastAsia"/>
          <w:b/>
          <w:sz w:val="36"/>
          <w:szCs w:val="36"/>
        </w:rPr>
      </w:pPr>
      <w:r>
        <w:rPr>
          <w:rFonts w:hint="eastAsia" w:ascii="宋体" w:hAnsi="宋体"/>
          <w:sz w:val="24"/>
        </w:rPr>
        <w:br w:type="page"/>
      </w:r>
    </w:p>
    <w:p>
      <w:pPr>
        <w:numPr>
          <w:ilvl w:val="0"/>
          <w:numId w:val="4"/>
        </w:numPr>
        <w:spacing w:line="360" w:lineRule="auto"/>
        <w:jc w:val="center"/>
        <w:outlineLvl w:val="0"/>
        <w:rPr>
          <w:rFonts w:asciiTheme="minorEastAsia" w:hAnsiTheme="minorEastAsia" w:eastAsiaTheme="minorEastAsia"/>
          <w:b/>
          <w:sz w:val="36"/>
          <w:szCs w:val="36"/>
        </w:rPr>
      </w:pPr>
      <w:bookmarkStart w:id="35" w:name="_Toc29935"/>
      <w:r>
        <w:rPr>
          <w:rFonts w:hint="eastAsia" w:asciiTheme="minorEastAsia" w:hAnsiTheme="minorEastAsia" w:eastAsiaTheme="minorEastAsia"/>
          <w:b/>
          <w:sz w:val="36"/>
          <w:szCs w:val="36"/>
        </w:rPr>
        <w:t>项目需求</w:t>
      </w:r>
      <w:bookmarkEnd w:id="35"/>
    </w:p>
    <w:p>
      <w:pPr>
        <w:tabs>
          <w:tab w:val="left" w:pos="8280"/>
        </w:tabs>
        <w:autoSpaceDE w:val="0"/>
        <w:autoSpaceDN w:val="0"/>
        <w:adjustRightInd w:val="0"/>
        <w:spacing w:line="360" w:lineRule="auto"/>
        <w:ind w:right="25" w:firstLine="482" w:firstLineChars="200"/>
        <w:rPr>
          <w:rFonts w:asciiTheme="minorEastAsia" w:hAnsiTheme="minorEastAsia" w:eastAsiaTheme="minorEastAsia"/>
          <w:sz w:val="24"/>
        </w:rPr>
      </w:pPr>
      <w:r>
        <w:rPr>
          <w:rFonts w:hint="eastAsia" w:asciiTheme="minorEastAsia" w:hAnsiTheme="minorEastAsia" w:eastAsiaTheme="minorEastAsia"/>
          <w:b/>
          <w:sz w:val="24"/>
        </w:rPr>
        <w:t>一、项目一览表</w:t>
      </w:r>
    </w:p>
    <w:p>
      <w:pPr>
        <w:tabs>
          <w:tab w:val="left" w:pos="8280"/>
        </w:tabs>
        <w:autoSpaceDE w:val="0"/>
        <w:autoSpaceDN w:val="0"/>
        <w:adjustRightInd w:val="0"/>
        <w:spacing w:line="360" w:lineRule="auto"/>
        <w:ind w:right="25" w:firstLine="480" w:firstLineChars="200"/>
        <w:rPr>
          <w:rFonts w:asciiTheme="minorEastAsia" w:hAnsiTheme="minorEastAsia" w:eastAsiaTheme="minorEastAsia"/>
          <w:sz w:val="24"/>
        </w:rPr>
      </w:pPr>
      <w:r>
        <w:rPr>
          <w:rFonts w:hint="eastAsia" w:asciiTheme="minorEastAsia" w:hAnsiTheme="minorEastAsia" w:eastAsiaTheme="minorEastAsia"/>
          <w:sz w:val="24"/>
        </w:rPr>
        <w:t>本次磋商共</w:t>
      </w:r>
      <w:r>
        <w:rPr>
          <w:rFonts w:hint="eastAsia" w:asciiTheme="minorEastAsia" w:hAnsiTheme="minorEastAsia" w:eastAsiaTheme="minorEastAsia"/>
          <w:sz w:val="24"/>
          <w:u w:val="single"/>
        </w:rPr>
        <w:t xml:space="preserve"> 一 </w:t>
      </w:r>
      <w:r>
        <w:rPr>
          <w:rFonts w:hint="eastAsia" w:asciiTheme="minorEastAsia" w:hAnsiTheme="minorEastAsia" w:eastAsiaTheme="minorEastAsia"/>
          <w:sz w:val="24"/>
        </w:rPr>
        <w:t>个标项，具体内容如下表：</w:t>
      </w:r>
    </w:p>
    <w:tbl>
      <w:tblPr>
        <w:tblStyle w:val="22"/>
        <w:tblW w:w="7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2478"/>
        <w:gridCol w:w="1843"/>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99" w:type="dxa"/>
            <w:vAlign w:val="center"/>
          </w:tcPr>
          <w:p>
            <w:pPr>
              <w:tabs>
                <w:tab w:val="left" w:pos="8280"/>
              </w:tabs>
              <w:autoSpaceDE w:val="0"/>
              <w:autoSpaceDN w:val="0"/>
              <w:adjustRightInd w:val="0"/>
              <w:ind w:right="25"/>
              <w:jc w:val="center"/>
              <w:rPr>
                <w:rFonts w:ascii="宋体" w:hAnsi="宋体"/>
                <w:b/>
                <w:sz w:val="24"/>
              </w:rPr>
            </w:pPr>
            <w:r>
              <w:rPr>
                <w:rFonts w:hint="eastAsia" w:ascii="宋体" w:hAnsi="宋体"/>
                <w:b/>
                <w:sz w:val="24"/>
              </w:rPr>
              <w:t>标项号</w:t>
            </w:r>
          </w:p>
        </w:tc>
        <w:tc>
          <w:tcPr>
            <w:tcW w:w="2478" w:type="dxa"/>
            <w:vAlign w:val="center"/>
          </w:tcPr>
          <w:p>
            <w:pPr>
              <w:tabs>
                <w:tab w:val="left" w:pos="8280"/>
              </w:tabs>
              <w:autoSpaceDE w:val="0"/>
              <w:autoSpaceDN w:val="0"/>
              <w:adjustRightInd w:val="0"/>
              <w:ind w:right="25"/>
              <w:jc w:val="center"/>
              <w:rPr>
                <w:rFonts w:ascii="宋体" w:hAnsi="宋体"/>
                <w:b/>
                <w:sz w:val="24"/>
              </w:rPr>
            </w:pPr>
            <w:r>
              <w:rPr>
                <w:rFonts w:hint="eastAsia" w:ascii="宋体" w:hAnsi="宋体"/>
                <w:b/>
                <w:sz w:val="24"/>
              </w:rPr>
              <w:t>项目名称</w:t>
            </w:r>
          </w:p>
        </w:tc>
        <w:tc>
          <w:tcPr>
            <w:tcW w:w="1843" w:type="dxa"/>
            <w:vAlign w:val="center"/>
          </w:tcPr>
          <w:p>
            <w:pPr>
              <w:tabs>
                <w:tab w:val="left" w:pos="8280"/>
              </w:tabs>
              <w:autoSpaceDE w:val="0"/>
              <w:autoSpaceDN w:val="0"/>
              <w:adjustRightInd w:val="0"/>
              <w:ind w:right="25"/>
              <w:jc w:val="center"/>
              <w:rPr>
                <w:rFonts w:ascii="宋体" w:hAnsi="宋体"/>
                <w:b/>
                <w:sz w:val="24"/>
              </w:rPr>
            </w:pPr>
            <w:r>
              <w:rPr>
                <w:rFonts w:hint="eastAsia" w:ascii="宋体" w:hAnsi="宋体" w:cs="宋体"/>
                <w:b/>
                <w:kern w:val="0"/>
                <w:sz w:val="24"/>
              </w:rPr>
              <w:t>简要技术要求</w:t>
            </w:r>
          </w:p>
        </w:tc>
        <w:tc>
          <w:tcPr>
            <w:tcW w:w="850" w:type="dxa"/>
            <w:vAlign w:val="center"/>
          </w:tcPr>
          <w:p>
            <w:pPr>
              <w:tabs>
                <w:tab w:val="left" w:pos="8280"/>
              </w:tabs>
              <w:autoSpaceDE w:val="0"/>
              <w:autoSpaceDN w:val="0"/>
              <w:adjustRightInd w:val="0"/>
              <w:ind w:right="25"/>
              <w:jc w:val="center"/>
              <w:rPr>
                <w:rFonts w:ascii="宋体" w:hAnsi="宋体"/>
                <w:b/>
                <w:sz w:val="24"/>
              </w:rPr>
            </w:pPr>
            <w:r>
              <w:rPr>
                <w:rFonts w:hint="eastAsia" w:asciiTheme="minorEastAsia" w:hAnsiTheme="minorEastAsia" w:eastAsiaTheme="minorEastAsia" w:cstheme="minorEastAsia"/>
                <w:b/>
                <w:sz w:val="24"/>
              </w:rPr>
              <w:t>服务期</w:t>
            </w:r>
          </w:p>
        </w:tc>
        <w:tc>
          <w:tcPr>
            <w:tcW w:w="1134" w:type="dxa"/>
            <w:vAlign w:val="center"/>
          </w:tcPr>
          <w:p>
            <w:pPr>
              <w:tabs>
                <w:tab w:val="left" w:pos="8280"/>
              </w:tabs>
              <w:autoSpaceDE w:val="0"/>
              <w:autoSpaceDN w:val="0"/>
              <w:adjustRightIn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预算</w:t>
            </w:r>
          </w:p>
          <w:p>
            <w:pPr>
              <w:tabs>
                <w:tab w:val="left" w:pos="8280"/>
              </w:tabs>
              <w:autoSpaceDE w:val="0"/>
              <w:autoSpaceDN w:val="0"/>
              <w:adjustRightIn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199" w:type="dxa"/>
            <w:vAlign w:val="center"/>
          </w:tcPr>
          <w:p>
            <w:pPr>
              <w:tabs>
                <w:tab w:val="left" w:pos="8280"/>
              </w:tabs>
              <w:autoSpaceDE w:val="0"/>
              <w:autoSpaceDN w:val="0"/>
              <w:adjustRightInd w:val="0"/>
              <w:ind w:right="25"/>
              <w:jc w:val="center"/>
              <w:rPr>
                <w:rFonts w:ascii="宋体" w:hAnsi="宋体"/>
                <w:sz w:val="24"/>
              </w:rPr>
            </w:pPr>
            <w:r>
              <w:rPr>
                <w:rFonts w:hint="eastAsia" w:ascii="宋体" w:hAnsi="宋体"/>
                <w:sz w:val="24"/>
              </w:rPr>
              <w:t>一</w:t>
            </w:r>
          </w:p>
        </w:tc>
        <w:tc>
          <w:tcPr>
            <w:tcW w:w="2478" w:type="dxa"/>
            <w:vAlign w:val="center"/>
          </w:tcPr>
          <w:p>
            <w:pPr>
              <w:tabs>
                <w:tab w:val="left" w:pos="8280"/>
              </w:tabs>
              <w:autoSpaceDE w:val="0"/>
              <w:autoSpaceDN w:val="0"/>
              <w:adjustRightInd w:val="0"/>
              <w:ind w:right="25"/>
              <w:jc w:val="center"/>
              <w:rPr>
                <w:rFonts w:ascii="宋体" w:hAnsi="宋体"/>
                <w:sz w:val="24"/>
              </w:rPr>
            </w:pPr>
            <w:r>
              <w:rPr>
                <w:rFonts w:hint="eastAsia" w:ascii="宋体" w:hAnsi="宋体"/>
                <w:sz w:val="24"/>
              </w:rPr>
              <w:t>台州市中级人民法院后勤保障服务项目</w:t>
            </w:r>
          </w:p>
        </w:tc>
        <w:tc>
          <w:tcPr>
            <w:tcW w:w="1843" w:type="dxa"/>
            <w:vAlign w:val="center"/>
          </w:tcPr>
          <w:p>
            <w:pPr>
              <w:tabs>
                <w:tab w:val="left" w:pos="8280"/>
              </w:tabs>
              <w:autoSpaceDE w:val="0"/>
              <w:autoSpaceDN w:val="0"/>
              <w:adjustRightInd w:val="0"/>
              <w:ind w:right="25"/>
              <w:jc w:val="center"/>
              <w:rPr>
                <w:rFonts w:ascii="宋体" w:hAnsi="宋体"/>
                <w:sz w:val="24"/>
              </w:rPr>
            </w:pPr>
            <w:r>
              <w:rPr>
                <w:rFonts w:hint="eastAsia" w:ascii="宋体" w:hAnsi="宋体"/>
                <w:sz w:val="24"/>
              </w:rPr>
              <w:t>详见本章之技术需求</w:t>
            </w:r>
          </w:p>
        </w:tc>
        <w:tc>
          <w:tcPr>
            <w:tcW w:w="850" w:type="dxa"/>
            <w:vAlign w:val="center"/>
          </w:tcPr>
          <w:p>
            <w:pPr>
              <w:tabs>
                <w:tab w:val="left" w:pos="8280"/>
              </w:tabs>
              <w:autoSpaceDE w:val="0"/>
              <w:autoSpaceDN w:val="0"/>
              <w:adjustRightInd w:val="0"/>
              <w:ind w:right="25"/>
              <w:jc w:val="center"/>
              <w:rPr>
                <w:rFonts w:ascii="宋体" w:hAnsi="宋体"/>
                <w:sz w:val="24"/>
              </w:rPr>
            </w:pPr>
            <w:r>
              <w:rPr>
                <w:rFonts w:hint="eastAsia" w:ascii="宋体" w:hAnsi="宋体"/>
                <w:sz w:val="24"/>
              </w:rPr>
              <w:t>1年</w:t>
            </w:r>
          </w:p>
        </w:tc>
        <w:tc>
          <w:tcPr>
            <w:tcW w:w="1134" w:type="dxa"/>
            <w:vAlign w:val="center"/>
          </w:tcPr>
          <w:p>
            <w:pPr>
              <w:tabs>
                <w:tab w:val="left" w:pos="8280"/>
              </w:tabs>
              <w:autoSpaceDE w:val="0"/>
              <w:autoSpaceDN w:val="0"/>
              <w:adjustRightInd w:val="0"/>
              <w:jc w:val="center"/>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79</w:t>
            </w:r>
            <w:r>
              <w:rPr>
                <w:rFonts w:hint="eastAsia" w:asciiTheme="minorEastAsia" w:hAnsiTheme="minorEastAsia" w:eastAsiaTheme="minorEastAsia" w:cstheme="minorEastAsia"/>
                <w:b/>
                <w:bCs/>
                <w:sz w:val="24"/>
              </w:rPr>
              <w:t>.</w:t>
            </w:r>
            <w:r>
              <w:rPr>
                <w:rFonts w:asciiTheme="minorEastAsia" w:hAnsiTheme="minorEastAsia" w:eastAsiaTheme="minorEastAsia" w:cstheme="minorEastAsia"/>
                <w:b/>
                <w:bCs/>
                <w:sz w:val="24"/>
              </w:rPr>
              <w:t>90</w:t>
            </w:r>
          </w:p>
        </w:tc>
      </w:tr>
    </w:tbl>
    <w:p>
      <w:pPr>
        <w:tabs>
          <w:tab w:val="left" w:pos="8280"/>
        </w:tabs>
        <w:autoSpaceDE w:val="0"/>
        <w:autoSpaceDN w:val="0"/>
        <w:adjustRightInd w:val="0"/>
        <w:spacing w:line="360" w:lineRule="auto"/>
        <w:ind w:left="482" w:right="25"/>
        <w:jc w:val="left"/>
        <w:rPr>
          <w:rFonts w:asciiTheme="minorEastAsia" w:hAnsiTheme="minorEastAsia" w:eastAsiaTheme="minorEastAsia"/>
          <w:b/>
          <w:sz w:val="24"/>
        </w:rPr>
      </w:pPr>
      <w:r>
        <w:rPr>
          <w:rFonts w:hint="eastAsia" w:asciiTheme="minorEastAsia" w:hAnsiTheme="minorEastAsia" w:eastAsiaTheme="minorEastAsia"/>
          <w:b/>
          <w:sz w:val="24"/>
        </w:rPr>
        <w:t>二、技术需求</w:t>
      </w:r>
    </w:p>
    <w:p>
      <w:pPr>
        <w:snapToGrid w:val="0"/>
        <w:spacing w:line="360" w:lineRule="auto"/>
        <w:ind w:firstLine="241" w:firstLineChars="100"/>
        <w:jc w:val="left"/>
        <w:rPr>
          <w:rFonts w:ascii="宋体" w:cs="宋体"/>
          <w:b/>
          <w:sz w:val="24"/>
        </w:rPr>
      </w:pPr>
      <w:r>
        <w:rPr>
          <w:rFonts w:hint="eastAsia" w:ascii="宋体" w:hAnsi="宋体" w:cs="宋体"/>
          <w:b/>
          <w:sz w:val="24"/>
        </w:rPr>
        <w:t>（一）餐饮服务要求</w:t>
      </w:r>
    </w:p>
    <w:p>
      <w:pPr>
        <w:snapToGrid w:val="0"/>
        <w:spacing w:line="360" w:lineRule="auto"/>
        <w:ind w:firstLine="480" w:firstLineChars="200"/>
        <w:jc w:val="left"/>
        <w:rPr>
          <w:rFonts w:ascii="宋体" w:cs="宋体"/>
          <w:sz w:val="24"/>
        </w:rPr>
      </w:pPr>
      <w:r>
        <w:rPr>
          <w:rFonts w:hint="eastAsia" w:ascii="宋体" w:hAnsi="宋体" w:cs="宋体"/>
          <w:sz w:val="24"/>
        </w:rPr>
        <w:t>供应商必须建立明确的岗位责任制：在人员配置上要求按早、中、晚就餐的要求进行配置，</w:t>
      </w:r>
      <w:r>
        <w:rPr>
          <w:rFonts w:hint="eastAsia" w:ascii="宋体" w:hAnsi="宋体" w:cs="宋体"/>
          <w:b/>
          <w:sz w:val="24"/>
        </w:rPr>
        <w:t>总人数</w:t>
      </w:r>
      <w:r>
        <w:rPr>
          <w:rFonts w:ascii="宋体" w:hAnsi="宋体" w:cs="宋体"/>
          <w:b/>
          <w:sz w:val="24"/>
        </w:rPr>
        <w:t>12</w:t>
      </w:r>
      <w:r>
        <w:rPr>
          <w:rFonts w:hint="eastAsia" w:ascii="宋体" w:hAnsi="宋体" w:cs="宋体"/>
          <w:b/>
          <w:sz w:val="24"/>
        </w:rPr>
        <w:t>人，岗位设置为厨师长</w:t>
      </w:r>
      <w:r>
        <w:rPr>
          <w:rFonts w:ascii="宋体" w:hAnsi="宋体" w:cs="宋体"/>
          <w:b/>
          <w:sz w:val="24"/>
        </w:rPr>
        <w:t>1</w:t>
      </w:r>
      <w:r>
        <w:rPr>
          <w:rFonts w:hint="eastAsia" w:ascii="宋体" w:hAnsi="宋体" w:cs="宋体"/>
          <w:b/>
          <w:sz w:val="24"/>
        </w:rPr>
        <w:t>名、主灶厨师</w:t>
      </w:r>
      <w:r>
        <w:rPr>
          <w:rFonts w:ascii="宋体" w:hAnsi="宋体" w:cs="宋体"/>
          <w:b/>
          <w:sz w:val="24"/>
        </w:rPr>
        <w:t>1</w:t>
      </w:r>
      <w:r>
        <w:rPr>
          <w:rFonts w:hint="eastAsia" w:ascii="宋体" w:hAnsi="宋体" w:cs="宋体"/>
          <w:b/>
          <w:sz w:val="24"/>
        </w:rPr>
        <w:t>名、副厨</w:t>
      </w:r>
      <w:r>
        <w:rPr>
          <w:rFonts w:ascii="宋体" w:hAnsi="宋体" w:cs="宋体"/>
          <w:b/>
          <w:sz w:val="24"/>
        </w:rPr>
        <w:t>1</w:t>
      </w:r>
      <w:r>
        <w:rPr>
          <w:rFonts w:hint="eastAsia" w:ascii="宋体" w:hAnsi="宋体" w:cs="宋体"/>
          <w:b/>
          <w:sz w:val="24"/>
        </w:rPr>
        <w:t>名、面点师</w:t>
      </w:r>
      <w:r>
        <w:rPr>
          <w:rFonts w:ascii="宋体" w:hAnsi="宋体" w:cs="宋体"/>
          <w:b/>
          <w:sz w:val="24"/>
        </w:rPr>
        <w:t>2</w:t>
      </w:r>
      <w:r>
        <w:rPr>
          <w:rFonts w:hint="eastAsia" w:ascii="宋体" w:hAnsi="宋体" w:cs="宋体"/>
          <w:b/>
          <w:sz w:val="24"/>
        </w:rPr>
        <w:t>名、切配</w:t>
      </w:r>
      <w:r>
        <w:rPr>
          <w:rFonts w:ascii="宋体" w:hAnsi="宋体" w:cs="宋体"/>
          <w:b/>
          <w:sz w:val="24"/>
        </w:rPr>
        <w:t>1</w:t>
      </w:r>
      <w:r>
        <w:rPr>
          <w:rFonts w:hint="eastAsia" w:ascii="宋体" w:hAnsi="宋体" w:cs="宋体"/>
          <w:b/>
          <w:sz w:val="24"/>
        </w:rPr>
        <w:t>名，厨工</w:t>
      </w:r>
      <w:r>
        <w:rPr>
          <w:rFonts w:ascii="宋体" w:hAnsi="宋体" w:cs="宋体"/>
          <w:b/>
          <w:sz w:val="24"/>
        </w:rPr>
        <w:t>5</w:t>
      </w:r>
      <w:r>
        <w:rPr>
          <w:rFonts w:hint="eastAsia" w:ascii="宋体" w:hAnsi="宋体" w:cs="宋体"/>
          <w:b/>
          <w:sz w:val="24"/>
        </w:rPr>
        <w:t>名，包厢服务人员</w:t>
      </w:r>
      <w:r>
        <w:rPr>
          <w:rFonts w:ascii="宋体" w:hAnsi="宋体" w:cs="宋体"/>
          <w:b/>
          <w:sz w:val="24"/>
        </w:rPr>
        <w:t>1</w:t>
      </w:r>
      <w:r>
        <w:rPr>
          <w:rFonts w:hint="eastAsia" w:ascii="宋体" w:hAnsi="宋体" w:cs="宋体"/>
          <w:b/>
          <w:sz w:val="24"/>
        </w:rPr>
        <w:t>名。</w:t>
      </w:r>
      <w:r>
        <w:rPr>
          <w:rFonts w:hint="eastAsia" w:ascii="宋体" w:hAnsi="宋体" w:cs="宋体"/>
          <w:sz w:val="24"/>
        </w:rPr>
        <w:t>为保持服务队伍的稳定性，以上服务人员需在供应商单位缴纳社保。</w:t>
      </w:r>
    </w:p>
    <w:p>
      <w:pPr>
        <w:snapToGrid w:val="0"/>
        <w:spacing w:line="360" w:lineRule="auto"/>
        <w:ind w:firstLine="480" w:firstLineChars="200"/>
        <w:jc w:val="left"/>
        <w:rPr>
          <w:rFonts w:ascii="宋体" w:cs="宋体"/>
          <w:sz w:val="24"/>
        </w:rPr>
      </w:pPr>
      <w:r>
        <w:rPr>
          <w:rFonts w:hint="eastAsia" w:ascii="宋体" w:hAnsi="宋体" w:cs="宋体"/>
          <w:sz w:val="24"/>
        </w:rPr>
        <w:t>供应商根据需求组织相应的管理和服务工作并主动接受监督：保证工作日期间（</w:t>
      </w:r>
      <w:r>
        <w:rPr>
          <w:rFonts w:ascii="宋体" w:hAnsi="宋体" w:cs="宋体"/>
          <w:sz w:val="24"/>
        </w:rPr>
        <w:t>450</w:t>
      </w:r>
      <w:r>
        <w:rPr>
          <w:rFonts w:hint="eastAsia" w:ascii="宋体" w:hAnsi="宋体" w:cs="宋体"/>
          <w:sz w:val="24"/>
        </w:rPr>
        <w:t>人次</w:t>
      </w:r>
      <w:r>
        <w:rPr>
          <w:rFonts w:ascii="宋体" w:hAnsi="宋体" w:cs="宋体"/>
          <w:sz w:val="24"/>
        </w:rPr>
        <w:t>/</w:t>
      </w:r>
      <w:r>
        <w:rPr>
          <w:rFonts w:hint="eastAsia" w:ascii="宋体" w:hAnsi="宋体" w:cs="宋体"/>
          <w:sz w:val="24"/>
        </w:rPr>
        <w:t>天）干部职工一日三餐的供应保障，满足食堂临时公务接待和重大活动的餐饮保障就餐要求。</w:t>
      </w:r>
    </w:p>
    <w:p>
      <w:pPr>
        <w:snapToGrid w:val="0"/>
        <w:spacing w:line="360" w:lineRule="auto"/>
        <w:ind w:firstLine="480" w:firstLineChars="200"/>
        <w:jc w:val="left"/>
        <w:rPr>
          <w:rFonts w:ascii="宋体" w:cs="宋体"/>
          <w:sz w:val="24"/>
        </w:rPr>
      </w:pPr>
      <w:r>
        <w:rPr>
          <w:rFonts w:hint="eastAsia" w:ascii="宋体" w:hAnsi="宋体" w:cs="宋体"/>
          <w:sz w:val="24"/>
        </w:rPr>
        <w:t>1、食堂用餐服务：</w:t>
      </w:r>
    </w:p>
    <w:p>
      <w:pPr>
        <w:snapToGrid w:val="0"/>
        <w:spacing w:line="360" w:lineRule="auto"/>
        <w:ind w:firstLine="480" w:firstLineChars="200"/>
        <w:jc w:val="left"/>
        <w:rPr>
          <w:rFonts w:ascii="宋体" w:cs="宋体"/>
          <w:sz w:val="24"/>
        </w:rPr>
      </w:pPr>
      <w:r>
        <w:rPr>
          <w:rFonts w:hint="eastAsia" w:ascii="宋体" w:hAnsi="宋体" w:cs="宋体"/>
          <w:sz w:val="24"/>
        </w:rPr>
        <w:t>①早餐，提供营养可口的食品</w:t>
      </w:r>
      <w:r>
        <w:rPr>
          <w:rFonts w:ascii="宋体" w:cs="宋体"/>
          <w:sz w:val="24"/>
        </w:rPr>
        <w:t>,</w:t>
      </w:r>
      <w:r>
        <w:rPr>
          <w:rFonts w:hint="eastAsia" w:ascii="宋体" w:hAnsi="宋体" w:cs="宋体"/>
          <w:sz w:val="24"/>
        </w:rPr>
        <w:t>保证</w:t>
      </w:r>
      <w:r>
        <w:rPr>
          <w:rFonts w:ascii="宋体" w:hAnsi="宋体" w:cs="宋体"/>
          <w:sz w:val="24"/>
        </w:rPr>
        <w:t>12</w:t>
      </w:r>
      <w:r>
        <w:rPr>
          <w:rFonts w:hint="eastAsia" w:ascii="宋体" w:hAnsi="宋体" w:cs="宋体"/>
          <w:sz w:val="24"/>
        </w:rPr>
        <w:t>个品种以上</w:t>
      </w:r>
      <w:r>
        <w:rPr>
          <w:rFonts w:ascii="宋体" w:cs="宋体"/>
          <w:sz w:val="24"/>
        </w:rPr>
        <w:t>,</w:t>
      </w:r>
      <w:r>
        <w:rPr>
          <w:rFonts w:hint="eastAsia" w:ascii="宋体" w:hAnsi="宋体" w:cs="宋体"/>
          <w:sz w:val="24"/>
        </w:rPr>
        <w:t>含面点、稀饭、豆浆、油条等。小菜品种不少于</w:t>
      </w:r>
      <w:r>
        <w:rPr>
          <w:rFonts w:ascii="宋体" w:hAnsi="宋体" w:cs="宋体"/>
          <w:sz w:val="24"/>
        </w:rPr>
        <w:t>6</w:t>
      </w:r>
      <w:r>
        <w:rPr>
          <w:rFonts w:hint="eastAsia" w:ascii="宋体" w:hAnsi="宋体" w:cs="宋体"/>
          <w:sz w:val="24"/>
        </w:rPr>
        <w:t>个；</w:t>
      </w:r>
    </w:p>
    <w:p>
      <w:pPr>
        <w:snapToGrid w:val="0"/>
        <w:spacing w:line="360" w:lineRule="auto"/>
        <w:ind w:firstLine="480" w:firstLineChars="200"/>
        <w:jc w:val="left"/>
        <w:rPr>
          <w:rFonts w:ascii="宋体" w:cs="宋体"/>
          <w:sz w:val="24"/>
        </w:rPr>
      </w:pPr>
      <w:r>
        <w:rPr>
          <w:rFonts w:hint="eastAsia" w:ascii="宋体" w:hAnsi="宋体" w:cs="宋体"/>
          <w:sz w:val="24"/>
        </w:rPr>
        <w:t>②中餐，提供不少于四大荤、四混炒、六素菜、汤及米饭、面点，适当提供风味美食，提供台州特色新菜（每月）；</w:t>
      </w:r>
    </w:p>
    <w:p>
      <w:pPr>
        <w:snapToGrid w:val="0"/>
        <w:spacing w:line="360" w:lineRule="auto"/>
        <w:ind w:firstLine="480" w:firstLineChars="200"/>
        <w:jc w:val="left"/>
        <w:rPr>
          <w:rFonts w:ascii="宋体" w:cs="宋体"/>
          <w:sz w:val="24"/>
        </w:rPr>
      </w:pPr>
      <w:r>
        <w:rPr>
          <w:rFonts w:hint="eastAsia" w:ascii="宋体" w:hAnsi="宋体" w:cs="宋体"/>
          <w:sz w:val="24"/>
        </w:rPr>
        <w:t>③晚餐，提供三大荤、四混炒、四素菜、一汤、米饭。</w:t>
      </w:r>
    </w:p>
    <w:p>
      <w:pPr>
        <w:snapToGrid w:val="0"/>
        <w:spacing w:line="360" w:lineRule="auto"/>
        <w:ind w:firstLine="480" w:firstLineChars="200"/>
        <w:jc w:val="left"/>
        <w:rPr>
          <w:rFonts w:ascii="宋体" w:cs="宋体"/>
          <w:sz w:val="24"/>
        </w:rPr>
      </w:pPr>
      <w:r>
        <w:rPr>
          <w:rFonts w:hint="eastAsia" w:ascii="宋体" w:hAnsi="宋体" w:cs="宋体"/>
          <w:sz w:val="24"/>
        </w:rPr>
        <w:t>菜品应以台州本地特色为主，如就餐方式发生变化，就餐品种应按要求作相应调整。</w:t>
      </w:r>
    </w:p>
    <w:p>
      <w:pPr>
        <w:snapToGrid w:val="0"/>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临时人员就餐保障。根据法院工作安排临时到法院机关参加会议、培训、外来工作交流等人员的就餐保障。采购方食堂管理人员将就餐人数、就餐标准和就餐形式提前通知供应商。（要求星级服务以上接待标准），用餐以台州本地菜系为主，用餐标准由采购方制定，供应商需做到准时开餐、质量保证。</w:t>
      </w:r>
    </w:p>
    <w:p>
      <w:pPr>
        <w:snapToGrid w:val="0"/>
        <w:spacing w:line="360" w:lineRule="auto"/>
        <w:ind w:firstLine="480" w:firstLineChars="200"/>
        <w:jc w:val="left"/>
        <w:rPr>
          <w:rFonts w:ascii="宋体" w:cs="宋体"/>
          <w:sz w:val="24"/>
        </w:rPr>
      </w:pPr>
      <w:r>
        <w:rPr>
          <w:rFonts w:ascii="宋体" w:hAnsi="宋体" w:cs="宋体"/>
          <w:sz w:val="24"/>
        </w:rPr>
        <w:t>3</w:t>
      </w:r>
      <w:r>
        <w:rPr>
          <w:rFonts w:hint="eastAsia" w:ascii="宋体" w:hAnsi="宋体" w:cs="宋体"/>
          <w:sz w:val="24"/>
        </w:rPr>
        <w:t>、重大活动的餐饮保障。根据工作任务，需要相应保障采购方组织的系统业务考试、会议培训等重大活动餐饮保障任务，供应商应采购方要求及时增派服务人员。</w:t>
      </w:r>
    </w:p>
    <w:p>
      <w:pPr>
        <w:snapToGrid w:val="0"/>
        <w:spacing w:line="360" w:lineRule="auto"/>
        <w:ind w:firstLine="480" w:firstLineChars="200"/>
        <w:jc w:val="left"/>
        <w:rPr>
          <w:rFonts w:ascii="宋体" w:cs="宋体"/>
          <w:sz w:val="24"/>
        </w:rPr>
      </w:pPr>
      <w:r>
        <w:rPr>
          <w:rFonts w:ascii="宋体" w:hAnsi="宋体" w:cs="宋体"/>
          <w:sz w:val="24"/>
        </w:rPr>
        <w:t>4</w:t>
      </w:r>
      <w:r>
        <w:rPr>
          <w:rFonts w:hint="eastAsia" w:ascii="宋体" w:hAnsi="宋体" w:cs="宋体"/>
          <w:sz w:val="24"/>
        </w:rPr>
        <w:t>、供应商应根据季节不同提供适时菜品，每月推出特色菜或新菜。</w:t>
      </w:r>
    </w:p>
    <w:p>
      <w:pPr>
        <w:snapToGrid w:val="0"/>
        <w:spacing w:line="360" w:lineRule="auto"/>
        <w:ind w:firstLine="480" w:firstLineChars="200"/>
        <w:jc w:val="left"/>
        <w:rPr>
          <w:rFonts w:ascii="宋体" w:cs="宋体"/>
          <w:sz w:val="24"/>
        </w:rPr>
      </w:pPr>
      <w:r>
        <w:rPr>
          <w:rFonts w:ascii="宋体" w:hAnsi="宋体" w:cs="宋体"/>
          <w:sz w:val="24"/>
        </w:rPr>
        <w:t>5</w:t>
      </w:r>
      <w:r>
        <w:rPr>
          <w:rFonts w:hint="eastAsia" w:ascii="宋体" w:hAnsi="宋体" w:cs="宋体"/>
          <w:sz w:val="24"/>
        </w:rPr>
        <w:t>、供应商应提出原材料申购清单，采购方采购人员负责采购并送到食堂，供应商做好验收、加工、留样、分发等工作，流程清晰、单据保管齐全，并接受采购方相关人员监督检查。</w:t>
      </w:r>
    </w:p>
    <w:p>
      <w:pPr>
        <w:snapToGrid w:val="0"/>
        <w:spacing w:line="360" w:lineRule="auto"/>
        <w:ind w:firstLine="480" w:firstLineChars="200"/>
        <w:jc w:val="left"/>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）供应商按规定的标准和需求每周制订菜谱，并在每周四上午前将下一周食谱送交采购方行装处审核批准后实施，菜谱一旦确定，未经采购方行装处同意不得擅自变更。</w:t>
      </w:r>
    </w:p>
    <w:p>
      <w:pPr>
        <w:snapToGrid w:val="0"/>
        <w:spacing w:line="360" w:lineRule="auto"/>
        <w:ind w:firstLine="480" w:firstLineChars="200"/>
        <w:jc w:val="left"/>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）供应商应按照采购方就餐人员数量变化科学制定原材料采购计划，严格控制制作、售卖等环节，减少剩余浪费，帮助采购方控制好用餐成本。</w:t>
      </w:r>
    </w:p>
    <w:p>
      <w:pPr>
        <w:snapToGrid w:val="0"/>
        <w:spacing w:line="360" w:lineRule="auto"/>
        <w:ind w:firstLine="480" w:firstLineChars="200"/>
        <w:jc w:val="left"/>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）供应商应对所有采购方采购的实物进行复核入库，复核人员必须对照采购清单分别对品种、数量、质量进行检查，发现问题及时向行装处反映。</w:t>
      </w:r>
    </w:p>
    <w:p>
      <w:pPr>
        <w:snapToGrid w:val="0"/>
        <w:spacing w:line="360" w:lineRule="auto"/>
        <w:ind w:firstLine="480" w:firstLineChars="200"/>
        <w:jc w:val="left"/>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）供应商按菜谱要求加工主副食品，操作人员要严格按卫生要求操作，确保食物的卫生、营养、可口、安全，留样并由专人检查食物的质量。</w:t>
      </w:r>
    </w:p>
    <w:p>
      <w:pPr>
        <w:snapToGrid w:val="0"/>
        <w:spacing w:line="360" w:lineRule="auto"/>
        <w:ind w:firstLine="480" w:firstLineChars="200"/>
        <w:jc w:val="left"/>
        <w:rPr>
          <w:rFonts w:asci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）就餐人员统一刷卡就餐，早、中、晚餐按要求供应，加强服务人员技能和礼貌用语训练，熟练掌握刷卡机的使用方法，维持分发秩序，做到文明待人。</w:t>
      </w:r>
    </w:p>
    <w:p>
      <w:pPr>
        <w:snapToGrid w:val="0"/>
        <w:spacing w:line="360" w:lineRule="auto"/>
        <w:ind w:firstLine="480" w:firstLineChars="200"/>
        <w:jc w:val="left"/>
        <w:rPr>
          <w:rFonts w:ascii="宋体" w:cs="宋体"/>
          <w:sz w:val="24"/>
        </w:rPr>
      </w:pPr>
      <w:r>
        <w:rPr>
          <w:rFonts w:ascii="宋体" w:hAnsi="宋体" w:cs="宋体"/>
          <w:sz w:val="24"/>
        </w:rPr>
        <w:t>6</w:t>
      </w:r>
      <w:r>
        <w:rPr>
          <w:rFonts w:hint="eastAsia" w:ascii="宋体" w:hAnsi="宋体" w:cs="宋体"/>
          <w:sz w:val="24"/>
        </w:rPr>
        <w:t>、采购方提供厨房、餐厅等用餐场所及用具，供应商在服务期内应妥善使用保管，加强食堂设备日常使用和维护，责任落实到人，确保设备的正常运行；如有遗失、人为损坏，供应商负责赔偿（属自然损耗、采购方干部职工损坏、来宾损坏等情况，供应商应在二日内对上述损坏物品如实上报采购方行装处）。本着厉行节约的原则，对小件物品和易耗物品也要专人管理、严格领用，搞好登记、按月核算。</w:t>
      </w:r>
    </w:p>
    <w:p>
      <w:pPr>
        <w:snapToGrid w:val="0"/>
        <w:spacing w:line="360" w:lineRule="auto"/>
        <w:ind w:firstLine="480" w:firstLineChars="200"/>
        <w:jc w:val="left"/>
        <w:rPr>
          <w:rFonts w:ascii="宋体" w:hAnsi="宋体" w:cs="宋体"/>
          <w:sz w:val="24"/>
        </w:rPr>
      </w:pPr>
      <w:r>
        <w:rPr>
          <w:rFonts w:hint="eastAsia" w:ascii="宋体" w:hAnsi="宋体" w:cs="宋体"/>
          <w:sz w:val="24"/>
        </w:rPr>
        <w:t>7、供应商搞好食堂餐厅厨房的卫生防疫管理，对餐具每天定期消毒，工作人员按规定着装，保持个人卫生，严防食物中毒事故。</w:t>
      </w:r>
    </w:p>
    <w:p>
      <w:pPr>
        <w:spacing w:line="360" w:lineRule="auto"/>
        <w:ind w:firstLine="480" w:firstLineChars="200"/>
        <w:rPr>
          <w:rFonts w:ascii="宋体" w:hAnsi="宋体" w:cs="宋体"/>
          <w:sz w:val="24"/>
        </w:rPr>
      </w:pPr>
      <w:r>
        <w:rPr>
          <w:rFonts w:hint="eastAsia" w:ascii="宋体" w:hAnsi="宋体" w:cs="宋体"/>
          <w:sz w:val="24"/>
        </w:rPr>
        <w:t>8、食堂人员食宿自理，可搭伙，并按要求支付搭伙费。</w:t>
      </w:r>
    </w:p>
    <w:p>
      <w:pPr>
        <w:snapToGrid w:val="0"/>
        <w:spacing w:line="360" w:lineRule="auto"/>
        <w:ind w:firstLine="241" w:firstLineChars="100"/>
        <w:jc w:val="left"/>
        <w:rPr>
          <w:rFonts w:ascii="宋体" w:cs="宋体"/>
          <w:b/>
          <w:sz w:val="24"/>
        </w:rPr>
      </w:pPr>
      <w:r>
        <w:rPr>
          <w:rFonts w:hint="eastAsia" w:ascii="宋体" w:hAnsi="宋体" w:cs="宋体"/>
          <w:b/>
          <w:sz w:val="24"/>
        </w:rPr>
        <w:t>（二）食堂工作人员要求</w:t>
      </w:r>
    </w:p>
    <w:p>
      <w:pPr>
        <w:snapToGrid w:val="0"/>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、按要求合理配置厨师长（主持日常事务）、专业厨师、面点师、服务员等服务队伍。</w:t>
      </w:r>
    </w:p>
    <w:p>
      <w:pPr>
        <w:snapToGrid w:val="0"/>
        <w:spacing w:line="360" w:lineRule="auto"/>
        <w:ind w:firstLine="480" w:firstLineChars="200"/>
        <w:jc w:val="left"/>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、服务队伍配置人数</w:t>
      </w:r>
      <w:r>
        <w:rPr>
          <w:rFonts w:ascii="宋体" w:hAnsi="宋体" w:cs="宋体"/>
          <w:sz w:val="24"/>
        </w:rPr>
        <w:t>12</w:t>
      </w:r>
      <w:r>
        <w:rPr>
          <w:rFonts w:hint="eastAsia" w:ascii="宋体" w:hAnsi="宋体" w:cs="宋体"/>
          <w:sz w:val="24"/>
        </w:rPr>
        <w:t>人。</w:t>
      </w:r>
    </w:p>
    <w:p>
      <w:pPr>
        <w:snapToGrid w:val="0"/>
        <w:spacing w:line="360" w:lineRule="auto"/>
        <w:ind w:firstLine="480" w:firstLineChars="200"/>
        <w:jc w:val="left"/>
        <w:rPr>
          <w:rFonts w:ascii="宋体" w:cs="宋体"/>
          <w:sz w:val="24"/>
        </w:rPr>
      </w:pPr>
      <w:r>
        <w:rPr>
          <w:rFonts w:ascii="宋体" w:hAnsi="宋体" w:cs="宋体"/>
          <w:sz w:val="24"/>
        </w:rPr>
        <w:t>3</w:t>
      </w:r>
      <w:r>
        <w:rPr>
          <w:rFonts w:hint="eastAsia" w:ascii="宋体" w:hAnsi="宋体" w:cs="宋体"/>
          <w:sz w:val="24"/>
        </w:rPr>
        <w:t>、所有工作人员必须通过卫生部门指定医院的体检，并领取饮食行业健康证。体检费用由供应商负责。</w:t>
      </w:r>
    </w:p>
    <w:p>
      <w:pPr>
        <w:snapToGrid w:val="0"/>
        <w:spacing w:line="360" w:lineRule="auto"/>
        <w:ind w:firstLine="480" w:firstLineChars="200"/>
        <w:jc w:val="left"/>
        <w:rPr>
          <w:rFonts w:ascii="宋体" w:cs="宋体"/>
          <w:sz w:val="24"/>
        </w:rPr>
      </w:pPr>
      <w:r>
        <w:rPr>
          <w:rFonts w:ascii="宋体" w:hAnsi="宋体" w:cs="宋体"/>
          <w:sz w:val="24"/>
        </w:rPr>
        <w:t>4</w:t>
      </w:r>
      <w:r>
        <w:rPr>
          <w:rFonts w:hint="eastAsia" w:ascii="宋体" w:hAnsi="宋体" w:cs="宋体"/>
          <w:sz w:val="24"/>
        </w:rPr>
        <w:t>、主厨等人员必须具有人社部颁发的等级技能资格证书。</w:t>
      </w:r>
    </w:p>
    <w:p>
      <w:pPr>
        <w:snapToGrid w:val="0"/>
        <w:spacing w:line="360" w:lineRule="auto"/>
        <w:ind w:firstLine="480" w:firstLineChars="200"/>
        <w:jc w:val="left"/>
        <w:rPr>
          <w:rFonts w:ascii="宋体" w:cs="宋体"/>
          <w:sz w:val="24"/>
        </w:rPr>
      </w:pPr>
      <w:r>
        <w:rPr>
          <w:rFonts w:ascii="宋体" w:hAnsi="宋体" w:cs="宋体"/>
          <w:sz w:val="24"/>
        </w:rPr>
        <w:t>5</w:t>
      </w:r>
      <w:r>
        <w:rPr>
          <w:rFonts w:hint="eastAsia" w:ascii="宋体" w:hAnsi="宋体" w:cs="宋体"/>
          <w:sz w:val="24"/>
        </w:rPr>
        <w:t>、外来务工人员必须具有公安部门核发的临时居住证。</w:t>
      </w:r>
    </w:p>
    <w:p>
      <w:pPr>
        <w:snapToGrid w:val="0"/>
        <w:spacing w:line="360" w:lineRule="auto"/>
        <w:ind w:firstLine="480" w:firstLineChars="200"/>
        <w:jc w:val="left"/>
        <w:rPr>
          <w:rFonts w:ascii="宋体" w:cs="宋体"/>
          <w:sz w:val="24"/>
        </w:rPr>
      </w:pPr>
      <w:r>
        <w:rPr>
          <w:rFonts w:ascii="宋体" w:hAnsi="宋体" w:cs="宋体"/>
          <w:sz w:val="24"/>
        </w:rPr>
        <w:t>6</w:t>
      </w:r>
      <w:r>
        <w:rPr>
          <w:rFonts w:hint="eastAsia" w:ascii="宋体" w:hAnsi="宋体" w:cs="宋体"/>
          <w:sz w:val="24"/>
        </w:rPr>
        <w:t>、所有人员的驻场工作地点必须服从采购方的分配并满足项目的整体服务要求。</w:t>
      </w:r>
    </w:p>
    <w:p>
      <w:pPr>
        <w:snapToGrid w:val="0"/>
        <w:spacing w:line="360" w:lineRule="auto"/>
        <w:ind w:firstLine="480" w:firstLineChars="200"/>
        <w:jc w:val="left"/>
        <w:rPr>
          <w:rFonts w:ascii="宋体" w:cs="宋体"/>
          <w:sz w:val="24"/>
        </w:rPr>
      </w:pPr>
      <w:r>
        <w:rPr>
          <w:rFonts w:ascii="宋体" w:hAnsi="宋体" w:cs="宋体"/>
          <w:sz w:val="24"/>
        </w:rPr>
        <w:t>7</w:t>
      </w:r>
      <w:r>
        <w:rPr>
          <w:rFonts w:hint="eastAsia" w:ascii="宋体" w:hAnsi="宋体" w:cs="宋体"/>
          <w:sz w:val="24"/>
        </w:rPr>
        <w:t>、工作人员男性</w:t>
      </w:r>
      <w:r>
        <w:rPr>
          <w:rFonts w:ascii="宋体" w:hAnsi="宋体" w:cs="宋体"/>
          <w:sz w:val="24"/>
        </w:rPr>
        <w:t>55</w:t>
      </w:r>
      <w:r>
        <w:rPr>
          <w:rFonts w:hint="eastAsia" w:ascii="宋体" w:hAnsi="宋体" w:cs="宋体"/>
          <w:sz w:val="24"/>
        </w:rPr>
        <w:t>岁之内、女性</w:t>
      </w:r>
      <w:r>
        <w:rPr>
          <w:rFonts w:ascii="宋体" w:hAnsi="宋体" w:cs="宋体"/>
          <w:sz w:val="24"/>
        </w:rPr>
        <w:t>50</w:t>
      </w:r>
      <w:r>
        <w:rPr>
          <w:rFonts w:hint="eastAsia" w:ascii="宋体" w:hAnsi="宋体" w:cs="宋体"/>
          <w:sz w:val="24"/>
        </w:rPr>
        <w:t>岁之内</w:t>
      </w:r>
      <w:r>
        <w:rPr>
          <w:rFonts w:ascii="宋体" w:cs="宋体"/>
          <w:sz w:val="24"/>
        </w:rPr>
        <w:t>,</w:t>
      </w:r>
      <w:r>
        <w:rPr>
          <w:rFonts w:hint="eastAsia" w:ascii="宋体" w:hAnsi="宋体" w:cs="宋体"/>
          <w:sz w:val="24"/>
        </w:rPr>
        <w:t>政治合格、身体健康、五官端正、仪表整洁，能够胜任本职岗位，符合法院特殊要求且无违法违纪行为。</w:t>
      </w:r>
    </w:p>
    <w:p>
      <w:pPr>
        <w:snapToGrid w:val="0"/>
        <w:spacing w:line="360" w:lineRule="auto"/>
        <w:ind w:firstLine="480" w:firstLineChars="200"/>
        <w:jc w:val="left"/>
        <w:rPr>
          <w:rFonts w:ascii="宋体" w:cs="宋体"/>
          <w:sz w:val="24"/>
        </w:rPr>
      </w:pPr>
      <w:r>
        <w:rPr>
          <w:rFonts w:ascii="宋体" w:hAnsi="宋体" w:cs="宋体"/>
          <w:sz w:val="24"/>
        </w:rPr>
        <w:t>8</w:t>
      </w:r>
      <w:r>
        <w:rPr>
          <w:rFonts w:hint="eastAsia" w:ascii="宋体" w:hAnsi="宋体" w:cs="宋体"/>
          <w:sz w:val="24"/>
        </w:rPr>
        <w:t>、供应商在磋商响应时需要</w:t>
      </w:r>
      <w:r>
        <w:rPr>
          <w:rFonts w:hint="eastAsia" w:ascii="宋体" w:hAnsi="宋体" w:cs="宋体"/>
          <w:b/>
          <w:sz w:val="24"/>
        </w:rPr>
        <w:t>明确厨师长、专业厨师、面点师的人员名字、职称</w:t>
      </w:r>
      <w:r>
        <w:rPr>
          <w:rFonts w:hint="eastAsia" w:ascii="宋体" w:hAnsi="宋体" w:cs="宋体"/>
          <w:sz w:val="24"/>
        </w:rPr>
        <w:t>，中标后未经采购方同意不得更换人员，否则采购方有权解除中标合同。</w:t>
      </w:r>
    </w:p>
    <w:p>
      <w:pPr>
        <w:snapToGrid w:val="0"/>
        <w:spacing w:line="360" w:lineRule="auto"/>
        <w:ind w:firstLine="241" w:firstLineChars="100"/>
        <w:jc w:val="left"/>
        <w:rPr>
          <w:rFonts w:ascii="宋体" w:cs="宋体"/>
          <w:b/>
          <w:sz w:val="24"/>
        </w:rPr>
      </w:pPr>
      <w:r>
        <w:rPr>
          <w:rFonts w:hint="eastAsia" w:ascii="宋体" w:hAnsi="宋体" w:cs="宋体"/>
          <w:b/>
          <w:sz w:val="24"/>
        </w:rPr>
        <w:t>（三）服务管理要求</w:t>
      </w:r>
    </w:p>
    <w:p>
      <w:pPr>
        <w:snapToGrid w:val="0"/>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、供应商必须按照劳动合同法的规定合法规范用工，并全面承担工作人员涉及劳动关系的所有事宜。</w:t>
      </w:r>
    </w:p>
    <w:p>
      <w:pPr>
        <w:snapToGrid w:val="0"/>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、供应商应了解工作人员的思想动态、工作表现、遵纪情况以及采购方提出的其他合理要求，提供最佳服务。</w:t>
      </w:r>
    </w:p>
    <w:p>
      <w:pPr>
        <w:snapToGrid w:val="0"/>
        <w:spacing w:line="360" w:lineRule="auto"/>
        <w:ind w:firstLine="480" w:firstLineChars="200"/>
        <w:jc w:val="left"/>
        <w:rPr>
          <w:rFonts w:ascii="宋体" w:cs="宋体"/>
          <w:sz w:val="24"/>
        </w:rPr>
      </w:pPr>
      <w:r>
        <w:rPr>
          <w:rFonts w:ascii="宋体" w:hAnsi="宋体" w:cs="宋体"/>
          <w:sz w:val="24"/>
        </w:rPr>
        <w:t>3</w:t>
      </w:r>
      <w:r>
        <w:rPr>
          <w:rFonts w:hint="eastAsia" w:ascii="宋体" w:hAnsi="宋体" w:cs="宋体"/>
          <w:sz w:val="24"/>
        </w:rPr>
        <w:t>、根据采购方食堂的服务要求设定工作岗位，分配工作任务，并对工作人员的工作情况实行监督、检查、考核管理。</w:t>
      </w:r>
    </w:p>
    <w:p>
      <w:pPr>
        <w:snapToGrid w:val="0"/>
        <w:spacing w:line="360" w:lineRule="auto"/>
        <w:ind w:firstLine="480" w:firstLineChars="200"/>
        <w:jc w:val="left"/>
        <w:rPr>
          <w:rFonts w:ascii="宋体" w:cs="宋体"/>
          <w:sz w:val="24"/>
        </w:rPr>
      </w:pPr>
      <w:r>
        <w:rPr>
          <w:rFonts w:ascii="宋体" w:hAnsi="宋体" w:cs="宋体"/>
          <w:sz w:val="24"/>
        </w:rPr>
        <w:t>4</w:t>
      </w:r>
      <w:r>
        <w:rPr>
          <w:rFonts w:hint="eastAsia" w:ascii="宋体" w:hAnsi="宋体" w:cs="宋体"/>
          <w:sz w:val="24"/>
        </w:rPr>
        <w:t>、餐饮服务工作人员应遵守和执行采购方的规章制度。</w:t>
      </w:r>
    </w:p>
    <w:p>
      <w:pPr>
        <w:snapToGrid w:val="0"/>
        <w:spacing w:line="360" w:lineRule="auto"/>
        <w:ind w:firstLine="480" w:firstLineChars="200"/>
        <w:jc w:val="left"/>
        <w:rPr>
          <w:rFonts w:ascii="宋体" w:cs="宋体"/>
          <w:sz w:val="24"/>
        </w:rPr>
      </w:pPr>
      <w:r>
        <w:rPr>
          <w:rFonts w:ascii="宋体" w:hAnsi="宋体" w:cs="宋体"/>
          <w:sz w:val="24"/>
        </w:rPr>
        <w:t>5</w:t>
      </w:r>
      <w:r>
        <w:rPr>
          <w:rFonts w:hint="eastAsia" w:ascii="宋体" w:hAnsi="宋体" w:cs="宋体"/>
          <w:sz w:val="24"/>
        </w:rPr>
        <w:t>、餐饮服务工作人员应相对稳定，供应商须向采购方行装处提供工作人员的劳动合同复印件，如需调动需提前取得采购方同意。</w:t>
      </w:r>
    </w:p>
    <w:p>
      <w:pPr>
        <w:snapToGrid w:val="0"/>
        <w:spacing w:line="360" w:lineRule="auto"/>
        <w:ind w:firstLine="480" w:firstLineChars="200"/>
        <w:jc w:val="left"/>
        <w:rPr>
          <w:rFonts w:ascii="宋体" w:cs="宋体"/>
          <w:sz w:val="24"/>
        </w:rPr>
      </w:pPr>
      <w:r>
        <w:rPr>
          <w:rFonts w:ascii="宋体" w:hAnsi="宋体" w:cs="宋体"/>
          <w:sz w:val="24"/>
        </w:rPr>
        <w:t>6</w:t>
      </w:r>
      <w:r>
        <w:rPr>
          <w:rFonts w:hint="eastAsia" w:ascii="宋体" w:hAnsi="宋体" w:cs="宋体"/>
          <w:sz w:val="24"/>
        </w:rPr>
        <w:t>、建立健全各项规章制度、岗位责任制、操作规程和各项台账。</w:t>
      </w:r>
    </w:p>
    <w:p>
      <w:pPr>
        <w:snapToGrid w:val="0"/>
        <w:spacing w:line="360" w:lineRule="auto"/>
        <w:ind w:firstLine="480" w:firstLineChars="200"/>
        <w:jc w:val="left"/>
        <w:rPr>
          <w:rFonts w:ascii="宋体" w:cs="宋体"/>
          <w:sz w:val="24"/>
        </w:rPr>
      </w:pPr>
      <w:r>
        <w:rPr>
          <w:rFonts w:ascii="宋体" w:hAnsi="宋体" w:cs="宋体"/>
          <w:sz w:val="24"/>
        </w:rPr>
        <w:t>7</w:t>
      </w:r>
      <w:r>
        <w:rPr>
          <w:rFonts w:hint="eastAsia" w:ascii="宋体" w:hAnsi="宋体" w:cs="宋体"/>
          <w:sz w:val="24"/>
        </w:rPr>
        <w:t>、供应商须自行配备员工的劳保用品，统一工作制服。</w:t>
      </w:r>
      <w:bookmarkStart w:id="36" w:name="_Toc705"/>
      <w:bookmarkStart w:id="37" w:name="_Toc5627068"/>
      <w:bookmarkStart w:id="38" w:name="_Toc25864"/>
      <w:bookmarkStart w:id="39" w:name="_Toc4052020"/>
    </w:p>
    <w:p>
      <w:pPr>
        <w:snapToGrid w:val="0"/>
        <w:spacing w:line="360" w:lineRule="auto"/>
        <w:ind w:firstLine="241" w:firstLineChars="100"/>
        <w:jc w:val="left"/>
        <w:rPr>
          <w:rFonts w:ascii="宋体" w:cs="宋体"/>
          <w:b/>
          <w:sz w:val="24"/>
        </w:rPr>
      </w:pPr>
      <w:r>
        <w:rPr>
          <w:rFonts w:hint="eastAsia" w:ascii="宋体" w:hAnsi="宋体" w:cs="宋体"/>
          <w:b/>
          <w:sz w:val="24"/>
        </w:rPr>
        <w:t>（四）卫生管理要求</w:t>
      </w:r>
      <w:bookmarkEnd w:id="36"/>
      <w:bookmarkEnd w:id="37"/>
      <w:bookmarkEnd w:id="38"/>
      <w:bookmarkEnd w:id="39"/>
    </w:p>
    <w:p>
      <w:pPr>
        <w:snapToGrid w:val="0"/>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、严格按照《中华人民共和国食品安全法》验收、清洗、加工要求制作食品，厨房用品用具严格实行一洗二过三消毒的规程。</w:t>
      </w:r>
    </w:p>
    <w:p>
      <w:pPr>
        <w:snapToGrid w:val="0"/>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、对食堂的厨房、餐厅、包厢等所有区域的卫生应按《五常法》管理模式，实行分级负责，定置、定量、定位、定进出、定标识、责任到人。</w:t>
      </w:r>
    </w:p>
    <w:p>
      <w:pPr>
        <w:snapToGrid w:val="0"/>
        <w:spacing w:line="360" w:lineRule="auto"/>
        <w:ind w:firstLine="480" w:firstLineChars="200"/>
        <w:jc w:val="left"/>
        <w:rPr>
          <w:rFonts w:ascii="宋体" w:cs="宋体"/>
          <w:sz w:val="24"/>
        </w:rPr>
      </w:pPr>
      <w:r>
        <w:rPr>
          <w:rFonts w:ascii="宋体" w:hAnsi="宋体" w:cs="宋体"/>
          <w:sz w:val="24"/>
        </w:rPr>
        <w:t>3</w:t>
      </w:r>
      <w:r>
        <w:rPr>
          <w:rFonts w:hint="eastAsia" w:ascii="宋体" w:hAnsi="宋体" w:cs="宋体"/>
          <w:sz w:val="24"/>
        </w:rPr>
        <w:t>、自觉接受卫生管理部门和采购方管理人员对食堂卫生工作的检查、监督。</w:t>
      </w:r>
    </w:p>
    <w:p>
      <w:pPr>
        <w:snapToGrid w:val="0"/>
        <w:spacing w:line="360" w:lineRule="auto"/>
        <w:ind w:firstLine="480" w:firstLineChars="200"/>
        <w:jc w:val="left"/>
        <w:rPr>
          <w:rFonts w:ascii="宋体" w:cs="宋体"/>
          <w:sz w:val="24"/>
        </w:rPr>
      </w:pPr>
      <w:r>
        <w:rPr>
          <w:rFonts w:ascii="宋体" w:hAnsi="宋体" w:cs="宋体"/>
          <w:sz w:val="24"/>
        </w:rPr>
        <w:t>4</w:t>
      </w:r>
      <w:r>
        <w:rPr>
          <w:rFonts w:hint="eastAsia" w:ascii="宋体" w:hAnsi="宋体" w:cs="宋体"/>
          <w:sz w:val="24"/>
        </w:rPr>
        <w:t>、垃圾污物应按指定地点放置，不得随意弃放。</w:t>
      </w:r>
    </w:p>
    <w:p>
      <w:pPr>
        <w:snapToGrid w:val="0"/>
        <w:spacing w:line="360" w:lineRule="auto"/>
        <w:ind w:firstLine="480" w:firstLineChars="200"/>
        <w:jc w:val="left"/>
        <w:rPr>
          <w:rFonts w:ascii="宋体" w:cs="宋体"/>
          <w:sz w:val="24"/>
        </w:rPr>
      </w:pPr>
      <w:r>
        <w:rPr>
          <w:rFonts w:ascii="宋体" w:hAnsi="宋体" w:cs="宋体"/>
          <w:sz w:val="24"/>
        </w:rPr>
        <w:t>5</w:t>
      </w:r>
      <w:r>
        <w:rPr>
          <w:rFonts w:hint="eastAsia" w:ascii="宋体" w:hAnsi="宋体" w:cs="宋体"/>
          <w:sz w:val="24"/>
        </w:rPr>
        <w:t>、做好食堂区域内除虫害工作（蟑螂、老鼠、苍蝇、蚂蚁等）。</w:t>
      </w:r>
    </w:p>
    <w:p>
      <w:pPr>
        <w:snapToGrid w:val="0"/>
        <w:spacing w:line="360" w:lineRule="auto"/>
        <w:ind w:firstLine="480" w:firstLineChars="200"/>
        <w:jc w:val="left"/>
        <w:rPr>
          <w:rFonts w:ascii="宋体" w:cs="宋体"/>
          <w:sz w:val="24"/>
        </w:rPr>
      </w:pPr>
      <w:r>
        <w:rPr>
          <w:rFonts w:ascii="宋体" w:hAnsi="宋体" w:cs="宋体"/>
          <w:sz w:val="24"/>
        </w:rPr>
        <w:t>6</w:t>
      </w:r>
      <w:r>
        <w:rPr>
          <w:rFonts w:hint="eastAsia" w:ascii="宋体" w:hAnsi="宋体" w:cs="宋体"/>
          <w:sz w:val="24"/>
        </w:rPr>
        <w:t>、做好烟道除垢、地沟油污清理工作等。</w:t>
      </w:r>
      <w:bookmarkStart w:id="40" w:name="_Toc28052"/>
      <w:bookmarkStart w:id="41" w:name="_Toc17491"/>
      <w:bookmarkStart w:id="42" w:name="_Toc4052021"/>
      <w:bookmarkStart w:id="43" w:name="_Toc5627069"/>
    </w:p>
    <w:p>
      <w:pPr>
        <w:snapToGrid w:val="0"/>
        <w:spacing w:line="360" w:lineRule="auto"/>
        <w:ind w:firstLine="241" w:firstLineChars="100"/>
        <w:jc w:val="left"/>
        <w:rPr>
          <w:rFonts w:ascii="宋体" w:cs="宋体"/>
          <w:b/>
          <w:sz w:val="24"/>
        </w:rPr>
      </w:pPr>
      <w:r>
        <w:rPr>
          <w:rFonts w:hint="eastAsia" w:ascii="宋体" w:hAnsi="宋体" w:cs="宋体"/>
          <w:b/>
          <w:sz w:val="24"/>
        </w:rPr>
        <w:t>（五）安全管理要求</w:t>
      </w:r>
      <w:bookmarkEnd w:id="40"/>
      <w:bookmarkEnd w:id="41"/>
      <w:bookmarkEnd w:id="42"/>
      <w:bookmarkEnd w:id="43"/>
    </w:p>
    <w:p>
      <w:pPr>
        <w:snapToGrid w:val="0"/>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、严格执行《中华人民共和国食品安全法》，保证食品安全，严禁使用任何变质或受污染的原料制作食品，落实食品留样制度，防止食物中毒事件发生。</w:t>
      </w:r>
    </w:p>
    <w:p>
      <w:pPr>
        <w:snapToGrid w:val="0"/>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、严格控制使用食品添加剂，注重食品卫生，保障就餐人员身体健康。</w:t>
      </w:r>
    </w:p>
    <w:p>
      <w:pPr>
        <w:snapToGrid w:val="0"/>
        <w:spacing w:line="360" w:lineRule="auto"/>
        <w:ind w:firstLine="480" w:firstLineChars="200"/>
        <w:jc w:val="left"/>
        <w:rPr>
          <w:rFonts w:ascii="宋体" w:cs="宋体"/>
          <w:sz w:val="24"/>
        </w:rPr>
      </w:pPr>
      <w:r>
        <w:rPr>
          <w:rFonts w:ascii="宋体" w:hAnsi="宋体" w:cs="宋体"/>
          <w:sz w:val="24"/>
        </w:rPr>
        <w:t>3</w:t>
      </w:r>
      <w:r>
        <w:rPr>
          <w:rFonts w:hint="eastAsia" w:ascii="宋体" w:hAnsi="宋体" w:cs="宋体"/>
          <w:sz w:val="24"/>
        </w:rPr>
        <w:t>、下班后和设备使用完后落实关气、关电、关水、关门检查制度，预防火灾、偷盗事件发生。</w:t>
      </w:r>
      <w:bookmarkStart w:id="44" w:name="_Toc4052022"/>
      <w:bookmarkStart w:id="45" w:name="_Toc5627070"/>
      <w:bookmarkStart w:id="46" w:name="_Toc5588"/>
      <w:bookmarkStart w:id="47" w:name="_Toc32752"/>
    </w:p>
    <w:p>
      <w:pPr>
        <w:snapToGrid w:val="0"/>
        <w:spacing w:line="360" w:lineRule="auto"/>
        <w:ind w:firstLine="241" w:firstLineChars="100"/>
        <w:jc w:val="left"/>
        <w:rPr>
          <w:rFonts w:ascii="宋体" w:cs="宋体"/>
          <w:b/>
          <w:sz w:val="24"/>
        </w:rPr>
      </w:pPr>
      <w:r>
        <w:rPr>
          <w:rFonts w:hint="eastAsia" w:ascii="宋体" w:hAnsi="宋体" w:cs="宋体"/>
          <w:b/>
          <w:sz w:val="24"/>
        </w:rPr>
        <w:t>（六）节能管理要求</w:t>
      </w:r>
      <w:bookmarkEnd w:id="44"/>
      <w:bookmarkEnd w:id="45"/>
      <w:bookmarkEnd w:id="46"/>
      <w:bookmarkEnd w:id="47"/>
    </w:p>
    <w:p>
      <w:pPr>
        <w:snapToGrid w:val="0"/>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、餐厅在准备早餐、中餐、晚餐期间不得开启空调和大灯，开餐前</w:t>
      </w:r>
      <w:r>
        <w:rPr>
          <w:rFonts w:ascii="宋体" w:hAnsi="宋体" w:cs="宋体"/>
          <w:sz w:val="24"/>
        </w:rPr>
        <w:t>15-30</w:t>
      </w:r>
      <w:r>
        <w:rPr>
          <w:rFonts w:hint="eastAsia" w:ascii="宋体" w:hAnsi="宋体" w:cs="宋体"/>
          <w:sz w:val="24"/>
        </w:rPr>
        <w:t>分钟开启空调，开餐前</w:t>
      </w:r>
      <w:r>
        <w:rPr>
          <w:rFonts w:ascii="宋体" w:hAnsi="宋体" w:cs="宋体"/>
          <w:sz w:val="24"/>
        </w:rPr>
        <w:t>5</w:t>
      </w:r>
      <w:r>
        <w:rPr>
          <w:rFonts w:hint="eastAsia" w:ascii="宋体" w:hAnsi="宋体" w:cs="宋体"/>
          <w:sz w:val="24"/>
        </w:rPr>
        <w:t>分钟开灯，如光线良好则一律不开灯，就餐打扫卫生完毕后</w:t>
      </w:r>
      <w:r>
        <w:rPr>
          <w:rFonts w:ascii="宋体" w:hAnsi="宋体" w:cs="宋体"/>
          <w:sz w:val="24"/>
        </w:rPr>
        <w:t>5</w:t>
      </w:r>
      <w:r>
        <w:rPr>
          <w:rFonts w:hint="eastAsia" w:ascii="宋体" w:hAnsi="宋体" w:cs="宋体"/>
          <w:sz w:val="24"/>
        </w:rPr>
        <w:t>分钟内关闭所有空调电灯，节约能源。</w:t>
      </w:r>
    </w:p>
    <w:p>
      <w:pPr>
        <w:snapToGrid w:val="0"/>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、厨房在光线良好情况下不开灯，更衣间随手关灯，原料和餐具清洗完后应立即关闭水源。</w:t>
      </w:r>
      <w:bookmarkStart w:id="48" w:name="_Toc5627072"/>
      <w:bookmarkStart w:id="49" w:name="_Toc4052024"/>
      <w:bookmarkStart w:id="50" w:name="_Toc19715"/>
      <w:bookmarkStart w:id="51" w:name="_Toc1071"/>
      <w:bookmarkStart w:id="52" w:name="_Toc26573"/>
      <w:bookmarkStart w:id="53" w:name="_Toc11097"/>
      <w:bookmarkStart w:id="54" w:name="_Toc5627071"/>
      <w:bookmarkStart w:id="55" w:name="_Toc4052023"/>
    </w:p>
    <w:bookmarkEnd w:id="48"/>
    <w:bookmarkEnd w:id="49"/>
    <w:bookmarkEnd w:id="50"/>
    <w:bookmarkEnd w:id="51"/>
    <w:p>
      <w:pPr>
        <w:snapToGrid w:val="0"/>
        <w:spacing w:line="360" w:lineRule="auto"/>
        <w:ind w:firstLine="241" w:firstLineChars="100"/>
        <w:jc w:val="left"/>
        <w:rPr>
          <w:rFonts w:ascii="宋体" w:cs="宋体"/>
          <w:b/>
          <w:sz w:val="24"/>
        </w:rPr>
      </w:pPr>
      <w:r>
        <w:rPr>
          <w:rFonts w:hint="eastAsia" w:ascii="宋体" w:hAnsi="宋体" w:cs="宋体"/>
          <w:b/>
          <w:sz w:val="24"/>
        </w:rPr>
        <w:t>（七）满意度测评</w:t>
      </w:r>
    </w:p>
    <w:p>
      <w:pPr>
        <w:snapToGrid w:val="0"/>
        <w:spacing w:line="360" w:lineRule="auto"/>
        <w:ind w:firstLine="480" w:firstLineChars="200"/>
        <w:jc w:val="left"/>
        <w:rPr>
          <w:rFonts w:ascii="宋体" w:cs="宋体"/>
          <w:sz w:val="24"/>
        </w:rPr>
      </w:pPr>
      <w:r>
        <w:rPr>
          <w:rFonts w:hint="eastAsia" w:ascii="宋体" w:hAnsi="宋体" w:cs="宋体"/>
          <w:sz w:val="24"/>
        </w:rPr>
        <w:t>满意度测评由采购方每年组织实施一次。测评内容包括食堂环境卫生、工作人员卫生、食品器具卫生、服务态度、服务质量、饭菜口味、耗能安全、成本控制等。综合测评等次分为满意、基本满意、不满意三级。</w:t>
      </w:r>
    </w:p>
    <w:p>
      <w:pPr>
        <w:snapToGrid w:val="0"/>
        <w:spacing w:line="360" w:lineRule="auto"/>
        <w:ind w:firstLine="241" w:firstLineChars="100"/>
        <w:jc w:val="left"/>
        <w:rPr>
          <w:rFonts w:ascii="宋体" w:cs="宋体"/>
          <w:b/>
          <w:sz w:val="24"/>
        </w:rPr>
      </w:pPr>
      <w:r>
        <w:rPr>
          <w:rFonts w:hint="eastAsia" w:ascii="宋体" w:hAnsi="宋体" w:cs="宋体"/>
          <w:b/>
          <w:sz w:val="24"/>
        </w:rPr>
        <w:t>（八）其他</w:t>
      </w:r>
      <w:bookmarkEnd w:id="52"/>
      <w:bookmarkEnd w:id="53"/>
      <w:bookmarkEnd w:id="54"/>
      <w:bookmarkEnd w:id="55"/>
      <w:r>
        <w:rPr>
          <w:rFonts w:hint="eastAsia" w:ascii="宋体" w:hAnsi="宋体" w:cs="宋体"/>
          <w:b/>
          <w:sz w:val="24"/>
        </w:rPr>
        <w:t>有关事项</w:t>
      </w:r>
    </w:p>
    <w:p>
      <w:pPr>
        <w:snapToGrid w:val="0"/>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、采购方负责提供厨房和餐厅的所需设备、设施、工具、器皿，负责水电气的供应，负责本级食堂的食材、调味品采购和财务管理工作；供应商负责本级食堂的食材、调味品的入库验收及仓库管理。</w:t>
      </w:r>
    </w:p>
    <w:p>
      <w:pPr>
        <w:snapToGrid w:val="0"/>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、供应商负责管理、服务团队的组建，负责员工配置、工资、福利待遇、服装及人事、劳资、社保等所有关系。</w:t>
      </w:r>
    </w:p>
    <w:p>
      <w:pPr>
        <w:snapToGrid w:val="0"/>
        <w:spacing w:line="360" w:lineRule="auto"/>
        <w:ind w:firstLine="480" w:firstLineChars="200"/>
        <w:jc w:val="left"/>
        <w:rPr>
          <w:rFonts w:ascii="宋体" w:cs="宋体"/>
          <w:sz w:val="24"/>
        </w:rPr>
      </w:pPr>
      <w:r>
        <w:rPr>
          <w:rFonts w:ascii="宋体" w:hAnsi="宋体" w:cs="宋体"/>
          <w:sz w:val="24"/>
        </w:rPr>
        <w:t>3</w:t>
      </w:r>
      <w:r>
        <w:rPr>
          <w:rFonts w:hint="eastAsia" w:ascii="宋体" w:hAnsi="宋体" w:cs="宋体"/>
          <w:sz w:val="24"/>
        </w:rPr>
        <w:t>、供应商必须按《劳动合同法》和政府有关部门规定为职工交纳所有相关的社会保险及其他相关费用，并作出明确承诺。工作人员在工作期间发生的一切安全事故均由供应商自行负责（含因用工不当导致人员伤亡由供应商负全责）。在正常使用情况下，因场地或设备原因、盗窃等引发的安全事故，采购方有义务配合供应商向相关责任方追责。</w:t>
      </w:r>
    </w:p>
    <w:p>
      <w:pPr>
        <w:snapToGrid w:val="0"/>
        <w:spacing w:line="360" w:lineRule="auto"/>
        <w:ind w:firstLine="480" w:firstLineChars="200"/>
        <w:jc w:val="left"/>
        <w:rPr>
          <w:rFonts w:ascii="宋体" w:cs="宋体"/>
          <w:sz w:val="24"/>
        </w:rPr>
      </w:pPr>
      <w:r>
        <w:rPr>
          <w:rFonts w:ascii="宋体" w:hAnsi="宋体" w:cs="宋体"/>
          <w:sz w:val="24"/>
        </w:rPr>
        <w:t>4</w:t>
      </w:r>
      <w:r>
        <w:rPr>
          <w:rFonts w:hint="eastAsia" w:ascii="宋体" w:hAnsi="宋体" w:cs="宋体"/>
          <w:sz w:val="24"/>
        </w:rPr>
        <w:t>、供应商必须按《中华人民共和国食品安全法》等法律法规要求，保证食品安全，落实食品留样制度，除因食品原材料导致的食品安全事故由采购方和餐饮共同负责外，其余环节导致的食品安全事故均由供应商负责。</w:t>
      </w:r>
    </w:p>
    <w:p>
      <w:pPr>
        <w:snapToGrid w:val="0"/>
        <w:spacing w:line="360" w:lineRule="auto"/>
        <w:ind w:firstLine="480" w:firstLineChars="200"/>
        <w:jc w:val="left"/>
        <w:rPr>
          <w:rFonts w:ascii="宋体" w:cs="宋体"/>
          <w:sz w:val="24"/>
        </w:rPr>
      </w:pPr>
      <w:r>
        <w:rPr>
          <w:rFonts w:ascii="宋体" w:hAnsi="宋体" w:cs="宋体"/>
          <w:sz w:val="24"/>
        </w:rPr>
        <w:t>5</w:t>
      </w:r>
      <w:r>
        <w:rPr>
          <w:rFonts w:hint="eastAsia" w:ascii="宋体" w:hAnsi="宋体" w:cs="宋体"/>
          <w:sz w:val="24"/>
        </w:rPr>
        <w:t>、供应商应根据生产岗位的需要，按照国家有关劳动安全、卫生的规定为工作人员配置和完善必要的安全防护措施。</w:t>
      </w:r>
    </w:p>
    <w:p>
      <w:pPr>
        <w:snapToGrid w:val="0"/>
        <w:spacing w:line="360" w:lineRule="auto"/>
        <w:ind w:firstLine="480" w:firstLineChars="200"/>
        <w:jc w:val="left"/>
        <w:rPr>
          <w:rFonts w:ascii="宋体" w:cs="宋体"/>
          <w:sz w:val="24"/>
        </w:rPr>
      </w:pPr>
      <w:r>
        <w:rPr>
          <w:rFonts w:ascii="宋体" w:hAnsi="宋体" w:cs="宋体"/>
          <w:sz w:val="24"/>
        </w:rPr>
        <w:t>6</w:t>
      </w:r>
      <w:r>
        <w:rPr>
          <w:rFonts w:hint="eastAsia" w:ascii="宋体" w:hAnsi="宋体" w:cs="宋体"/>
          <w:sz w:val="24"/>
        </w:rPr>
        <w:t>、供应商应根据国家有关法律、法规，建立安全生产制度。严格遵守劳动安全制度，严禁违章作业，防止劳动过程中的事故，减少职业危害。</w:t>
      </w:r>
    </w:p>
    <w:p>
      <w:pPr>
        <w:snapToGrid w:val="0"/>
        <w:spacing w:line="360" w:lineRule="auto"/>
        <w:ind w:firstLine="480" w:firstLineChars="200"/>
        <w:jc w:val="left"/>
        <w:rPr>
          <w:rFonts w:ascii="宋体" w:cs="宋体"/>
          <w:sz w:val="24"/>
        </w:rPr>
      </w:pPr>
      <w:r>
        <w:rPr>
          <w:rFonts w:ascii="宋体" w:hAnsi="宋体" w:cs="宋体"/>
          <w:sz w:val="24"/>
        </w:rPr>
        <w:t>7</w:t>
      </w:r>
      <w:r>
        <w:rPr>
          <w:rFonts w:hint="eastAsia" w:ascii="宋体" w:hAnsi="宋体" w:cs="宋体"/>
          <w:sz w:val="24"/>
        </w:rPr>
        <w:t>、供应商应当建立、健全职业病防治责任制，制定并落实职业病防范措施。</w:t>
      </w:r>
    </w:p>
    <w:p>
      <w:pPr>
        <w:snapToGrid w:val="0"/>
        <w:spacing w:line="360" w:lineRule="auto"/>
        <w:ind w:firstLine="480" w:firstLineChars="200"/>
        <w:jc w:val="left"/>
        <w:rPr>
          <w:rFonts w:ascii="宋体" w:hAnsi="宋体" w:cs="宋体"/>
          <w:sz w:val="24"/>
        </w:rPr>
      </w:pPr>
      <w:r>
        <w:rPr>
          <w:rFonts w:ascii="宋体" w:hAnsi="宋体" w:cs="宋体"/>
          <w:sz w:val="24"/>
        </w:rPr>
        <w:t>8</w:t>
      </w:r>
      <w:r>
        <w:rPr>
          <w:rFonts w:hint="eastAsia" w:ascii="宋体" w:hAnsi="宋体" w:cs="宋体"/>
          <w:sz w:val="24"/>
        </w:rPr>
        <w:t>、采购方有权对供应商工作人员上班工作期间进行监督、检查、考核管理等。对餐饮服务工作人员工作不满意或餐饮服务工作人员有违法乱纪行为的，采购方有权要求供应商在</w:t>
      </w:r>
      <w:r>
        <w:rPr>
          <w:rFonts w:ascii="宋体" w:hAnsi="宋体" w:cs="宋体"/>
          <w:sz w:val="24"/>
        </w:rPr>
        <w:t>10</w:t>
      </w:r>
      <w:r>
        <w:rPr>
          <w:rFonts w:hint="eastAsia" w:ascii="宋体" w:hAnsi="宋体" w:cs="宋体"/>
          <w:sz w:val="24"/>
        </w:rPr>
        <w:t>个工作日内调换人员</w:t>
      </w:r>
      <w:r>
        <w:rPr>
          <w:rFonts w:ascii="宋体" w:hAnsi="宋体" w:cs="宋体"/>
          <w:sz w:val="24"/>
        </w:rPr>
        <w:t xml:space="preserve">, </w:t>
      </w:r>
      <w:r>
        <w:rPr>
          <w:rFonts w:hint="eastAsia" w:ascii="宋体" w:hAnsi="宋体" w:cs="宋体"/>
          <w:sz w:val="24"/>
        </w:rPr>
        <w:t>供应商必须按采购方要求执行。</w:t>
      </w:r>
    </w:p>
    <w:p>
      <w:pPr>
        <w:tabs>
          <w:tab w:val="left" w:pos="8280"/>
        </w:tabs>
        <w:autoSpaceDE w:val="0"/>
        <w:autoSpaceDN w:val="0"/>
        <w:adjustRightInd w:val="0"/>
        <w:spacing w:line="360" w:lineRule="auto"/>
        <w:ind w:left="482" w:right="25"/>
        <w:jc w:val="left"/>
        <w:rPr>
          <w:rFonts w:ascii="宋体" w:hAnsi="宋体"/>
          <w:b/>
          <w:kern w:val="0"/>
          <w:sz w:val="24"/>
          <w:lang w:val="zh-TW"/>
        </w:rPr>
      </w:pPr>
      <w:r>
        <w:rPr>
          <w:rFonts w:hint="eastAsia" w:ascii="宋体" w:hAnsi="宋体"/>
          <w:b/>
          <w:kern w:val="0"/>
          <w:sz w:val="24"/>
        </w:rPr>
        <w:t>三、</w:t>
      </w:r>
      <w:r>
        <w:rPr>
          <w:rFonts w:hint="eastAsia" w:ascii="宋体" w:hAnsi="宋体"/>
          <w:b/>
          <w:kern w:val="0"/>
          <w:sz w:val="24"/>
          <w:lang w:val="zh-TW"/>
        </w:rPr>
        <w:t>商务需求</w:t>
      </w:r>
    </w:p>
    <w:p>
      <w:pPr>
        <w:snapToGrid w:val="0"/>
        <w:spacing w:line="360" w:lineRule="auto"/>
        <w:ind w:firstLine="480" w:firstLineChars="200"/>
        <w:jc w:val="left"/>
        <w:rPr>
          <w:rFonts w:ascii="宋体" w:hAnsi="宋体" w:cs="微软雅黑"/>
          <w:sz w:val="24"/>
        </w:rPr>
      </w:pPr>
      <w:r>
        <w:rPr>
          <w:rFonts w:hint="eastAsia" w:ascii="宋体" w:hAnsi="宋体" w:cs="微软雅黑"/>
          <w:sz w:val="24"/>
        </w:rPr>
        <w:t>1、服务期限</w:t>
      </w:r>
      <w:r>
        <w:rPr>
          <w:rFonts w:hint="eastAsia" w:ascii="宋体" w:hAnsi="宋体" w:cs="微软雅黑"/>
          <w:color w:val="auto"/>
          <w:sz w:val="24"/>
        </w:rPr>
        <w:t>：</w:t>
      </w:r>
      <w:r>
        <w:rPr>
          <w:rFonts w:hint="eastAsia" w:ascii="宋体" w:hAnsi="宋体" w:cs="宋体"/>
          <w:color w:val="auto"/>
          <w:sz w:val="24"/>
        </w:rPr>
        <w:t>一年。</w:t>
      </w:r>
    </w:p>
    <w:p>
      <w:pPr>
        <w:snapToGrid w:val="0"/>
        <w:spacing w:line="360" w:lineRule="auto"/>
        <w:ind w:firstLine="480" w:firstLineChars="200"/>
        <w:jc w:val="left"/>
        <w:rPr>
          <w:rFonts w:ascii="宋体" w:cs="宋体"/>
          <w:sz w:val="24"/>
        </w:rPr>
      </w:pPr>
      <w:r>
        <w:rPr>
          <w:rFonts w:hint="eastAsia" w:ascii="宋体" w:hAnsi="宋体" w:cs="微软雅黑"/>
          <w:sz w:val="24"/>
        </w:rPr>
        <w:t>2、承包方须在签订合同后规定时间内，将食堂管理人员按要求到服务范围，并且正常运作。</w:t>
      </w:r>
    </w:p>
    <w:p>
      <w:pPr>
        <w:snapToGrid w:val="0"/>
        <w:spacing w:line="360" w:lineRule="auto"/>
        <w:ind w:firstLine="480" w:firstLineChars="200"/>
        <w:jc w:val="left"/>
        <w:rPr>
          <w:rFonts w:ascii="宋体" w:hAnsi="宋体"/>
          <w:sz w:val="24"/>
        </w:rPr>
      </w:pPr>
      <w:r>
        <w:rPr>
          <w:rFonts w:hint="eastAsia" w:ascii="宋体" w:hAnsi="宋体" w:cs="微软雅黑"/>
          <w:sz w:val="24"/>
        </w:rPr>
        <w:t>3</w:t>
      </w:r>
      <w:r>
        <w:rPr>
          <w:rFonts w:hint="eastAsia" w:ascii="宋体" w:hAnsi="宋体"/>
          <w:sz w:val="24"/>
        </w:rPr>
        <w:t>、采购人建立内部评价机制，定期对中标方服务态度，菜肴口味等综合情况进行民主测评，并及时告知中标人，如有问题，中标人需及时落实采购人提出的整改要求。若测评结果显示不符合半数参与测评人员的要求，将引入退出机制。</w:t>
      </w:r>
    </w:p>
    <w:p>
      <w:pPr>
        <w:snapToGrid w:val="0"/>
        <w:spacing w:line="360" w:lineRule="auto"/>
        <w:ind w:firstLine="480" w:firstLineChars="200"/>
        <w:jc w:val="left"/>
        <w:rPr>
          <w:rFonts w:ascii="宋体" w:cs="宋体"/>
          <w:sz w:val="24"/>
        </w:rPr>
      </w:pPr>
      <w:r>
        <w:rPr>
          <w:rFonts w:hint="eastAsia" w:ascii="宋体" w:hAnsi="宋体" w:cs="微软雅黑"/>
          <w:sz w:val="24"/>
        </w:rPr>
        <w:t>4、本文件中的技术要求不得被认为是详尽无遗的，无论规定与否，供应商都应提供所有采购人没有规定但供应商认为完成本项目操作和使用，必要或必须的服务内容，并在报价明细表中一一列明。供应商应对磋商工作范围内容进行报价，不允许只对部分内容进行报价。成交价格即为合同价格(包含：</w:t>
      </w:r>
      <w:r>
        <w:rPr>
          <w:rFonts w:hint="eastAsia" w:ascii="宋体" w:hAnsi="宋体"/>
          <w:kern w:val="0"/>
          <w:sz w:val="24"/>
          <w:lang w:val="zh-CN"/>
        </w:rPr>
        <w:t>基本工资、加班费、社保费、节假日补助费、节假日费、高温费、年终考核奖、年休假、补偿金、管理培训费、服装费、劳保用品、体检费、税费、员工就餐费、</w:t>
      </w:r>
      <w:r>
        <w:rPr>
          <w:rFonts w:hint="eastAsia" w:ascii="宋体" w:hAnsi="宋体" w:cs="微软雅黑"/>
          <w:sz w:val="24"/>
        </w:rPr>
        <w:t>其他费用等)。</w:t>
      </w:r>
    </w:p>
    <w:p>
      <w:pPr>
        <w:snapToGrid w:val="0"/>
        <w:spacing w:line="360" w:lineRule="auto"/>
        <w:ind w:firstLine="480" w:firstLineChars="200"/>
        <w:jc w:val="left"/>
        <w:rPr>
          <w:rFonts w:ascii="宋体" w:cs="宋体"/>
          <w:sz w:val="24"/>
        </w:rPr>
      </w:pPr>
      <w:r>
        <w:rPr>
          <w:rFonts w:hint="eastAsia" w:ascii="宋体" w:hAnsi="宋体" w:cs="微软雅黑"/>
          <w:sz w:val="24"/>
        </w:rPr>
        <w:t>5、供应商的报价应为承包完成本次磋商需完成全部工作所发生的所有费用和其他辅材，供应商须自行准确数量、报价，并承担一切风险责任。供应商应结合项目特点，市场行情及供应商自身的技术，管理水平，竞争能力，确定最终报价。</w:t>
      </w:r>
    </w:p>
    <w:p>
      <w:pPr>
        <w:snapToGrid w:val="0"/>
        <w:spacing w:line="360" w:lineRule="auto"/>
        <w:ind w:firstLine="480" w:firstLineChars="200"/>
        <w:jc w:val="left"/>
        <w:rPr>
          <w:rFonts w:ascii="宋体" w:cs="宋体"/>
          <w:sz w:val="24"/>
        </w:rPr>
      </w:pPr>
      <w:r>
        <w:rPr>
          <w:rFonts w:hint="eastAsia" w:ascii="宋体" w:hAnsi="宋体"/>
          <w:sz w:val="24"/>
        </w:rPr>
        <w:t>6、食堂提供餐饮服务时，因自身原因发生的一切安全事故责任均自行承担，事故责任和损失由中标人承担。</w:t>
      </w:r>
    </w:p>
    <w:p>
      <w:pPr>
        <w:snapToGrid w:val="0"/>
        <w:spacing w:line="360" w:lineRule="auto"/>
        <w:ind w:firstLine="480" w:firstLineChars="200"/>
        <w:jc w:val="left"/>
        <w:rPr>
          <w:rFonts w:ascii="宋体" w:hAnsi="宋体" w:cs="宋体"/>
          <w:sz w:val="24"/>
        </w:rPr>
      </w:pPr>
      <w:r>
        <w:rPr>
          <w:rFonts w:hint="eastAsia" w:ascii="宋体" w:hAnsi="宋体" w:cs="微软雅黑"/>
          <w:sz w:val="24"/>
        </w:rPr>
        <w:t>▲7、</w:t>
      </w:r>
      <w:r>
        <w:rPr>
          <w:rFonts w:hint="eastAsia" w:ascii="宋体" w:hAnsi="宋体" w:cs="宋体"/>
          <w:sz w:val="24"/>
        </w:rPr>
        <w:t>因本项目服务要求，供应商的项目实施人员不能随意出入，所以采购方为供应商项目实施人员（12人）提供一日三餐，仅收取食材成本费（供应商的项目实施人员餐费自理），</w:t>
      </w:r>
      <w:r>
        <w:rPr>
          <w:rFonts w:hint="eastAsia" w:ascii="宋体" w:hAnsi="宋体"/>
          <w:sz w:val="24"/>
        </w:rPr>
        <w:t>就餐</w:t>
      </w:r>
      <w:r>
        <w:rPr>
          <w:rFonts w:hint="eastAsia" w:ascii="宋体" w:hAnsi="宋体" w:cs="宋体"/>
          <w:sz w:val="24"/>
        </w:rPr>
        <w:t>标准为350元/人/月。</w:t>
      </w:r>
    </w:p>
    <w:p>
      <w:pPr>
        <w:snapToGrid w:val="0"/>
        <w:spacing w:line="360" w:lineRule="auto"/>
        <w:ind w:firstLine="480" w:firstLineChars="200"/>
        <w:jc w:val="left"/>
        <w:rPr>
          <w:rFonts w:ascii="宋体" w:hAnsi="宋体"/>
          <w:sz w:val="24"/>
        </w:rPr>
      </w:pPr>
      <w:r>
        <w:rPr>
          <w:rFonts w:hint="eastAsia" w:ascii="宋体" w:hAnsi="宋体" w:cs="微软雅黑"/>
          <w:sz w:val="24"/>
        </w:rPr>
        <w:t>8</w:t>
      </w:r>
      <w:r>
        <w:rPr>
          <w:rFonts w:hint="eastAsia" w:ascii="宋体" w:hAnsi="宋体"/>
          <w:sz w:val="24"/>
        </w:rPr>
        <w:t>、付款方式：承包服务费按月支付，扣除供应商的项目实施人员每月就餐费用（</w:t>
      </w:r>
      <w:r>
        <w:rPr>
          <w:rFonts w:hint="eastAsia" w:ascii="宋体" w:hAnsi="宋体" w:cs="宋体"/>
          <w:sz w:val="24"/>
        </w:rPr>
        <w:t>350元/人/月</w:t>
      </w:r>
      <w:r>
        <w:rPr>
          <w:rFonts w:hint="eastAsia" w:ascii="宋体" w:hAnsi="宋体"/>
          <w:sz w:val="24"/>
        </w:rPr>
        <w:t>）</w:t>
      </w:r>
      <w:r>
        <w:rPr>
          <w:rFonts w:hint="eastAsia" w:ascii="宋体" w:hAnsi="宋体" w:cs="宋体"/>
          <w:sz w:val="24"/>
        </w:rPr>
        <w:t>，</w:t>
      </w:r>
      <w:r>
        <w:rPr>
          <w:rFonts w:hint="eastAsia" w:ascii="宋体" w:hAnsi="宋体"/>
          <w:sz w:val="24"/>
        </w:rPr>
        <w:t>具体日期由采购人确定，结算时中标方需要提供合法票据。</w:t>
      </w:r>
    </w:p>
    <w:p>
      <w:pPr>
        <w:snapToGrid w:val="0"/>
        <w:spacing w:line="360" w:lineRule="auto"/>
        <w:ind w:firstLine="480" w:firstLineChars="200"/>
        <w:jc w:val="left"/>
        <w:rPr>
          <w:rFonts w:ascii="宋体" w:hAnsi="宋体"/>
          <w:sz w:val="24"/>
        </w:rPr>
      </w:pPr>
      <w:r>
        <w:rPr>
          <w:rFonts w:hint="eastAsia" w:ascii="宋体" w:hAnsi="宋体"/>
          <w:sz w:val="24"/>
        </w:rPr>
        <w:t>9、</w:t>
      </w:r>
      <w:r>
        <w:rPr>
          <w:rFonts w:hint="eastAsia" w:ascii="宋体" w:hAnsi="宋体" w:cs="微软雅黑"/>
          <w:sz w:val="24"/>
        </w:rPr>
        <w:t>履约保证金：合同签订同时，成交供应商须提交合同总价1%的履约担保（履约保证金可以以银行转账、由银行或保险公司出具的保函保单等形式）给采购人。服务期满无质量与服务问题十个工作日内退还履约保证金。</w:t>
      </w:r>
    </w:p>
    <w:p>
      <w:pPr>
        <w:numPr>
          <w:ilvl w:val="0"/>
          <w:numId w:val="4"/>
        </w:numPr>
        <w:spacing w:line="360" w:lineRule="auto"/>
        <w:jc w:val="center"/>
        <w:outlineLvl w:val="0"/>
        <w:rPr>
          <w:rFonts w:asciiTheme="minorEastAsia" w:hAnsiTheme="minorEastAsia" w:eastAsiaTheme="minorEastAsia"/>
          <w:b/>
          <w:sz w:val="36"/>
          <w:szCs w:val="36"/>
        </w:rPr>
      </w:pPr>
      <w:bookmarkStart w:id="56" w:name="_Toc19531"/>
      <w:r>
        <w:rPr>
          <w:rFonts w:hint="eastAsia" w:asciiTheme="minorEastAsia" w:hAnsiTheme="minorEastAsia" w:eastAsiaTheme="minorEastAsia"/>
          <w:b/>
          <w:sz w:val="36"/>
          <w:szCs w:val="36"/>
        </w:rPr>
        <w:t>磋商</w:t>
      </w:r>
      <w:bookmarkEnd w:id="56"/>
    </w:p>
    <w:p>
      <w:pPr>
        <w:numPr>
          <w:ilvl w:val="0"/>
          <w:numId w:val="5"/>
        </w:numPr>
        <w:snapToGrid w:val="0"/>
        <w:spacing w:line="360" w:lineRule="auto"/>
        <w:ind w:firstLine="482" w:firstLineChars="200"/>
        <w:rPr>
          <w:rFonts w:ascii="宋体" w:hAnsi="宋体" w:cs="宋体"/>
          <w:b/>
          <w:bCs/>
          <w:sz w:val="24"/>
        </w:rPr>
      </w:pPr>
      <w:r>
        <w:rPr>
          <w:rFonts w:hint="eastAsia" w:ascii="宋体" w:hAnsi="宋体" w:cs="宋体"/>
          <w:b/>
          <w:bCs/>
          <w:sz w:val="24"/>
        </w:rPr>
        <w:t>磋商原则</w:t>
      </w:r>
    </w:p>
    <w:p>
      <w:pPr>
        <w:snapToGrid w:val="0"/>
        <w:spacing w:line="360" w:lineRule="auto"/>
        <w:ind w:firstLine="480" w:firstLineChars="200"/>
        <w:rPr>
          <w:rFonts w:ascii="宋体" w:hAnsi="宋体" w:cs="宋体"/>
          <w:b/>
          <w:bCs/>
          <w:sz w:val="24"/>
        </w:rPr>
      </w:pPr>
      <w:r>
        <w:rPr>
          <w:rFonts w:hint="eastAsia" w:ascii="宋体" w:hAnsi="宋体" w:cs="宋体"/>
          <w:sz w:val="24"/>
        </w:rPr>
        <w:t>磋商小组必须按照客观、公正、审慎的原则，根据磋商文件规定的评审程序、评审方法和评审标准进行独立评审。未实质性响应磋商文件的响应文件按无效响应处理，磋商小组应当告知提交响应文件的供应商。</w:t>
      </w:r>
    </w:p>
    <w:p>
      <w:pPr>
        <w:snapToGrid w:val="0"/>
        <w:spacing w:line="360" w:lineRule="auto"/>
        <w:ind w:firstLine="482" w:firstLineChars="200"/>
        <w:rPr>
          <w:rFonts w:ascii="宋体" w:hAnsi="宋体" w:cs="宋体"/>
          <w:b/>
          <w:bCs/>
          <w:sz w:val="24"/>
        </w:rPr>
      </w:pPr>
      <w:r>
        <w:rPr>
          <w:rFonts w:hint="eastAsia" w:ascii="宋体" w:hAnsi="宋体" w:cs="宋体"/>
          <w:b/>
          <w:bCs/>
          <w:sz w:val="24"/>
        </w:rPr>
        <w:t>二、评审方法</w:t>
      </w:r>
    </w:p>
    <w:p>
      <w:pPr>
        <w:snapToGrid w:val="0"/>
        <w:spacing w:line="360" w:lineRule="auto"/>
        <w:ind w:firstLine="480" w:firstLineChars="200"/>
        <w:rPr>
          <w:rFonts w:ascii="宋体" w:hAnsi="宋体" w:cs="宋体"/>
          <w:sz w:val="24"/>
        </w:rPr>
      </w:pPr>
      <w:r>
        <w:rPr>
          <w:rFonts w:hint="eastAsia" w:ascii="宋体" w:hAnsi="宋体" w:cs="宋体"/>
          <w:sz w:val="24"/>
        </w:rPr>
        <w:t>评标采用综合评分法，磋商小组从最终投标报价、供应商的资信、业绩、技术方案、服务承诺等方面进行评审。磋商小组根据评审情况，对各供应商的商务报价方面在分值范围内进行统一打分，对各供应商的商务技术方面在分值范围内进行统一打分，对各供应商的技术方面在分值范围内进行独立打分。</w:t>
      </w:r>
    </w:p>
    <w:p>
      <w:pPr>
        <w:snapToGrid w:val="0"/>
        <w:spacing w:line="360" w:lineRule="auto"/>
        <w:ind w:firstLine="480" w:firstLineChars="200"/>
        <w:rPr>
          <w:rFonts w:ascii="宋体" w:hAnsi="宋体" w:cs="宋体"/>
          <w:sz w:val="24"/>
        </w:rPr>
      </w:pPr>
      <w:r>
        <w:rPr>
          <w:rFonts w:hint="eastAsia" w:ascii="宋体" w:hAnsi="宋体" w:cs="宋体"/>
          <w:sz w:val="24"/>
        </w:rPr>
        <w:t>每个供应商最终得分=报价分+商务技术分</w:t>
      </w:r>
    </w:p>
    <w:p>
      <w:pPr>
        <w:pStyle w:val="9"/>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三、磋商小组</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hint="eastAsia" w:asciiTheme="minorEastAsia" w:hAnsiTheme="minorEastAsia" w:eastAsiaTheme="minorEastAsia" w:cstheme="minorBidi"/>
          <w:sz w:val="24"/>
        </w:rPr>
        <w:t>磋商小组由采购人代表和评审专家共3人以上单数组成。</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hint="eastAsia" w:asciiTheme="minorEastAsia" w:hAnsiTheme="minorEastAsia" w:eastAsiaTheme="minorEastAsia" w:cstheme="minorBidi"/>
          <w:sz w:val="24"/>
        </w:rPr>
        <w:t>磋商小组</w:t>
      </w:r>
      <w:r>
        <w:rPr>
          <w:rFonts w:hint="eastAsia" w:asciiTheme="minorEastAsia" w:hAnsiTheme="minorEastAsia" w:eastAsiaTheme="minorEastAsia"/>
          <w:sz w:val="24"/>
        </w:rPr>
        <w:t>成员</w:t>
      </w:r>
      <w:r>
        <w:rPr>
          <w:rFonts w:hint="eastAsia" w:ascii="宋体" w:hAnsi="宋体" w:cs="宋体"/>
          <w:sz w:val="24"/>
          <w:szCs w:val="24"/>
        </w:rPr>
        <w:t>与参与磋商的供应商</w:t>
      </w:r>
      <w:r>
        <w:rPr>
          <w:rFonts w:hint="eastAsia" w:asciiTheme="minorEastAsia" w:hAnsiTheme="minorEastAsia" w:eastAsiaTheme="minorEastAsia"/>
          <w:sz w:val="24"/>
        </w:rPr>
        <w:t>有下列情形之一的，应当回避：</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hint="eastAsia" w:asciiTheme="minorEastAsia" w:hAnsiTheme="minorEastAsia" w:eastAsiaTheme="minorEastAsia" w:cstheme="minorBidi"/>
          <w:sz w:val="24"/>
        </w:rPr>
        <w:t>磋商小组</w:t>
      </w:r>
      <w:r>
        <w:rPr>
          <w:rFonts w:hint="eastAsia" w:asciiTheme="minorEastAsia" w:hAnsiTheme="minorEastAsia" w:eastAsiaTheme="minorEastAsia"/>
          <w:sz w:val="24"/>
        </w:rPr>
        <w:t>负责具体评审事务，并独立履行下列职责：</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1.审查、评价响应文件是否符合磋商文件的商务、技术等实质性要求；</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2.要求供应商对响应文件有关事项作出澄清或者说明；</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3.对响应文件进行比较和评价；</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4.确定成交候选人名单，以及根据采购人委托直接确定成交供应商；</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w:t>
      </w:r>
      <w:r>
        <w:rPr>
          <w:rFonts w:hint="eastAsia" w:asciiTheme="minorEastAsia" w:hAnsiTheme="minorEastAsia" w:eastAsiaTheme="minorEastAsia" w:cstheme="minorBidi"/>
          <w:sz w:val="24"/>
        </w:rPr>
        <w:t>组织</w:t>
      </w:r>
      <w:r>
        <w:rPr>
          <w:rFonts w:hint="eastAsia" w:asciiTheme="minorEastAsia" w:hAnsiTheme="minorEastAsia" w:eastAsiaTheme="minorEastAsia"/>
          <w:sz w:val="24"/>
        </w:rPr>
        <w:t>机构或者有关部门报告评审中发现的违法行为；</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6.法律法规规定的其他职责。</w:t>
      </w:r>
    </w:p>
    <w:p>
      <w:pPr>
        <w:snapToGrid w:val="0"/>
        <w:spacing w:line="360" w:lineRule="auto"/>
        <w:ind w:firstLine="482" w:firstLineChars="200"/>
        <w:rPr>
          <w:rFonts w:ascii="宋体" w:hAnsi="宋体" w:cs="宋体"/>
          <w:b/>
          <w:sz w:val="24"/>
        </w:rPr>
      </w:pPr>
      <w:r>
        <w:rPr>
          <w:rFonts w:hint="eastAsia" w:ascii="宋体" w:hAnsi="宋体" w:cs="宋体"/>
          <w:b/>
          <w:sz w:val="24"/>
        </w:rPr>
        <w:t>四、磋商要求</w:t>
      </w:r>
    </w:p>
    <w:p>
      <w:pPr>
        <w:snapToGrid w:val="0"/>
        <w:spacing w:line="360" w:lineRule="auto"/>
        <w:ind w:firstLine="480" w:firstLineChars="200"/>
        <w:rPr>
          <w:rFonts w:ascii="宋体" w:hAnsi="宋体" w:cs="宋体"/>
          <w:b/>
          <w:sz w:val="24"/>
        </w:rPr>
      </w:pPr>
      <w:r>
        <w:rPr>
          <w:rFonts w:hint="eastAsia" w:ascii="宋体" w:hAnsi="宋体" w:cs="宋体"/>
          <w:sz w:val="24"/>
        </w:rPr>
        <w:t>（一）采购人、采购代理机构不得对磋商小组中的评审专家作倾向性、误导性的解释或者说明。</w:t>
      </w:r>
    </w:p>
    <w:p>
      <w:pPr>
        <w:snapToGrid w:val="0"/>
        <w:spacing w:line="360" w:lineRule="auto"/>
        <w:ind w:firstLine="480" w:firstLineChars="200"/>
        <w:rPr>
          <w:rFonts w:ascii="宋体" w:hAnsi="宋体" w:cs="宋体"/>
          <w:sz w:val="24"/>
        </w:rPr>
      </w:pPr>
      <w:r>
        <w:rPr>
          <w:rFonts w:hint="eastAsia" w:ascii="宋体" w:hAnsi="宋体" w:cs="宋体"/>
          <w:sz w:val="24"/>
        </w:rPr>
        <w:t>（二）磋商小组所有成员应当集中与单一供应商分别进行磋商，并给予所有参加磋商的供应商平等的磋商机会。</w:t>
      </w:r>
    </w:p>
    <w:p>
      <w:pPr>
        <w:snapToGrid w:val="0"/>
        <w:spacing w:line="360" w:lineRule="auto"/>
        <w:ind w:firstLine="480" w:firstLineChars="200"/>
        <w:rPr>
          <w:rFonts w:ascii="宋体" w:hAnsi="宋体" w:cs="宋体"/>
          <w:sz w:val="24"/>
        </w:rPr>
      </w:pPr>
      <w:r>
        <w:rPr>
          <w:rFonts w:hint="eastAsia" w:ascii="宋体" w:hAnsi="宋体" w:cs="宋体"/>
          <w:sz w:val="24"/>
        </w:rPr>
        <w:t>（三）在磋商过程中，磋商小组可以根据磋商文件和磋商情况实质性变动采购需求中的技术、服务要求以及合同草案条款，但不得变动磋商文件中的其他内容。实质性变动的内容，须经采购人代表确认。</w:t>
      </w:r>
    </w:p>
    <w:p>
      <w:pPr>
        <w:snapToGrid w:val="0"/>
        <w:spacing w:line="360" w:lineRule="auto"/>
        <w:ind w:firstLine="480" w:firstLineChars="200"/>
        <w:rPr>
          <w:rFonts w:ascii="宋体" w:hAnsi="宋体" w:cs="宋体"/>
          <w:sz w:val="24"/>
        </w:rPr>
      </w:pPr>
      <w:r>
        <w:rPr>
          <w:rFonts w:hint="eastAsia" w:ascii="宋体" w:hAnsi="宋体" w:cs="宋体"/>
          <w:sz w:val="24"/>
        </w:rPr>
        <w:t>（四）对磋商文件作出的实质性变动是磋商文件的有效组成部分，磋商小组应当及时以书面形式同时通知所有参加磋商的供应商。</w:t>
      </w:r>
    </w:p>
    <w:p>
      <w:pPr>
        <w:snapToGrid w:val="0"/>
        <w:spacing w:line="360" w:lineRule="auto"/>
        <w:ind w:firstLine="480" w:firstLineChars="200"/>
        <w:rPr>
          <w:rFonts w:ascii="宋体" w:hAnsi="宋体" w:cs="宋体"/>
          <w:sz w:val="24"/>
        </w:rPr>
      </w:pPr>
      <w:r>
        <w:rPr>
          <w:rFonts w:hint="eastAsia" w:ascii="宋体" w:hAnsi="宋体" w:cs="宋体"/>
          <w:sz w:val="24"/>
        </w:rPr>
        <w:t>（五）供应商应当按照磋商文件的变动情况和磋商小组的要求重新提交响应文件，并由其法定代表人或授权代表签字或者加盖公章。</w:t>
      </w:r>
    </w:p>
    <w:p>
      <w:pPr>
        <w:snapToGrid w:val="0"/>
        <w:spacing w:line="360" w:lineRule="auto"/>
        <w:ind w:firstLine="480" w:firstLineChars="200"/>
        <w:rPr>
          <w:rFonts w:ascii="宋体" w:hAnsi="宋体" w:cs="宋体"/>
          <w:sz w:val="24"/>
        </w:rPr>
      </w:pPr>
      <w:r>
        <w:rPr>
          <w:rFonts w:hint="eastAsia" w:ascii="宋体" w:hAnsi="宋体" w:cs="宋体"/>
          <w:sz w:val="24"/>
        </w:rPr>
        <w:t>（六）磋商结束后，磋商小组将要求所有实质性响应的供应商按磋商小组提出的要求并在规定时间内分别进行最终报价，各供应商在规定时间之后的报价将被视为无效。提交最后报价的供应商一般不得少于3家。</w:t>
      </w:r>
    </w:p>
    <w:p>
      <w:pPr>
        <w:snapToGrid w:val="0"/>
        <w:spacing w:line="360" w:lineRule="auto"/>
        <w:ind w:firstLine="480" w:firstLineChars="200"/>
        <w:rPr>
          <w:rFonts w:ascii="宋体" w:hAnsi="宋体" w:cs="宋体"/>
          <w:sz w:val="24"/>
        </w:rPr>
      </w:pPr>
      <w:r>
        <w:rPr>
          <w:rFonts w:hint="eastAsia" w:ascii="宋体" w:hAnsi="宋体" w:cs="宋体"/>
          <w:sz w:val="24"/>
        </w:rPr>
        <w:t>（七）最后报价是供应商响应文件的有效组成部分。</w:t>
      </w:r>
    </w:p>
    <w:p>
      <w:pPr>
        <w:snapToGrid w:val="0"/>
        <w:spacing w:line="360" w:lineRule="auto"/>
        <w:ind w:firstLine="480" w:firstLineChars="200"/>
        <w:rPr>
          <w:rFonts w:ascii="宋体" w:hAnsi="宋体" w:cs="宋体"/>
          <w:sz w:val="24"/>
        </w:rPr>
      </w:pPr>
      <w:r>
        <w:rPr>
          <w:rFonts w:hint="eastAsia" w:ascii="宋体" w:hAnsi="宋体" w:cs="宋体"/>
          <w:sz w:val="24"/>
        </w:rPr>
        <w:t>（八）错误的修正：磋商小组将对确定为实质上响应竞争性磋商文件要求的响应文件进行校核，看其在磋商报价方面是否有计算、累计或表达上的错误，修正错误的原则及顺序如下：</w:t>
      </w:r>
    </w:p>
    <w:p>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（1）响应文件中初次报价一览表与响应文件中报价清单不一致的，以初次报价一览表为准</w:t>
      </w:r>
      <w:r>
        <w:rPr>
          <w:rFonts w:hint="eastAsia" w:ascii="宋体" w:hAnsi="宋体" w:cs="宋体"/>
          <w:sz w:val="24"/>
          <w:lang w:eastAsia="zh-CN"/>
        </w:rPr>
        <w:t>；</w:t>
      </w:r>
    </w:p>
    <w:p>
      <w:pPr>
        <w:snapToGrid w:val="0"/>
        <w:spacing w:line="360" w:lineRule="auto"/>
        <w:ind w:firstLine="480" w:firstLineChars="200"/>
        <w:rPr>
          <w:rFonts w:ascii="宋体" w:hAnsi="宋体" w:cs="宋体"/>
          <w:sz w:val="24"/>
        </w:rPr>
      </w:pPr>
      <w:r>
        <w:rPr>
          <w:rFonts w:hint="eastAsia" w:ascii="宋体" w:hAnsi="宋体" w:cs="宋体"/>
          <w:sz w:val="24"/>
        </w:rPr>
        <w:t>（2）响应文件的大写金额和小写金额不一致的，以大写金额为准；</w:t>
      </w:r>
    </w:p>
    <w:p>
      <w:pPr>
        <w:snapToGrid w:val="0"/>
        <w:spacing w:line="360" w:lineRule="auto"/>
        <w:ind w:firstLine="480" w:firstLineChars="200"/>
        <w:rPr>
          <w:rFonts w:ascii="宋体" w:hAnsi="宋体" w:cs="宋体"/>
          <w:sz w:val="24"/>
        </w:rPr>
      </w:pPr>
      <w:r>
        <w:rPr>
          <w:rFonts w:hint="eastAsia" w:ascii="宋体" w:hAnsi="宋体" w:cs="宋体"/>
          <w:sz w:val="24"/>
        </w:rPr>
        <w:t xml:space="preserve">（3）单价金额小数点有明显错位的，应以初次报价一览表总价为准，并修改单价； </w:t>
      </w:r>
    </w:p>
    <w:p>
      <w:pPr>
        <w:snapToGrid w:val="0"/>
        <w:spacing w:line="360" w:lineRule="auto"/>
        <w:ind w:firstLine="480" w:firstLineChars="200"/>
        <w:rPr>
          <w:rFonts w:ascii="宋体" w:hAnsi="宋体" w:cs="宋体"/>
          <w:sz w:val="24"/>
        </w:rPr>
      </w:pPr>
      <w:r>
        <w:rPr>
          <w:rFonts w:hint="eastAsia" w:ascii="宋体" w:hAnsi="宋体" w:cs="宋体"/>
          <w:sz w:val="24"/>
        </w:rPr>
        <w:t>（4）报价总金额与按单价汇总金额不一致的，以单价金额计算结果为准；</w:t>
      </w:r>
    </w:p>
    <w:p>
      <w:pPr>
        <w:snapToGrid w:val="0"/>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按前款规定修正时，顺序在后的修正可能引起顺序在前的其他修正的，该项修正不再执行。修正后的报价经供应商确认后产生约束力，供应商不确认的，其投标无效。</w:t>
      </w:r>
    </w:p>
    <w:p>
      <w:pPr>
        <w:snapToGrid w:val="0"/>
        <w:spacing w:line="360" w:lineRule="auto"/>
        <w:ind w:firstLine="480" w:firstLineChars="200"/>
        <w:rPr>
          <w:rFonts w:ascii="宋体" w:hAnsi="宋体" w:cs="宋体"/>
          <w:sz w:val="24"/>
        </w:rPr>
      </w:pPr>
      <w:r>
        <w:rPr>
          <w:rFonts w:hint="eastAsia" w:ascii="宋体" w:hAnsi="宋体" w:cs="宋体"/>
          <w:sz w:val="24"/>
        </w:rPr>
        <w:t>（九）已提交响应文件的供应商，在提交最后报价之前，可以根据磋商情况退出磋商。</w:t>
      </w:r>
    </w:p>
    <w:p>
      <w:pPr>
        <w:pStyle w:val="19"/>
        <w:snapToGrid w:val="0"/>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五、无效响应情形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sz w:val="24"/>
          <w:szCs w:val="32"/>
        </w:rPr>
        <w:t>（一）</w:t>
      </w:r>
      <w:r>
        <w:rPr>
          <w:rFonts w:hint="eastAsia" w:asciiTheme="minorEastAsia" w:hAnsiTheme="minorEastAsia" w:eastAsiaTheme="minorEastAsia"/>
          <w:kern w:val="0"/>
          <w:sz w:val="24"/>
        </w:rPr>
        <w:t>在资格证明文件或商务与技术文件中出现响应报价的，或者报价文件中报价的货物跟商务与技术文件中的供应货物出现重大偏差的；</w:t>
      </w:r>
    </w:p>
    <w:p>
      <w:pPr>
        <w:pStyle w:val="19"/>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szCs w:val="32"/>
        </w:rPr>
        <w:t>（二）</w:t>
      </w:r>
      <w:r>
        <w:rPr>
          <w:rFonts w:asciiTheme="minorEastAsia" w:hAnsiTheme="minorEastAsia" w:eastAsiaTheme="minorEastAsia"/>
        </w:rPr>
        <w:t>不具备磋商文件中规定的资格要求的；</w:t>
      </w:r>
      <w:r>
        <w:rPr>
          <w:rFonts w:hint="default" w:asciiTheme="minorEastAsia" w:hAnsiTheme="minorEastAsia" w:eastAsiaTheme="minorEastAsia"/>
        </w:rPr>
        <w:tab/>
      </w:r>
    </w:p>
    <w:p>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szCs w:val="32"/>
        </w:rPr>
        <w:t>（三）</w:t>
      </w:r>
      <w:r>
        <w:rPr>
          <w:rFonts w:asciiTheme="minorEastAsia" w:hAnsiTheme="minorEastAsia" w:eastAsiaTheme="minorEastAsia"/>
        </w:rPr>
        <w:t>响应文件含有采购人不能接受的附加条件的；</w:t>
      </w:r>
    </w:p>
    <w:p>
      <w:pPr>
        <w:pStyle w:val="11"/>
        <w:spacing w:line="360" w:lineRule="auto"/>
        <w:ind w:firstLine="480" w:firstLineChars="200"/>
        <w:jc w:val="both"/>
        <w:rPr>
          <w:rFonts w:asciiTheme="minorEastAsia" w:hAnsiTheme="minorEastAsia" w:eastAsiaTheme="minorEastAsia"/>
          <w:kern w:val="0"/>
          <w:sz w:val="24"/>
        </w:rPr>
      </w:pPr>
      <w:r>
        <w:rPr>
          <w:rFonts w:hint="eastAsia" w:asciiTheme="minorEastAsia" w:hAnsiTheme="minorEastAsia" w:eastAsiaTheme="minorEastAsia"/>
          <w:sz w:val="24"/>
          <w:szCs w:val="32"/>
        </w:rPr>
        <w:t>（四）</w:t>
      </w:r>
      <w:r>
        <w:rPr>
          <w:rFonts w:hint="eastAsia" w:asciiTheme="minorEastAsia" w:hAnsiTheme="minorEastAsia" w:eastAsiaTheme="minorEastAsia"/>
          <w:kern w:val="0"/>
          <w:sz w:val="24"/>
        </w:rPr>
        <w:t>磋商小组认为供应商的报价明显低于其他通过符合性审查供应商的报价，有可能影响产品质量或者不能诚信履约的，供应商在限定的时间内不能证明其报价合理性的，磋商小组应当将其作为无效标处理；</w:t>
      </w:r>
    </w:p>
    <w:p>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szCs w:val="32"/>
        </w:rPr>
        <w:t>（五）</w:t>
      </w:r>
      <w:r>
        <w:rPr>
          <w:rFonts w:asciiTheme="minorEastAsia" w:hAnsiTheme="minorEastAsia" w:eastAsiaTheme="minorEastAsia"/>
        </w:rPr>
        <w:t xml:space="preserve">报价超过磋商文件中规定的预算金额/最高限价；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sz w:val="24"/>
          <w:szCs w:val="32"/>
        </w:rPr>
        <w:t>（六）</w:t>
      </w:r>
      <w:r>
        <w:rPr>
          <w:rFonts w:hint="eastAsia" w:asciiTheme="minorEastAsia" w:hAnsiTheme="minorEastAsia" w:eastAsiaTheme="minorEastAsia"/>
          <w:kern w:val="0"/>
          <w:sz w:val="24"/>
        </w:rPr>
        <w:t>响应参数未如实填写的；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sz w:val="24"/>
          <w:szCs w:val="32"/>
        </w:rPr>
        <w:t>（七）</w:t>
      </w:r>
      <w:r>
        <w:rPr>
          <w:rFonts w:hint="eastAsia" w:asciiTheme="minorEastAsia" w:hAnsiTheme="minorEastAsia" w:eastAsiaTheme="minorEastAsia"/>
          <w:sz w:val="24"/>
        </w:rPr>
        <w:t>响应文件</w:t>
      </w:r>
      <w:r>
        <w:rPr>
          <w:rFonts w:hint="eastAsia" w:asciiTheme="minorEastAsia" w:hAnsiTheme="minorEastAsia" w:eastAsiaTheme="minorEastAsia"/>
          <w:kern w:val="0"/>
          <w:sz w:val="24"/>
        </w:rPr>
        <w:t xml:space="preserve">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szCs w:val="32"/>
        </w:rPr>
        <w:t>（八）</w:t>
      </w:r>
      <w:r>
        <w:rPr>
          <w:rFonts w:asciiTheme="minorEastAsia" w:hAnsiTheme="minorEastAsia" w:eastAsiaTheme="minorEastAsia"/>
          <w:sz w:val="24"/>
        </w:rPr>
        <w:t>不同</w:t>
      </w:r>
      <w:r>
        <w:rPr>
          <w:rFonts w:hint="eastAsia" w:asciiTheme="minorEastAsia" w:hAnsiTheme="minorEastAsia" w:eastAsiaTheme="minorEastAsia"/>
          <w:sz w:val="24"/>
        </w:rPr>
        <w:t>供应商</w:t>
      </w:r>
      <w:r>
        <w:rPr>
          <w:rFonts w:asciiTheme="minorEastAsia" w:hAnsiTheme="minorEastAsia" w:eastAsiaTheme="minorEastAsia"/>
          <w:sz w:val="24"/>
        </w:rPr>
        <w:t>的</w:t>
      </w:r>
      <w:r>
        <w:rPr>
          <w:rFonts w:hint="eastAsia" w:asciiTheme="minorEastAsia" w:hAnsiTheme="minorEastAsia" w:eastAsiaTheme="minorEastAsia"/>
          <w:sz w:val="24"/>
        </w:rPr>
        <w:t>响应文件</w:t>
      </w:r>
      <w:r>
        <w:rPr>
          <w:rFonts w:asciiTheme="minorEastAsia" w:hAnsiTheme="minorEastAsia" w:eastAsiaTheme="minorEastAsia"/>
          <w:sz w:val="24"/>
        </w:rPr>
        <w:t>由同一单位或者个人编制</w:t>
      </w:r>
      <w:r>
        <w:rPr>
          <w:rFonts w:hint="eastAsia" w:asciiTheme="minorEastAsia" w:hAnsiTheme="minorEastAsia" w:eastAsiaTheme="minorEastAsia"/>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九</w:t>
      </w:r>
      <w:r>
        <w:rPr>
          <w:rFonts w:asciiTheme="minorEastAsia" w:hAnsiTheme="minorEastAsia" w:eastAsiaTheme="minorEastAsia"/>
          <w:sz w:val="24"/>
        </w:rPr>
        <w:t>）不同供应商委托同一单位或者个人办理磋商事宜；</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szCs w:val="32"/>
        </w:rPr>
        <w:t>（十）</w:t>
      </w:r>
      <w:r>
        <w:rPr>
          <w:rFonts w:asciiTheme="minorEastAsia" w:hAnsiTheme="minorEastAsia" w:eastAsiaTheme="minorEastAsia"/>
        </w:rPr>
        <w:t>不同供应商的响应文件载明的项目管理成员或者联系人员为同一人；</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szCs w:val="32"/>
        </w:rPr>
        <w:t>（十一）</w:t>
      </w:r>
      <w:r>
        <w:rPr>
          <w:rFonts w:asciiTheme="minorEastAsia" w:hAnsiTheme="minorEastAsia" w:eastAsiaTheme="minorEastAsia"/>
        </w:rPr>
        <w:t>不同供应商的响应文件异常一致或者磋商报价呈规律性差异；</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（十二）不同供应商的响应文件相互混装；</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szCs w:val="32"/>
        </w:rPr>
        <w:t>（十三）</w:t>
      </w:r>
      <w:r>
        <w:rPr>
          <w:rFonts w:cs="宋体"/>
        </w:rPr>
        <w:t>实质性要求（磋商文件中打“▲”内容）不响应的；</w:t>
      </w:r>
    </w:p>
    <w:p>
      <w:pPr>
        <w:pStyle w:val="8"/>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sz w:val="24"/>
          <w:szCs w:val="32"/>
        </w:rPr>
        <w:t>（十四）</w:t>
      </w:r>
      <w:r>
        <w:rPr>
          <w:rFonts w:hint="eastAsia" w:asciiTheme="minorEastAsia" w:hAnsiTheme="minorEastAsia" w:eastAsiaTheme="minorEastAsia"/>
          <w:kern w:val="0"/>
          <w:sz w:val="24"/>
          <w:szCs w:val="24"/>
        </w:rPr>
        <w:t>商务条款不响应；</w:t>
      </w:r>
    </w:p>
    <w:p>
      <w:pPr>
        <w:pStyle w:val="8"/>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sz w:val="24"/>
          <w:szCs w:val="32"/>
        </w:rPr>
        <w:t>（十五）</w:t>
      </w:r>
      <w:r>
        <w:rPr>
          <w:rFonts w:hint="eastAsia" w:cs="宋体"/>
          <w:sz w:val="24"/>
          <w:szCs w:val="24"/>
        </w:rPr>
        <w:t>响应</w:t>
      </w:r>
      <w:r>
        <w:rPr>
          <w:rFonts w:hint="eastAsia" w:asciiTheme="minorEastAsia" w:hAnsiTheme="minorEastAsia" w:eastAsiaTheme="minorEastAsia"/>
          <w:kern w:val="0"/>
          <w:sz w:val="24"/>
          <w:szCs w:val="24"/>
        </w:rPr>
        <w:t>文件有效期不足的；</w:t>
      </w:r>
    </w:p>
    <w:p>
      <w:pPr>
        <w:pStyle w:val="8"/>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sz w:val="24"/>
          <w:szCs w:val="32"/>
        </w:rPr>
        <w:t>（十六）</w:t>
      </w:r>
      <w:r>
        <w:rPr>
          <w:rFonts w:hint="eastAsia" w:asciiTheme="minorEastAsia" w:hAnsiTheme="minorEastAsia" w:eastAsiaTheme="minorEastAsia"/>
          <w:kern w:val="0"/>
          <w:sz w:val="24"/>
          <w:szCs w:val="24"/>
        </w:rPr>
        <w:t>逾期或未按要求提交</w:t>
      </w:r>
      <w:r>
        <w:rPr>
          <w:rFonts w:hint="eastAsia" w:cs="宋体"/>
          <w:sz w:val="24"/>
          <w:szCs w:val="24"/>
        </w:rPr>
        <w:t>响应</w:t>
      </w:r>
      <w:r>
        <w:rPr>
          <w:rFonts w:hint="eastAsia" w:asciiTheme="minorEastAsia" w:hAnsiTheme="minorEastAsia" w:eastAsiaTheme="minorEastAsia"/>
          <w:kern w:val="0"/>
          <w:sz w:val="24"/>
          <w:szCs w:val="24"/>
        </w:rPr>
        <w:t>文件的；</w:t>
      </w:r>
    </w:p>
    <w:p>
      <w:pPr>
        <w:pStyle w:val="8"/>
        <w:spacing w:line="360" w:lineRule="auto"/>
        <w:ind w:firstLine="480" w:firstLineChars="200"/>
        <w:rPr>
          <w:rFonts w:asciiTheme="minorEastAsia" w:hAnsiTheme="minorEastAsia"/>
          <w:kern w:val="0"/>
          <w:sz w:val="24"/>
          <w:szCs w:val="24"/>
        </w:rPr>
      </w:pPr>
      <w:r>
        <w:rPr>
          <w:rFonts w:hint="eastAsia" w:asciiTheme="minorEastAsia" w:hAnsiTheme="minorEastAsia" w:eastAsiaTheme="minorEastAsia"/>
          <w:sz w:val="24"/>
          <w:szCs w:val="32"/>
        </w:rPr>
        <w:t>（十七）</w:t>
      </w:r>
      <w:r>
        <w:rPr>
          <w:rFonts w:hint="eastAsia" w:asciiTheme="minorEastAsia" w:hAnsiTheme="minorEastAsia" w:eastAsiaTheme="minorEastAsia"/>
          <w:kern w:val="0"/>
          <w:sz w:val="24"/>
          <w:szCs w:val="24"/>
        </w:rPr>
        <w:t>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napToGrid w:val="0"/>
        <w:spacing w:line="360" w:lineRule="auto"/>
        <w:ind w:firstLine="482" w:firstLineChars="200"/>
        <w:rPr>
          <w:rFonts w:asciiTheme="minorEastAsia" w:hAnsiTheme="minorEastAsia" w:eastAsiaTheme="minorEastAsia"/>
          <w:kern w:val="0"/>
          <w:sz w:val="24"/>
        </w:rPr>
      </w:pPr>
      <w:r>
        <w:rPr>
          <w:rFonts w:hint="eastAsia" w:asciiTheme="minorEastAsia" w:hAnsiTheme="minorEastAsia" w:eastAsiaTheme="minorEastAsia"/>
          <w:b/>
          <w:kern w:val="0"/>
          <w:sz w:val="24"/>
        </w:rPr>
        <w:t>六、终止磋商情形</w:t>
      </w:r>
    </w:p>
    <w:p>
      <w:pPr>
        <w:snapToGrid w:val="0"/>
        <w:spacing w:line="360" w:lineRule="auto"/>
        <w:ind w:firstLine="480" w:firstLineChars="200"/>
        <w:rPr>
          <w:rFonts w:ascii="宋体" w:hAnsi="宋体" w:cs="宋体"/>
          <w:sz w:val="24"/>
        </w:rPr>
      </w:pPr>
      <w:r>
        <w:rPr>
          <w:rFonts w:hint="eastAsia" w:ascii="宋体" w:hAnsi="宋体" w:cs="宋体"/>
          <w:sz w:val="24"/>
        </w:rPr>
        <w:t>（一）出现影响采购公正的违法、违规行为的。</w:t>
      </w:r>
    </w:p>
    <w:p>
      <w:pPr>
        <w:snapToGrid w:val="0"/>
        <w:spacing w:line="360" w:lineRule="auto"/>
        <w:ind w:firstLine="480" w:firstLineChars="200"/>
        <w:rPr>
          <w:rFonts w:ascii="宋体" w:hAnsi="宋体" w:cs="宋体"/>
          <w:sz w:val="24"/>
        </w:rPr>
      </w:pPr>
      <w:r>
        <w:rPr>
          <w:rFonts w:hint="eastAsia" w:ascii="宋体" w:hAnsi="宋体" w:cs="宋体"/>
          <w:sz w:val="24"/>
        </w:rPr>
        <w:t>（二）磋商小组发现磋商文件存在歧义、重大缺陷导致评审工作无法进行，或者磋商文件内容违反国家有关强制性规定的。</w:t>
      </w:r>
    </w:p>
    <w:p>
      <w:pPr>
        <w:snapToGrid w:val="0"/>
        <w:spacing w:line="360" w:lineRule="auto"/>
        <w:ind w:firstLine="480" w:firstLineChars="200"/>
        <w:rPr>
          <w:rFonts w:ascii="宋体" w:hAnsi="宋体" w:cs="宋体"/>
          <w:sz w:val="24"/>
        </w:rPr>
      </w:pPr>
      <w:r>
        <w:rPr>
          <w:rFonts w:hint="eastAsia" w:ascii="宋体" w:hAnsi="宋体" w:cs="宋体"/>
          <w:sz w:val="24"/>
        </w:rPr>
        <w:t>（三）因重大变故，采购任务取消的。</w:t>
      </w:r>
    </w:p>
    <w:p>
      <w:pPr>
        <w:snapToGrid w:val="0"/>
        <w:spacing w:line="360" w:lineRule="auto"/>
        <w:ind w:firstLine="480" w:firstLineChars="200"/>
        <w:rPr>
          <w:rFonts w:ascii="宋体" w:hAnsi="宋体" w:cs="宋体"/>
          <w:b/>
          <w:bCs/>
          <w:sz w:val="24"/>
        </w:rPr>
      </w:pPr>
      <w:r>
        <w:rPr>
          <w:rFonts w:hint="eastAsia" w:ascii="宋体" w:hAnsi="宋体" w:cs="宋体"/>
          <w:sz w:val="24"/>
        </w:rPr>
        <w:t>（四）在采购过程中符合磋商要求的供应商或者提交最后报价的供应商不足3家的；</w:t>
      </w:r>
    </w:p>
    <w:p>
      <w:pPr>
        <w:snapToGrid w:val="0"/>
        <w:spacing w:line="360" w:lineRule="auto"/>
        <w:ind w:firstLine="480" w:firstLineChars="200"/>
        <w:rPr>
          <w:rFonts w:ascii="宋体" w:hAnsi="宋体" w:cs="宋体"/>
          <w:sz w:val="24"/>
        </w:rPr>
      </w:pPr>
      <w:r>
        <w:rPr>
          <w:rFonts w:hint="eastAsia" w:ascii="宋体" w:hAnsi="宋体" w:cs="宋体"/>
          <w:sz w:val="24"/>
        </w:rPr>
        <w:t>（五）法律、法规和磋商文件规定的其他导致评审结果无效的。</w:t>
      </w:r>
    </w:p>
    <w:p>
      <w:pPr>
        <w:pStyle w:val="9"/>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七、磋商</w:t>
      </w:r>
      <w:r>
        <w:rPr>
          <w:rFonts w:asciiTheme="minorEastAsia" w:hAnsiTheme="minorEastAsia" w:eastAsiaTheme="minorEastAsia"/>
          <w:b/>
          <w:sz w:val="24"/>
        </w:rPr>
        <w:t>过程的监控</w:t>
      </w:r>
    </w:p>
    <w:p>
      <w:pPr>
        <w:pStyle w:val="19"/>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本项目磋商过程实行全程录音、录像监控，政府采购监管部门视情进行现场监督，供应商在磋商过程中所进行的试图影响磋商结果的不公正活动，可能导致其磋商响应被拒绝。</w:t>
      </w:r>
    </w:p>
    <w:p>
      <w:pPr>
        <w:pStyle w:val="19"/>
        <w:snapToGrid w:val="0"/>
        <w:spacing w:before="0" w:beforeAutospacing="0" w:after="0" w:afterAutospacing="0" w:line="360" w:lineRule="auto"/>
        <w:ind w:firstLine="482" w:firstLineChars="200"/>
        <w:jc w:val="both"/>
        <w:rPr>
          <w:rFonts w:hint="default"/>
          <w:b/>
          <w:bCs/>
        </w:rPr>
      </w:pPr>
      <w:r>
        <w:rPr>
          <w:rFonts w:asciiTheme="minorEastAsia" w:hAnsiTheme="minorEastAsia" w:eastAsiaTheme="minorEastAsia"/>
          <w:b/>
          <w:bCs/>
        </w:rPr>
        <w:t>八、</w:t>
      </w:r>
      <w:r>
        <w:rPr>
          <w:b/>
          <w:bCs/>
        </w:rPr>
        <w:t>政府采购政策落实</w:t>
      </w:r>
    </w:p>
    <w:p>
      <w:pPr>
        <w:pStyle w:val="11"/>
        <w:snapToGrid w:val="0"/>
        <w:spacing w:line="360" w:lineRule="auto"/>
        <w:ind w:firstLine="480" w:firstLineChars="200"/>
        <w:jc w:val="both"/>
        <w:rPr>
          <w:rFonts w:ascii="宋体" w:hAnsi="宋体" w:cs="宋体"/>
          <w:sz w:val="24"/>
          <w:szCs w:val="22"/>
          <w:lang w:val="zh-CN"/>
        </w:rPr>
      </w:pPr>
      <w:r>
        <w:rPr>
          <w:rFonts w:hint="eastAsia" w:ascii="宋体" w:hAnsi="宋体" w:cs="宋体"/>
          <w:sz w:val="24"/>
          <w:szCs w:val="22"/>
        </w:rPr>
        <w:t>1、关于中型企业、小型企业、微型企业（简称中小企业）投标：中小企业投标是指符合《中小企业划型标准规定》的投标人，通过投标提供本企业制造的货物、承担的工程或者服务，或者提供其他中小企业制造的货物。本项所指货物不包括使用大型企业商号或者注册商标的货物。中小企业参加政府采购活动应出具《中小企业声明函》（见附件），否则不得享受相关中小企业扶持政策。</w:t>
      </w:r>
      <w:r>
        <w:rPr>
          <w:rFonts w:hint="eastAsia" w:ascii="宋体" w:hAnsi="宋体" w:cs="宋体"/>
          <w:sz w:val="24"/>
          <w:szCs w:val="22"/>
        </w:rPr>
        <w:br w:type="textWrapping"/>
      </w:r>
      <w:r>
        <w:rPr>
          <w:rFonts w:hint="eastAsia" w:ascii="宋体" w:hAnsi="宋体" w:cs="宋体"/>
          <w:sz w:val="24"/>
          <w:szCs w:val="22"/>
        </w:rPr>
        <w:t xml:space="preserve">    2、监狱企业参加政府采购活动时，应当提供由省级以上监狱管理局、戒毒管理局（含新疆生产建设兵团）出具的属于监狱企业的证明文件，视同小型、微型企业，享受促进中小企业发展的政府采购政策。</w:t>
      </w:r>
      <w:r>
        <w:rPr>
          <w:rFonts w:hint="eastAsia" w:ascii="宋体" w:hAnsi="宋体" w:cs="宋体"/>
          <w:sz w:val="24"/>
          <w:szCs w:val="22"/>
        </w:rPr>
        <w:br w:type="textWrapping"/>
      </w:r>
      <w:r>
        <w:rPr>
          <w:rFonts w:hint="eastAsia" w:ascii="宋体" w:hAnsi="宋体" w:cs="宋体"/>
          <w:sz w:val="24"/>
          <w:szCs w:val="22"/>
        </w:rPr>
        <w:t xml:space="preserve">    3、符合条件的残疾人福利性单位在参加政府采购活动时，应提供《残疾人福利性单位声明函》（见附件），视同小型、微型企业，享受促进中小企业发展的政府采购政策。</w:t>
      </w:r>
    </w:p>
    <w:p>
      <w:pPr>
        <w:pStyle w:val="9"/>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九、评审</w:t>
      </w:r>
      <w:r>
        <w:rPr>
          <w:rFonts w:asciiTheme="minorEastAsia" w:hAnsiTheme="minorEastAsia" w:eastAsiaTheme="minorEastAsia"/>
          <w:b/>
          <w:bCs/>
          <w:sz w:val="24"/>
        </w:rPr>
        <w:t>程序</w:t>
      </w:r>
    </w:p>
    <w:p>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pPr>
        <w:pStyle w:val="11"/>
        <w:snapToGrid w:val="0"/>
        <w:spacing w:line="360" w:lineRule="auto"/>
        <w:ind w:firstLine="480" w:firstLineChars="200"/>
        <w:jc w:val="both"/>
        <w:rPr>
          <w:rFonts w:asciiTheme="minorEastAsia" w:hAnsiTheme="minorEastAsia" w:eastAsiaTheme="minorEastAsia"/>
          <w:sz w:val="24"/>
        </w:rPr>
      </w:pPr>
      <w:r>
        <w:rPr>
          <w:rFonts w:hint="eastAsia" w:ascii="宋体" w:hAnsi="宋体" w:cs="宋体"/>
          <w:sz w:val="24"/>
        </w:rPr>
        <w:t>响应文件解密后</w:t>
      </w:r>
      <w:r>
        <w:rPr>
          <w:rFonts w:asciiTheme="minorEastAsia" w:hAnsiTheme="minorEastAsia" w:eastAsiaTheme="minorEastAsia"/>
          <w:sz w:val="24"/>
        </w:rPr>
        <w:t>，采购人或采购组织机构依法对</w:t>
      </w:r>
      <w:r>
        <w:rPr>
          <w:rFonts w:hint="eastAsia" w:asciiTheme="minorEastAsia" w:hAnsiTheme="minorEastAsia" w:eastAsiaTheme="minorEastAsia"/>
          <w:sz w:val="24"/>
        </w:rPr>
        <w:t>供应商</w:t>
      </w:r>
      <w:r>
        <w:rPr>
          <w:rFonts w:asciiTheme="minorEastAsia" w:hAnsiTheme="minorEastAsia" w:eastAsiaTheme="minorEastAsia"/>
          <w:sz w:val="24"/>
        </w:rPr>
        <w:t>的资格进行审查，对审查发现无效的进行必要的询标，</w:t>
      </w:r>
      <w:r>
        <w:rPr>
          <w:rFonts w:hint="eastAsia"/>
          <w:sz w:val="24"/>
        </w:rPr>
        <w:t>在政采云平台公布</w:t>
      </w:r>
      <w:r>
        <w:rPr>
          <w:rFonts w:asciiTheme="minorEastAsia" w:hAnsiTheme="minorEastAsia" w:eastAsiaTheme="minorEastAsia"/>
          <w:sz w:val="24"/>
        </w:rPr>
        <w:t>无效</w:t>
      </w:r>
      <w:r>
        <w:rPr>
          <w:rFonts w:hint="eastAsia" w:asciiTheme="minorEastAsia" w:hAnsiTheme="minorEastAsia" w:eastAsiaTheme="minorEastAsia"/>
          <w:sz w:val="24"/>
        </w:rPr>
        <w:t>响应</w:t>
      </w:r>
      <w:r>
        <w:rPr>
          <w:rFonts w:asciiTheme="minorEastAsia" w:hAnsiTheme="minorEastAsia" w:eastAsiaTheme="minorEastAsia"/>
          <w:sz w:val="24"/>
        </w:rPr>
        <w:t>的</w:t>
      </w:r>
      <w:r>
        <w:rPr>
          <w:rFonts w:hint="eastAsia" w:asciiTheme="minorEastAsia" w:hAnsiTheme="minorEastAsia" w:eastAsiaTheme="minorEastAsia"/>
          <w:sz w:val="24"/>
        </w:rPr>
        <w:t>供应商</w:t>
      </w:r>
      <w:r>
        <w:rPr>
          <w:rFonts w:asciiTheme="minorEastAsia" w:hAnsiTheme="minorEastAsia" w:eastAsiaTheme="minorEastAsia"/>
          <w:sz w:val="24"/>
        </w:rPr>
        <w:t>名单、</w:t>
      </w:r>
      <w:r>
        <w:rPr>
          <w:rFonts w:hint="eastAsia" w:asciiTheme="minorEastAsia" w:hAnsiTheme="minorEastAsia" w:eastAsiaTheme="minorEastAsia"/>
          <w:sz w:val="24"/>
        </w:rPr>
        <w:t>响应</w:t>
      </w:r>
      <w:r>
        <w:rPr>
          <w:rFonts w:asciiTheme="minorEastAsia" w:hAnsiTheme="minorEastAsia" w:eastAsiaTheme="minorEastAsia"/>
          <w:sz w:val="24"/>
        </w:rPr>
        <w:t>无效的原因。</w:t>
      </w:r>
    </w:p>
    <w:tbl>
      <w:tblPr>
        <w:tblStyle w:val="22"/>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3"/>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 w:hRule="atLeast"/>
          <w:jc w:val="center"/>
        </w:trPr>
        <w:tc>
          <w:tcPr>
            <w:tcW w:w="2163" w:type="dxa"/>
            <w:vAlign w:val="center"/>
          </w:tcPr>
          <w:p>
            <w:pPr>
              <w:pStyle w:val="46"/>
              <w:snapToGrid w:val="0"/>
              <w:ind w:right="146"/>
              <w:rPr>
                <w:sz w:val="22"/>
                <w:szCs w:val="22"/>
              </w:rPr>
            </w:pPr>
            <w:r>
              <w:rPr>
                <w:rFonts w:hint="eastAsia"/>
                <w:sz w:val="22"/>
                <w:szCs w:val="22"/>
              </w:rPr>
              <w:t>具有独立承担民事责任的能力</w:t>
            </w:r>
          </w:p>
        </w:tc>
        <w:tc>
          <w:tcPr>
            <w:tcW w:w="7087" w:type="dxa"/>
            <w:vAlign w:val="center"/>
          </w:tcPr>
          <w:p>
            <w:pPr>
              <w:pStyle w:val="46"/>
              <w:snapToGrid w:val="0"/>
              <w:ind w:left="64" w:right="63"/>
              <w:rPr>
                <w:sz w:val="22"/>
                <w:szCs w:val="22"/>
              </w:rPr>
            </w:pPr>
            <w:r>
              <w:rPr>
                <w:rFonts w:hint="eastAsia"/>
                <w:sz w:val="22"/>
                <w:szCs w:val="22"/>
              </w:rPr>
              <w:t>在中华人民共和国境内注册的法人或其他组织或自然人，磋商时提交有效的营业执照（或事业法人登记证或身份证等相关证明）副本扫描件。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2163" w:type="dxa"/>
            <w:shd w:val="clear" w:color="auto" w:fill="F6F6F6"/>
            <w:vAlign w:val="center"/>
          </w:tcPr>
          <w:p>
            <w:pPr>
              <w:pStyle w:val="46"/>
              <w:snapToGrid w:val="0"/>
              <w:ind w:right="146"/>
              <w:rPr>
                <w:sz w:val="22"/>
                <w:szCs w:val="22"/>
              </w:rPr>
            </w:pPr>
            <w:r>
              <w:rPr>
                <w:rFonts w:hint="eastAsia"/>
                <w:sz w:val="22"/>
                <w:szCs w:val="22"/>
              </w:rPr>
              <w:t>有依法缴纳税收和社会保障资金的良好记录</w:t>
            </w:r>
          </w:p>
        </w:tc>
        <w:tc>
          <w:tcPr>
            <w:tcW w:w="7087" w:type="dxa"/>
            <w:shd w:val="clear" w:color="auto" w:fill="F6F6F6"/>
            <w:vAlign w:val="center"/>
          </w:tcPr>
          <w:p>
            <w:pPr>
              <w:pStyle w:val="46"/>
              <w:snapToGrid w:val="0"/>
              <w:ind w:left="64" w:right="63"/>
              <w:rPr>
                <w:sz w:val="22"/>
                <w:szCs w:val="22"/>
              </w:rPr>
            </w:pPr>
            <w:r>
              <w:rPr>
                <w:rFonts w:hint="eastAsia"/>
                <w:sz w:val="22"/>
                <w:szCs w:val="22"/>
              </w:rPr>
              <w:t>提供磋商截止日前6个月内任意1个月依法缴纳税收和社会保障资金的相关材料。如依法免税或不需要缴纳社会保障资金的，提供相应证明材料。</w:t>
            </w:r>
          </w:p>
          <w:p>
            <w:pPr>
              <w:pStyle w:val="46"/>
              <w:snapToGrid w:val="0"/>
              <w:ind w:left="64" w:right="63"/>
              <w:rPr>
                <w:sz w:val="22"/>
                <w:szCs w:val="22"/>
              </w:rPr>
            </w:pPr>
            <w:r>
              <w:rPr>
                <w:sz w:val="22"/>
                <w:szCs w:val="22"/>
              </w:rPr>
              <w:t>根据（浙财采监〔2022〕8号）文件</w:t>
            </w:r>
            <w:r>
              <w:rPr>
                <w:rFonts w:hint="eastAsia"/>
                <w:sz w:val="22"/>
                <w:szCs w:val="22"/>
              </w:rPr>
              <w:t>，</w:t>
            </w:r>
            <w:r>
              <w:rPr>
                <w:sz w:val="22"/>
                <w:szCs w:val="22"/>
              </w:rPr>
              <w:t>本项目投标供应商属于中小企业范畴的，可以以书面承诺代替相关证明材料。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 w:hRule="atLeast"/>
          <w:jc w:val="center"/>
        </w:trPr>
        <w:tc>
          <w:tcPr>
            <w:tcW w:w="2163" w:type="dxa"/>
            <w:tcBorders>
              <w:bottom w:val="single" w:color="auto" w:sz="4" w:space="0"/>
            </w:tcBorders>
            <w:vAlign w:val="center"/>
          </w:tcPr>
          <w:p>
            <w:pPr>
              <w:pStyle w:val="46"/>
              <w:snapToGrid w:val="0"/>
              <w:ind w:right="146"/>
              <w:rPr>
                <w:sz w:val="22"/>
                <w:szCs w:val="22"/>
              </w:rPr>
            </w:pPr>
            <w:r>
              <w:rPr>
                <w:rFonts w:hint="eastAsia"/>
                <w:sz w:val="22"/>
                <w:szCs w:val="22"/>
              </w:rPr>
              <w:t>具有良好的商业信誉和健全的财务会计制度</w:t>
            </w:r>
          </w:p>
        </w:tc>
        <w:tc>
          <w:tcPr>
            <w:tcW w:w="7087" w:type="dxa"/>
            <w:tcBorders>
              <w:bottom w:val="single" w:color="auto" w:sz="4" w:space="0"/>
            </w:tcBorders>
            <w:vAlign w:val="center"/>
          </w:tcPr>
          <w:p>
            <w:pPr>
              <w:pStyle w:val="46"/>
              <w:snapToGrid w:val="0"/>
              <w:rPr>
                <w:sz w:val="22"/>
                <w:szCs w:val="22"/>
              </w:rPr>
            </w:pPr>
            <w:r>
              <w:rPr>
                <w:rFonts w:hint="eastAsia"/>
                <w:sz w:val="22"/>
                <w:szCs w:val="22"/>
              </w:rPr>
              <w:t>提供上一年度财务状况报告或基本开户行出具的资信证明。</w:t>
            </w:r>
          </w:p>
          <w:p>
            <w:pPr>
              <w:pStyle w:val="46"/>
              <w:snapToGrid w:val="0"/>
              <w:rPr>
                <w:sz w:val="22"/>
                <w:szCs w:val="22"/>
              </w:rPr>
            </w:pPr>
            <w:r>
              <w:rPr>
                <w:rFonts w:hint="eastAsia"/>
                <w:sz w:val="22"/>
                <w:szCs w:val="22"/>
              </w:rPr>
              <w:t>根据（浙财采监〔2022〕8号）文件，本项目投标供应商属于中小企业范畴的，可以以书面承诺代替相关证明材料。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2163" w:type="dxa"/>
            <w:shd w:val="clear" w:color="auto" w:fill="F1F1F1" w:themeFill="background1" w:themeFillShade="F2"/>
            <w:vAlign w:val="center"/>
          </w:tcPr>
          <w:p>
            <w:pPr>
              <w:pStyle w:val="46"/>
              <w:snapToGrid w:val="0"/>
              <w:ind w:right="146"/>
              <w:rPr>
                <w:sz w:val="22"/>
                <w:szCs w:val="22"/>
              </w:rPr>
            </w:pPr>
            <w:r>
              <w:rPr>
                <w:rFonts w:hint="eastAsia"/>
                <w:sz w:val="22"/>
                <w:szCs w:val="22"/>
              </w:rPr>
              <w:t>履行合同所必需的设备和专业技术能力</w:t>
            </w:r>
          </w:p>
        </w:tc>
        <w:tc>
          <w:tcPr>
            <w:tcW w:w="7087" w:type="dxa"/>
            <w:shd w:val="clear" w:color="auto" w:fill="F1F1F1" w:themeFill="background1" w:themeFillShade="F2"/>
            <w:vAlign w:val="center"/>
          </w:tcPr>
          <w:p>
            <w:pPr>
              <w:pStyle w:val="46"/>
              <w:snapToGrid w:val="0"/>
              <w:rPr>
                <w:sz w:val="22"/>
                <w:szCs w:val="22"/>
              </w:rPr>
            </w:pPr>
            <w:r>
              <w:rPr>
                <w:rFonts w:hint="eastAsia"/>
                <w:sz w:val="22"/>
                <w:szCs w:val="22"/>
              </w:rPr>
              <w:t>提供证明材料或承诺说明(根据项目性质提供，格式自拟)。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2163" w:type="dxa"/>
            <w:tcBorders>
              <w:bottom w:val="single" w:color="auto" w:sz="4" w:space="0"/>
            </w:tcBorders>
            <w:vAlign w:val="center"/>
          </w:tcPr>
          <w:p>
            <w:pPr>
              <w:pStyle w:val="46"/>
              <w:snapToGrid w:val="0"/>
              <w:ind w:right="146"/>
              <w:rPr>
                <w:sz w:val="22"/>
                <w:szCs w:val="22"/>
              </w:rPr>
            </w:pPr>
            <w:r>
              <w:rPr>
                <w:rFonts w:hint="eastAsia"/>
                <w:sz w:val="22"/>
                <w:szCs w:val="22"/>
              </w:rPr>
              <w:t>参加采购活动前</w:t>
            </w:r>
            <w:r>
              <w:rPr>
                <w:rFonts w:hint="eastAsia"/>
                <w:w w:val="110"/>
                <w:sz w:val="22"/>
                <w:szCs w:val="22"/>
              </w:rPr>
              <w:t>3</w:t>
            </w:r>
            <w:r>
              <w:rPr>
                <w:rFonts w:hint="eastAsia"/>
                <w:sz w:val="22"/>
                <w:szCs w:val="22"/>
              </w:rPr>
              <w:t>年内，在经营活动中没有重大违法记录</w:t>
            </w:r>
          </w:p>
        </w:tc>
        <w:tc>
          <w:tcPr>
            <w:tcW w:w="7087" w:type="dxa"/>
            <w:tcBorders>
              <w:bottom w:val="single" w:color="auto" w:sz="4" w:space="0"/>
            </w:tcBorders>
            <w:vAlign w:val="center"/>
          </w:tcPr>
          <w:p>
            <w:pPr>
              <w:pStyle w:val="46"/>
              <w:snapToGrid w:val="0"/>
              <w:rPr>
                <w:sz w:val="22"/>
                <w:szCs w:val="22"/>
              </w:rPr>
            </w:pPr>
            <w:r>
              <w:rPr>
                <w:rFonts w:hint="eastAsia"/>
                <w:sz w:val="22"/>
                <w:szCs w:val="22"/>
              </w:rPr>
              <w:t>参照磋商声明书相关承诺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pPr>
              <w:pStyle w:val="46"/>
              <w:snapToGrid w:val="0"/>
              <w:rPr>
                <w:sz w:val="22"/>
                <w:szCs w:val="22"/>
              </w:rPr>
            </w:pPr>
            <w:r>
              <w:rPr>
                <w:sz w:val="22"/>
                <w:szCs w:val="22"/>
              </w:rPr>
              <w:t>根据（浙财采监〔2022〕8号）文件</w:t>
            </w:r>
            <w:r>
              <w:rPr>
                <w:rFonts w:hint="eastAsia"/>
                <w:sz w:val="22"/>
                <w:szCs w:val="22"/>
              </w:rPr>
              <w:t>，</w:t>
            </w:r>
            <w:r>
              <w:rPr>
                <w:sz w:val="22"/>
                <w:szCs w:val="22"/>
              </w:rPr>
              <w:t>本项目投标供应商属于中小企业范畴的，可以以书面承诺代替相关证明材料。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2163" w:type="dxa"/>
            <w:shd w:val="clear" w:color="auto" w:fill="F1F1F1" w:themeFill="background1" w:themeFillShade="F2"/>
            <w:vAlign w:val="center"/>
          </w:tcPr>
          <w:p>
            <w:pPr>
              <w:pStyle w:val="46"/>
              <w:snapToGrid w:val="0"/>
              <w:ind w:right="146"/>
              <w:rPr>
                <w:sz w:val="22"/>
                <w:szCs w:val="22"/>
              </w:rPr>
            </w:pPr>
            <w:r>
              <w:rPr>
                <w:rFonts w:hint="eastAsia"/>
                <w:sz w:val="22"/>
                <w:szCs w:val="22"/>
              </w:rPr>
              <w:t>信用记录</w:t>
            </w:r>
          </w:p>
        </w:tc>
        <w:tc>
          <w:tcPr>
            <w:tcW w:w="7087" w:type="dxa"/>
            <w:shd w:val="clear" w:color="auto" w:fill="F1F1F1" w:themeFill="background1" w:themeFillShade="F2"/>
            <w:vAlign w:val="center"/>
          </w:tcPr>
          <w:p>
            <w:pPr>
              <w:pStyle w:val="46"/>
              <w:snapToGrid w:val="0"/>
              <w:ind w:right="146"/>
              <w:rPr>
                <w:sz w:val="22"/>
                <w:szCs w:val="22"/>
              </w:rPr>
            </w:pPr>
            <w:r>
              <w:rPr>
                <w:rFonts w:hint="eastAsia"/>
                <w:sz w:val="22"/>
                <w:szCs w:val="22"/>
              </w:rPr>
              <w:t>投标人未被列入“信用中国”失信被执行人或重大税收违法案件当事人名单；未处于“中国政府采购网”政府采购严重违法失信行为信息记录名单。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2163" w:type="dxa"/>
            <w:tcBorders>
              <w:bottom w:val="single" w:color="auto" w:sz="4" w:space="0"/>
            </w:tcBorders>
            <w:vAlign w:val="center"/>
          </w:tcPr>
          <w:p>
            <w:pPr>
              <w:pStyle w:val="46"/>
              <w:snapToGrid w:val="0"/>
              <w:ind w:right="146"/>
              <w:rPr>
                <w:sz w:val="22"/>
                <w:szCs w:val="22"/>
              </w:rPr>
            </w:pPr>
            <w:r>
              <w:rPr>
                <w:rFonts w:hint="eastAsia"/>
                <w:sz w:val="22"/>
                <w:szCs w:val="22"/>
              </w:rPr>
              <w:t>供应商必须符合法律、行政法规规定的其他条件</w:t>
            </w:r>
          </w:p>
        </w:tc>
        <w:tc>
          <w:tcPr>
            <w:tcW w:w="7087" w:type="dxa"/>
            <w:tcBorders>
              <w:bottom w:val="single" w:color="auto" w:sz="4" w:space="0"/>
            </w:tcBorders>
            <w:vAlign w:val="center"/>
          </w:tcPr>
          <w:p>
            <w:pPr>
              <w:pStyle w:val="46"/>
              <w:snapToGrid w:val="0"/>
              <w:rPr>
                <w:sz w:val="22"/>
                <w:szCs w:val="22"/>
              </w:rPr>
            </w:pPr>
            <w:r>
              <w:rPr>
                <w:rFonts w:hint="eastAsia"/>
                <w:sz w:val="22"/>
                <w:szCs w:val="22"/>
              </w:rPr>
              <w:t>1.单位负责人为同一人或者存在直接控股、管理关系的不同供应商，不得参加同一合同项下的政府采购活动。</w:t>
            </w:r>
          </w:p>
          <w:p>
            <w:pPr>
              <w:pStyle w:val="46"/>
              <w:snapToGrid w:val="0"/>
              <w:rPr>
                <w:sz w:val="22"/>
                <w:szCs w:val="22"/>
              </w:rPr>
            </w:pPr>
            <w:r>
              <w:rPr>
                <w:rFonts w:hint="eastAsia"/>
                <w:sz w:val="22"/>
                <w:szCs w:val="22"/>
              </w:rPr>
              <w:t>2.为本项目提供整体设计、规范编制或者项目管理、监理、检测等服务的供应商，不得再参与本项目磋商。</w:t>
            </w:r>
          </w:p>
          <w:p>
            <w:pPr>
              <w:pStyle w:val="46"/>
              <w:snapToGrid w:val="0"/>
              <w:rPr>
                <w:sz w:val="22"/>
                <w:szCs w:val="22"/>
              </w:rPr>
            </w:pPr>
            <w:r>
              <w:rPr>
                <w:rFonts w:hint="eastAsia"/>
                <w:sz w:val="22"/>
                <w:szCs w:val="22"/>
              </w:rPr>
              <w:t>3.相关承诺要求内容。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 w:hRule="atLeast"/>
          <w:jc w:val="center"/>
        </w:trPr>
        <w:tc>
          <w:tcPr>
            <w:tcW w:w="2163" w:type="dxa"/>
            <w:tcBorders>
              <w:bottom w:val="single" w:color="auto" w:sz="4" w:space="0"/>
            </w:tcBorders>
            <w:shd w:val="clear" w:color="auto" w:fill="F1F1F1" w:themeFill="background1" w:themeFillShade="F2"/>
            <w:vAlign w:val="center"/>
          </w:tcPr>
          <w:p>
            <w:pPr>
              <w:pStyle w:val="46"/>
              <w:snapToGrid w:val="0"/>
              <w:ind w:right="146"/>
              <w:jc w:val="center"/>
              <w:rPr>
                <w:sz w:val="22"/>
                <w:szCs w:val="22"/>
              </w:rPr>
            </w:pPr>
            <w:r>
              <w:rPr>
                <w:rFonts w:hint="eastAsia"/>
                <w:sz w:val="22"/>
                <w:szCs w:val="22"/>
              </w:rPr>
              <w:t>法定代表人/负责人资格证明书及授权委托书</w:t>
            </w:r>
          </w:p>
        </w:tc>
        <w:tc>
          <w:tcPr>
            <w:tcW w:w="7087" w:type="dxa"/>
            <w:tcBorders>
              <w:bottom w:val="single" w:color="auto" w:sz="4" w:space="0"/>
            </w:tcBorders>
            <w:shd w:val="clear" w:color="auto" w:fill="F1F1F1" w:themeFill="background1" w:themeFillShade="F2"/>
            <w:vAlign w:val="center"/>
          </w:tcPr>
          <w:p>
            <w:pPr>
              <w:pStyle w:val="46"/>
              <w:snapToGrid w:val="0"/>
              <w:rPr>
                <w:sz w:val="22"/>
                <w:szCs w:val="22"/>
              </w:rPr>
            </w:pPr>
            <w:r>
              <w:rPr>
                <w:rFonts w:hint="eastAsia"/>
                <w:sz w:val="22"/>
                <w:szCs w:val="22"/>
              </w:rPr>
              <w:t>法定代表人/负责人资格证明书及授权委托书，按对应格式文件签署、盖章。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 w:hRule="atLeast"/>
          <w:jc w:val="center"/>
        </w:trPr>
        <w:tc>
          <w:tcPr>
            <w:tcW w:w="2163" w:type="dxa"/>
            <w:shd w:val="clear" w:color="auto" w:fill="FFFFFF" w:themeFill="background1"/>
            <w:vAlign w:val="center"/>
          </w:tcPr>
          <w:p>
            <w:pPr>
              <w:pStyle w:val="46"/>
              <w:snapToGrid w:val="0"/>
              <w:ind w:left="64"/>
              <w:rPr>
                <w:sz w:val="22"/>
                <w:szCs w:val="22"/>
              </w:rPr>
            </w:pPr>
            <w:r>
              <w:rPr>
                <w:rFonts w:hint="eastAsia"/>
                <w:sz w:val="22"/>
                <w:szCs w:val="22"/>
              </w:rPr>
              <w:t>联合体参与磋商</w:t>
            </w:r>
          </w:p>
        </w:tc>
        <w:tc>
          <w:tcPr>
            <w:tcW w:w="7087" w:type="dxa"/>
            <w:shd w:val="clear" w:color="auto" w:fill="FFFFFF" w:themeFill="background1"/>
            <w:vAlign w:val="center"/>
          </w:tcPr>
          <w:p>
            <w:pPr>
              <w:pStyle w:val="46"/>
              <w:snapToGrid w:val="0"/>
              <w:rPr>
                <w:sz w:val="22"/>
                <w:szCs w:val="22"/>
              </w:rPr>
            </w:pPr>
            <w:r>
              <w:rPr>
                <w:rFonts w:hint="eastAsia"/>
                <w:sz w:val="22"/>
                <w:szCs w:val="22"/>
              </w:rPr>
              <w:t>本项目不接受联合体参与磋商。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2163" w:type="dxa"/>
            <w:tcBorders>
              <w:bottom w:val="single" w:color="auto" w:sz="4" w:space="0"/>
            </w:tcBorders>
            <w:shd w:val="clear" w:color="auto" w:fill="F6F6F6"/>
            <w:vAlign w:val="center"/>
          </w:tcPr>
          <w:p>
            <w:pPr>
              <w:pStyle w:val="46"/>
              <w:snapToGrid w:val="0"/>
              <w:ind w:left="64"/>
              <w:rPr>
                <w:sz w:val="22"/>
                <w:szCs w:val="22"/>
              </w:rPr>
            </w:pPr>
            <w:r>
              <w:rPr>
                <w:rFonts w:hint="eastAsia"/>
                <w:sz w:val="22"/>
                <w:szCs w:val="22"/>
              </w:rPr>
              <w:t>中小企业声明</w:t>
            </w:r>
          </w:p>
        </w:tc>
        <w:tc>
          <w:tcPr>
            <w:tcW w:w="7087" w:type="dxa"/>
            <w:tcBorders>
              <w:bottom w:val="single" w:color="auto" w:sz="4" w:space="0"/>
            </w:tcBorders>
            <w:shd w:val="clear" w:color="auto" w:fill="F6F6F6"/>
            <w:vAlign w:val="center"/>
          </w:tcPr>
          <w:p>
            <w:pPr>
              <w:pStyle w:val="46"/>
              <w:snapToGrid w:val="0"/>
              <w:ind w:left="64"/>
              <w:rPr>
                <w:sz w:val="22"/>
                <w:szCs w:val="22"/>
              </w:rPr>
            </w:pPr>
            <w:r>
              <w:rPr>
                <w:rFonts w:hint="eastAsia"/>
                <w:sz w:val="22"/>
                <w:szCs w:val="22"/>
              </w:rPr>
              <w:t>中小企业声明函或残疾人福利性单位声明函或监狱企业证明文件。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2163" w:type="dxa"/>
            <w:shd w:val="clear" w:color="auto" w:fill="FFFFFF" w:themeFill="background1"/>
            <w:vAlign w:val="center"/>
          </w:tcPr>
          <w:p>
            <w:pPr>
              <w:pStyle w:val="46"/>
              <w:snapToGrid w:val="0"/>
              <w:ind w:left="64"/>
              <w:rPr>
                <w:sz w:val="22"/>
                <w:szCs w:val="22"/>
              </w:rPr>
            </w:pPr>
            <w:r>
              <w:rPr>
                <w:rFonts w:hint="eastAsia"/>
                <w:sz w:val="22"/>
                <w:szCs w:val="22"/>
              </w:rPr>
              <w:t>特定资格要求</w:t>
            </w:r>
          </w:p>
        </w:tc>
        <w:tc>
          <w:tcPr>
            <w:tcW w:w="7087" w:type="dxa"/>
            <w:shd w:val="clear" w:color="auto" w:fill="FFFFFF" w:themeFill="background1"/>
            <w:vAlign w:val="center"/>
          </w:tcPr>
          <w:p>
            <w:pPr>
              <w:pStyle w:val="46"/>
              <w:snapToGrid w:val="0"/>
              <w:ind w:left="64"/>
              <w:rPr>
                <w:sz w:val="22"/>
                <w:szCs w:val="22"/>
              </w:rPr>
            </w:pPr>
            <w:r>
              <w:rPr>
                <w:rFonts w:hint="eastAsia"/>
                <w:sz w:val="22"/>
                <w:szCs w:val="22"/>
              </w:rPr>
              <w:t>无</w:t>
            </w:r>
          </w:p>
        </w:tc>
      </w:tr>
    </w:tbl>
    <w:p>
      <w:pPr>
        <w:autoSpaceDE w:val="0"/>
        <w:autoSpaceDN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（二）</w:t>
      </w:r>
      <w:r>
        <w:rPr>
          <w:rFonts w:asciiTheme="minorEastAsia" w:hAnsiTheme="minorEastAsia" w:eastAsiaTheme="minorEastAsia"/>
          <w:b/>
          <w:bCs/>
          <w:kern w:val="0"/>
          <w:sz w:val="24"/>
        </w:rPr>
        <w:t>符合性审查</w:t>
      </w:r>
    </w:p>
    <w:p>
      <w:pPr>
        <w:pStyle w:val="1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cstheme="minorBidi"/>
          <w:sz w:val="24"/>
        </w:rPr>
        <w:t>磋商小组</w:t>
      </w:r>
      <w:r>
        <w:rPr>
          <w:rFonts w:asciiTheme="minorEastAsia" w:hAnsiTheme="minorEastAsia" w:eastAsiaTheme="minorEastAsia"/>
          <w:sz w:val="24"/>
        </w:rPr>
        <w:t>应当对符合资格的</w:t>
      </w:r>
      <w:r>
        <w:rPr>
          <w:rFonts w:hint="eastAsia" w:asciiTheme="minorEastAsia" w:hAnsiTheme="minorEastAsia" w:eastAsiaTheme="minorEastAsia"/>
          <w:sz w:val="24"/>
        </w:rPr>
        <w:t>供应商</w:t>
      </w:r>
      <w:r>
        <w:rPr>
          <w:rFonts w:asciiTheme="minorEastAsia" w:hAnsiTheme="minorEastAsia" w:eastAsiaTheme="minorEastAsia"/>
          <w:sz w:val="24"/>
        </w:rPr>
        <w:t>的</w:t>
      </w:r>
      <w:r>
        <w:rPr>
          <w:rFonts w:hint="eastAsia" w:asciiTheme="minorEastAsia" w:hAnsiTheme="minorEastAsia" w:eastAsiaTheme="minorEastAsia"/>
          <w:sz w:val="24"/>
        </w:rPr>
        <w:t>响应文件</w:t>
      </w:r>
      <w:r>
        <w:rPr>
          <w:rFonts w:asciiTheme="minorEastAsia" w:hAnsiTheme="minorEastAsia" w:eastAsiaTheme="minorEastAsia"/>
          <w:sz w:val="24"/>
        </w:rPr>
        <w:t>进行符合性审查，以确定其是否满足</w:t>
      </w:r>
      <w:r>
        <w:rPr>
          <w:rFonts w:hint="eastAsia" w:asciiTheme="minorEastAsia" w:hAnsiTheme="minorEastAsia" w:eastAsiaTheme="minorEastAsia"/>
          <w:sz w:val="24"/>
        </w:rPr>
        <w:t>磋商文件</w:t>
      </w:r>
      <w:r>
        <w:rPr>
          <w:rFonts w:asciiTheme="minorEastAsia" w:hAnsiTheme="minorEastAsia" w:eastAsiaTheme="minorEastAsia"/>
          <w:sz w:val="24"/>
        </w:rPr>
        <w:t>的实质性要求，对审查发现无效的进行必要的询标，</w:t>
      </w:r>
      <w:r>
        <w:rPr>
          <w:rFonts w:hint="eastAsia"/>
          <w:sz w:val="24"/>
        </w:rPr>
        <w:t>对</w:t>
      </w:r>
      <w:r>
        <w:rPr>
          <w:rFonts w:asciiTheme="minorEastAsia" w:hAnsiTheme="minorEastAsia" w:eastAsiaTheme="minorEastAsia"/>
          <w:sz w:val="24"/>
        </w:rPr>
        <w:t>无效</w:t>
      </w:r>
      <w:r>
        <w:rPr>
          <w:rFonts w:hint="eastAsia" w:asciiTheme="minorEastAsia" w:hAnsiTheme="minorEastAsia" w:eastAsiaTheme="minorEastAsia"/>
          <w:sz w:val="24"/>
        </w:rPr>
        <w:t>响应</w:t>
      </w:r>
      <w:r>
        <w:rPr>
          <w:rFonts w:asciiTheme="minorEastAsia" w:hAnsiTheme="minorEastAsia" w:eastAsiaTheme="minorEastAsia"/>
          <w:sz w:val="24"/>
        </w:rPr>
        <w:t>的</w:t>
      </w:r>
      <w:r>
        <w:rPr>
          <w:rFonts w:hint="eastAsia" w:asciiTheme="minorEastAsia" w:hAnsiTheme="minorEastAsia" w:eastAsiaTheme="minorEastAsia"/>
          <w:sz w:val="24"/>
        </w:rPr>
        <w:t>供应商</w:t>
      </w:r>
      <w:r>
        <w:rPr>
          <w:rFonts w:asciiTheme="minorEastAsia" w:hAnsiTheme="minorEastAsia" w:eastAsiaTheme="minorEastAsia"/>
          <w:sz w:val="24"/>
        </w:rPr>
        <w:t>名单</w:t>
      </w:r>
      <w:r>
        <w:rPr>
          <w:rFonts w:hint="eastAsia" w:asciiTheme="minorEastAsia" w:hAnsiTheme="minorEastAsia" w:eastAsiaTheme="minorEastAsia"/>
          <w:sz w:val="24"/>
        </w:rPr>
        <w:t>及响应</w:t>
      </w:r>
      <w:r>
        <w:rPr>
          <w:rFonts w:asciiTheme="minorEastAsia" w:hAnsiTheme="minorEastAsia" w:eastAsiaTheme="minorEastAsia"/>
          <w:sz w:val="24"/>
        </w:rPr>
        <w:t>无效原因</w:t>
      </w:r>
      <w:r>
        <w:rPr>
          <w:rFonts w:hint="eastAsia" w:asciiTheme="minorEastAsia" w:hAnsiTheme="minorEastAsia" w:eastAsiaTheme="minorEastAsia"/>
          <w:sz w:val="24"/>
        </w:rPr>
        <w:t>的公布方式同上。</w:t>
      </w:r>
    </w:p>
    <w:tbl>
      <w:tblPr>
        <w:tblStyle w:val="22"/>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08"/>
        <w:gridCol w:w="6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2408" w:type="dxa"/>
            <w:vAlign w:val="center"/>
          </w:tcPr>
          <w:p>
            <w:pPr>
              <w:pStyle w:val="46"/>
              <w:snapToGrid w:val="0"/>
              <w:spacing w:line="360" w:lineRule="auto"/>
              <w:ind w:right="146"/>
              <w:rPr>
                <w:sz w:val="22"/>
                <w:szCs w:val="22"/>
              </w:rPr>
            </w:pPr>
            <w:r>
              <w:rPr>
                <w:rFonts w:hint="eastAsia"/>
                <w:sz w:val="22"/>
                <w:szCs w:val="22"/>
              </w:rPr>
              <w:t>响应文件</w:t>
            </w:r>
          </w:p>
        </w:tc>
        <w:tc>
          <w:tcPr>
            <w:tcW w:w="6875" w:type="dxa"/>
            <w:vAlign w:val="center"/>
          </w:tcPr>
          <w:p>
            <w:pPr>
              <w:pStyle w:val="46"/>
              <w:snapToGrid w:val="0"/>
              <w:spacing w:line="360" w:lineRule="auto"/>
              <w:rPr>
                <w:sz w:val="22"/>
                <w:szCs w:val="22"/>
              </w:rPr>
            </w:pPr>
            <w:r>
              <w:rPr>
                <w:rFonts w:hint="eastAsia"/>
                <w:sz w:val="22"/>
                <w:szCs w:val="22"/>
              </w:rPr>
              <w:t>响应文件完整且编排有序，磋商内容基本完整，无重大错漏，并按要求签署、盖章。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408" w:type="dxa"/>
            <w:vAlign w:val="center"/>
          </w:tcPr>
          <w:p>
            <w:pPr>
              <w:pStyle w:val="46"/>
              <w:snapToGrid w:val="0"/>
              <w:spacing w:line="360" w:lineRule="auto"/>
              <w:ind w:right="146"/>
              <w:rPr>
                <w:sz w:val="22"/>
                <w:szCs w:val="22"/>
              </w:rPr>
            </w:pPr>
            <w:r>
              <w:rPr>
                <w:rFonts w:hint="eastAsia"/>
                <w:sz w:val="22"/>
                <w:szCs w:val="22"/>
              </w:rPr>
              <w:t>“▲”实质性条款</w:t>
            </w:r>
          </w:p>
        </w:tc>
        <w:tc>
          <w:tcPr>
            <w:tcW w:w="6875" w:type="dxa"/>
            <w:vAlign w:val="center"/>
          </w:tcPr>
          <w:p>
            <w:pPr>
              <w:pStyle w:val="46"/>
              <w:snapToGrid w:val="0"/>
              <w:spacing w:line="360" w:lineRule="auto"/>
              <w:rPr>
                <w:sz w:val="22"/>
                <w:szCs w:val="22"/>
              </w:rPr>
            </w:pPr>
            <w:r>
              <w:rPr>
                <w:rFonts w:hint="eastAsia"/>
                <w:sz w:val="22"/>
                <w:szCs w:val="22"/>
              </w:rPr>
              <w:t>“▲”实质性条款满足磋商文件要求。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408" w:type="dxa"/>
            <w:vAlign w:val="center"/>
          </w:tcPr>
          <w:p>
            <w:pPr>
              <w:pStyle w:val="46"/>
              <w:snapToGrid w:val="0"/>
              <w:spacing w:line="360" w:lineRule="auto"/>
              <w:ind w:right="146"/>
              <w:rPr>
                <w:sz w:val="22"/>
                <w:szCs w:val="22"/>
              </w:rPr>
            </w:pPr>
            <w:r>
              <w:rPr>
                <w:rFonts w:hint="eastAsia"/>
                <w:sz w:val="22"/>
                <w:szCs w:val="22"/>
              </w:rPr>
              <w:t>附加条件</w:t>
            </w:r>
          </w:p>
        </w:tc>
        <w:tc>
          <w:tcPr>
            <w:tcW w:w="6875" w:type="dxa"/>
            <w:vAlign w:val="center"/>
          </w:tcPr>
          <w:p>
            <w:pPr>
              <w:pStyle w:val="46"/>
              <w:snapToGrid w:val="0"/>
              <w:spacing w:line="360" w:lineRule="auto"/>
              <w:rPr>
                <w:sz w:val="22"/>
                <w:szCs w:val="22"/>
              </w:rPr>
            </w:pPr>
            <w:r>
              <w:rPr>
                <w:rFonts w:hint="eastAsia"/>
                <w:sz w:val="22"/>
                <w:szCs w:val="22"/>
              </w:rPr>
              <w:t>响应文件未含有采购人不可接受的附加条件。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408" w:type="dxa"/>
            <w:vAlign w:val="center"/>
          </w:tcPr>
          <w:p>
            <w:pPr>
              <w:pStyle w:val="46"/>
              <w:snapToGrid w:val="0"/>
              <w:spacing w:line="360" w:lineRule="auto"/>
              <w:ind w:right="146"/>
              <w:rPr>
                <w:sz w:val="22"/>
                <w:szCs w:val="22"/>
              </w:rPr>
            </w:pPr>
            <w:r>
              <w:rPr>
                <w:rFonts w:hint="eastAsia"/>
                <w:sz w:val="22"/>
                <w:szCs w:val="22"/>
              </w:rPr>
              <w:t>报价</w:t>
            </w:r>
          </w:p>
        </w:tc>
        <w:tc>
          <w:tcPr>
            <w:tcW w:w="6875" w:type="dxa"/>
            <w:vAlign w:val="center"/>
          </w:tcPr>
          <w:p>
            <w:pPr>
              <w:pStyle w:val="46"/>
              <w:snapToGrid w:val="0"/>
              <w:spacing w:line="360" w:lineRule="auto"/>
              <w:rPr>
                <w:sz w:val="22"/>
                <w:szCs w:val="22"/>
              </w:rPr>
            </w:pPr>
            <w:r>
              <w:rPr>
                <w:rFonts w:hint="eastAsia"/>
                <w:sz w:val="22"/>
                <w:szCs w:val="22"/>
              </w:rPr>
              <w:t>报价不超过磋商文件中规定的预算金额/最高限价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408" w:type="dxa"/>
            <w:vAlign w:val="center"/>
          </w:tcPr>
          <w:p>
            <w:pPr>
              <w:pStyle w:val="46"/>
              <w:snapToGrid w:val="0"/>
              <w:spacing w:line="360" w:lineRule="auto"/>
              <w:ind w:right="146"/>
              <w:rPr>
                <w:sz w:val="22"/>
                <w:szCs w:val="22"/>
              </w:rPr>
            </w:pPr>
            <w:r>
              <w:rPr>
                <w:rFonts w:hint="eastAsia"/>
                <w:sz w:val="22"/>
                <w:szCs w:val="22"/>
              </w:rPr>
              <w:t>其他要求</w:t>
            </w:r>
          </w:p>
        </w:tc>
        <w:tc>
          <w:tcPr>
            <w:tcW w:w="6875" w:type="dxa"/>
            <w:vAlign w:val="center"/>
          </w:tcPr>
          <w:p>
            <w:pPr>
              <w:pStyle w:val="46"/>
              <w:snapToGrid w:val="0"/>
              <w:spacing w:line="360" w:lineRule="auto"/>
              <w:ind w:right="146"/>
              <w:rPr>
                <w:sz w:val="22"/>
                <w:szCs w:val="22"/>
              </w:rPr>
            </w:pPr>
            <w:r>
              <w:rPr>
                <w:rFonts w:hint="eastAsia"/>
                <w:sz w:val="22"/>
                <w:szCs w:val="22"/>
              </w:rPr>
              <w:t>不得存在法定或本文件规定的其他无效情形。</w:t>
            </w:r>
          </w:p>
        </w:tc>
      </w:tr>
    </w:tbl>
    <w:p>
      <w:pPr>
        <w:autoSpaceDE w:val="0"/>
        <w:autoSpaceDN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kern w:val="0"/>
          <w:sz w:val="24"/>
        </w:rPr>
        <w:t>（三）</w:t>
      </w:r>
      <w:r>
        <w:rPr>
          <w:rFonts w:hint="eastAsia" w:asciiTheme="minorEastAsia" w:hAnsiTheme="minorEastAsia" w:eastAsiaTheme="minorEastAsia"/>
          <w:b/>
          <w:bCs/>
          <w:sz w:val="24"/>
        </w:rPr>
        <w:t>商务技术及价格评审</w:t>
      </w:r>
    </w:p>
    <w:p>
      <w:pPr>
        <w:autoSpaceDE w:val="0"/>
        <w:autoSpaceDN w:val="0"/>
        <w:spacing w:line="360" w:lineRule="auto"/>
        <w:ind w:firstLine="480" w:firstLineChars="200"/>
      </w:pPr>
      <w:r>
        <w:rPr>
          <w:rFonts w:hint="eastAsia" w:asciiTheme="minorEastAsia" w:hAnsiTheme="minorEastAsia" w:eastAsiaTheme="minorEastAsia"/>
          <w:kern w:val="0"/>
          <w:sz w:val="24"/>
        </w:rPr>
        <w:t>本项目评审方法为综合评分法，总计100分，评</w:t>
      </w:r>
      <w:r>
        <w:rPr>
          <w:rFonts w:hint="eastAsia" w:asciiTheme="minorEastAsia" w:hAnsiTheme="minorEastAsia" w:eastAsiaTheme="minorEastAsia"/>
          <w:sz w:val="24"/>
        </w:rPr>
        <w:t>审</w:t>
      </w:r>
      <w:r>
        <w:rPr>
          <w:rFonts w:hint="eastAsia" w:asciiTheme="minorEastAsia" w:hAnsiTheme="minorEastAsia" w:eastAsiaTheme="minorEastAsia"/>
          <w:kern w:val="0"/>
          <w:sz w:val="24"/>
        </w:rPr>
        <w:t>按以下标准及要求进行：</w:t>
      </w:r>
    </w:p>
    <w:p>
      <w:pPr>
        <w:autoSpaceDE w:val="0"/>
        <w:autoSpaceDN w:val="0"/>
        <w:adjustRightInd w:val="0"/>
        <w:spacing w:line="360" w:lineRule="auto"/>
        <w:ind w:left="482" w:right="85"/>
        <w:jc w:val="left"/>
        <w:rPr>
          <w:rFonts w:ascii="宋体"/>
          <w:b/>
          <w:bCs/>
          <w:sz w:val="24"/>
        </w:rPr>
      </w:pPr>
      <w:r>
        <w:rPr>
          <w:rFonts w:hint="eastAsia" w:ascii="宋体"/>
          <w:b/>
          <w:bCs/>
          <w:sz w:val="24"/>
        </w:rPr>
        <w:t>1.评分标准</w:t>
      </w:r>
    </w:p>
    <w:tbl>
      <w:tblPr>
        <w:tblStyle w:val="22"/>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
        <w:gridCol w:w="756"/>
        <w:gridCol w:w="7721"/>
        <w:gridCol w:w="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258" w:type="dxa"/>
            <w:gridSpan w:val="2"/>
            <w:shd w:val="clear" w:color="auto" w:fill="F2F2F2"/>
            <w:vAlign w:val="center"/>
          </w:tcPr>
          <w:p>
            <w:pPr>
              <w:tabs>
                <w:tab w:val="left" w:pos="540"/>
              </w:tabs>
              <w:spacing w:line="216" w:lineRule="auto"/>
              <w:jc w:val="center"/>
              <w:textAlignment w:val="baseline"/>
              <w:rPr>
                <w:rStyle w:val="55"/>
                <w:rFonts w:ascii="宋体" w:hAnsi="宋体"/>
                <w:b/>
                <w:sz w:val="22"/>
                <w:szCs w:val="22"/>
              </w:rPr>
            </w:pPr>
            <w:r>
              <w:rPr>
                <w:rStyle w:val="55"/>
                <w:rFonts w:hint="eastAsia" w:ascii="宋体" w:hAnsi="宋体"/>
                <w:b/>
                <w:sz w:val="22"/>
                <w:szCs w:val="22"/>
              </w:rPr>
              <w:t>评审内容</w:t>
            </w:r>
          </w:p>
        </w:tc>
        <w:tc>
          <w:tcPr>
            <w:tcW w:w="7721" w:type="dxa"/>
            <w:shd w:val="clear" w:color="auto" w:fill="F2F2F2"/>
            <w:vAlign w:val="center"/>
          </w:tcPr>
          <w:p>
            <w:pPr>
              <w:tabs>
                <w:tab w:val="left" w:pos="540"/>
              </w:tabs>
              <w:spacing w:line="216" w:lineRule="auto"/>
              <w:jc w:val="center"/>
              <w:textAlignment w:val="baseline"/>
              <w:rPr>
                <w:rStyle w:val="55"/>
                <w:rFonts w:ascii="宋体" w:hAnsi="宋体"/>
                <w:b/>
                <w:sz w:val="22"/>
                <w:szCs w:val="22"/>
              </w:rPr>
            </w:pPr>
            <w:r>
              <w:rPr>
                <w:rStyle w:val="55"/>
                <w:rFonts w:hint="eastAsia" w:ascii="宋体" w:hAnsi="宋体"/>
                <w:b/>
                <w:sz w:val="22"/>
                <w:szCs w:val="22"/>
              </w:rPr>
              <w:t>评分标准</w:t>
            </w:r>
          </w:p>
        </w:tc>
        <w:tc>
          <w:tcPr>
            <w:tcW w:w="460" w:type="dxa"/>
            <w:shd w:val="clear" w:color="auto" w:fill="F2F2F2"/>
            <w:vAlign w:val="center"/>
          </w:tcPr>
          <w:p>
            <w:pPr>
              <w:tabs>
                <w:tab w:val="left" w:pos="540"/>
              </w:tabs>
              <w:spacing w:line="216" w:lineRule="auto"/>
              <w:textAlignment w:val="baseline"/>
              <w:rPr>
                <w:rStyle w:val="55"/>
                <w:rFonts w:ascii="宋体" w:hAnsi="宋体"/>
                <w:b/>
                <w:sz w:val="22"/>
                <w:szCs w:val="22"/>
              </w:rPr>
            </w:pPr>
            <w:r>
              <w:rPr>
                <w:rStyle w:val="55"/>
                <w:rFonts w:hint="eastAsia" w:ascii="宋体" w:hAnsi="宋体"/>
                <w:b/>
                <w:sz w:val="22"/>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02" w:type="dxa"/>
            <w:vMerge w:val="restart"/>
            <w:vAlign w:val="center"/>
          </w:tcPr>
          <w:p>
            <w:pPr>
              <w:tabs>
                <w:tab w:val="left" w:pos="540"/>
              </w:tabs>
              <w:spacing w:line="216" w:lineRule="auto"/>
              <w:jc w:val="center"/>
              <w:textAlignment w:val="baseline"/>
              <w:rPr>
                <w:rStyle w:val="55"/>
                <w:rFonts w:ascii="宋体" w:hAnsi="宋体"/>
                <w:sz w:val="22"/>
                <w:szCs w:val="22"/>
              </w:rPr>
            </w:pPr>
            <w:r>
              <w:rPr>
                <w:rStyle w:val="55"/>
                <w:rFonts w:hint="eastAsia" w:ascii="宋体" w:hAnsi="宋体"/>
                <w:sz w:val="22"/>
                <w:szCs w:val="22"/>
              </w:rPr>
              <w:t>商</w:t>
            </w:r>
          </w:p>
          <w:p>
            <w:pPr>
              <w:tabs>
                <w:tab w:val="left" w:pos="540"/>
              </w:tabs>
              <w:spacing w:line="216" w:lineRule="auto"/>
              <w:jc w:val="center"/>
              <w:textAlignment w:val="baseline"/>
              <w:rPr>
                <w:rStyle w:val="55"/>
                <w:rFonts w:hint="eastAsia" w:ascii="宋体" w:hAnsi="宋体" w:eastAsia="宋体"/>
                <w:sz w:val="22"/>
                <w:szCs w:val="22"/>
                <w:lang w:eastAsia="zh-CN"/>
              </w:rPr>
            </w:pPr>
            <w:r>
              <w:rPr>
                <w:rStyle w:val="55"/>
                <w:rFonts w:hint="eastAsia" w:ascii="宋体" w:hAnsi="宋体"/>
                <w:sz w:val="22"/>
                <w:szCs w:val="22"/>
              </w:rPr>
              <w:t>务</w:t>
            </w:r>
            <w:r>
              <w:rPr>
                <w:rStyle w:val="55"/>
                <w:rFonts w:hint="eastAsia" w:ascii="宋体" w:hAnsi="宋体"/>
                <w:sz w:val="22"/>
                <w:szCs w:val="22"/>
                <w:lang w:val="en-US" w:eastAsia="zh-CN"/>
              </w:rPr>
              <w:t>7</w:t>
            </w:r>
          </w:p>
          <w:p>
            <w:pPr>
              <w:tabs>
                <w:tab w:val="left" w:pos="540"/>
              </w:tabs>
              <w:spacing w:line="216" w:lineRule="auto"/>
              <w:jc w:val="center"/>
              <w:textAlignment w:val="baseline"/>
              <w:rPr>
                <w:rStyle w:val="55"/>
                <w:rFonts w:ascii="宋体" w:hAnsi="宋体"/>
                <w:sz w:val="22"/>
                <w:szCs w:val="22"/>
              </w:rPr>
            </w:pPr>
            <w:r>
              <w:rPr>
                <w:rStyle w:val="55"/>
                <w:rFonts w:hint="eastAsia" w:ascii="宋体" w:hAnsi="宋体"/>
                <w:sz w:val="22"/>
                <w:szCs w:val="22"/>
              </w:rPr>
              <w:t>分</w:t>
            </w:r>
          </w:p>
        </w:tc>
        <w:tc>
          <w:tcPr>
            <w:tcW w:w="756" w:type="dxa"/>
            <w:vAlign w:val="center"/>
          </w:tcPr>
          <w:p>
            <w:pPr>
              <w:tabs>
                <w:tab w:val="left" w:pos="540"/>
              </w:tabs>
              <w:spacing w:line="216" w:lineRule="auto"/>
              <w:jc w:val="left"/>
              <w:textAlignment w:val="baseline"/>
              <w:rPr>
                <w:rStyle w:val="55"/>
                <w:rFonts w:ascii="宋体" w:hAnsi="宋体"/>
                <w:sz w:val="22"/>
                <w:szCs w:val="22"/>
              </w:rPr>
            </w:pPr>
            <w:r>
              <w:rPr>
                <w:rStyle w:val="55"/>
                <w:rFonts w:hint="eastAsia" w:ascii="宋体" w:hAnsi="宋体"/>
                <w:sz w:val="22"/>
                <w:szCs w:val="22"/>
              </w:rPr>
              <w:t>企业业绩</w:t>
            </w:r>
          </w:p>
        </w:tc>
        <w:tc>
          <w:tcPr>
            <w:tcW w:w="7721" w:type="dxa"/>
            <w:vAlign w:val="center"/>
          </w:tcPr>
          <w:p>
            <w:pPr>
              <w:tabs>
                <w:tab w:val="left" w:pos="540"/>
              </w:tabs>
              <w:spacing w:line="216" w:lineRule="auto"/>
              <w:textAlignment w:val="baseline"/>
              <w:rPr>
                <w:rStyle w:val="55"/>
                <w:rFonts w:ascii="宋体" w:hAnsi="宋体"/>
                <w:sz w:val="22"/>
                <w:szCs w:val="22"/>
              </w:rPr>
            </w:pPr>
            <w:r>
              <w:rPr>
                <w:rFonts w:hint="eastAsia" w:ascii="宋体" w:hAnsi="宋体" w:cs="宋体"/>
                <w:sz w:val="22"/>
                <w:szCs w:val="22"/>
              </w:rPr>
              <w:t>供应商自2020年1月1日以来（以合同签订时间为准），承接过</w:t>
            </w:r>
            <w:r>
              <w:rPr>
                <w:rFonts w:hint="eastAsia" w:ascii="宋体" w:hAnsi="宋体" w:cs="宋体"/>
                <w:color w:val="auto"/>
                <w:sz w:val="22"/>
                <w:szCs w:val="22"/>
                <w:lang w:eastAsia="zh-CN"/>
              </w:rPr>
              <w:t>类似</w:t>
            </w:r>
            <w:r>
              <w:rPr>
                <w:rFonts w:hint="eastAsia" w:ascii="宋体" w:hAnsi="宋体" w:cs="宋体"/>
                <w:color w:val="auto"/>
                <w:sz w:val="22"/>
                <w:szCs w:val="22"/>
              </w:rPr>
              <w:t>项目</w:t>
            </w:r>
            <w:r>
              <w:rPr>
                <w:rFonts w:hint="eastAsia" w:ascii="宋体" w:hAnsi="宋体" w:cs="宋体"/>
                <w:sz w:val="22"/>
                <w:szCs w:val="22"/>
              </w:rPr>
              <w:t>的，每提供一个项目业绩得1分（同一服务单位不重复计算），最高得3分。</w:t>
            </w:r>
            <w:r>
              <w:rPr>
                <w:rFonts w:hint="eastAsia" w:ascii="宋体" w:hAnsi="宋体" w:cs="宋体"/>
                <w:b/>
                <w:sz w:val="22"/>
                <w:szCs w:val="22"/>
              </w:rPr>
              <w:t>提供完整合同</w:t>
            </w:r>
            <w:r>
              <w:rPr>
                <w:rFonts w:hint="eastAsia" w:ascii="宋体" w:hAnsi="宋体" w:cs="宋体"/>
                <w:b/>
                <w:sz w:val="22"/>
                <w:szCs w:val="22"/>
                <w:lang w:eastAsia="zh-CN"/>
              </w:rPr>
              <w:t>扫描件</w:t>
            </w:r>
            <w:r>
              <w:rPr>
                <w:rFonts w:hint="eastAsia" w:ascii="宋体" w:hAnsi="宋体" w:cs="宋体"/>
                <w:b/>
                <w:sz w:val="22"/>
                <w:szCs w:val="22"/>
              </w:rPr>
              <w:t>（合同不得缺页漏项）加盖</w:t>
            </w:r>
            <w:r>
              <w:rPr>
                <w:rFonts w:hint="eastAsia"/>
                <w:b/>
                <w:bCs/>
              </w:rPr>
              <w:t>电子印章</w:t>
            </w:r>
            <w:r>
              <w:rPr>
                <w:rFonts w:hint="eastAsia" w:ascii="宋体" w:hAnsi="宋体" w:cs="宋体"/>
                <w:b/>
                <w:sz w:val="22"/>
                <w:szCs w:val="22"/>
              </w:rPr>
              <w:t>。</w:t>
            </w:r>
          </w:p>
        </w:tc>
        <w:tc>
          <w:tcPr>
            <w:tcW w:w="460" w:type="dxa"/>
            <w:vAlign w:val="center"/>
          </w:tcPr>
          <w:p>
            <w:pPr>
              <w:tabs>
                <w:tab w:val="left" w:pos="540"/>
              </w:tabs>
              <w:spacing w:line="216" w:lineRule="auto"/>
              <w:jc w:val="center"/>
              <w:textAlignment w:val="baseline"/>
              <w:rPr>
                <w:rFonts w:ascii="宋体" w:hAnsi="宋体"/>
                <w:sz w:val="22"/>
                <w:szCs w:val="22"/>
              </w:rPr>
            </w:pPr>
            <w:r>
              <w:rPr>
                <w:rStyle w:val="55"/>
                <w:rFonts w:hint="eastAsia" w:ascii="宋体" w:hAnsi="宋体"/>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502" w:type="dxa"/>
            <w:vMerge w:val="continue"/>
            <w:vAlign w:val="center"/>
          </w:tcPr>
          <w:p>
            <w:pPr>
              <w:tabs>
                <w:tab w:val="left" w:pos="540"/>
              </w:tabs>
              <w:spacing w:line="216" w:lineRule="auto"/>
              <w:jc w:val="center"/>
              <w:textAlignment w:val="baseline"/>
              <w:rPr>
                <w:rStyle w:val="55"/>
                <w:rFonts w:ascii="宋体" w:hAnsi="宋体"/>
                <w:sz w:val="22"/>
                <w:szCs w:val="22"/>
              </w:rPr>
            </w:pPr>
          </w:p>
        </w:tc>
        <w:tc>
          <w:tcPr>
            <w:tcW w:w="756" w:type="dxa"/>
            <w:vAlign w:val="center"/>
          </w:tcPr>
          <w:p>
            <w:pPr>
              <w:tabs>
                <w:tab w:val="left" w:pos="540"/>
              </w:tabs>
              <w:spacing w:line="216" w:lineRule="auto"/>
              <w:jc w:val="left"/>
              <w:textAlignment w:val="baseline"/>
              <w:rPr>
                <w:rStyle w:val="55"/>
                <w:rFonts w:ascii="宋体" w:hAnsi="宋体"/>
                <w:sz w:val="22"/>
                <w:szCs w:val="22"/>
              </w:rPr>
            </w:pPr>
            <w:r>
              <w:rPr>
                <w:rStyle w:val="55"/>
                <w:rFonts w:hint="eastAsia" w:ascii="宋体" w:hAnsi="宋体"/>
                <w:sz w:val="22"/>
                <w:szCs w:val="22"/>
              </w:rPr>
              <w:t>体系认证</w:t>
            </w:r>
          </w:p>
        </w:tc>
        <w:tc>
          <w:tcPr>
            <w:tcW w:w="7721" w:type="dxa"/>
            <w:vAlign w:val="center"/>
          </w:tcPr>
          <w:p>
            <w:pPr>
              <w:spacing w:line="216" w:lineRule="auto"/>
              <w:rPr>
                <w:rFonts w:ascii="宋体" w:hAnsi="宋体"/>
                <w:sz w:val="22"/>
                <w:szCs w:val="22"/>
              </w:rPr>
            </w:pPr>
            <w:r>
              <w:rPr>
                <w:rFonts w:hint="eastAsia" w:ascii="宋体" w:hAnsi="宋体"/>
                <w:sz w:val="22"/>
                <w:szCs w:val="22"/>
              </w:rPr>
              <w:t>供应商具有环境管理体系认证、职业健康安全管理体系认证、质量管理体系认证</w:t>
            </w:r>
            <w:r>
              <w:rPr>
                <w:rFonts w:hint="eastAsia" w:ascii="宋体" w:hAnsi="宋体"/>
                <w:sz w:val="22"/>
                <w:szCs w:val="22"/>
                <w:lang w:eastAsia="zh-CN"/>
              </w:rPr>
              <w:t>、ISO22000食品安全管理体系认证</w:t>
            </w:r>
            <w:r>
              <w:rPr>
                <w:rFonts w:hint="eastAsia" w:ascii="宋体" w:hAnsi="宋体"/>
                <w:sz w:val="22"/>
                <w:szCs w:val="22"/>
              </w:rPr>
              <w:t>且在有效期内，每提供一个得1分，最高得</w:t>
            </w:r>
            <w:r>
              <w:rPr>
                <w:rFonts w:hint="eastAsia" w:ascii="宋体" w:hAnsi="宋体"/>
                <w:sz w:val="22"/>
                <w:szCs w:val="22"/>
                <w:lang w:val="en-US" w:eastAsia="zh-CN"/>
              </w:rPr>
              <w:t>4</w:t>
            </w:r>
            <w:r>
              <w:rPr>
                <w:rFonts w:hint="eastAsia" w:ascii="宋体" w:hAnsi="宋体"/>
                <w:sz w:val="22"/>
                <w:szCs w:val="22"/>
              </w:rPr>
              <w:t>分。</w:t>
            </w:r>
          </w:p>
          <w:p>
            <w:pPr>
              <w:tabs>
                <w:tab w:val="left" w:pos="540"/>
              </w:tabs>
              <w:spacing w:line="216" w:lineRule="auto"/>
              <w:textAlignment w:val="baseline"/>
              <w:rPr>
                <w:rStyle w:val="55"/>
                <w:rFonts w:ascii="宋体" w:hAnsi="宋体"/>
                <w:sz w:val="22"/>
                <w:szCs w:val="22"/>
              </w:rPr>
            </w:pPr>
            <w:r>
              <w:rPr>
                <w:rFonts w:hint="eastAsia" w:ascii="宋体" w:hAnsi="宋体"/>
                <w:b/>
                <w:sz w:val="22"/>
                <w:szCs w:val="22"/>
              </w:rPr>
              <w:t>上述证书须在权威网站（如：全国认证认可信息公共服务平台）可查。提供证书</w:t>
            </w:r>
            <w:r>
              <w:rPr>
                <w:rFonts w:hint="eastAsia" w:ascii="宋体" w:hAnsi="宋体"/>
                <w:b/>
                <w:sz w:val="22"/>
                <w:szCs w:val="22"/>
                <w:lang w:eastAsia="zh-CN"/>
              </w:rPr>
              <w:t>扫描件</w:t>
            </w:r>
            <w:r>
              <w:rPr>
                <w:rFonts w:hint="eastAsia" w:ascii="宋体" w:hAnsi="宋体"/>
                <w:b/>
                <w:sz w:val="22"/>
                <w:szCs w:val="22"/>
              </w:rPr>
              <w:t>或权威网站查询页面截图，</w:t>
            </w:r>
            <w:r>
              <w:rPr>
                <w:rFonts w:hint="eastAsia" w:ascii="宋体" w:hAnsi="宋体" w:cs="宋体"/>
                <w:b/>
                <w:bCs/>
                <w:kern w:val="0"/>
                <w:sz w:val="22"/>
                <w:szCs w:val="22"/>
              </w:rPr>
              <w:t>以上均加盖</w:t>
            </w:r>
            <w:r>
              <w:rPr>
                <w:rFonts w:hint="eastAsia" w:ascii="宋体" w:hAnsi="宋体" w:cs="宋体"/>
                <w:b/>
                <w:bCs/>
                <w:kern w:val="0"/>
                <w:sz w:val="22"/>
                <w:szCs w:val="22"/>
                <w:lang w:eastAsia="zh-CN"/>
              </w:rPr>
              <w:t>电子印章</w:t>
            </w:r>
            <w:r>
              <w:rPr>
                <w:rFonts w:hint="eastAsia" w:ascii="宋体" w:hAnsi="宋体" w:cs="宋体"/>
                <w:b/>
                <w:bCs/>
                <w:kern w:val="0"/>
                <w:sz w:val="22"/>
                <w:szCs w:val="22"/>
              </w:rPr>
              <w:t>。</w:t>
            </w:r>
          </w:p>
        </w:tc>
        <w:tc>
          <w:tcPr>
            <w:tcW w:w="460" w:type="dxa"/>
            <w:vAlign w:val="center"/>
          </w:tcPr>
          <w:p>
            <w:pPr>
              <w:tabs>
                <w:tab w:val="left" w:pos="540"/>
              </w:tabs>
              <w:spacing w:line="216" w:lineRule="auto"/>
              <w:jc w:val="center"/>
              <w:textAlignment w:val="baseline"/>
              <w:rPr>
                <w:rStyle w:val="55"/>
                <w:rFonts w:hint="eastAsia" w:ascii="宋体" w:hAnsi="宋体" w:eastAsia="宋体"/>
                <w:sz w:val="22"/>
                <w:szCs w:val="22"/>
                <w:lang w:eastAsia="zh-CN"/>
              </w:rPr>
            </w:pPr>
            <w:r>
              <w:rPr>
                <w:rStyle w:val="55"/>
                <w:rFonts w:hint="eastAsia" w:ascii="宋体" w:hAnsi="宋体"/>
                <w:sz w:val="22"/>
                <w:szCs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02" w:type="dxa"/>
            <w:vMerge w:val="restart"/>
            <w:vAlign w:val="center"/>
          </w:tcPr>
          <w:p>
            <w:pPr>
              <w:tabs>
                <w:tab w:val="left" w:pos="540"/>
              </w:tabs>
              <w:spacing w:line="216" w:lineRule="auto"/>
              <w:jc w:val="center"/>
              <w:textAlignment w:val="baseline"/>
              <w:rPr>
                <w:rStyle w:val="55"/>
                <w:rFonts w:ascii="宋体" w:hAnsi="宋体"/>
                <w:sz w:val="22"/>
                <w:szCs w:val="22"/>
              </w:rPr>
            </w:pPr>
            <w:r>
              <w:rPr>
                <w:rStyle w:val="55"/>
                <w:rFonts w:hint="eastAsia" w:ascii="宋体" w:hAnsi="宋体"/>
                <w:sz w:val="22"/>
                <w:szCs w:val="22"/>
              </w:rPr>
              <w:t>技术</w:t>
            </w:r>
          </w:p>
          <w:p>
            <w:pPr>
              <w:tabs>
                <w:tab w:val="left" w:pos="540"/>
              </w:tabs>
              <w:spacing w:line="216" w:lineRule="auto"/>
              <w:jc w:val="center"/>
              <w:textAlignment w:val="baseline"/>
              <w:rPr>
                <w:rStyle w:val="55"/>
                <w:rFonts w:ascii="宋体" w:hAnsi="宋体"/>
                <w:sz w:val="22"/>
                <w:szCs w:val="22"/>
              </w:rPr>
            </w:pPr>
            <w:r>
              <w:rPr>
                <w:rStyle w:val="55"/>
                <w:rFonts w:hint="eastAsia" w:ascii="宋体" w:hAnsi="宋体"/>
                <w:sz w:val="22"/>
                <w:szCs w:val="22"/>
              </w:rPr>
              <w:t>6</w:t>
            </w:r>
            <w:r>
              <w:rPr>
                <w:rStyle w:val="55"/>
                <w:rFonts w:hint="eastAsia" w:ascii="宋体" w:hAnsi="宋体"/>
                <w:sz w:val="22"/>
                <w:szCs w:val="22"/>
                <w:lang w:val="en-US" w:eastAsia="zh-CN"/>
              </w:rPr>
              <w:t>3</w:t>
            </w:r>
            <w:r>
              <w:rPr>
                <w:rStyle w:val="55"/>
                <w:rFonts w:hint="eastAsia" w:ascii="宋体" w:hAnsi="宋体"/>
                <w:sz w:val="22"/>
                <w:szCs w:val="22"/>
              </w:rPr>
              <w:t>分</w:t>
            </w:r>
          </w:p>
        </w:tc>
        <w:tc>
          <w:tcPr>
            <w:tcW w:w="756" w:type="dxa"/>
            <w:vAlign w:val="center"/>
          </w:tcPr>
          <w:p>
            <w:pPr>
              <w:tabs>
                <w:tab w:val="left" w:pos="540"/>
              </w:tabs>
              <w:spacing w:line="216" w:lineRule="auto"/>
              <w:jc w:val="left"/>
              <w:textAlignment w:val="baseline"/>
              <w:rPr>
                <w:rStyle w:val="55"/>
                <w:rFonts w:ascii="宋体" w:hAnsi="宋体"/>
                <w:sz w:val="22"/>
                <w:szCs w:val="22"/>
              </w:rPr>
            </w:pPr>
            <w:r>
              <w:rPr>
                <w:rStyle w:val="55"/>
                <w:rFonts w:hint="eastAsia" w:ascii="宋体" w:hAnsi="宋体"/>
                <w:sz w:val="22"/>
                <w:szCs w:val="22"/>
              </w:rPr>
              <w:t>人员配置情况</w:t>
            </w:r>
          </w:p>
        </w:tc>
        <w:tc>
          <w:tcPr>
            <w:tcW w:w="7721" w:type="dxa"/>
            <w:vAlign w:val="center"/>
          </w:tcPr>
          <w:p>
            <w:pPr>
              <w:spacing w:line="216" w:lineRule="auto"/>
              <w:rPr>
                <w:rFonts w:hint="eastAsia" w:ascii="宋体" w:hAnsi="宋体" w:cs="宋体"/>
                <w:color w:val="auto"/>
                <w:sz w:val="22"/>
                <w:szCs w:val="22"/>
              </w:rPr>
            </w:pPr>
            <w:r>
              <w:rPr>
                <w:rFonts w:hint="eastAsia" w:ascii="宋体" w:hAnsi="宋体" w:cs="宋体"/>
                <w:sz w:val="22"/>
                <w:szCs w:val="22"/>
              </w:rPr>
              <w:t>为本项目配备的：</w:t>
            </w:r>
          </w:p>
          <w:p>
            <w:pPr>
              <w:numPr>
                <w:ilvl w:val="0"/>
                <w:numId w:val="6"/>
              </w:numPr>
              <w:spacing w:line="216" w:lineRule="auto"/>
              <w:rPr>
                <w:rFonts w:hint="eastAsia" w:ascii="宋体" w:hAnsi="宋体" w:cs="宋体"/>
                <w:b/>
                <w:bCs/>
                <w:color w:val="auto"/>
                <w:sz w:val="22"/>
                <w:szCs w:val="22"/>
              </w:rPr>
            </w:pPr>
            <w:r>
              <w:rPr>
                <w:rFonts w:hint="eastAsia" w:ascii="宋体" w:hAnsi="宋体" w:cs="宋体"/>
                <w:b/>
                <w:bCs/>
                <w:color w:val="auto"/>
                <w:sz w:val="22"/>
                <w:szCs w:val="22"/>
              </w:rPr>
              <w:t>厨师长</w:t>
            </w:r>
            <w:r>
              <w:rPr>
                <w:rFonts w:hint="eastAsia" w:ascii="宋体" w:hAnsi="宋体" w:cs="宋体"/>
                <w:b/>
                <w:bCs/>
                <w:color w:val="auto"/>
                <w:sz w:val="22"/>
                <w:szCs w:val="22"/>
                <w:lang w:eastAsia="zh-CN"/>
              </w:rPr>
              <w:t>（</w:t>
            </w:r>
            <w:r>
              <w:rPr>
                <w:rFonts w:hint="eastAsia" w:ascii="宋体" w:hAnsi="宋体" w:cs="宋体"/>
                <w:b/>
                <w:bCs/>
                <w:color w:val="auto"/>
                <w:sz w:val="22"/>
                <w:szCs w:val="22"/>
                <w:lang w:val="en-US" w:eastAsia="zh-CN"/>
              </w:rPr>
              <w:t>6</w:t>
            </w:r>
            <w:r>
              <w:rPr>
                <w:rFonts w:hint="eastAsia" w:ascii="宋体" w:hAnsi="宋体" w:cs="宋体"/>
                <w:b/>
                <w:bCs/>
                <w:color w:val="auto"/>
                <w:sz w:val="22"/>
                <w:szCs w:val="22"/>
                <w:lang w:eastAsia="zh-CN"/>
              </w:rPr>
              <w:t>分）：</w:t>
            </w:r>
          </w:p>
          <w:p>
            <w:pPr>
              <w:pStyle w:val="2"/>
              <w:numPr>
                <w:ilvl w:val="0"/>
                <w:numId w:val="7"/>
              </w:numPr>
              <w:ind w:left="0" w:leftChars="0" w:firstLine="0" w:firstLineChars="0"/>
              <w:rPr>
                <w:rFonts w:hint="eastAsia"/>
                <w:color w:val="auto"/>
              </w:rPr>
            </w:pPr>
            <w:r>
              <w:rPr>
                <w:rFonts w:hint="eastAsia"/>
                <w:color w:val="auto"/>
                <w:lang w:eastAsia="zh-CN"/>
              </w:rPr>
              <w:t>工作经验</w:t>
            </w:r>
            <w:r>
              <w:rPr>
                <w:rFonts w:hint="eastAsia"/>
                <w:color w:val="auto"/>
              </w:rPr>
              <w:t>（</w:t>
            </w:r>
            <w:r>
              <w:rPr>
                <w:rFonts w:hint="eastAsia"/>
                <w:color w:val="auto"/>
                <w:lang w:val="en-US" w:eastAsia="zh-CN"/>
              </w:rPr>
              <w:t>2</w:t>
            </w:r>
            <w:r>
              <w:rPr>
                <w:rFonts w:hint="eastAsia"/>
                <w:color w:val="auto"/>
              </w:rPr>
              <w:t>分）</w:t>
            </w:r>
            <w:r>
              <w:rPr>
                <w:rFonts w:hint="eastAsia"/>
                <w:color w:val="auto"/>
                <w:lang w:eastAsia="zh-CN"/>
              </w:rPr>
              <w:t>：</w:t>
            </w:r>
          </w:p>
          <w:p>
            <w:pPr>
              <w:pStyle w:val="2"/>
              <w:numPr>
                <w:ilvl w:val="0"/>
                <w:numId w:val="0"/>
              </w:numPr>
              <w:ind w:leftChars="0" w:firstLine="420" w:firstLineChars="200"/>
              <w:rPr>
                <w:rFonts w:hint="eastAsia"/>
                <w:color w:val="auto"/>
                <w:u w:val="none"/>
              </w:rPr>
            </w:pPr>
            <w:r>
              <w:rPr>
                <w:rFonts w:hint="eastAsia"/>
                <w:color w:val="auto"/>
              </w:rPr>
              <w:t>具有1年</w:t>
            </w:r>
            <w:r>
              <w:rPr>
                <w:rFonts w:hint="eastAsia"/>
                <w:color w:val="auto"/>
                <w:u w:val="none"/>
              </w:rPr>
              <w:t>≤</w:t>
            </w:r>
            <w:r>
              <w:rPr>
                <w:rFonts w:hint="eastAsia"/>
                <w:color w:val="auto"/>
                <w:u w:val="none"/>
                <w:lang w:eastAsia="zh-CN"/>
              </w:rPr>
              <w:t>厨师长工作经验</w:t>
            </w:r>
            <w:r>
              <w:rPr>
                <w:rFonts w:hint="eastAsia"/>
                <w:color w:val="auto"/>
                <w:u w:val="none"/>
              </w:rPr>
              <w:t>＜</w:t>
            </w:r>
            <w:r>
              <w:rPr>
                <w:rFonts w:hint="eastAsia"/>
                <w:color w:val="auto"/>
                <w:u w:val="none"/>
                <w:lang w:val="en-US" w:eastAsia="zh-CN"/>
              </w:rPr>
              <w:t>2</w:t>
            </w:r>
            <w:r>
              <w:rPr>
                <w:rFonts w:hint="eastAsia"/>
                <w:color w:val="auto"/>
                <w:u w:val="none"/>
              </w:rPr>
              <w:t>年的得</w:t>
            </w:r>
            <w:r>
              <w:rPr>
                <w:rFonts w:hint="eastAsia"/>
                <w:color w:val="auto"/>
                <w:u w:val="none"/>
                <w:lang w:val="en-US" w:eastAsia="zh-CN"/>
              </w:rPr>
              <w:t>0.5</w:t>
            </w:r>
            <w:r>
              <w:rPr>
                <w:rFonts w:hint="eastAsia"/>
                <w:color w:val="auto"/>
                <w:u w:val="none"/>
              </w:rPr>
              <w:t>分；</w:t>
            </w:r>
          </w:p>
          <w:p>
            <w:pPr>
              <w:pStyle w:val="2"/>
              <w:ind w:left="0" w:leftChars="0" w:firstLine="420" w:firstLineChars="200"/>
              <w:rPr>
                <w:rFonts w:hint="eastAsia"/>
                <w:color w:val="auto"/>
                <w:u w:val="none"/>
              </w:rPr>
            </w:pPr>
            <w:r>
              <w:rPr>
                <w:rFonts w:hint="eastAsia"/>
                <w:color w:val="auto"/>
                <w:u w:val="none"/>
              </w:rPr>
              <w:t>具有</w:t>
            </w:r>
            <w:r>
              <w:rPr>
                <w:rFonts w:hint="eastAsia"/>
                <w:color w:val="auto"/>
                <w:u w:val="none"/>
                <w:lang w:val="en-US" w:eastAsia="zh-CN"/>
              </w:rPr>
              <w:t>2</w:t>
            </w:r>
            <w:r>
              <w:rPr>
                <w:rFonts w:hint="eastAsia"/>
                <w:color w:val="auto"/>
                <w:u w:val="none"/>
              </w:rPr>
              <w:t>年≤</w:t>
            </w:r>
            <w:r>
              <w:rPr>
                <w:rFonts w:hint="eastAsia"/>
                <w:color w:val="auto"/>
                <w:u w:val="none"/>
                <w:lang w:eastAsia="zh-CN"/>
              </w:rPr>
              <w:t>厨师长工作</w:t>
            </w:r>
            <w:r>
              <w:rPr>
                <w:rFonts w:hint="eastAsia"/>
                <w:color w:val="auto"/>
                <w:u w:val="none"/>
              </w:rPr>
              <w:t>经验＜</w:t>
            </w:r>
            <w:r>
              <w:rPr>
                <w:rFonts w:hint="eastAsia"/>
                <w:color w:val="auto"/>
                <w:u w:val="none"/>
                <w:lang w:val="en-US" w:eastAsia="zh-CN"/>
              </w:rPr>
              <w:t>3</w:t>
            </w:r>
            <w:r>
              <w:rPr>
                <w:rFonts w:hint="eastAsia"/>
                <w:color w:val="auto"/>
                <w:u w:val="none"/>
              </w:rPr>
              <w:t>年的得</w:t>
            </w:r>
            <w:r>
              <w:rPr>
                <w:rFonts w:hint="eastAsia"/>
                <w:color w:val="auto"/>
                <w:u w:val="none"/>
                <w:lang w:val="en-US" w:eastAsia="zh-CN"/>
              </w:rPr>
              <w:t>1</w:t>
            </w:r>
            <w:r>
              <w:rPr>
                <w:rFonts w:hint="eastAsia"/>
                <w:color w:val="auto"/>
                <w:u w:val="none"/>
              </w:rPr>
              <w:t>分；</w:t>
            </w:r>
          </w:p>
          <w:p>
            <w:pPr>
              <w:pStyle w:val="2"/>
              <w:ind w:left="0" w:leftChars="0" w:firstLine="420" w:firstLineChars="200"/>
              <w:rPr>
                <w:rFonts w:hint="eastAsia"/>
                <w:color w:val="auto"/>
                <w:u w:val="none"/>
              </w:rPr>
            </w:pPr>
            <w:r>
              <w:rPr>
                <w:rFonts w:hint="eastAsia"/>
                <w:color w:val="auto"/>
                <w:u w:val="none"/>
              </w:rPr>
              <w:t>具有</w:t>
            </w:r>
            <w:r>
              <w:rPr>
                <w:rFonts w:hint="eastAsia"/>
                <w:color w:val="auto"/>
                <w:u w:val="none"/>
                <w:lang w:val="en-US" w:eastAsia="zh-CN"/>
              </w:rPr>
              <w:t>3</w:t>
            </w:r>
            <w:r>
              <w:rPr>
                <w:rFonts w:hint="eastAsia"/>
                <w:color w:val="auto"/>
                <w:u w:val="none"/>
              </w:rPr>
              <w:t>年≤</w:t>
            </w:r>
            <w:r>
              <w:rPr>
                <w:rFonts w:hint="eastAsia"/>
                <w:color w:val="auto"/>
                <w:u w:val="none"/>
                <w:lang w:eastAsia="zh-CN"/>
              </w:rPr>
              <w:t>厨师长工作</w:t>
            </w:r>
            <w:r>
              <w:rPr>
                <w:rFonts w:hint="eastAsia"/>
                <w:color w:val="auto"/>
                <w:u w:val="none"/>
              </w:rPr>
              <w:t>经验＜</w:t>
            </w:r>
            <w:r>
              <w:rPr>
                <w:rFonts w:hint="eastAsia"/>
                <w:color w:val="auto"/>
                <w:u w:val="none"/>
                <w:lang w:val="en-US" w:eastAsia="zh-CN"/>
              </w:rPr>
              <w:t>4</w:t>
            </w:r>
            <w:r>
              <w:rPr>
                <w:rFonts w:hint="eastAsia"/>
                <w:color w:val="auto"/>
                <w:u w:val="none"/>
              </w:rPr>
              <w:t>年的得</w:t>
            </w:r>
            <w:r>
              <w:rPr>
                <w:rFonts w:hint="eastAsia"/>
                <w:color w:val="auto"/>
                <w:u w:val="none"/>
                <w:lang w:val="en-US" w:eastAsia="zh-CN"/>
              </w:rPr>
              <w:t>1.5</w:t>
            </w:r>
            <w:r>
              <w:rPr>
                <w:rFonts w:hint="eastAsia"/>
                <w:color w:val="auto"/>
                <w:u w:val="none"/>
              </w:rPr>
              <w:t>分；</w:t>
            </w:r>
          </w:p>
          <w:p>
            <w:pPr>
              <w:pStyle w:val="2"/>
              <w:ind w:left="0" w:leftChars="0" w:firstLine="420" w:firstLineChars="200"/>
              <w:rPr>
                <w:rFonts w:hint="eastAsia" w:eastAsia="宋体"/>
                <w:color w:val="auto"/>
                <w:u w:val="none"/>
                <w:lang w:eastAsia="zh-CN"/>
              </w:rPr>
            </w:pPr>
            <w:r>
              <w:rPr>
                <w:rFonts w:hint="eastAsia"/>
                <w:color w:val="auto"/>
                <w:u w:val="none"/>
              </w:rPr>
              <w:t>具有</w:t>
            </w:r>
            <w:r>
              <w:rPr>
                <w:rFonts w:hint="eastAsia"/>
                <w:color w:val="auto"/>
                <w:u w:val="none"/>
                <w:lang w:val="en-US" w:eastAsia="zh-CN"/>
              </w:rPr>
              <w:t>4</w:t>
            </w:r>
            <w:r>
              <w:rPr>
                <w:rFonts w:hint="eastAsia"/>
                <w:color w:val="auto"/>
                <w:u w:val="none"/>
              </w:rPr>
              <w:t>年≤</w:t>
            </w:r>
            <w:r>
              <w:rPr>
                <w:rFonts w:hint="eastAsia"/>
                <w:color w:val="auto"/>
                <w:u w:val="none"/>
                <w:lang w:eastAsia="zh-CN"/>
              </w:rPr>
              <w:t>厨师长工作</w:t>
            </w:r>
            <w:r>
              <w:rPr>
                <w:rFonts w:hint="eastAsia"/>
                <w:color w:val="auto"/>
                <w:u w:val="none"/>
              </w:rPr>
              <w:t>经验</w:t>
            </w:r>
            <w:r>
              <w:rPr>
                <w:rFonts w:hint="eastAsia"/>
                <w:color w:val="auto"/>
                <w:u w:val="none"/>
                <w:lang w:val="en-US" w:eastAsia="zh-CN"/>
              </w:rPr>
              <w:t xml:space="preserve">  </w:t>
            </w:r>
            <w:r>
              <w:rPr>
                <w:rFonts w:hint="eastAsia"/>
                <w:color w:val="auto"/>
                <w:u w:val="none"/>
              </w:rPr>
              <w:t>得</w:t>
            </w:r>
            <w:r>
              <w:rPr>
                <w:rFonts w:hint="eastAsia"/>
                <w:color w:val="auto"/>
                <w:u w:val="none"/>
                <w:lang w:val="en-US" w:eastAsia="zh-CN"/>
              </w:rPr>
              <w:t>2</w:t>
            </w:r>
            <w:r>
              <w:rPr>
                <w:rFonts w:hint="eastAsia"/>
                <w:color w:val="auto"/>
                <w:u w:val="none"/>
              </w:rPr>
              <w:t>分</w:t>
            </w:r>
            <w:r>
              <w:rPr>
                <w:rFonts w:hint="eastAsia"/>
                <w:color w:val="auto"/>
                <w:u w:val="none"/>
                <w:lang w:eastAsia="zh-CN"/>
              </w:rPr>
              <w:t>。</w:t>
            </w:r>
          </w:p>
          <w:p>
            <w:pPr>
              <w:pStyle w:val="2"/>
              <w:ind w:left="0" w:leftChars="0" w:firstLine="0" w:firstLineChars="0"/>
              <w:rPr>
                <w:rFonts w:hint="eastAsia"/>
                <w:color w:val="auto"/>
                <w:u w:val="none"/>
              </w:rPr>
            </w:pPr>
            <w:r>
              <w:rPr>
                <w:rFonts w:hint="eastAsia"/>
                <w:color w:val="auto"/>
                <w:u w:val="none"/>
                <w:lang w:eastAsia="zh-CN"/>
              </w:rPr>
              <w:t>（</w:t>
            </w:r>
            <w:r>
              <w:rPr>
                <w:rFonts w:hint="eastAsia"/>
                <w:color w:val="auto"/>
                <w:u w:val="none"/>
                <w:lang w:val="en-US" w:eastAsia="zh-CN"/>
              </w:rPr>
              <w:t>2</w:t>
            </w:r>
            <w:r>
              <w:rPr>
                <w:rFonts w:hint="eastAsia"/>
                <w:color w:val="auto"/>
                <w:u w:val="none"/>
                <w:lang w:eastAsia="zh-CN"/>
              </w:rPr>
              <w:t>）</w:t>
            </w:r>
            <w:r>
              <w:rPr>
                <w:rFonts w:hint="eastAsia"/>
                <w:color w:val="auto"/>
                <w:u w:val="none"/>
              </w:rPr>
              <w:t>业主满意度（4分）：从事过类似项目厨师长经历且客户满意度较高的，每</w:t>
            </w:r>
            <w:r>
              <w:rPr>
                <w:rFonts w:hint="eastAsia"/>
                <w:color w:val="auto"/>
                <w:u w:val="none"/>
                <w:lang w:eastAsia="zh-CN"/>
              </w:rPr>
              <w:t>提供一个</w:t>
            </w:r>
            <w:r>
              <w:rPr>
                <w:rFonts w:hint="eastAsia"/>
                <w:color w:val="auto"/>
                <w:u w:val="none"/>
              </w:rPr>
              <w:t>得2分，</w:t>
            </w:r>
            <w:r>
              <w:rPr>
                <w:rFonts w:hint="eastAsia"/>
                <w:color w:val="auto"/>
                <w:highlight w:val="none"/>
                <w:u w:val="none"/>
              </w:rPr>
              <w:t>同一个业主不重复计分，</w:t>
            </w:r>
            <w:r>
              <w:rPr>
                <w:rFonts w:hint="eastAsia"/>
                <w:color w:val="auto"/>
                <w:u w:val="none"/>
              </w:rPr>
              <w:t>本项最高</w:t>
            </w:r>
            <w:r>
              <w:rPr>
                <w:rFonts w:hint="eastAsia"/>
                <w:color w:val="auto"/>
                <w:u w:val="none"/>
                <w:lang w:val="en-US" w:eastAsia="zh-CN"/>
              </w:rPr>
              <w:t>4</w:t>
            </w:r>
            <w:r>
              <w:rPr>
                <w:rFonts w:hint="eastAsia"/>
                <w:color w:val="auto"/>
                <w:u w:val="none"/>
              </w:rPr>
              <w:t>分。</w:t>
            </w:r>
          </w:p>
          <w:p>
            <w:pPr>
              <w:numPr>
                <w:ilvl w:val="0"/>
                <w:numId w:val="6"/>
              </w:numPr>
              <w:spacing w:line="216" w:lineRule="auto"/>
              <w:rPr>
                <w:rFonts w:hint="eastAsia" w:ascii="宋体" w:hAnsi="宋体" w:cs="宋体"/>
                <w:b/>
                <w:bCs/>
                <w:color w:val="auto"/>
                <w:sz w:val="22"/>
                <w:szCs w:val="22"/>
                <w:u w:val="none"/>
              </w:rPr>
            </w:pPr>
            <w:r>
              <w:rPr>
                <w:rFonts w:hint="eastAsia"/>
                <w:b/>
                <w:bCs/>
                <w:color w:val="auto"/>
                <w:u w:val="none"/>
              </w:rPr>
              <w:t>主灶厨师</w:t>
            </w:r>
            <w:r>
              <w:rPr>
                <w:rFonts w:hint="eastAsia"/>
                <w:b/>
                <w:bCs/>
                <w:color w:val="auto"/>
                <w:u w:val="none"/>
                <w:lang w:eastAsia="zh-CN"/>
              </w:rPr>
              <w:t>、</w:t>
            </w:r>
            <w:r>
              <w:rPr>
                <w:rFonts w:hint="eastAsia"/>
                <w:b/>
                <w:bCs/>
                <w:color w:val="auto"/>
                <w:u w:val="none"/>
              </w:rPr>
              <w:t>副厨</w:t>
            </w:r>
            <w:r>
              <w:rPr>
                <w:rFonts w:hint="eastAsia" w:ascii="宋体" w:hAnsi="宋体" w:cs="宋体"/>
                <w:b/>
                <w:bCs/>
                <w:color w:val="auto"/>
                <w:sz w:val="22"/>
                <w:szCs w:val="22"/>
                <w:u w:val="none"/>
              </w:rPr>
              <w:t>（</w:t>
            </w:r>
            <w:r>
              <w:rPr>
                <w:rFonts w:hint="eastAsia" w:ascii="宋体" w:hAnsi="宋体" w:cs="宋体"/>
                <w:b/>
                <w:bCs/>
                <w:color w:val="auto"/>
                <w:sz w:val="22"/>
                <w:szCs w:val="22"/>
                <w:u w:val="none"/>
                <w:lang w:val="en-US" w:eastAsia="zh-CN"/>
              </w:rPr>
              <w:t>3</w:t>
            </w:r>
            <w:r>
              <w:rPr>
                <w:rFonts w:hint="eastAsia" w:ascii="宋体" w:hAnsi="宋体" w:cs="宋体"/>
                <w:b/>
                <w:bCs/>
                <w:color w:val="auto"/>
                <w:sz w:val="22"/>
                <w:szCs w:val="22"/>
                <w:u w:val="none"/>
              </w:rPr>
              <w:t>分）</w:t>
            </w:r>
            <w:r>
              <w:rPr>
                <w:rFonts w:hint="eastAsia" w:ascii="宋体" w:hAnsi="宋体" w:cs="宋体"/>
                <w:b/>
                <w:bCs/>
                <w:color w:val="auto"/>
                <w:sz w:val="22"/>
                <w:szCs w:val="22"/>
                <w:u w:val="none"/>
                <w:lang w:eastAsia="zh-CN"/>
              </w:rPr>
              <w:t>：</w:t>
            </w:r>
          </w:p>
          <w:p>
            <w:pPr>
              <w:pStyle w:val="2"/>
              <w:numPr>
                <w:ilvl w:val="0"/>
                <w:numId w:val="0"/>
              </w:numPr>
              <w:ind w:leftChars="0" w:firstLine="420" w:firstLineChars="200"/>
              <w:rPr>
                <w:rFonts w:hint="eastAsia"/>
                <w:color w:val="auto"/>
                <w:u w:val="none"/>
              </w:rPr>
            </w:pPr>
            <w:r>
              <w:rPr>
                <w:rFonts w:hint="eastAsia"/>
                <w:color w:val="auto"/>
                <w:u w:val="none"/>
              </w:rPr>
              <w:t>具有1年≤餐饮行业从业经验＜</w:t>
            </w:r>
            <w:r>
              <w:rPr>
                <w:rFonts w:hint="eastAsia"/>
                <w:color w:val="auto"/>
                <w:u w:val="none"/>
                <w:lang w:val="en-US" w:eastAsia="zh-CN"/>
              </w:rPr>
              <w:t>2</w:t>
            </w:r>
            <w:r>
              <w:rPr>
                <w:rFonts w:hint="eastAsia"/>
                <w:color w:val="auto"/>
                <w:u w:val="none"/>
              </w:rPr>
              <w:t>年的</w:t>
            </w:r>
            <w:r>
              <w:rPr>
                <w:rFonts w:hint="eastAsia"/>
                <w:color w:val="auto"/>
                <w:u w:val="none"/>
                <w:lang w:eastAsia="zh-CN"/>
              </w:rPr>
              <w:t>，每人</w:t>
            </w:r>
            <w:r>
              <w:rPr>
                <w:rFonts w:hint="eastAsia"/>
                <w:color w:val="auto"/>
                <w:u w:val="none"/>
              </w:rPr>
              <w:t>得</w:t>
            </w:r>
            <w:r>
              <w:rPr>
                <w:rFonts w:hint="eastAsia"/>
                <w:color w:val="auto"/>
                <w:u w:val="none"/>
                <w:lang w:val="en-US" w:eastAsia="zh-CN"/>
              </w:rPr>
              <w:t>0.5</w:t>
            </w:r>
            <w:r>
              <w:rPr>
                <w:rFonts w:hint="eastAsia"/>
                <w:color w:val="auto"/>
                <w:u w:val="none"/>
              </w:rPr>
              <w:t>分；</w:t>
            </w:r>
          </w:p>
          <w:p>
            <w:pPr>
              <w:pStyle w:val="2"/>
              <w:ind w:left="0" w:leftChars="0" w:firstLine="420" w:firstLineChars="200"/>
              <w:rPr>
                <w:rFonts w:hint="eastAsia"/>
                <w:color w:val="auto"/>
                <w:u w:val="none"/>
              </w:rPr>
            </w:pPr>
            <w:r>
              <w:rPr>
                <w:rFonts w:hint="eastAsia"/>
                <w:color w:val="auto"/>
                <w:u w:val="none"/>
              </w:rPr>
              <w:t>具有</w:t>
            </w:r>
            <w:r>
              <w:rPr>
                <w:rFonts w:hint="eastAsia"/>
                <w:color w:val="auto"/>
                <w:u w:val="none"/>
                <w:lang w:val="en-US" w:eastAsia="zh-CN"/>
              </w:rPr>
              <w:t>2</w:t>
            </w:r>
            <w:r>
              <w:rPr>
                <w:rFonts w:hint="eastAsia"/>
                <w:color w:val="auto"/>
                <w:u w:val="none"/>
              </w:rPr>
              <w:t>年≤餐饮行业从业经验＜</w:t>
            </w:r>
            <w:r>
              <w:rPr>
                <w:rFonts w:hint="eastAsia"/>
                <w:color w:val="auto"/>
                <w:u w:val="none"/>
                <w:lang w:val="en-US" w:eastAsia="zh-CN"/>
              </w:rPr>
              <w:t>3</w:t>
            </w:r>
            <w:r>
              <w:rPr>
                <w:rFonts w:hint="eastAsia"/>
                <w:color w:val="auto"/>
                <w:u w:val="none"/>
              </w:rPr>
              <w:t>年的</w:t>
            </w:r>
            <w:r>
              <w:rPr>
                <w:rFonts w:hint="eastAsia"/>
                <w:color w:val="auto"/>
                <w:u w:val="none"/>
                <w:lang w:eastAsia="zh-CN"/>
              </w:rPr>
              <w:t>，每人</w:t>
            </w:r>
            <w:r>
              <w:rPr>
                <w:rFonts w:hint="eastAsia"/>
                <w:color w:val="auto"/>
                <w:u w:val="none"/>
              </w:rPr>
              <w:t>得</w:t>
            </w:r>
            <w:r>
              <w:rPr>
                <w:rFonts w:hint="eastAsia"/>
                <w:color w:val="auto"/>
                <w:u w:val="none"/>
                <w:lang w:val="en-US" w:eastAsia="zh-CN"/>
              </w:rPr>
              <w:t>1</w:t>
            </w:r>
            <w:r>
              <w:rPr>
                <w:rFonts w:hint="eastAsia"/>
                <w:color w:val="auto"/>
                <w:u w:val="none"/>
              </w:rPr>
              <w:t>分；</w:t>
            </w:r>
          </w:p>
          <w:p>
            <w:pPr>
              <w:pStyle w:val="2"/>
              <w:ind w:left="0" w:leftChars="0" w:firstLine="420" w:firstLineChars="200"/>
              <w:rPr>
                <w:rFonts w:hint="default"/>
                <w:color w:val="auto"/>
                <w:u w:val="none"/>
                <w:lang w:val="en-US"/>
              </w:rPr>
            </w:pPr>
            <w:r>
              <w:rPr>
                <w:rFonts w:hint="eastAsia"/>
                <w:color w:val="auto"/>
                <w:u w:val="none"/>
              </w:rPr>
              <w:t>具有</w:t>
            </w:r>
            <w:r>
              <w:rPr>
                <w:rFonts w:hint="eastAsia"/>
                <w:color w:val="auto"/>
                <w:u w:val="none"/>
                <w:lang w:val="en-US" w:eastAsia="zh-CN"/>
              </w:rPr>
              <w:t>3</w:t>
            </w:r>
            <w:r>
              <w:rPr>
                <w:rFonts w:hint="eastAsia"/>
                <w:color w:val="auto"/>
                <w:u w:val="none"/>
              </w:rPr>
              <w:t>年≤餐饮行业从业经验</w:t>
            </w:r>
            <w:r>
              <w:rPr>
                <w:rFonts w:hint="eastAsia"/>
                <w:color w:val="auto"/>
                <w:u w:val="none"/>
                <w:lang w:eastAsia="zh-CN"/>
              </w:rPr>
              <w:t>，每人</w:t>
            </w:r>
            <w:r>
              <w:rPr>
                <w:rFonts w:hint="eastAsia"/>
                <w:color w:val="auto"/>
                <w:u w:val="none"/>
              </w:rPr>
              <w:t>得</w:t>
            </w:r>
            <w:r>
              <w:rPr>
                <w:rFonts w:hint="eastAsia"/>
                <w:color w:val="auto"/>
                <w:u w:val="none"/>
                <w:lang w:val="en-US" w:eastAsia="zh-CN"/>
              </w:rPr>
              <w:t>1.5</w:t>
            </w:r>
            <w:r>
              <w:rPr>
                <w:rFonts w:hint="eastAsia"/>
                <w:color w:val="auto"/>
                <w:u w:val="none"/>
              </w:rPr>
              <w:t>分</w:t>
            </w:r>
            <w:r>
              <w:rPr>
                <w:rFonts w:hint="eastAsia"/>
                <w:color w:val="auto"/>
                <w:u w:val="none"/>
                <w:lang w:eastAsia="zh-CN"/>
              </w:rPr>
              <w:t>。本项最高</w:t>
            </w:r>
            <w:r>
              <w:rPr>
                <w:rFonts w:hint="eastAsia"/>
                <w:color w:val="auto"/>
                <w:u w:val="none"/>
                <w:lang w:val="en-US" w:eastAsia="zh-CN"/>
              </w:rPr>
              <w:t>3分。</w:t>
            </w:r>
          </w:p>
          <w:p>
            <w:pPr>
              <w:numPr>
                <w:ilvl w:val="0"/>
                <w:numId w:val="6"/>
              </w:numPr>
              <w:spacing w:line="216" w:lineRule="auto"/>
              <w:ind w:left="0" w:leftChars="0" w:firstLine="0" w:firstLineChars="0"/>
              <w:rPr>
                <w:rFonts w:hint="eastAsia"/>
                <w:b/>
                <w:bCs/>
                <w:color w:val="auto"/>
                <w:u w:val="none"/>
              </w:rPr>
            </w:pPr>
            <w:r>
              <w:rPr>
                <w:rFonts w:hint="eastAsia"/>
                <w:b/>
                <w:bCs/>
                <w:color w:val="auto"/>
                <w:u w:val="none"/>
              </w:rPr>
              <w:t>面点师（</w:t>
            </w:r>
            <w:r>
              <w:rPr>
                <w:rFonts w:hint="eastAsia"/>
                <w:b/>
                <w:bCs/>
                <w:color w:val="auto"/>
                <w:u w:val="none"/>
                <w:lang w:val="en-US" w:eastAsia="zh-CN"/>
              </w:rPr>
              <w:t>3</w:t>
            </w:r>
            <w:r>
              <w:rPr>
                <w:rFonts w:hint="eastAsia"/>
                <w:b/>
                <w:bCs/>
                <w:color w:val="auto"/>
                <w:u w:val="none"/>
              </w:rPr>
              <w:t>分）</w:t>
            </w:r>
            <w:r>
              <w:rPr>
                <w:rFonts w:hint="eastAsia"/>
                <w:b/>
                <w:bCs/>
                <w:color w:val="auto"/>
                <w:u w:val="none"/>
                <w:lang w:eastAsia="zh-CN"/>
              </w:rPr>
              <w:t>：</w:t>
            </w:r>
          </w:p>
          <w:p>
            <w:pPr>
              <w:pStyle w:val="2"/>
              <w:numPr>
                <w:ilvl w:val="0"/>
                <w:numId w:val="0"/>
              </w:numPr>
              <w:ind w:leftChars="0" w:firstLine="420" w:firstLineChars="200"/>
              <w:rPr>
                <w:rFonts w:hint="eastAsia"/>
                <w:color w:val="auto"/>
                <w:u w:val="none"/>
              </w:rPr>
            </w:pPr>
            <w:r>
              <w:rPr>
                <w:rFonts w:hint="eastAsia"/>
                <w:color w:val="auto"/>
                <w:u w:val="none"/>
              </w:rPr>
              <w:t>具有1年≤餐饮行业</w:t>
            </w:r>
            <w:r>
              <w:rPr>
                <w:rFonts w:hint="eastAsia"/>
                <w:color w:val="auto"/>
                <w:u w:val="none"/>
                <w:lang w:eastAsia="zh-CN"/>
              </w:rPr>
              <w:t>面点师</w:t>
            </w:r>
            <w:r>
              <w:rPr>
                <w:rFonts w:hint="eastAsia"/>
                <w:color w:val="auto"/>
                <w:u w:val="none"/>
              </w:rPr>
              <w:t>从业经验＜</w:t>
            </w:r>
            <w:r>
              <w:rPr>
                <w:rFonts w:hint="eastAsia"/>
                <w:color w:val="auto"/>
                <w:u w:val="none"/>
                <w:lang w:val="en-US" w:eastAsia="zh-CN"/>
              </w:rPr>
              <w:t>2</w:t>
            </w:r>
            <w:r>
              <w:rPr>
                <w:rFonts w:hint="eastAsia"/>
                <w:color w:val="auto"/>
                <w:u w:val="none"/>
              </w:rPr>
              <w:t>年的</w:t>
            </w:r>
            <w:r>
              <w:rPr>
                <w:rFonts w:hint="eastAsia"/>
                <w:color w:val="auto"/>
                <w:u w:val="none"/>
                <w:lang w:eastAsia="zh-CN"/>
              </w:rPr>
              <w:t>，每人</w:t>
            </w:r>
            <w:r>
              <w:rPr>
                <w:rFonts w:hint="eastAsia"/>
                <w:color w:val="auto"/>
                <w:u w:val="none"/>
              </w:rPr>
              <w:t>得</w:t>
            </w:r>
            <w:r>
              <w:rPr>
                <w:rFonts w:hint="eastAsia"/>
                <w:color w:val="auto"/>
                <w:u w:val="none"/>
                <w:lang w:val="en-US" w:eastAsia="zh-CN"/>
              </w:rPr>
              <w:t>0.5</w:t>
            </w:r>
            <w:r>
              <w:rPr>
                <w:rFonts w:hint="eastAsia"/>
                <w:color w:val="auto"/>
                <w:u w:val="none"/>
              </w:rPr>
              <w:t>分；</w:t>
            </w:r>
          </w:p>
          <w:p>
            <w:pPr>
              <w:pStyle w:val="2"/>
              <w:ind w:left="0" w:leftChars="0" w:firstLine="420" w:firstLineChars="200"/>
              <w:rPr>
                <w:rFonts w:hint="eastAsia"/>
                <w:color w:val="auto"/>
                <w:u w:val="none"/>
              </w:rPr>
            </w:pPr>
            <w:r>
              <w:rPr>
                <w:rFonts w:hint="eastAsia"/>
                <w:color w:val="auto"/>
                <w:u w:val="none"/>
              </w:rPr>
              <w:t>具有</w:t>
            </w:r>
            <w:r>
              <w:rPr>
                <w:rFonts w:hint="eastAsia"/>
                <w:color w:val="auto"/>
                <w:u w:val="none"/>
                <w:lang w:val="en-US" w:eastAsia="zh-CN"/>
              </w:rPr>
              <w:t>2</w:t>
            </w:r>
            <w:r>
              <w:rPr>
                <w:rFonts w:hint="eastAsia"/>
                <w:color w:val="auto"/>
                <w:u w:val="none"/>
              </w:rPr>
              <w:t>年≤餐饮行业</w:t>
            </w:r>
            <w:r>
              <w:rPr>
                <w:rFonts w:hint="eastAsia"/>
                <w:color w:val="auto"/>
                <w:u w:val="none"/>
                <w:lang w:eastAsia="zh-CN"/>
              </w:rPr>
              <w:t>面点师</w:t>
            </w:r>
            <w:r>
              <w:rPr>
                <w:rFonts w:hint="eastAsia"/>
                <w:color w:val="auto"/>
                <w:u w:val="none"/>
              </w:rPr>
              <w:t>从业经验＜</w:t>
            </w:r>
            <w:r>
              <w:rPr>
                <w:rFonts w:hint="eastAsia"/>
                <w:color w:val="auto"/>
                <w:u w:val="none"/>
                <w:lang w:val="en-US" w:eastAsia="zh-CN"/>
              </w:rPr>
              <w:t>3</w:t>
            </w:r>
            <w:r>
              <w:rPr>
                <w:rFonts w:hint="eastAsia"/>
                <w:color w:val="auto"/>
                <w:u w:val="none"/>
              </w:rPr>
              <w:t>年的</w:t>
            </w:r>
            <w:r>
              <w:rPr>
                <w:rFonts w:hint="eastAsia"/>
                <w:color w:val="auto"/>
                <w:u w:val="none"/>
                <w:lang w:eastAsia="zh-CN"/>
              </w:rPr>
              <w:t>，每人</w:t>
            </w:r>
            <w:r>
              <w:rPr>
                <w:rFonts w:hint="eastAsia"/>
                <w:color w:val="auto"/>
                <w:u w:val="none"/>
              </w:rPr>
              <w:t>得</w:t>
            </w:r>
            <w:r>
              <w:rPr>
                <w:rFonts w:hint="eastAsia"/>
                <w:color w:val="auto"/>
                <w:u w:val="none"/>
                <w:lang w:val="en-US" w:eastAsia="zh-CN"/>
              </w:rPr>
              <w:t>1</w:t>
            </w:r>
            <w:r>
              <w:rPr>
                <w:rFonts w:hint="eastAsia"/>
                <w:color w:val="auto"/>
                <w:u w:val="none"/>
              </w:rPr>
              <w:t>分；</w:t>
            </w:r>
          </w:p>
          <w:p>
            <w:pPr>
              <w:pStyle w:val="2"/>
              <w:ind w:left="0" w:leftChars="0" w:firstLine="420" w:firstLineChars="200"/>
              <w:rPr>
                <w:rFonts w:hint="eastAsia"/>
                <w:color w:val="auto"/>
                <w:u w:val="none"/>
              </w:rPr>
            </w:pPr>
            <w:r>
              <w:rPr>
                <w:rFonts w:hint="eastAsia"/>
                <w:color w:val="auto"/>
                <w:u w:val="none"/>
              </w:rPr>
              <w:t>具有</w:t>
            </w:r>
            <w:r>
              <w:rPr>
                <w:rFonts w:hint="eastAsia"/>
                <w:color w:val="auto"/>
                <w:u w:val="none"/>
                <w:lang w:val="en-US" w:eastAsia="zh-CN"/>
              </w:rPr>
              <w:t>3</w:t>
            </w:r>
            <w:r>
              <w:rPr>
                <w:rFonts w:hint="eastAsia"/>
                <w:color w:val="auto"/>
                <w:u w:val="none"/>
              </w:rPr>
              <w:t>年≤餐饮行业</w:t>
            </w:r>
            <w:r>
              <w:rPr>
                <w:rFonts w:hint="eastAsia"/>
                <w:color w:val="auto"/>
                <w:u w:val="none"/>
                <w:lang w:eastAsia="zh-CN"/>
              </w:rPr>
              <w:t>面点师</w:t>
            </w:r>
            <w:r>
              <w:rPr>
                <w:rFonts w:hint="eastAsia"/>
                <w:color w:val="auto"/>
                <w:u w:val="none"/>
              </w:rPr>
              <w:t>从业经验</w:t>
            </w:r>
            <w:r>
              <w:rPr>
                <w:rFonts w:hint="eastAsia"/>
                <w:color w:val="auto"/>
                <w:u w:val="none"/>
                <w:lang w:eastAsia="zh-CN"/>
              </w:rPr>
              <w:t>，每人</w:t>
            </w:r>
            <w:r>
              <w:rPr>
                <w:rFonts w:hint="eastAsia"/>
                <w:color w:val="auto"/>
                <w:u w:val="none"/>
              </w:rPr>
              <w:t>得</w:t>
            </w:r>
            <w:r>
              <w:rPr>
                <w:rFonts w:hint="eastAsia"/>
                <w:color w:val="auto"/>
                <w:u w:val="none"/>
                <w:lang w:val="en-US" w:eastAsia="zh-CN"/>
              </w:rPr>
              <w:t>1.5</w:t>
            </w:r>
            <w:r>
              <w:rPr>
                <w:rFonts w:hint="eastAsia"/>
                <w:color w:val="auto"/>
                <w:u w:val="none"/>
              </w:rPr>
              <w:t>分</w:t>
            </w:r>
            <w:r>
              <w:rPr>
                <w:rFonts w:hint="eastAsia"/>
                <w:color w:val="auto"/>
                <w:u w:val="none"/>
                <w:lang w:eastAsia="zh-CN"/>
              </w:rPr>
              <w:t>。本项最高</w:t>
            </w:r>
            <w:r>
              <w:rPr>
                <w:rFonts w:hint="eastAsia"/>
                <w:color w:val="auto"/>
                <w:u w:val="none"/>
                <w:lang w:val="en-US" w:eastAsia="zh-CN"/>
              </w:rPr>
              <w:t>3分。</w:t>
            </w:r>
          </w:p>
          <w:p>
            <w:pPr>
              <w:pStyle w:val="2"/>
              <w:numPr>
                <w:ilvl w:val="0"/>
                <w:numId w:val="6"/>
              </w:numPr>
              <w:ind w:left="0" w:leftChars="0" w:firstLine="0" w:firstLineChars="0"/>
              <w:rPr>
                <w:rFonts w:hint="eastAsia"/>
                <w:color w:val="auto"/>
                <w:u w:val="none"/>
              </w:rPr>
            </w:pPr>
            <w:r>
              <w:rPr>
                <w:rFonts w:hint="eastAsia" w:ascii="宋体" w:hAnsi="宋体" w:cs="宋体"/>
                <w:b/>
                <w:bCs/>
                <w:color w:val="auto"/>
                <w:sz w:val="22"/>
                <w:szCs w:val="22"/>
                <w:u w:val="none"/>
              </w:rPr>
              <w:t>项目团队（</w:t>
            </w:r>
            <w:r>
              <w:rPr>
                <w:rFonts w:hint="eastAsia" w:ascii="宋体" w:hAnsi="宋体" w:cs="宋体"/>
                <w:b/>
                <w:bCs/>
                <w:color w:val="auto"/>
                <w:sz w:val="22"/>
                <w:szCs w:val="22"/>
                <w:u w:val="none"/>
                <w:lang w:val="en-US" w:eastAsia="zh-CN"/>
              </w:rPr>
              <w:t>4</w:t>
            </w:r>
            <w:r>
              <w:rPr>
                <w:rFonts w:hint="eastAsia" w:ascii="宋体" w:hAnsi="宋体" w:cs="宋体"/>
                <w:b/>
                <w:bCs/>
                <w:color w:val="auto"/>
                <w:sz w:val="22"/>
                <w:szCs w:val="22"/>
                <w:u w:val="none"/>
              </w:rPr>
              <w:t>分）</w:t>
            </w:r>
            <w:r>
              <w:rPr>
                <w:rFonts w:hint="eastAsia" w:ascii="宋体" w:hAnsi="宋体" w:cs="宋体"/>
                <w:color w:val="auto"/>
                <w:sz w:val="22"/>
                <w:szCs w:val="22"/>
                <w:u w:val="none"/>
              </w:rPr>
              <w:t>：具备</w:t>
            </w:r>
            <w:r>
              <w:rPr>
                <w:rFonts w:hint="eastAsia" w:ascii="宋体" w:hAnsi="宋体" w:cs="宋体"/>
                <w:color w:val="auto"/>
                <w:sz w:val="22"/>
                <w:szCs w:val="22"/>
                <w:u w:val="none"/>
                <w:lang w:eastAsia="zh-CN"/>
              </w:rPr>
              <w:t>三级</w:t>
            </w:r>
            <w:r>
              <w:rPr>
                <w:rFonts w:hint="eastAsia" w:ascii="宋体" w:hAnsi="宋体" w:cs="宋体"/>
                <w:color w:val="auto"/>
                <w:sz w:val="22"/>
                <w:szCs w:val="22"/>
                <w:u w:val="none"/>
                <w:lang w:val="en-US" w:eastAsia="zh-CN"/>
              </w:rPr>
              <w:t>/高级及以上</w:t>
            </w:r>
            <w:r>
              <w:rPr>
                <w:rFonts w:hint="eastAsia" w:ascii="宋体" w:hAnsi="宋体" w:cs="宋体"/>
                <w:color w:val="auto"/>
                <w:sz w:val="22"/>
                <w:szCs w:val="22"/>
                <w:u w:val="none"/>
              </w:rPr>
              <w:t>营养师证书得</w:t>
            </w:r>
            <w:r>
              <w:rPr>
                <w:rFonts w:hint="eastAsia" w:ascii="宋体" w:hAnsi="宋体" w:cs="宋体"/>
                <w:color w:val="auto"/>
                <w:sz w:val="22"/>
                <w:szCs w:val="22"/>
                <w:u w:val="none"/>
                <w:lang w:val="en-US" w:eastAsia="zh-CN"/>
              </w:rPr>
              <w:t>2</w:t>
            </w:r>
            <w:r>
              <w:rPr>
                <w:rFonts w:hint="eastAsia" w:ascii="宋体" w:hAnsi="宋体" w:cs="宋体"/>
                <w:color w:val="auto"/>
                <w:sz w:val="22"/>
                <w:szCs w:val="22"/>
                <w:u w:val="none"/>
              </w:rPr>
              <w:t>分；具备餐饮职业经理人证书得</w:t>
            </w:r>
            <w:r>
              <w:rPr>
                <w:rFonts w:hint="eastAsia" w:ascii="宋体" w:hAnsi="宋体" w:cs="宋体"/>
                <w:color w:val="auto"/>
                <w:sz w:val="22"/>
                <w:szCs w:val="22"/>
                <w:u w:val="none"/>
                <w:lang w:val="en-US" w:eastAsia="zh-CN"/>
              </w:rPr>
              <w:t>2</w:t>
            </w:r>
            <w:r>
              <w:rPr>
                <w:rFonts w:hint="eastAsia" w:ascii="宋体" w:hAnsi="宋体" w:cs="宋体"/>
                <w:color w:val="auto"/>
                <w:sz w:val="22"/>
                <w:szCs w:val="22"/>
                <w:u w:val="none"/>
              </w:rPr>
              <w:t>分。本项最高</w:t>
            </w:r>
            <w:r>
              <w:rPr>
                <w:rFonts w:hint="eastAsia" w:ascii="宋体" w:hAnsi="宋体" w:cs="宋体"/>
                <w:color w:val="auto"/>
                <w:sz w:val="22"/>
                <w:szCs w:val="22"/>
                <w:u w:val="none"/>
                <w:lang w:val="en-US" w:eastAsia="zh-CN"/>
              </w:rPr>
              <w:t>4</w:t>
            </w:r>
            <w:r>
              <w:rPr>
                <w:rFonts w:hint="eastAsia" w:ascii="宋体" w:hAnsi="宋体" w:cs="宋体"/>
                <w:color w:val="auto"/>
                <w:sz w:val="22"/>
                <w:szCs w:val="22"/>
                <w:u w:val="none"/>
              </w:rPr>
              <w:t>分。</w:t>
            </w:r>
          </w:p>
          <w:p>
            <w:pPr>
              <w:keepNext w:val="0"/>
              <w:keepLines w:val="0"/>
              <w:pageBreakBefore w:val="0"/>
              <w:widowControl w:val="0"/>
              <w:tabs>
                <w:tab w:val="left" w:pos="540"/>
              </w:tabs>
              <w:kinsoku/>
              <w:wordWrap/>
              <w:overflowPunct/>
              <w:topLinePunct w:val="0"/>
              <w:autoSpaceDE/>
              <w:autoSpaceDN/>
              <w:bidi w:val="0"/>
              <w:adjustRightInd/>
              <w:snapToGrid/>
              <w:spacing w:line="240" w:lineRule="auto"/>
              <w:textAlignment w:val="baseline"/>
              <w:rPr>
                <w:rFonts w:hint="eastAsia" w:ascii="宋体" w:hAnsi="宋体"/>
                <w:b/>
                <w:color w:val="auto"/>
                <w:sz w:val="22"/>
                <w:szCs w:val="22"/>
                <w:highlight w:val="none"/>
                <w:u w:val="none"/>
                <w:lang w:eastAsia="zh-CN"/>
              </w:rPr>
            </w:pPr>
            <w:r>
              <w:rPr>
                <w:rFonts w:hint="eastAsia" w:ascii="宋体" w:hAnsi="宋体"/>
                <w:b/>
                <w:color w:val="auto"/>
                <w:sz w:val="22"/>
                <w:szCs w:val="22"/>
                <w:highlight w:val="none"/>
                <w:u w:val="none"/>
              </w:rPr>
              <w:t>上述人员提供</w:t>
            </w:r>
            <w:r>
              <w:rPr>
                <w:rFonts w:hint="eastAsia" w:ascii="宋体" w:hAnsi="宋体"/>
                <w:b/>
                <w:color w:val="auto"/>
                <w:sz w:val="22"/>
                <w:szCs w:val="22"/>
                <w:highlight w:val="none"/>
                <w:u w:val="none"/>
                <w:lang w:val="en-US" w:eastAsia="zh-CN"/>
              </w:rPr>
              <w:t>证书、</w:t>
            </w:r>
            <w:r>
              <w:rPr>
                <w:rFonts w:hint="eastAsia" w:ascii="宋体" w:hAnsi="宋体"/>
                <w:b/>
                <w:color w:val="auto"/>
                <w:sz w:val="22"/>
                <w:szCs w:val="22"/>
                <w:highlight w:val="none"/>
                <w:u w:val="none"/>
              </w:rPr>
              <w:t>业主</w:t>
            </w:r>
            <w:r>
              <w:rPr>
                <w:rFonts w:hint="eastAsia" w:ascii="宋体" w:hAnsi="宋体"/>
                <w:b/>
                <w:color w:val="auto"/>
                <w:sz w:val="22"/>
                <w:szCs w:val="22"/>
                <w:highlight w:val="none"/>
                <w:u w:val="none"/>
                <w:lang w:eastAsia="zh-CN"/>
              </w:rPr>
              <w:t>满意度（须有业主盖章）</w:t>
            </w:r>
            <w:r>
              <w:rPr>
                <w:rFonts w:hint="eastAsia" w:ascii="宋体" w:hAnsi="宋体"/>
                <w:b/>
                <w:color w:val="auto"/>
                <w:sz w:val="22"/>
                <w:szCs w:val="22"/>
                <w:highlight w:val="none"/>
                <w:u w:val="none"/>
                <w:lang w:val="en-US" w:eastAsia="zh-CN"/>
              </w:rPr>
              <w:t>等证明材料扫描</w:t>
            </w:r>
            <w:r>
              <w:rPr>
                <w:rFonts w:hint="eastAsia" w:ascii="宋体" w:hAnsi="宋体"/>
                <w:b/>
                <w:color w:val="auto"/>
                <w:sz w:val="22"/>
                <w:szCs w:val="22"/>
                <w:highlight w:val="none"/>
                <w:u w:val="none"/>
              </w:rPr>
              <w:t>件</w:t>
            </w:r>
            <w:r>
              <w:rPr>
                <w:rFonts w:hint="eastAsia" w:ascii="宋体" w:hAnsi="宋体"/>
                <w:b/>
                <w:color w:val="auto"/>
                <w:sz w:val="22"/>
                <w:szCs w:val="22"/>
                <w:highlight w:val="none"/>
                <w:u w:val="none"/>
                <w:lang w:eastAsia="zh-CN"/>
              </w:rPr>
              <w:t>；</w:t>
            </w:r>
          </w:p>
          <w:p>
            <w:pPr>
              <w:keepNext w:val="0"/>
              <w:keepLines w:val="0"/>
              <w:pageBreakBefore w:val="0"/>
              <w:widowControl w:val="0"/>
              <w:tabs>
                <w:tab w:val="left" w:pos="540"/>
              </w:tabs>
              <w:kinsoku/>
              <w:wordWrap/>
              <w:overflowPunct/>
              <w:topLinePunct w:val="0"/>
              <w:autoSpaceDE/>
              <w:autoSpaceDN/>
              <w:bidi w:val="0"/>
              <w:adjustRightInd/>
              <w:snapToGrid/>
              <w:spacing w:line="240" w:lineRule="auto"/>
              <w:textAlignment w:val="baseline"/>
              <w:rPr>
                <w:rFonts w:hint="eastAsia" w:ascii="宋体" w:hAnsi="宋体"/>
                <w:b/>
                <w:color w:val="auto"/>
                <w:sz w:val="22"/>
                <w:szCs w:val="22"/>
                <w:highlight w:val="none"/>
                <w:lang w:eastAsia="zh-CN"/>
              </w:rPr>
            </w:pPr>
            <w:r>
              <w:rPr>
                <w:rFonts w:hint="eastAsia" w:ascii="宋体" w:hAnsi="宋体"/>
                <w:b/>
                <w:color w:val="auto"/>
                <w:sz w:val="22"/>
                <w:szCs w:val="22"/>
                <w:highlight w:val="none"/>
                <w:u w:val="none"/>
              </w:rPr>
              <w:t>相应工作</w:t>
            </w:r>
            <w:r>
              <w:rPr>
                <w:rFonts w:hint="eastAsia" w:ascii="宋体" w:hAnsi="宋体"/>
                <w:b/>
                <w:color w:val="auto"/>
                <w:sz w:val="22"/>
                <w:szCs w:val="22"/>
                <w:highlight w:val="none"/>
                <w:u w:val="none"/>
                <w:lang w:eastAsia="zh-CN"/>
              </w:rPr>
              <w:t>经验</w:t>
            </w:r>
            <w:r>
              <w:rPr>
                <w:rFonts w:hint="eastAsia" w:ascii="宋体" w:hAnsi="宋体"/>
                <w:b/>
                <w:color w:val="auto"/>
                <w:sz w:val="22"/>
                <w:szCs w:val="22"/>
                <w:highlight w:val="none"/>
                <w:u w:val="none"/>
              </w:rPr>
              <w:t>由任职过的</w:t>
            </w:r>
            <w:r>
              <w:rPr>
                <w:rFonts w:hint="eastAsia" w:ascii="宋体" w:hAnsi="宋体"/>
                <w:b/>
                <w:color w:val="auto"/>
                <w:sz w:val="22"/>
                <w:szCs w:val="22"/>
                <w:highlight w:val="none"/>
                <w:u w:val="none"/>
                <w:lang w:eastAsia="zh-CN"/>
              </w:rPr>
              <w:t>业主</w:t>
            </w:r>
            <w:r>
              <w:rPr>
                <w:rFonts w:hint="eastAsia" w:ascii="宋体" w:hAnsi="宋体"/>
                <w:b/>
                <w:color w:val="auto"/>
                <w:sz w:val="22"/>
                <w:szCs w:val="22"/>
                <w:highlight w:val="none"/>
                <w:u w:val="none"/>
              </w:rPr>
              <w:t>单位出具的合同或</w:t>
            </w:r>
            <w:r>
              <w:rPr>
                <w:rFonts w:hint="eastAsia" w:ascii="宋体" w:hAnsi="宋体"/>
                <w:b/>
                <w:color w:val="auto"/>
                <w:sz w:val="22"/>
                <w:szCs w:val="22"/>
                <w:highlight w:val="none"/>
              </w:rPr>
              <w:t>书面证明材料扫描件为准</w:t>
            </w:r>
            <w:r>
              <w:rPr>
                <w:rFonts w:hint="eastAsia" w:ascii="宋体" w:hAnsi="宋体"/>
                <w:b/>
                <w:color w:val="auto"/>
                <w:sz w:val="22"/>
                <w:szCs w:val="22"/>
                <w:highlight w:val="none"/>
                <w:lang w:eastAsia="zh-CN"/>
              </w:rPr>
              <w:t>；</w:t>
            </w:r>
          </w:p>
          <w:p>
            <w:pPr>
              <w:keepNext w:val="0"/>
              <w:keepLines w:val="0"/>
              <w:pageBreakBefore w:val="0"/>
              <w:widowControl w:val="0"/>
              <w:tabs>
                <w:tab w:val="left" w:pos="540"/>
              </w:tabs>
              <w:kinsoku/>
              <w:wordWrap/>
              <w:overflowPunct/>
              <w:topLinePunct w:val="0"/>
              <w:autoSpaceDE/>
              <w:autoSpaceDN/>
              <w:bidi w:val="0"/>
              <w:adjustRightInd/>
              <w:snapToGrid/>
              <w:spacing w:line="240" w:lineRule="auto"/>
              <w:textAlignment w:val="baseline"/>
              <w:rPr>
                <w:rStyle w:val="55"/>
                <w:rFonts w:ascii="宋体" w:hAnsi="宋体"/>
                <w:bCs/>
                <w:kern w:val="0"/>
                <w:sz w:val="22"/>
                <w:szCs w:val="22"/>
                <w:lang w:bidi="en-US"/>
              </w:rPr>
            </w:pPr>
            <w:r>
              <w:rPr>
                <w:rFonts w:hint="eastAsia" w:ascii="宋体" w:hAnsi="宋体"/>
                <w:b/>
                <w:color w:val="auto"/>
                <w:sz w:val="22"/>
                <w:szCs w:val="22"/>
                <w:highlight w:val="none"/>
                <w:lang w:val="en-US" w:eastAsia="zh-CN"/>
              </w:rPr>
              <w:t>并提供以上人员</w:t>
            </w:r>
            <w:r>
              <w:rPr>
                <w:rFonts w:hint="eastAsia" w:ascii="宋体" w:hAnsi="宋体"/>
                <w:b/>
                <w:color w:val="auto"/>
                <w:sz w:val="22"/>
                <w:szCs w:val="22"/>
                <w:highlight w:val="none"/>
              </w:rPr>
              <w:t>在</w:t>
            </w:r>
            <w:r>
              <w:rPr>
                <w:rFonts w:hint="eastAsia" w:ascii="宋体" w:hAnsi="宋体"/>
                <w:b/>
                <w:color w:val="auto"/>
                <w:sz w:val="22"/>
                <w:szCs w:val="22"/>
                <w:highlight w:val="none"/>
                <w:lang w:val="en-US" w:eastAsia="zh-CN"/>
              </w:rPr>
              <w:t>供应商</w:t>
            </w:r>
            <w:r>
              <w:rPr>
                <w:rFonts w:hint="eastAsia" w:ascii="宋体" w:hAnsi="宋体"/>
                <w:b/>
                <w:color w:val="auto"/>
                <w:sz w:val="22"/>
                <w:szCs w:val="22"/>
                <w:highlight w:val="none"/>
              </w:rPr>
              <w:t>单位近三个月任一月的社保缴纳证明</w:t>
            </w:r>
            <w:r>
              <w:rPr>
                <w:rFonts w:hint="eastAsia" w:ascii="宋体" w:hAnsi="宋体"/>
                <w:b/>
                <w:color w:val="auto"/>
                <w:sz w:val="22"/>
                <w:szCs w:val="22"/>
                <w:highlight w:val="none"/>
                <w:lang w:eastAsia="zh-CN"/>
              </w:rPr>
              <w:t>，</w:t>
            </w:r>
            <w:r>
              <w:rPr>
                <w:rFonts w:hint="eastAsia" w:ascii="宋体" w:hAnsi="宋体"/>
                <w:b/>
                <w:color w:val="auto"/>
                <w:sz w:val="22"/>
                <w:szCs w:val="22"/>
                <w:highlight w:val="none"/>
                <w:lang w:val="en-US" w:eastAsia="zh-CN"/>
              </w:rPr>
              <w:t>以上均加盖供应商电子印章</w:t>
            </w:r>
            <w:r>
              <w:rPr>
                <w:rFonts w:hint="eastAsia" w:ascii="宋体" w:hAnsi="宋体"/>
                <w:b/>
                <w:color w:val="auto"/>
                <w:sz w:val="22"/>
                <w:szCs w:val="22"/>
                <w:highlight w:val="none"/>
                <w:lang w:eastAsia="zh-CN"/>
              </w:rPr>
              <w:t>。</w:t>
            </w:r>
          </w:p>
        </w:tc>
        <w:tc>
          <w:tcPr>
            <w:tcW w:w="460" w:type="dxa"/>
            <w:vAlign w:val="center"/>
          </w:tcPr>
          <w:p>
            <w:pPr>
              <w:tabs>
                <w:tab w:val="left" w:pos="540"/>
              </w:tabs>
              <w:spacing w:line="216" w:lineRule="auto"/>
              <w:jc w:val="center"/>
              <w:textAlignment w:val="baseline"/>
              <w:rPr>
                <w:rStyle w:val="55"/>
                <w:rFonts w:ascii="宋体" w:hAnsi="宋体"/>
                <w:sz w:val="22"/>
                <w:szCs w:val="22"/>
              </w:rPr>
            </w:pPr>
            <w:r>
              <w:rPr>
                <w:rStyle w:val="55"/>
                <w:rFonts w:hint="eastAsia" w:ascii="宋体" w:hAnsi="宋体"/>
                <w:sz w:val="22"/>
                <w:szCs w:val="22"/>
              </w:rPr>
              <w:t>1</w:t>
            </w:r>
            <w:r>
              <w:rPr>
                <w:rStyle w:val="55"/>
                <w:rFonts w:hint="eastAsia" w:ascii="宋体" w:hAnsi="宋体"/>
                <w:sz w:val="22"/>
                <w:szCs w:val="22"/>
                <w:lang w:val="en-US" w:eastAsia="zh-CN"/>
              </w:rPr>
              <w:t>6</w:t>
            </w:r>
            <w:r>
              <w:rPr>
                <w:rStyle w:val="55"/>
                <w:rFonts w:ascii="宋体" w:hAnsi="宋体"/>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502" w:type="dxa"/>
            <w:vMerge w:val="continue"/>
            <w:vAlign w:val="center"/>
          </w:tcPr>
          <w:p>
            <w:pPr>
              <w:tabs>
                <w:tab w:val="left" w:pos="540"/>
              </w:tabs>
              <w:spacing w:line="216" w:lineRule="auto"/>
              <w:jc w:val="center"/>
              <w:textAlignment w:val="baseline"/>
              <w:rPr>
                <w:rStyle w:val="55"/>
                <w:rFonts w:ascii="宋体" w:hAnsi="宋体"/>
                <w:sz w:val="22"/>
                <w:szCs w:val="22"/>
              </w:rPr>
            </w:pPr>
          </w:p>
        </w:tc>
        <w:tc>
          <w:tcPr>
            <w:tcW w:w="756" w:type="dxa"/>
            <w:vAlign w:val="center"/>
          </w:tcPr>
          <w:p>
            <w:pPr>
              <w:tabs>
                <w:tab w:val="left" w:pos="540"/>
              </w:tabs>
              <w:spacing w:line="216" w:lineRule="auto"/>
              <w:jc w:val="left"/>
              <w:textAlignment w:val="baseline"/>
              <w:rPr>
                <w:rStyle w:val="55"/>
                <w:rFonts w:ascii="宋体" w:hAnsi="宋体"/>
                <w:sz w:val="22"/>
                <w:szCs w:val="22"/>
              </w:rPr>
            </w:pPr>
            <w:r>
              <w:rPr>
                <w:rStyle w:val="55"/>
                <w:rFonts w:hint="eastAsia" w:ascii="宋体" w:hAnsi="宋体"/>
                <w:sz w:val="22"/>
                <w:szCs w:val="22"/>
              </w:rPr>
              <w:t>就餐服务方案</w:t>
            </w:r>
          </w:p>
        </w:tc>
        <w:tc>
          <w:tcPr>
            <w:tcW w:w="7721" w:type="dxa"/>
            <w:vAlign w:val="center"/>
          </w:tcPr>
          <w:p>
            <w:pPr>
              <w:tabs>
                <w:tab w:val="left" w:pos="540"/>
              </w:tabs>
              <w:spacing w:line="216" w:lineRule="auto"/>
              <w:textAlignment w:val="baseline"/>
              <w:rPr>
                <w:rStyle w:val="55"/>
                <w:rFonts w:ascii="宋体" w:hAnsi="宋体"/>
                <w:sz w:val="22"/>
                <w:szCs w:val="22"/>
              </w:rPr>
            </w:pPr>
            <w:r>
              <w:rPr>
                <w:rFonts w:hint="eastAsia" w:ascii="宋体" w:hAnsi="宋体" w:cs="宋体"/>
                <w:sz w:val="22"/>
                <w:szCs w:val="22"/>
              </w:rPr>
              <w:t>根据投标人提供的早、中、晚餐服务方案，包括菜肴的品种数量、荤素营养搭配、花色花样变化等是否合理进行打分。品种搭配花样丰富的得5-4分；品种搭配一般的得3.9-2分；品种搭配单一的得1.9-0分；未提及此项不得分。</w:t>
            </w:r>
          </w:p>
        </w:tc>
        <w:tc>
          <w:tcPr>
            <w:tcW w:w="460" w:type="dxa"/>
            <w:vAlign w:val="center"/>
          </w:tcPr>
          <w:p>
            <w:pPr>
              <w:tabs>
                <w:tab w:val="left" w:pos="540"/>
              </w:tabs>
              <w:spacing w:line="216" w:lineRule="auto"/>
              <w:jc w:val="center"/>
              <w:textAlignment w:val="baseline"/>
              <w:rPr>
                <w:rStyle w:val="55"/>
                <w:rFonts w:ascii="宋体" w:hAnsi="宋体"/>
                <w:sz w:val="22"/>
                <w:szCs w:val="22"/>
              </w:rPr>
            </w:pPr>
            <w:r>
              <w:rPr>
                <w:rStyle w:val="55"/>
                <w:rFonts w:hint="eastAsia" w:ascii="宋体" w:hAnsi="宋体"/>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502" w:type="dxa"/>
            <w:vMerge w:val="continue"/>
            <w:vAlign w:val="center"/>
          </w:tcPr>
          <w:p>
            <w:pPr>
              <w:tabs>
                <w:tab w:val="left" w:pos="540"/>
              </w:tabs>
              <w:spacing w:line="216" w:lineRule="auto"/>
              <w:jc w:val="center"/>
              <w:textAlignment w:val="baseline"/>
              <w:rPr>
                <w:rStyle w:val="55"/>
                <w:rFonts w:ascii="宋体" w:hAnsi="宋体"/>
                <w:sz w:val="22"/>
                <w:szCs w:val="22"/>
              </w:rPr>
            </w:pPr>
          </w:p>
        </w:tc>
        <w:tc>
          <w:tcPr>
            <w:tcW w:w="756" w:type="dxa"/>
            <w:vAlign w:val="center"/>
          </w:tcPr>
          <w:p>
            <w:pPr>
              <w:tabs>
                <w:tab w:val="left" w:pos="540"/>
              </w:tabs>
              <w:spacing w:line="216" w:lineRule="auto"/>
              <w:jc w:val="left"/>
              <w:textAlignment w:val="baseline"/>
              <w:rPr>
                <w:rStyle w:val="55"/>
                <w:rFonts w:ascii="宋体" w:hAnsi="宋体"/>
                <w:sz w:val="22"/>
                <w:szCs w:val="22"/>
              </w:rPr>
            </w:pPr>
            <w:r>
              <w:rPr>
                <w:rStyle w:val="55"/>
                <w:rFonts w:hint="eastAsia" w:ascii="宋体" w:hAnsi="宋体"/>
                <w:sz w:val="22"/>
                <w:szCs w:val="22"/>
              </w:rPr>
              <w:t>制度等管理方案</w:t>
            </w:r>
          </w:p>
        </w:tc>
        <w:tc>
          <w:tcPr>
            <w:tcW w:w="7721" w:type="dxa"/>
            <w:vAlign w:val="center"/>
          </w:tcPr>
          <w:p>
            <w:pPr>
              <w:tabs>
                <w:tab w:val="left" w:pos="540"/>
              </w:tabs>
              <w:spacing w:line="216" w:lineRule="auto"/>
              <w:textAlignment w:val="baseline"/>
              <w:rPr>
                <w:rStyle w:val="55"/>
                <w:rFonts w:ascii="宋体" w:hAnsi="宋体"/>
                <w:sz w:val="22"/>
                <w:szCs w:val="22"/>
              </w:rPr>
            </w:pPr>
            <w:r>
              <w:rPr>
                <w:rFonts w:hint="eastAsia" w:ascii="宋体" w:hAnsi="宋体" w:cs="宋体"/>
                <w:sz w:val="22"/>
                <w:szCs w:val="22"/>
              </w:rPr>
              <w:t>根据制定的管理制度、保证员工提供优质服务等管理方案内容（包括服务质量、班次调配、人员分工、岗位职责等）进行打分。分工明确、工作效率和服务质量高的得6-5分；分工比较合理、工作效率和服务质量一般的得4.9-3分；分工模糊、岗位职责不明确，效率低的得2.9-0分；未提及此项不得分。</w:t>
            </w:r>
          </w:p>
        </w:tc>
        <w:tc>
          <w:tcPr>
            <w:tcW w:w="460" w:type="dxa"/>
            <w:vAlign w:val="center"/>
          </w:tcPr>
          <w:p>
            <w:pPr>
              <w:tabs>
                <w:tab w:val="left" w:pos="540"/>
              </w:tabs>
              <w:spacing w:line="216" w:lineRule="auto"/>
              <w:jc w:val="center"/>
              <w:textAlignment w:val="baseline"/>
              <w:rPr>
                <w:rStyle w:val="55"/>
                <w:rFonts w:ascii="宋体" w:hAnsi="宋体"/>
                <w:sz w:val="22"/>
                <w:szCs w:val="22"/>
              </w:rPr>
            </w:pPr>
            <w:r>
              <w:rPr>
                <w:rStyle w:val="55"/>
                <w:rFonts w:hint="eastAsia" w:ascii="宋体" w:hAnsi="宋体"/>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502" w:type="dxa"/>
            <w:vMerge w:val="continue"/>
            <w:vAlign w:val="center"/>
          </w:tcPr>
          <w:p>
            <w:pPr>
              <w:tabs>
                <w:tab w:val="left" w:pos="540"/>
              </w:tabs>
              <w:spacing w:line="216" w:lineRule="auto"/>
              <w:jc w:val="center"/>
              <w:textAlignment w:val="baseline"/>
              <w:rPr>
                <w:rStyle w:val="55"/>
                <w:rFonts w:ascii="宋体" w:hAnsi="宋体"/>
                <w:sz w:val="22"/>
                <w:szCs w:val="22"/>
              </w:rPr>
            </w:pPr>
          </w:p>
        </w:tc>
        <w:tc>
          <w:tcPr>
            <w:tcW w:w="756" w:type="dxa"/>
            <w:vAlign w:val="center"/>
          </w:tcPr>
          <w:p>
            <w:pPr>
              <w:tabs>
                <w:tab w:val="left" w:pos="540"/>
              </w:tabs>
              <w:spacing w:line="216" w:lineRule="auto"/>
              <w:jc w:val="left"/>
              <w:textAlignment w:val="baseline"/>
              <w:rPr>
                <w:rStyle w:val="55"/>
                <w:rFonts w:ascii="宋体" w:hAnsi="宋体"/>
                <w:sz w:val="22"/>
                <w:szCs w:val="22"/>
              </w:rPr>
            </w:pPr>
            <w:r>
              <w:rPr>
                <w:rFonts w:hint="eastAsia" w:ascii="宋体" w:hAnsi="宋体"/>
                <w:bCs/>
                <w:sz w:val="22"/>
                <w:szCs w:val="22"/>
              </w:rPr>
              <w:t>后勤</w:t>
            </w:r>
            <w:r>
              <w:rPr>
                <w:rFonts w:ascii="宋体" w:hAnsi="宋体"/>
                <w:bCs/>
                <w:sz w:val="22"/>
                <w:szCs w:val="22"/>
              </w:rPr>
              <w:t>管理方案</w:t>
            </w:r>
          </w:p>
        </w:tc>
        <w:tc>
          <w:tcPr>
            <w:tcW w:w="7721" w:type="dxa"/>
            <w:vAlign w:val="center"/>
          </w:tcPr>
          <w:p>
            <w:pPr>
              <w:tabs>
                <w:tab w:val="left" w:pos="540"/>
              </w:tabs>
              <w:spacing w:line="216" w:lineRule="auto"/>
              <w:textAlignment w:val="baseline"/>
              <w:rPr>
                <w:rStyle w:val="55"/>
                <w:rFonts w:ascii="宋体" w:hAnsi="宋体"/>
                <w:sz w:val="22"/>
                <w:szCs w:val="22"/>
              </w:rPr>
            </w:pPr>
            <w:r>
              <w:rPr>
                <w:rStyle w:val="55"/>
                <w:rFonts w:hint="eastAsia" w:ascii="宋体" w:hAnsi="宋体"/>
                <w:sz w:val="22"/>
                <w:szCs w:val="22"/>
              </w:rPr>
              <w:t>对食堂的后勤、卫生、保洁工作的描述及承诺进行打分。后勤保洁方案详细、有效保证卫生整洁的得</w:t>
            </w:r>
            <w:r>
              <w:rPr>
                <w:rFonts w:hint="eastAsia" w:ascii="宋体" w:hAnsi="宋体" w:cs="宋体"/>
                <w:sz w:val="22"/>
                <w:szCs w:val="22"/>
              </w:rPr>
              <w:t>6-5</w:t>
            </w:r>
            <w:r>
              <w:rPr>
                <w:rStyle w:val="55"/>
                <w:rFonts w:hint="eastAsia" w:ascii="宋体" w:hAnsi="宋体"/>
                <w:sz w:val="22"/>
                <w:szCs w:val="22"/>
              </w:rPr>
              <w:t>分；后勤保洁方案简单，基本保证卫生整洁的得</w:t>
            </w:r>
            <w:r>
              <w:rPr>
                <w:rFonts w:hint="eastAsia" w:ascii="宋体" w:hAnsi="宋体" w:cs="宋体"/>
                <w:sz w:val="22"/>
                <w:szCs w:val="22"/>
              </w:rPr>
              <w:t>4.9-3</w:t>
            </w:r>
            <w:r>
              <w:rPr>
                <w:rStyle w:val="55"/>
                <w:rFonts w:hint="eastAsia" w:ascii="宋体" w:hAnsi="宋体"/>
                <w:sz w:val="22"/>
                <w:szCs w:val="22"/>
              </w:rPr>
              <w:t>分；缺乏具体的后勤保洁方案，无法保证卫生整洁的得</w:t>
            </w:r>
            <w:r>
              <w:rPr>
                <w:rFonts w:hint="eastAsia" w:ascii="宋体" w:hAnsi="宋体" w:cs="宋体"/>
                <w:sz w:val="22"/>
                <w:szCs w:val="22"/>
              </w:rPr>
              <w:t>2.9-0</w:t>
            </w:r>
            <w:r>
              <w:rPr>
                <w:rStyle w:val="55"/>
                <w:rFonts w:hint="eastAsia" w:ascii="宋体" w:hAnsi="宋体"/>
                <w:sz w:val="22"/>
                <w:szCs w:val="22"/>
              </w:rPr>
              <w:t>分；未提及此项不得分。</w:t>
            </w:r>
          </w:p>
        </w:tc>
        <w:tc>
          <w:tcPr>
            <w:tcW w:w="460" w:type="dxa"/>
            <w:vAlign w:val="center"/>
          </w:tcPr>
          <w:p>
            <w:pPr>
              <w:tabs>
                <w:tab w:val="left" w:pos="540"/>
              </w:tabs>
              <w:spacing w:line="216" w:lineRule="auto"/>
              <w:jc w:val="center"/>
              <w:textAlignment w:val="baseline"/>
              <w:rPr>
                <w:rStyle w:val="55"/>
                <w:rFonts w:ascii="宋体" w:hAnsi="宋体"/>
                <w:sz w:val="22"/>
                <w:szCs w:val="22"/>
              </w:rPr>
            </w:pPr>
            <w:r>
              <w:rPr>
                <w:rStyle w:val="55"/>
                <w:rFonts w:hint="eastAsia" w:ascii="宋体" w:hAnsi="宋体"/>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502" w:type="dxa"/>
            <w:vMerge w:val="continue"/>
            <w:vAlign w:val="center"/>
          </w:tcPr>
          <w:p>
            <w:pPr>
              <w:tabs>
                <w:tab w:val="left" w:pos="540"/>
              </w:tabs>
              <w:spacing w:line="216" w:lineRule="auto"/>
              <w:jc w:val="center"/>
              <w:textAlignment w:val="baseline"/>
              <w:rPr>
                <w:rStyle w:val="55"/>
                <w:rFonts w:ascii="宋体" w:hAnsi="宋体"/>
                <w:sz w:val="22"/>
                <w:szCs w:val="22"/>
              </w:rPr>
            </w:pPr>
          </w:p>
        </w:tc>
        <w:tc>
          <w:tcPr>
            <w:tcW w:w="756" w:type="dxa"/>
            <w:vAlign w:val="center"/>
          </w:tcPr>
          <w:p>
            <w:pPr>
              <w:tabs>
                <w:tab w:val="left" w:pos="540"/>
              </w:tabs>
              <w:spacing w:line="216" w:lineRule="auto"/>
              <w:jc w:val="left"/>
              <w:textAlignment w:val="baseline"/>
              <w:rPr>
                <w:rStyle w:val="55"/>
                <w:rFonts w:ascii="宋体" w:hAnsi="宋体"/>
                <w:sz w:val="22"/>
                <w:szCs w:val="22"/>
              </w:rPr>
            </w:pPr>
            <w:r>
              <w:rPr>
                <w:rStyle w:val="55"/>
                <w:rFonts w:hint="eastAsia" w:ascii="宋体" w:hAnsi="宋体"/>
                <w:sz w:val="22"/>
                <w:szCs w:val="22"/>
              </w:rPr>
              <w:t>物品管理方案</w:t>
            </w:r>
          </w:p>
        </w:tc>
        <w:tc>
          <w:tcPr>
            <w:tcW w:w="7721" w:type="dxa"/>
            <w:vAlign w:val="center"/>
          </w:tcPr>
          <w:p>
            <w:pPr>
              <w:tabs>
                <w:tab w:val="left" w:pos="540"/>
              </w:tabs>
              <w:spacing w:line="216" w:lineRule="auto"/>
              <w:textAlignment w:val="baseline"/>
              <w:rPr>
                <w:rStyle w:val="55"/>
                <w:rFonts w:ascii="宋体" w:hAnsi="宋体"/>
                <w:sz w:val="22"/>
                <w:szCs w:val="22"/>
              </w:rPr>
            </w:pPr>
            <w:r>
              <w:rPr>
                <w:rStyle w:val="55"/>
                <w:rFonts w:hint="eastAsia" w:ascii="宋体" w:hAnsi="宋体"/>
                <w:sz w:val="22"/>
                <w:szCs w:val="22"/>
              </w:rPr>
              <w:t>针对食堂内所提供的物品维护、保存、管理方案进行打分。管理方案先进、专业，能对物品完好保存的得</w:t>
            </w:r>
            <w:r>
              <w:rPr>
                <w:rFonts w:hint="eastAsia" w:ascii="宋体" w:hAnsi="宋体" w:cs="宋体"/>
                <w:sz w:val="22"/>
                <w:szCs w:val="22"/>
              </w:rPr>
              <w:t>6-5</w:t>
            </w:r>
            <w:r>
              <w:rPr>
                <w:rStyle w:val="55"/>
                <w:rFonts w:hint="eastAsia" w:ascii="宋体" w:hAnsi="宋体"/>
                <w:sz w:val="22"/>
                <w:szCs w:val="22"/>
              </w:rPr>
              <w:t>分；管理方案描述一般，对物品保存基本能有效保障的得</w:t>
            </w:r>
            <w:r>
              <w:rPr>
                <w:rFonts w:hint="eastAsia" w:ascii="宋体" w:hAnsi="宋体" w:cs="宋体"/>
                <w:sz w:val="22"/>
                <w:szCs w:val="22"/>
              </w:rPr>
              <w:t>4.9-3</w:t>
            </w:r>
            <w:r>
              <w:rPr>
                <w:rStyle w:val="55"/>
                <w:rFonts w:hint="eastAsia" w:ascii="宋体" w:hAnsi="宋体"/>
                <w:sz w:val="22"/>
                <w:szCs w:val="22"/>
              </w:rPr>
              <w:t>分；管理方案简单、片面，容易造成物品丢失，缺乏严谨性的得</w:t>
            </w:r>
            <w:r>
              <w:rPr>
                <w:rFonts w:hint="eastAsia" w:ascii="宋体" w:hAnsi="宋体" w:cs="宋体"/>
                <w:sz w:val="22"/>
                <w:szCs w:val="22"/>
              </w:rPr>
              <w:t>2.9-0</w:t>
            </w:r>
            <w:r>
              <w:rPr>
                <w:rStyle w:val="55"/>
                <w:rFonts w:hint="eastAsia" w:ascii="宋体" w:hAnsi="宋体"/>
                <w:sz w:val="22"/>
                <w:szCs w:val="22"/>
              </w:rPr>
              <w:t>分；未提及此项不得分。</w:t>
            </w:r>
          </w:p>
        </w:tc>
        <w:tc>
          <w:tcPr>
            <w:tcW w:w="460" w:type="dxa"/>
            <w:vAlign w:val="center"/>
          </w:tcPr>
          <w:p>
            <w:pPr>
              <w:tabs>
                <w:tab w:val="left" w:pos="540"/>
              </w:tabs>
              <w:spacing w:line="216" w:lineRule="auto"/>
              <w:jc w:val="center"/>
              <w:textAlignment w:val="baseline"/>
              <w:rPr>
                <w:rStyle w:val="55"/>
                <w:rFonts w:ascii="宋体" w:hAnsi="宋体"/>
                <w:sz w:val="22"/>
                <w:szCs w:val="22"/>
              </w:rPr>
            </w:pPr>
            <w:r>
              <w:rPr>
                <w:rStyle w:val="55"/>
                <w:rFonts w:hint="eastAsia" w:ascii="宋体" w:hAnsi="宋体"/>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02" w:type="dxa"/>
            <w:vMerge w:val="continue"/>
            <w:vAlign w:val="center"/>
          </w:tcPr>
          <w:p>
            <w:pPr>
              <w:tabs>
                <w:tab w:val="left" w:pos="540"/>
              </w:tabs>
              <w:spacing w:line="216" w:lineRule="auto"/>
              <w:jc w:val="center"/>
              <w:textAlignment w:val="baseline"/>
              <w:rPr>
                <w:rStyle w:val="55"/>
                <w:rFonts w:ascii="宋体" w:hAnsi="宋体"/>
                <w:sz w:val="22"/>
                <w:szCs w:val="22"/>
              </w:rPr>
            </w:pPr>
          </w:p>
        </w:tc>
        <w:tc>
          <w:tcPr>
            <w:tcW w:w="756" w:type="dxa"/>
            <w:vAlign w:val="center"/>
          </w:tcPr>
          <w:p>
            <w:pPr>
              <w:tabs>
                <w:tab w:val="left" w:pos="540"/>
              </w:tabs>
              <w:spacing w:line="216" w:lineRule="auto"/>
              <w:jc w:val="left"/>
              <w:textAlignment w:val="baseline"/>
              <w:rPr>
                <w:rStyle w:val="55"/>
                <w:rFonts w:ascii="宋体" w:hAnsi="宋体"/>
                <w:sz w:val="22"/>
                <w:szCs w:val="22"/>
              </w:rPr>
            </w:pPr>
            <w:r>
              <w:rPr>
                <w:rStyle w:val="55"/>
                <w:rFonts w:hint="eastAsia" w:ascii="宋体" w:hAnsi="宋体"/>
                <w:sz w:val="22"/>
                <w:szCs w:val="22"/>
              </w:rPr>
              <w:t>安全预防及投诉处理方案</w:t>
            </w:r>
          </w:p>
        </w:tc>
        <w:tc>
          <w:tcPr>
            <w:tcW w:w="7721" w:type="dxa"/>
            <w:vAlign w:val="center"/>
          </w:tcPr>
          <w:p>
            <w:pPr>
              <w:tabs>
                <w:tab w:val="left" w:pos="540"/>
              </w:tabs>
              <w:spacing w:line="216" w:lineRule="auto"/>
              <w:textAlignment w:val="baseline"/>
              <w:rPr>
                <w:rStyle w:val="55"/>
                <w:rFonts w:ascii="宋体" w:hAnsi="宋体"/>
                <w:sz w:val="22"/>
                <w:szCs w:val="22"/>
              </w:rPr>
            </w:pPr>
            <w:r>
              <w:rPr>
                <w:rStyle w:val="55"/>
                <w:rFonts w:hint="eastAsia" w:ascii="宋体" w:hAnsi="宋体"/>
                <w:sz w:val="22"/>
                <w:szCs w:val="22"/>
              </w:rPr>
              <w:t>包括食品安全、环境安全、食堂工作人员及就餐人员的卫生防疫、疾病控制预防、事故及投诉应急处理预案。安全预防阐述详细、全面，卫生防疫措施严密、有保障的得</w:t>
            </w:r>
            <w:r>
              <w:rPr>
                <w:rFonts w:hint="eastAsia" w:ascii="宋体" w:hAnsi="宋体" w:cs="宋体"/>
                <w:sz w:val="22"/>
                <w:szCs w:val="22"/>
              </w:rPr>
              <w:t>6-5</w:t>
            </w:r>
            <w:r>
              <w:rPr>
                <w:rStyle w:val="55"/>
                <w:rFonts w:hint="eastAsia" w:ascii="宋体" w:hAnsi="宋体"/>
                <w:sz w:val="22"/>
                <w:szCs w:val="22"/>
              </w:rPr>
              <w:t>分；安全预防措施一般，防疫效果不明显的得</w:t>
            </w:r>
            <w:r>
              <w:rPr>
                <w:rFonts w:hint="eastAsia" w:ascii="宋体" w:hAnsi="宋体" w:cs="宋体"/>
                <w:sz w:val="22"/>
                <w:szCs w:val="22"/>
              </w:rPr>
              <w:t>4.9-3</w:t>
            </w:r>
            <w:r>
              <w:rPr>
                <w:rStyle w:val="55"/>
                <w:rFonts w:hint="eastAsia" w:ascii="宋体" w:hAnsi="宋体"/>
                <w:sz w:val="22"/>
                <w:szCs w:val="22"/>
              </w:rPr>
              <w:t>分；安全预防和防疫措施简单，缺乏针对性和有效性的得</w:t>
            </w:r>
            <w:r>
              <w:rPr>
                <w:rFonts w:hint="eastAsia" w:ascii="宋体" w:hAnsi="宋体" w:cs="宋体"/>
                <w:sz w:val="22"/>
                <w:szCs w:val="22"/>
              </w:rPr>
              <w:t>2.9-0</w:t>
            </w:r>
            <w:r>
              <w:rPr>
                <w:rStyle w:val="55"/>
                <w:rFonts w:hint="eastAsia" w:ascii="宋体" w:hAnsi="宋体"/>
                <w:sz w:val="22"/>
                <w:szCs w:val="22"/>
              </w:rPr>
              <w:t>分；未提及此项不得分。</w:t>
            </w:r>
          </w:p>
        </w:tc>
        <w:tc>
          <w:tcPr>
            <w:tcW w:w="460" w:type="dxa"/>
            <w:vAlign w:val="center"/>
          </w:tcPr>
          <w:p>
            <w:pPr>
              <w:tabs>
                <w:tab w:val="left" w:pos="540"/>
              </w:tabs>
              <w:spacing w:line="216" w:lineRule="auto"/>
              <w:jc w:val="center"/>
              <w:textAlignment w:val="baseline"/>
              <w:rPr>
                <w:rStyle w:val="55"/>
                <w:rFonts w:ascii="宋体" w:hAnsi="宋体"/>
                <w:sz w:val="22"/>
                <w:szCs w:val="22"/>
              </w:rPr>
            </w:pPr>
            <w:r>
              <w:rPr>
                <w:rStyle w:val="55"/>
                <w:rFonts w:hint="eastAsia" w:ascii="宋体" w:hAnsi="宋体"/>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02" w:type="dxa"/>
            <w:vMerge w:val="continue"/>
            <w:vAlign w:val="center"/>
          </w:tcPr>
          <w:p>
            <w:pPr>
              <w:tabs>
                <w:tab w:val="left" w:pos="540"/>
              </w:tabs>
              <w:spacing w:line="216" w:lineRule="auto"/>
              <w:jc w:val="center"/>
              <w:textAlignment w:val="baseline"/>
              <w:rPr>
                <w:rStyle w:val="55"/>
                <w:rFonts w:ascii="宋体" w:hAnsi="宋体"/>
                <w:sz w:val="22"/>
                <w:szCs w:val="22"/>
              </w:rPr>
            </w:pPr>
          </w:p>
        </w:tc>
        <w:tc>
          <w:tcPr>
            <w:tcW w:w="756" w:type="dxa"/>
            <w:vAlign w:val="center"/>
          </w:tcPr>
          <w:p>
            <w:pPr>
              <w:tabs>
                <w:tab w:val="left" w:pos="540"/>
              </w:tabs>
              <w:spacing w:line="216" w:lineRule="auto"/>
              <w:jc w:val="left"/>
              <w:textAlignment w:val="baseline"/>
              <w:rPr>
                <w:rStyle w:val="55"/>
                <w:rFonts w:ascii="宋体" w:hAnsi="宋体"/>
                <w:sz w:val="22"/>
                <w:szCs w:val="22"/>
              </w:rPr>
            </w:pPr>
            <w:r>
              <w:rPr>
                <w:rFonts w:hint="eastAsia" w:ascii="宋体" w:hAnsi="宋体" w:cs="宋体"/>
                <w:sz w:val="22"/>
                <w:szCs w:val="22"/>
              </w:rPr>
              <w:t>食堂环境卫生服务方案</w:t>
            </w:r>
          </w:p>
        </w:tc>
        <w:tc>
          <w:tcPr>
            <w:tcW w:w="7721" w:type="dxa"/>
            <w:vAlign w:val="center"/>
          </w:tcPr>
          <w:p>
            <w:pPr>
              <w:tabs>
                <w:tab w:val="left" w:pos="540"/>
              </w:tabs>
              <w:spacing w:line="216" w:lineRule="auto"/>
              <w:textAlignment w:val="baseline"/>
              <w:rPr>
                <w:rStyle w:val="55"/>
                <w:rFonts w:ascii="宋体" w:hAnsi="宋体"/>
                <w:sz w:val="22"/>
                <w:szCs w:val="22"/>
              </w:rPr>
            </w:pPr>
            <w:r>
              <w:rPr>
                <w:rFonts w:hint="eastAsia" w:ascii="宋体" w:hAnsi="宋体" w:cs="宋体"/>
                <w:sz w:val="22"/>
                <w:szCs w:val="22"/>
              </w:rPr>
              <w:t>根据投标人提供的食堂环境卫生服务方案（包括餐桌、地面、餐具、排水沟、设备设施、工具、员工仪表等）以及落实的保障措施等情况进行打分。设备清洁措施全面、食堂卫生有保障的得6-5分；设备清洁措施一般、食堂卫生缺乏一定保障的得4.9-3分；设备清洁方案简单、粗糙，没有具体保障措施的得2.9-0分；未提及此项不得分。</w:t>
            </w:r>
          </w:p>
        </w:tc>
        <w:tc>
          <w:tcPr>
            <w:tcW w:w="460" w:type="dxa"/>
            <w:vAlign w:val="center"/>
          </w:tcPr>
          <w:p>
            <w:pPr>
              <w:tabs>
                <w:tab w:val="left" w:pos="540"/>
              </w:tabs>
              <w:spacing w:line="216" w:lineRule="auto"/>
              <w:jc w:val="center"/>
              <w:textAlignment w:val="baseline"/>
              <w:rPr>
                <w:rStyle w:val="55"/>
                <w:rFonts w:ascii="宋体" w:hAnsi="宋体"/>
                <w:sz w:val="22"/>
                <w:szCs w:val="22"/>
              </w:rPr>
            </w:pPr>
            <w:r>
              <w:rPr>
                <w:rStyle w:val="55"/>
                <w:rFonts w:hint="eastAsia" w:ascii="宋体" w:hAnsi="宋体"/>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02" w:type="dxa"/>
            <w:vMerge w:val="continue"/>
            <w:vAlign w:val="center"/>
          </w:tcPr>
          <w:p>
            <w:pPr>
              <w:tabs>
                <w:tab w:val="left" w:pos="540"/>
              </w:tabs>
              <w:spacing w:line="216" w:lineRule="auto"/>
              <w:jc w:val="center"/>
              <w:textAlignment w:val="baseline"/>
              <w:rPr>
                <w:rStyle w:val="55"/>
                <w:rFonts w:ascii="宋体" w:hAnsi="宋体"/>
                <w:sz w:val="22"/>
                <w:szCs w:val="22"/>
              </w:rPr>
            </w:pPr>
          </w:p>
        </w:tc>
        <w:tc>
          <w:tcPr>
            <w:tcW w:w="756" w:type="dxa"/>
            <w:vAlign w:val="center"/>
          </w:tcPr>
          <w:p>
            <w:pPr>
              <w:tabs>
                <w:tab w:val="left" w:pos="540"/>
              </w:tabs>
              <w:spacing w:line="216" w:lineRule="auto"/>
              <w:jc w:val="left"/>
              <w:textAlignment w:val="baseline"/>
              <w:rPr>
                <w:rStyle w:val="55"/>
                <w:rFonts w:ascii="宋体" w:hAnsi="宋体"/>
                <w:sz w:val="22"/>
                <w:szCs w:val="22"/>
              </w:rPr>
            </w:pPr>
            <w:r>
              <w:rPr>
                <w:rFonts w:hint="eastAsia" w:ascii="宋体" w:hAnsi="宋体" w:cs="宋体"/>
                <w:sz w:val="22"/>
                <w:szCs w:val="22"/>
              </w:rPr>
              <w:t>节能措施</w:t>
            </w:r>
          </w:p>
        </w:tc>
        <w:tc>
          <w:tcPr>
            <w:tcW w:w="7721" w:type="dxa"/>
            <w:vAlign w:val="center"/>
          </w:tcPr>
          <w:p>
            <w:pPr>
              <w:tabs>
                <w:tab w:val="left" w:pos="540"/>
              </w:tabs>
              <w:spacing w:line="216" w:lineRule="auto"/>
              <w:textAlignment w:val="baseline"/>
              <w:rPr>
                <w:rStyle w:val="55"/>
                <w:rFonts w:ascii="宋体" w:hAnsi="宋体"/>
                <w:sz w:val="22"/>
                <w:szCs w:val="22"/>
              </w:rPr>
            </w:pPr>
            <w:r>
              <w:rPr>
                <w:rFonts w:hint="eastAsia" w:ascii="宋体" w:hAnsi="宋体" w:cs="宋体"/>
                <w:sz w:val="22"/>
                <w:szCs w:val="22"/>
              </w:rPr>
              <w:t>针对投标人提供的节能管理措施进行打分。节能措施全面，能有效保证食堂整体节能的得6-5分；措施一般，节能效果一般的得4.9-3分；方案描述片面，缺乏针对性的得2.9-0分；未提及此项不得分。</w:t>
            </w:r>
          </w:p>
        </w:tc>
        <w:tc>
          <w:tcPr>
            <w:tcW w:w="460" w:type="dxa"/>
            <w:vAlign w:val="center"/>
          </w:tcPr>
          <w:p>
            <w:pPr>
              <w:tabs>
                <w:tab w:val="left" w:pos="540"/>
              </w:tabs>
              <w:spacing w:line="216" w:lineRule="auto"/>
              <w:jc w:val="center"/>
              <w:textAlignment w:val="baseline"/>
              <w:rPr>
                <w:rFonts w:ascii="宋体" w:hAnsi="宋体"/>
                <w:sz w:val="22"/>
                <w:szCs w:val="22"/>
              </w:rPr>
            </w:pPr>
            <w:r>
              <w:rPr>
                <w:rFonts w:hint="eastAsia" w:ascii="宋体" w:hAnsi="宋体"/>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502" w:type="dxa"/>
            <w:vMerge w:val="continue"/>
            <w:vAlign w:val="center"/>
          </w:tcPr>
          <w:p>
            <w:pPr>
              <w:tabs>
                <w:tab w:val="left" w:pos="540"/>
              </w:tabs>
              <w:spacing w:line="216" w:lineRule="auto"/>
              <w:jc w:val="center"/>
              <w:textAlignment w:val="baseline"/>
              <w:rPr>
                <w:rStyle w:val="55"/>
                <w:rFonts w:ascii="宋体" w:hAnsi="宋体"/>
                <w:sz w:val="22"/>
                <w:szCs w:val="22"/>
              </w:rPr>
            </w:pPr>
          </w:p>
        </w:tc>
        <w:tc>
          <w:tcPr>
            <w:tcW w:w="756" w:type="dxa"/>
            <w:vAlign w:val="center"/>
          </w:tcPr>
          <w:p>
            <w:pPr>
              <w:tabs>
                <w:tab w:val="left" w:pos="540"/>
              </w:tabs>
              <w:spacing w:line="216" w:lineRule="auto"/>
              <w:jc w:val="left"/>
              <w:textAlignment w:val="baseline"/>
              <w:rPr>
                <w:szCs w:val="22"/>
                <w:lang w:val="zh-CN" w:bidi="zh-CN"/>
              </w:rPr>
            </w:pPr>
            <w:r>
              <w:rPr>
                <w:rFonts w:hint="eastAsia" w:ascii="宋体" w:hAnsi="宋体" w:cs="宋体"/>
                <w:sz w:val="22"/>
                <w:szCs w:val="22"/>
              </w:rPr>
              <w:t>应急预案</w:t>
            </w:r>
          </w:p>
        </w:tc>
        <w:tc>
          <w:tcPr>
            <w:tcW w:w="7721" w:type="dxa"/>
            <w:vAlign w:val="center"/>
          </w:tcPr>
          <w:p>
            <w:pPr>
              <w:pStyle w:val="46"/>
              <w:spacing w:line="216" w:lineRule="auto"/>
              <w:rPr>
                <w:szCs w:val="22"/>
                <w:lang w:val="zh-CN" w:bidi="zh-CN"/>
              </w:rPr>
            </w:pPr>
            <w:r>
              <w:rPr>
                <w:rFonts w:hint="eastAsia"/>
                <w:szCs w:val="22"/>
              </w:rPr>
              <w:t>针对投标人提供的公众突发事件应急预案、消防应急预案，对食堂的防火应急措施进行打分。应急预案严谨、全面，能及时应对突发事件的得6-5分；应急预案一般，应对突发事件的及时性差的得4.9-3分；方案描述片面，缺乏针对性的得2.9-0分；未提及此项不得分。</w:t>
            </w:r>
          </w:p>
        </w:tc>
        <w:tc>
          <w:tcPr>
            <w:tcW w:w="460" w:type="dxa"/>
            <w:vAlign w:val="center"/>
          </w:tcPr>
          <w:p>
            <w:pPr>
              <w:tabs>
                <w:tab w:val="left" w:pos="540"/>
              </w:tabs>
              <w:spacing w:line="216" w:lineRule="auto"/>
              <w:jc w:val="center"/>
              <w:textAlignment w:val="baseline"/>
              <w:rPr>
                <w:rStyle w:val="55"/>
                <w:rFonts w:ascii="宋体" w:hAnsi="宋体"/>
                <w:sz w:val="22"/>
                <w:szCs w:val="22"/>
              </w:rPr>
            </w:pPr>
            <w:r>
              <w:rPr>
                <w:rStyle w:val="55"/>
                <w:rFonts w:hint="eastAsia" w:ascii="宋体" w:hAnsi="宋体"/>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258" w:type="dxa"/>
            <w:gridSpan w:val="2"/>
            <w:vAlign w:val="center"/>
          </w:tcPr>
          <w:p>
            <w:pPr>
              <w:adjustRightInd w:val="0"/>
              <w:snapToGrid w:val="0"/>
              <w:spacing w:line="216" w:lineRule="auto"/>
              <w:jc w:val="center"/>
              <w:rPr>
                <w:rFonts w:ascii="宋体" w:hAnsi="宋体" w:cs="宋体"/>
                <w:snapToGrid w:val="0"/>
                <w:sz w:val="22"/>
                <w:szCs w:val="22"/>
              </w:rPr>
            </w:pPr>
            <w:r>
              <w:rPr>
                <w:rFonts w:hint="eastAsia" w:ascii="宋体" w:hAnsi="宋体" w:cs="宋体"/>
                <w:snapToGrid w:val="0"/>
                <w:sz w:val="22"/>
                <w:szCs w:val="22"/>
              </w:rPr>
              <w:t>价格30分</w:t>
            </w:r>
          </w:p>
        </w:tc>
        <w:tc>
          <w:tcPr>
            <w:tcW w:w="7721" w:type="dxa"/>
            <w:vAlign w:val="center"/>
          </w:tcPr>
          <w:p>
            <w:pPr>
              <w:adjustRightInd w:val="0"/>
              <w:snapToGrid w:val="0"/>
              <w:spacing w:line="216" w:lineRule="auto"/>
              <w:rPr>
                <w:rFonts w:ascii="宋体" w:hAnsi="宋体" w:cs="宋体"/>
                <w:sz w:val="22"/>
                <w:szCs w:val="22"/>
              </w:rPr>
            </w:pPr>
            <w:r>
              <w:rPr>
                <w:rFonts w:hint="eastAsia" w:ascii="宋体" w:hAnsi="宋体" w:cs="宋体"/>
                <w:sz w:val="22"/>
                <w:szCs w:val="22"/>
              </w:rPr>
              <w:t>取合格供应商的磋商最后报价最低价为基准价。基准价为30分。最后报价得分＝（评标基准价/最后报价）×30%×100（小数点后保留2位小数）。</w:t>
            </w:r>
          </w:p>
        </w:tc>
        <w:tc>
          <w:tcPr>
            <w:tcW w:w="460" w:type="dxa"/>
            <w:vAlign w:val="center"/>
          </w:tcPr>
          <w:p>
            <w:pPr>
              <w:adjustRightInd w:val="0"/>
              <w:snapToGrid w:val="0"/>
              <w:spacing w:line="216" w:lineRule="auto"/>
              <w:jc w:val="center"/>
              <w:rPr>
                <w:rFonts w:ascii="宋体" w:hAnsi="宋体" w:cs="宋体"/>
                <w:sz w:val="22"/>
                <w:szCs w:val="22"/>
              </w:rPr>
            </w:pPr>
            <w:r>
              <w:rPr>
                <w:rFonts w:hint="eastAsia" w:ascii="宋体" w:hAnsi="宋体" w:cs="宋体"/>
                <w:sz w:val="22"/>
                <w:szCs w:val="22"/>
              </w:rPr>
              <w:t>30分</w:t>
            </w:r>
          </w:p>
        </w:tc>
      </w:tr>
    </w:tbl>
    <w:p>
      <w:pPr>
        <w:snapToGrid w:val="0"/>
        <w:spacing w:line="360" w:lineRule="auto"/>
        <w:rPr>
          <w:rFonts w:ascii="宋体" w:hAnsi="宋体" w:cs="宋体"/>
          <w:b/>
          <w:bCs/>
          <w:sz w:val="24"/>
        </w:rPr>
      </w:pPr>
      <w:r>
        <w:rPr>
          <w:rFonts w:hint="eastAsia"/>
          <w:b/>
          <w:bCs/>
        </w:rPr>
        <w:t>注：合同、证书及其他相关证明材料，将原件扫描上传至响应文件，并加盖电子印章。</w:t>
      </w:r>
    </w:p>
    <w:p>
      <w:pPr>
        <w:snapToGrid w:val="0"/>
        <w:spacing w:line="360" w:lineRule="auto"/>
        <w:ind w:firstLine="482" w:firstLineChars="200"/>
        <w:rPr>
          <w:rFonts w:ascii="宋体" w:hAnsi="宋体" w:cs="宋体"/>
          <w:sz w:val="24"/>
        </w:rPr>
      </w:pPr>
      <w:r>
        <w:rPr>
          <w:rFonts w:hint="eastAsia" w:ascii="宋体" w:hAnsi="宋体" w:cs="宋体"/>
          <w:b/>
          <w:bCs/>
          <w:sz w:val="24"/>
        </w:rPr>
        <w:t>2.最后报价</w:t>
      </w:r>
    </w:p>
    <w:p>
      <w:pPr>
        <w:snapToGrid w:val="0"/>
        <w:spacing w:line="360" w:lineRule="auto"/>
        <w:ind w:firstLine="480" w:firstLineChars="200"/>
        <w:rPr>
          <w:rFonts w:ascii="宋体" w:hAnsi="宋体" w:cs="宋体"/>
          <w:sz w:val="24"/>
        </w:rPr>
      </w:pPr>
      <w:r>
        <w:rPr>
          <w:rFonts w:hint="eastAsia" w:ascii="宋体" w:hAnsi="宋体" w:cs="宋体"/>
          <w:sz w:val="24"/>
        </w:rPr>
        <w:t>（1）磋商文件能够详细列明采购标的的技术、服务要求的，磋商结束后，磋商小组将要求所有实质性响应的供应商在规定时间内提交最后报价，最后报价是供应商响应文件的有效组成部分。</w:t>
      </w:r>
    </w:p>
    <w:p>
      <w:pPr>
        <w:pStyle w:val="26"/>
        <w:spacing w:line="360" w:lineRule="auto"/>
        <w:ind w:firstLine="480" w:firstLineChars="200"/>
        <w:jc w:val="both"/>
      </w:pPr>
      <w:r>
        <w:rPr>
          <w:rFonts w:hint="eastAsia" w:ascii="宋体" w:hAnsi="宋体" w:eastAsia="宋体" w:cs="宋体"/>
          <w:sz w:val="24"/>
          <w:szCs w:val="24"/>
        </w:rPr>
        <w:t>（2）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pPr>
        <w:pStyle w:val="9"/>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3.评审要求</w:t>
      </w:r>
    </w:p>
    <w:p>
      <w:pPr>
        <w:snapToGrid w:val="0"/>
        <w:spacing w:line="360" w:lineRule="auto"/>
        <w:ind w:firstLine="480" w:firstLineChars="200"/>
        <w:rPr>
          <w:rFonts w:ascii="宋体" w:hAnsi="宋体" w:cs="宋体"/>
          <w:sz w:val="24"/>
        </w:rPr>
      </w:pPr>
      <w:r>
        <w:rPr>
          <w:rFonts w:hint="eastAsia" w:ascii="宋体" w:hAnsi="宋体" w:cs="宋体"/>
          <w:sz w:val="24"/>
        </w:rPr>
        <w:t>(1)磋商小组应当按照磋商文件中规定的评标方法和标准，对符合性审查合格的响应文件的商务部分和技术部分进行综合比较与评价，其中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napToGrid w:val="0"/>
        <w:spacing w:line="360" w:lineRule="auto"/>
        <w:ind w:firstLine="480" w:firstLineChars="200"/>
        <w:rPr>
          <w:rFonts w:ascii="宋体" w:hAnsi="宋体" w:cs="宋体"/>
          <w:sz w:val="24"/>
        </w:rPr>
      </w:pPr>
      <w:r>
        <w:rPr>
          <w:rFonts w:hint="eastAsia" w:ascii="宋体" w:hAnsi="宋体" w:cs="宋体"/>
          <w:sz w:val="24"/>
        </w:rPr>
        <w:t>（2）对于磋商响应文件中含义不明确、同类问题表述不一致或者有明显文字和计算错误的内容，磋商小组应当要求投标人作出必要的澄清、说明或者补正。</w:t>
      </w:r>
    </w:p>
    <w:p>
      <w:pPr>
        <w:snapToGrid w:val="0"/>
        <w:spacing w:line="360" w:lineRule="auto"/>
        <w:ind w:firstLine="480" w:firstLineChars="200"/>
        <w:rPr>
          <w:rFonts w:ascii="宋体" w:hAnsi="宋体" w:cs="宋体"/>
          <w:sz w:val="24"/>
        </w:rPr>
      </w:pPr>
      <w:r>
        <w:rPr>
          <w:rFonts w:hint="eastAsia" w:ascii="宋体" w:hAnsi="宋体" w:cs="宋体"/>
          <w:sz w:val="24"/>
        </w:rPr>
        <w:t>（3）供应商的澄清（说明或者补正）采用书面形式，并加盖公章（电子印章）或者由法定代表人或授权代表签字，且不得超出磋商响应文件的范围或者改变磋商响应文件的实质性内容。</w:t>
      </w:r>
    </w:p>
    <w:p>
      <w:pPr>
        <w:snapToGrid w:val="0"/>
        <w:spacing w:line="360" w:lineRule="auto"/>
        <w:ind w:firstLine="482" w:firstLineChars="200"/>
        <w:rPr>
          <w:rFonts w:ascii="宋体" w:hAnsi="宋体" w:cs="宋体"/>
          <w:b/>
          <w:bCs/>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1.经磋商确定最终采购需求和提交最后报价的供应商后，由磋商小组采用综合评分法对提交最后报价的供应商的响应文件和最后报价进行综合比较与评价。根据综合评分情况，按评审得分由高到低顺序推荐3名以上成交候选供应商。评审得分相同的，按照最后报价由高到低的顺序推荐。评审得分且最后投标报价相同的，按照技术指标优劣顺序推荐。</w:t>
      </w:r>
    </w:p>
    <w:p>
      <w:pPr>
        <w:snapToGrid w:val="0"/>
        <w:spacing w:line="360" w:lineRule="auto"/>
        <w:ind w:firstLine="482" w:firstLineChars="200"/>
        <w:rPr>
          <w:rFonts w:ascii="宋体" w:hAnsi="宋体" w:cs="宋体"/>
          <w:b/>
          <w:bCs/>
          <w:sz w:val="24"/>
        </w:rPr>
      </w:pPr>
      <w:r>
        <w:rPr>
          <w:rFonts w:hint="eastAsia" w:ascii="宋体" w:hAnsi="宋体" w:cs="宋体"/>
          <w:b/>
          <w:bCs/>
          <w:sz w:val="24"/>
        </w:rPr>
        <w:t>（五）编写评审报告</w:t>
      </w:r>
    </w:p>
    <w:p>
      <w:pPr>
        <w:snapToGrid w:val="0"/>
        <w:spacing w:line="360" w:lineRule="auto"/>
        <w:ind w:firstLine="480" w:firstLineChars="200"/>
        <w:rPr>
          <w:rFonts w:ascii="宋体" w:hAnsi="宋体" w:cs="宋体"/>
          <w:sz w:val="24"/>
        </w:rPr>
      </w:pPr>
      <w:r>
        <w:rPr>
          <w:rFonts w:hint="eastAsia" w:ascii="宋体" w:hAnsi="宋体" w:cs="宋体"/>
          <w:sz w:val="24"/>
        </w:rPr>
        <w:t>磋商小组根据全体评审人员签字的原始记录和得分情况编写评审报告。</w:t>
      </w:r>
    </w:p>
    <w:p>
      <w:pPr>
        <w:pStyle w:val="2"/>
      </w:pPr>
    </w:p>
    <w:p/>
    <w:p>
      <w:pPr>
        <w:pStyle w:val="2"/>
      </w:pPr>
    </w:p>
    <w:p/>
    <w:p>
      <w:pPr>
        <w:pStyle w:val="2"/>
      </w:pPr>
    </w:p>
    <w:p/>
    <w:p>
      <w:pPr>
        <w:pStyle w:val="2"/>
      </w:pPr>
    </w:p>
    <w:p>
      <w:pPr>
        <w:numPr>
          <w:ilvl w:val="0"/>
          <w:numId w:val="4"/>
        </w:numPr>
        <w:spacing w:line="360" w:lineRule="auto"/>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rPr>
        <w:t>拟签订的合同文本</w:t>
      </w:r>
    </w:p>
    <w:p>
      <w:pPr>
        <w:widowControl/>
        <w:spacing w:after="150" w:line="360" w:lineRule="auto"/>
        <w:ind w:firstLine="480"/>
        <w:jc w:val="left"/>
        <w:rPr>
          <w:rFonts w:asciiTheme="minorEastAsia" w:hAnsiTheme="minorEastAsia" w:eastAsiaTheme="minorEastAsia"/>
          <w:sz w:val="24"/>
        </w:rPr>
      </w:pPr>
      <w:r>
        <w:rPr>
          <w:rFonts w:asciiTheme="minorEastAsia" w:hAnsiTheme="minorEastAsia" w:eastAsiaTheme="minorEastAsia"/>
          <w:sz w:val="24"/>
        </w:rPr>
        <w:t>以下为成交后</w:t>
      </w:r>
      <w:r>
        <w:rPr>
          <w:rFonts w:hint="eastAsia" w:asciiTheme="minorEastAsia" w:hAnsiTheme="minorEastAsia" w:eastAsiaTheme="minorEastAsia"/>
          <w:sz w:val="24"/>
        </w:rPr>
        <w:t>签</w:t>
      </w:r>
      <w:r>
        <w:rPr>
          <w:rFonts w:hint="eastAsia" w:ascii="宋体" w:hAnsi="宋体"/>
          <w:sz w:val="24"/>
        </w:rPr>
        <w:t>订</w:t>
      </w:r>
      <w:r>
        <w:rPr>
          <w:rFonts w:asciiTheme="minorEastAsia" w:hAnsiTheme="minorEastAsia" w:eastAsiaTheme="minorEastAsia"/>
          <w:sz w:val="24"/>
        </w:rPr>
        <w:t>本项目合同的通用条款，成交供应商不得提出实质性的修改，关于专用条款将由采购人与成交供应商结合本项目具体情况协商后签订。</w:t>
      </w:r>
    </w:p>
    <w:p>
      <w:pPr>
        <w:pStyle w:val="9"/>
        <w:snapToGrid w:val="0"/>
        <w:spacing w:line="360" w:lineRule="auto"/>
        <w:rPr>
          <w:rFonts w:asciiTheme="minorEastAsia" w:hAnsiTheme="minorEastAsia" w:eastAsiaTheme="minorEastAsia"/>
          <w:sz w:val="24"/>
        </w:rPr>
      </w:pPr>
      <w:r>
        <w:rPr>
          <w:rFonts w:asciiTheme="minorEastAsia" w:hAnsiTheme="minorEastAsia" w:eastAsiaTheme="minorEastAsia"/>
          <w:sz w:val="24"/>
        </w:rPr>
        <w:t>项目名称：                                项目编号：</w:t>
      </w:r>
    </w:p>
    <w:p>
      <w:pPr>
        <w:pStyle w:val="9"/>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pPr>
        <w:pStyle w:val="9"/>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pStyle w:val="9"/>
        <w:snapToGrid w:val="0"/>
        <w:spacing w:line="360" w:lineRule="auto"/>
        <w:ind w:firstLine="480" w:firstLineChars="200"/>
        <w:rPr>
          <w:rFonts w:asciiTheme="minorEastAsia" w:hAnsiTheme="minorEastAsia" w:eastAsiaTheme="minorEastAsia"/>
          <w:b/>
          <w:sz w:val="24"/>
        </w:rPr>
      </w:pPr>
      <w:r>
        <w:rPr>
          <w:rFonts w:asciiTheme="minorEastAsia" w:hAnsiTheme="minorEastAsia" w:eastAsiaTheme="minorEastAsia"/>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Theme="minorEastAsia" w:hAnsiTheme="minorEastAsia" w:eastAsiaTheme="minorEastAsia"/>
          <w:sz w:val="24"/>
        </w:rPr>
        <w:t>关于</w:t>
      </w:r>
      <w:r>
        <w:rPr>
          <w:rFonts w:hint="eastAsia" w:cs="Arial" w:asciiTheme="minorEastAsia" w:hAnsiTheme="minorEastAsia" w:eastAsiaTheme="minorEastAsia"/>
          <w:sz w:val="24"/>
        </w:rPr>
        <w:t>××</w:t>
      </w:r>
      <w:r>
        <w:rPr>
          <w:rFonts w:asciiTheme="minorEastAsia" w:hAnsiTheme="minorEastAsia" w:eastAsiaTheme="minorEastAsia"/>
          <w:sz w:val="24"/>
        </w:rPr>
        <w:t>单位</w:t>
      </w:r>
      <w:r>
        <w:rPr>
          <w:rFonts w:hint="eastAsia" w:cs="Arial" w:asciiTheme="minorEastAsia" w:hAnsiTheme="minorEastAsia" w:eastAsiaTheme="minorEastAsia"/>
          <w:sz w:val="24"/>
        </w:rPr>
        <w:t>××</w:t>
      </w:r>
      <w:r>
        <w:rPr>
          <w:rFonts w:asciiTheme="minorEastAsia" w:hAnsiTheme="minorEastAsia" w:eastAsiaTheme="minorEastAsia"/>
          <w:sz w:val="24"/>
        </w:rPr>
        <w:t>项目</w:t>
      </w:r>
      <w:r>
        <w:rPr>
          <w:rFonts w:hint="eastAsia" w:asciiTheme="minorEastAsia" w:hAnsiTheme="minorEastAsia" w:eastAsiaTheme="minorEastAsia"/>
          <w:sz w:val="24"/>
        </w:rPr>
        <w:t>竞争性磋商</w:t>
      </w:r>
      <w:r>
        <w:rPr>
          <w:rFonts w:asciiTheme="minorEastAsia" w:hAnsiTheme="minorEastAsia" w:eastAsiaTheme="minorEastAsia"/>
          <w:sz w:val="24"/>
        </w:rPr>
        <w:t>的结果，签署本合同。</w:t>
      </w:r>
    </w:p>
    <w:p>
      <w:pPr>
        <w:spacing w:line="408" w:lineRule="auto"/>
        <w:ind w:firstLine="482" w:firstLineChars="200"/>
        <w:rPr>
          <w:rFonts w:ascii="宋体"/>
          <w:sz w:val="24"/>
          <w:lang w:val="zh-CN"/>
        </w:rPr>
      </w:pPr>
      <w:r>
        <w:rPr>
          <w:rFonts w:hint="eastAsia" w:ascii="宋体" w:hAnsi="宋体"/>
          <w:b/>
          <w:bCs/>
          <w:sz w:val="24"/>
        </w:rPr>
        <w:t xml:space="preserve">第一条  </w:t>
      </w:r>
      <w:r>
        <w:rPr>
          <w:rFonts w:hint="eastAsia" w:ascii="宋体"/>
          <w:sz w:val="24"/>
          <w:lang w:val="zh-CN"/>
        </w:rPr>
        <w:t xml:space="preserve">合同文件 </w:t>
      </w:r>
    </w:p>
    <w:p>
      <w:pPr>
        <w:spacing w:line="408" w:lineRule="auto"/>
        <w:ind w:firstLine="480" w:firstLineChars="200"/>
        <w:rPr>
          <w:rFonts w:ascii="宋体"/>
          <w:sz w:val="24"/>
          <w:lang w:val="zh-CN"/>
        </w:rPr>
      </w:pPr>
      <w:r>
        <w:rPr>
          <w:rFonts w:hint="eastAsia" w:ascii="宋体"/>
          <w:sz w:val="24"/>
          <w:lang w:val="zh-CN"/>
        </w:rPr>
        <w:t>1、合同条款。</w:t>
      </w:r>
    </w:p>
    <w:p>
      <w:pPr>
        <w:spacing w:line="408" w:lineRule="auto"/>
        <w:ind w:firstLine="480" w:firstLineChars="200"/>
        <w:rPr>
          <w:rFonts w:ascii="宋体"/>
          <w:sz w:val="24"/>
          <w:lang w:val="zh-CN"/>
        </w:rPr>
      </w:pPr>
      <w:r>
        <w:rPr>
          <w:rFonts w:hint="eastAsia" w:ascii="宋体"/>
          <w:sz w:val="24"/>
          <w:lang w:val="zh-CN"/>
        </w:rPr>
        <w:t>2、成交通知书。</w:t>
      </w:r>
    </w:p>
    <w:p>
      <w:pPr>
        <w:spacing w:line="408" w:lineRule="auto"/>
        <w:ind w:firstLine="480" w:firstLineChars="200"/>
        <w:rPr>
          <w:rFonts w:ascii="宋体"/>
          <w:sz w:val="24"/>
          <w:lang w:val="zh-CN"/>
        </w:rPr>
      </w:pPr>
      <w:r>
        <w:rPr>
          <w:rFonts w:hint="eastAsia" w:ascii="宋体"/>
          <w:sz w:val="24"/>
          <w:lang w:val="zh-CN"/>
        </w:rPr>
        <w:t>3、更正补充文件（如有）。</w:t>
      </w:r>
    </w:p>
    <w:p>
      <w:pPr>
        <w:spacing w:line="360" w:lineRule="auto"/>
        <w:ind w:firstLine="480" w:firstLineChars="200"/>
        <w:rPr>
          <w:rFonts w:ascii="宋体"/>
          <w:sz w:val="24"/>
          <w:lang w:val="zh-CN"/>
        </w:rPr>
      </w:pPr>
      <w:r>
        <w:rPr>
          <w:rFonts w:hint="eastAsia" w:ascii="宋体"/>
          <w:sz w:val="24"/>
          <w:lang w:val="zh-CN"/>
        </w:rPr>
        <w:t>4、磋商文件。</w:t>
      </w:r>
    </w:p>
    <w:p>
      <w:pPr>
        <w:spacing w:line="360" w:lineRule="auto"/>
        <w:ind w:firstLine="480" w:firstLineChars="200"/>
        <w:rPr>
          <w:rFonts w:ascii="宋体"/>
          <w:sz w:val="24"/>
          <w:lang w:val="zh-CN"/>
        </w:rPr>
      </w:pPr>
      <w:r>
        <w:rPr>
          <w:rFonts w:hint="eastAsia" w:ascii="宋体"/>
          <w:sz w:val="24"/>
          <w:lang w:val="zh-CN"/>
        </w:rPr>
        <w:t>5、成交供应商磋商响应文件。</w:t>
      </w:r>
    </w:p>
    <w:p>
      <w:pPr>
        <w:spacing w:line="360" w:lineRule="auto"/>
        <w:ind w:firstLine="480" w:firstLineChars="200"/>
        <w:rPr>
          <w:rFonts w:ascii="宋体"/>
          <w:sz w:val="24"/>
          <w:lang w:val="zh-CN"/>
        </w:rPr>
      </w:pPr>
      <w:r>
        <w:rPr>
          <w:rFonts w:hint="eastAsia" w:ascii="宋体"/>
          <w:sz w:val="24"/>
          <w:lang w:val="zh-CN"/>
        </w:rPr>
        <w:t>6、其他。</w:t>
      </w:r>
    </w:p>
    <w:p>
      <w:pPr>
        <w:pStyle w:val="9"/>
        <w:snapToGrid w:val="0"/>
        <w:spacing w:line="408" w:lineRule="auto"/>
        <w:ind w:firstLine="480" w:firstLineChars="200"/>
        <w:rPr>
          <w:rFonts w:hAnsi="Times New Roman" w:cs="Times New Roman"/>
          <w:sz w:val="24"/>
          <w:lang w:val="zh-CN"/>
        </w:rPr>
      </w:pPr>
      <w:r>
        <w:rPr>
          <w:rFonts w:hint="eastAsia" w:cs="Times New Roman"/>
          <w:sz w:val="24"/>
          <w:lang w:val="zh-CN"/>
        </w:rPr>
        <w:t>上述所指合同文件应认为是互相补充和解释的，但是有模棱两可或互相矛盾之处，以其所列内容顺序为准。</w:t>
      </w:r>
    </w:p>
    <w:p>
      <w:pPr>
        <w:spacing w:line="360" w:lineRule="auto"/>
        <w:ind w:firstLine="482" w:firstLineChars="200"/>
        <w:rPr>
          <w:rFonts w:ascii="宋体" w:hAnsi="宋体"/>
          <w:sz w:val="24"/>
        </w:rPr>
      </w:pPr>
      <w:r>
        <w:rPr>
          <w:rFonts w:hint="eastAsia" w:ascii="宋体" w:hAnsi="宋体"/>
          <w:b/>
          <w:bCs/>
          <w:sz w:val="24"/>
        </w:rPr>
        <w:t>第二条</w:t>
      </w:r>
      <w:r>
        <w:rPr>
          <w:rFonts w:hint="eastAsia" w:ascii="宋体" w:hAnsi="宋体"/>
          <w:sz w:val="24"/>
        </w:rPr>
        <w:t xml:space="preserve">  </w:t>
      </w:r>
      <w:r>
        <w:rPr>
          <w:rFonts w:ascii="宋体" w:hAnsi="宋体"/>
          <w:sz w:val="24"/>
        </w:rPr>
        <w:t>服务内容</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1、乙方提供专业服务团队，根据甲方的要求订好食谱，一天三餐供应。</w:t>
      </w:r>
    </w:p>
    <w:p>
      <w:pPr>
        <w:spacing w:line="360" w:lineRule="auto"/>
        <w:ind w:firstLine="480" w:firstLineChars="200"/>
        <w:rPr>
          <w:rFonts w:ascii="宋体" w:hAnsi="宋体"/>
          <w:sz w:val="24"/>
        </w:rPr>
      </w:pPr>
      <w:r>
        <w:rPr>
          <w:rFonts w:hint="eastAsia" w:ascii="宋体" w:hAnsi="宋体"/>
          <w:sz w:val="24"/>
        </w:rPr>
        <w:t>2、具体就餐时间及人数：</w:t>
      </w:r>
    </w:p>
    <w:p>
      <w:pPr>
        <w:spacing w:line="360" w:lineRule="auto"/>
        <w:ind w:firstLine="480" w:firstLineChars="200"/>
        <w:rPr>
          <w:rFonts w:ascii="宋体" w:hAnsi="宋体"/>
          <w:sz w:val="24"/>
        </w:rPr>
      </w:pPr>
      <w:r>
        <w:rPr>
          <w:rFonts w:hint="eastAsia" w:ascii="宋体" w:hAnsi="宋体"/>
          <w:sz w:val="24"/>
        </w:rPr>
        <w:t>3、乙方人员配置：</w:t>
      </w:r>
    </w:p>
    <w:p>
      <w:pPr>
        <w:spacing w:line="408" w:lineRule="auto"/>
        <w:ind w:firstLine="482" w:firstLineChars="200"/>
        <w:rPr>
          <w:rFonts w:ascii="宋体" w:hAnsi="宋体"/>
          <w:sz w:val="24"/>
        </w:rPr>
      </w:pPr>
      <w:r>
        <w:rPr>
          <w:rFonts w:hint="eastAsia" w:ascii="宋体" w:hAnsi="宋体"/>
          <w:b/>
          <w:bCs/>
          <w:sz w:val="24"/>
        </w:rPr>
        <w:t xml:space="preserve">第三条  </w:t>
      </w:r>
      <w:r>
        <w:rPr>
          <w:rFonts w:hint="eastAsia" w:ascii="宋体" w:hAnsi="宋体"/>
          <w:sz w:val="24"/>
        </w:rPr>
        <w:t>服务期限：合同期为一年（202</w:t>
      </w:r>
      <w:r>
        <w:rPr>
          <w:rFonts w:hint="eastAsia" w:ascii="宋体" w:hAnsi="宋体"/>
          <w:sz w:val="24"/>
          <w:lang w:val="en-US" w:eastAsia="zh-CN"/>
        </w:rPr>
        <w:t>4</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日至202</w:t>
      </w:r>
      <w:r>
        <w:rPr>
          <w:rFonts w:hint="eastAsia" w:ascii="宋体" w:hAnsi="宋体"/>
          <w:sz w:val="24"/>
          <w:lang w:val="en-US" w:eastAsia="zh-CN"/>
        </w:rPr>
        <w:t>5</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408" w:lineRule="auto"/>
        <w:ind w:firstLine="482" w:firstLineChars="200"/>
        <w:rPr>
          <w:rFonts w:ascii="宋体" w:hAnsi="宋体"/>
          <w:sz w:val="24"/>
        </w:rPr>
      </w:pPr>
      <w:r>
        <w:rPr>
          <w:rFonts w:hint="eastAsia" w:ascii="宋体" w:hAnsi="宋体"/>
          <w:b/>
          <w:bCs/>
          <w:sz w:val="24"/>
        </w:rPr>
        <w:t xml:space="preserve">第四条  </w:t>
      </w:r>
      <w:r>
        <w:rPr>
          <w:rFonts w:hint="eastAsia" w:ascii="宋体" w:hAnsi="宋体"/>
          <w:sz w:val="24"/>
        </w:rPr>
        <w:t>服务地点：</w:t>
      </w:r>
    </w:p>
    <w:p>
      <w:pPr>
        <w:spacing w:line="408" w:lineRule="auto"/>
        <w:ind w:firstLine="482" w:firstLineChars="200"/>
        <w:rPr>
          <w:rFonts w:ascii="宋体" w:hAnsi="宋体"/>
          <w:sz w:val="24"/>
        </w:rPr>
      </w:pPr>
      <w:r>
        <w:rPr>
          <w:rFonts w:hint="eastAsia" w:ascii="宋体" w:hAnsi="宋体"/>
          <w:b/>
          <w:bCs/>
          <w:sz w:val="24"/>
        </w:rPr>
        <w:t xml:space="preserve">第五条  </w:t>
      </w:r>
      <w:r>
        <w:rPr>
          <w:rFonts w:hint="eastAsia" w:ascii="宋体" w:hAnsi="宋体"/>
          <w:sz w:val="24"/>
        </w:rPr>
        <w:t>合同金额：</w:t>
      </w:r>
    </w:p>
    <w:p>
      <w:pPr>
        <w:spacing w:line="408" w:lineRule="auto"/>
        <w:ind w:firstLine="480" w:firstLineChars="200"/>
        <w:rPr>
          <w:rFonts w:ascii="宋体" w:hAnsi="宋体"/>
          <w:sz w:val="24"/>
        </w:rPr>
      </w:pPr>
      <w:r>
        <w:rPr>
          <w:rFonts w:hint="eastAsia" w:ascii="宋体" w:hAnsi="宋体"/>
          <w:sz w:val="24"/>
        </w:rPr>
        <w:t>本合同金额为人民币（大写）：_____________元整（¥______）。</w:t>
      </w:r>
    </w:p>
    <w:p>
      <w:pPr>
        <w:spacing w:line="408" w:lineRule="auto"/>
        <w:ind w:firstLine="480" w:firstLineChars="200"/>
        <w:rPr>
          <w:rFonts w:hint="eastAsia" w:ascii="宋体" w:hAnsi="宋体" w:eastAsia="宋体"/>
          <w:sz w:val="24"/>
          <w:lang w:eastAsia="zh-CN"/>
        </w:rPr>
      </w:pPr>
      <w:r>
        <w:rPr>
          <w:rFonts w:hint="eastAsia" w:ascii="宋体" w:hAnsi="宋体"/>
          <w:sz w:val="24"/>
        </w:rPr>
        <w:t>说明：</w:t>
      </w:r>
      <w:r>
        <w:rPr>
          <w:rFonts w:hint="eastAsia" w:ascii="宋体" w:hAnsi="宋体"/>
          <w:sz w:val="24"/>
          <w:lang w:eastAsia="zh-CN"/>
        </w:rPr>
        <w:t>本</w:t>
      </w:r>
      <w:r>
        <w:rPr>
          <w:rFonts w:hint="eastAsia" w:ascii="宋体" w:hAnsi="宋体"/>
          <w:sz w:val="24"/>
        </w:rPr>
        <w:t>合同</w:t>
      </w:r>
      <w:r>
        <w:rPr>
          <w:rFonts w:hint="eastAsia" w:ascii="宋体" w:hAnsi="宋体"/>
          <w:sz w:val="24"/>
          <w:lang w:eastAsia="zh-CN"/>
        </w:rPr>
        <w:t>金额</w:t>
      </w:r>
      <w:r>
        <w:rPr>
          <w:rFonts w:hint="eastAsia" w:ascii="宋体" w:hAnsi="宋体"/>
          <w:sz w:val="24"/>
        </w:rPr>
        <w:t>包含</w:t>
      </w:r>
      <w:r>
        <w:rPr>
          <w:rFonts w:hint="eastAsia" w:ascii="宋体" w:hAnsi="宋体"/>
          <w:sz w:val="24"/>
          <w:lang w:eastAsia="zh-CN"/>
        </w:rPr>
        <w:t>但不限于</w:t>
      </w:r>
      <w:r>
        <w:rPr>
          <w:rFonts w:hint="eastAsia" w:ascii="宋体" w:hAnsi="宋体"/>
          <w:sz w:val="24"/>
        </w:rPr>
        <w:t>基本工资、加班费、社保费、节假日补助费、节假日费、高温费、年终考核奖、年休假、补偿金、管理培训费、服装费、劳保用品、体检费、税费、</w:t>
      </w:r>
      <w:r>
        <w:rPr>
          <w:rFonts w:hint="eastAsia" w:ascii="宋体" w:hAnsi="宋体"/>
          <w:kern w:val="0"/>
          <w:sz w:val="24"/>
          <w:lang w:val="zh-CN"/>
        </w:rPr>
        <w:t>员工就餐费、</w:t>
      </w:r>
      <w:r>
        <w:rPr>
          <w:rFonts w:hint="eastAsia" w:ascii="宋体" w:hAnsi="宋体"/>
          <w:sz w:val="24"/>
        </w:rPr>
        <w:t>其他费用等</w:t>
      </w:r>
      <w:r>
        <w:rPr>
          <w:rFonts w:hint="eastAsia" w:ascii="宋体" w:hAnsi="宋体"/>
          <w:sz w:val="24"/>
          <w:lang w:eastAsia="zh-CN"/>
        </w:rPr>
        <w:t>。</w:t>
      </w:r>
    </w:p>
    <w:p>
      <w:pPr>
        <w:spacing w:line="408" w:lineRule="auto"/>
        <w:ind w:firstLine="482" w:firstLineChars="200"/>
        <w:rPr>
          <w:rFonts w:ascii="宋体" w:hAnsi="宋体"/>
          <w:sz w:val="24"/>
        </w:rPr>
      </w:pPr>
      <w:r>
        <w:rPr>
          <w:rFonts w:hint="eastAsia" w:ascii="宋体" w:hAnsi="宋体"/>
          <w:b/>
          <w:bCs/>
          <w:sz w:val="24"/>
        </w:rPr>
        <w:t xml:space="preserve">第六条  </w:t>
      </w:r>
      <w:r>
        <w:rPr>
          <w:rFonts w:hint="eastAsia" w:ascii="宋体" w:hAnsi="宋体"/>
          <w:sz w:val="24"/>
        </w:rPr>
        <w:t>服务内容和标准</w:t>
      </w:r>
    </w:p>
    <w:p>
      <w:pPr>
        <w:snapToGrid w:val="0"/>
        <w:spacing w:line="360" w:lineRule="auto"/>
        <w:ind w:firstLine="241" w:firstLineChars="100"/>
        <w:jc w:val="left"/>
        <w:rPr>
          <w:rFonts w:ascii="宋体" w:cs="宋体"/>
          <w:b/>
          <w:sz w:val="24"/>
        </w:rPr>
      </w:pPr>
      <w:r>
        <w:rPr>
          <w:rFonts w:hint="eastAsia" w:ascii="宋体" w:hAnsi="宋体" w:cs="宋体"/>
          <w:b/>
          <w:sz w:val="24"/>
        </w:rPr>
        <w:t>（一）餐饮服务要求</w:t>
      </w:r>
    </w:p>
    <w:p>
      <w:pPr>
        <w:snapToGrid w:val="0"/>
        <w:spacing w:line="360" w:lineRule="auto"/>
        <w:ind w:firstLine="480" w:firstLineChars="200"/>
        <w:jc w:val="left"/>
        <w:rPr>
          <w:rFonts w:ascii="宋体" w:cs="宋体"/>
          <w:sz w:val="24"/>
        </w:rPr>
      </w:pPr>
      <w:r>
        <w:rPr>
          <w:rFonts w:hint="eastAsia" w:ascii="宋体" w:hAnsi="宋体" w:cs="宋体"/>
          <w:sz w:val="24"/>
        </w:rPr>
        <w:t>乙方必须建立明确的岗位责任制：在人员配置上要求按早、中、晚就餐的要求进行配置，总人数</w:t>
      </w:r>
      <w:r>
        <w:rPr>
          <w:rFonts w:ascii="宋体" w:hAnsi="宋体" w:cs="宋体"/>
          <w:sz w:val="24"/>
        </w:rPr>
        <w:t>12</w:t>
      </w:r>
      <w:r>
        <w:rPr>
          <w:rFonts w:hint="eastAsia" w:ascii="宋体" w:hAnsi="宋体" w:cs="宋体"/>
          <w:sz w:val="24"/>
        </w:rPr>
        <w:t>人，岗位设置为厨师长</w:t>
      </w:r>
      <w:r>
        <w:rPr>
          <w:rFonts w:ascii="宋体" w:hAnsi="宋体" w:cs="宋体"/>
          <w:sz w:val="24"/>
        </w:rPr>
        <w:t>1</w:t>
      </w:r>
      <w:r>
        <w:rPr>
          <w:rFonts w:hint="eastAsia" w:ascii="宋体" w:hAnsi="宋体" w:cs="宋体"/>
          <w:sz w:val="24"/>
        </w:rPr>
        <w:t>名、主灶厨师</w:t>
      </w:r>
      <w:r>
        <w:rPr>
          <w:rFonts w:ascii="宋体" w:hAnsi="宋体" w:cs="宋体"/>
          <w:sz w:val="24"/>
        </w:rPr>
        <w:t>1</w:t>
      </w:r>
      <w:r>
        <w:rPr>
          <w:rFonts w:hint="eastAsia" w:ascii="宋体" w:hAnsi="宋体" w:cs="宋体"/>
          <w:sz w:val="24"/>
        </w:rPr>
        <w:t>名、副厨</w:t>
      </w:r>
      <w:r>
        <w:rPr>
          <w:rFonts w:ascii="宋体" w:hAnsi="宋体" w:cs="宋体"/>
          <w:sz w:val="24"/>
        </w:rPr>
        <w:t>1</w:t>
      </w:r>
      <w:r>
        <w:rPr>
          <w:rFonts w:hint="eastAsia" w:ascii="宋体" w:hAnsi="宋体" w:cs="宋体"/>
          <w:sz w:val="24"/>
        </w:rPr>
        <w:t>名、面点师</w:t>
      </w:r>
      <w:r>
        <w:rPr>
          <w:rFonts w:ascii="宋体" w:hAnsi="宋体" w:cs="宋体"/>
          <w:sz w:val="24"/>
        </w:rPr>
        <w:t>2</w:t>
      </w:r>
      <w:r>
        <w:rPr>
          <w:rFonts w:hint="eastAsia" w:ascii="宋体" w:hAnsi="宋体" w:cs="宋体"/>
          <w:sz w:val="24"/>
        </w:rPr>
        <w:t>名、切配</w:t>
      </w:r>
      <w:r>
        <w:rPr>
          <w:rFonts w:ascii="宋体" w:hAnsi="宋体" w:cs="宋体"/>
          <w:sz w:val="24"/>
        </w:rPr>
        <w:t>1</w:t>
      </w:r>
      <w:r>
        <w:rPr>
          <w:rFonts w:hint="eastAsia" w:ascii="宋体" w:hAnsi="宋体" w:cs="宋体"/>
          <w:sz w:val="24"/>
        </w:rPr>
        <w:t>名，厨工</w:t>
      </w:r>
      <w:r>
        <w:rPr>
          <w:rFonts w:ascii="宋体" w:hAnsi="宋体" w:cs="宋体"/>
          <w:sz w:val="24"/>
        </w:rPr>
        <w:t>5</w:t>
      </w:r>
      <w:r>
        <w:rPr>
          <w:rFonts w:hint="eastAsia" w:ascii="宋体" w:hAnsi="宋体" w:cs="宋体"/>
          <w:sz w:val="24"/>
        </w:rPr>
        <w:t>名，包厢服务人员</w:t>
      </w:r>
      <w:r>
        <w:rPr>
          <w:rFonts w:ascii="宋体" w:hAnsi="宋体" w:cs="宋体"/>
          <w:sz w:val="24"/>
        </w:rPr>
        <w:t>1</w:t>
      </w:r>
      <w:r>
        <w:rPr>
          <w:rFonts w:hint="eastAsia" w:ascii="宋体" w:hAnsi="宋体" w:cs="宋体"/>
          <w:sz w:val="24"/>
        </w:rPr>
        <w:t>名。为保持服务队伍的稳定性，以上服务人员需在乙方单位缴纳社保。</w:t>
      </w:r>
    </w:p>
    <w:p>
      <w:pPr>
        <w:snapToGrid w:val="0"/>
        <w:spacing w:line="360" w:lineRule="auto"/>
        <w:ind w:firstLine="480" w:firstLineChars="200"/>
        <w:jc w:val="left"/>
        <w:rPr>
          <w:rFonts w:ascii="宋体" w:cs="宋体"/>
          <w:sz w:val="24"/>
        </w:rPr>
      </w:pPr>
      <w:r>
        <w:rPr>
          <w:rFonts w:hint="eastAsia" w:ascii="宋体" w:hAnsi="宋体" w:cs="宋体"/>
          <w:sz w:val="24"/>
        </w:rPr>
        <w:t>乙方根据需求组织相应的管理和服务工作并主动接受监督：保证工作日期间（</w:t>
      </w:r>
      <w:r>
        <w:rPr>
          <w:rFonts w:ascii="宋体" w:hAnsi="宋体" w:cs="宋体"/>
          <w:sz w:val="24"/>
        </w:rPr>
        <w:t>450</w:t>
      </w:r>
      <w:r>
        <w:rPr>
          <w:rFonts w:hint="eastAsia" w:ascii="宋体" w:hAnsi="宋体" w:cs="宋体"/>
          <w:sz w:val="24"/>
        </w:rPr>
        <w:t>人次</w:t>
      </w:r>
      <w:r>
        <w:rPr>
          <w:rFonts w:ascii="宋体" w:hAnsi="宋体" w:cs="宋体"/>
          <w:sz w:val="24"/>
        </w:rPr>
        <w:t>/</w:t>
      </w:r>
      <w:r>
        <w:rPr>
          <w:rFonts w:hint="eastAsia" w:ascii="宋体" w:hAnsi="宋体" w:cs="宋体"/>
          <w:sz w:val="24"/>
        </w:rPr>
        <w:t>天）干部职工一日三餐的供应保障，满足食堂临时公务接待和重大活动的餐饮保障就餐要求。</w:t>
      </w:r>
    </w:p>
    <w:p>
      <w:pPr>
        <w:snapToGrid w:val="0"/>
        <w:spacing w:line="360" w:lineRule="auto"/>
        <w:ind w:firstLine="480" w:firstLineChars="200"/>
        <w:jc w:val="left"/>
        <w:rPr>
          <w:rFonts w:ascii="宋体" w:cs="宋体"/>
          <w:sz w:val="24"/>
        </w:rPr>
      </w:pPr>
      <w:r>
        <w:rPr>
          <w:rFonts w:hint="eastAsia" w:ascii="宋体" w:hAnsi="宋体" w:cs="宋体"/>
          <w:sz w:val="24"/>
        </w:rPr>
        <w:t>1、食堂用餐服务：</w:t>
      </w:r>
    </w:p>
    <w:p>
      <w:pPr>
        <w:snapToGrid w:val="0"/>
        <w:spacing w:line="360" w:lineRule="auto"/>
        <w:ind w:firstLine="480" w:firstLineChars="200"/>
        <w:jc w:val="left"/>
        <w:rPr>
          <w:rFonts w:ascii="宋体" w:cs="宋体"/>
          <w:sz w:val="24"/>
        </w:rPr>
      </w:pPr>
      <w:r>
        <w:rPr>
          <w:rFonts w:hint="eastAsia" w:ascii="宋体" w:hAnsi="宋体" w:cs="宋体"/>
          <w:sz w:val="24"/>
        </w:rPr>
        <w:t>①早餐，提供营养可口的食品</w:t>
      </w:r>
      <w:r>
        <w:rPr>
          <w:rFonts w:ascii="宋体" w:cs="宋体"/>
          <w:sz w:val="24"/>
        </w:rPr>
        <w:t>,</w:t>
      </w:r>
      <w:r>
        <w:rPr>
          <w:rFonts w:hint="eastAsia" w:ascii="宋体" w:hAnsi="宋体" w:cs="宋体"/>
          <w:sz w:val="24"/>
        </w:rPr>
        <w:t>保证</w:t>
      </w:r>
      <w:r>
        <w:rPr>
          <w:rFonts w:ascii="宋体" w:hAnsi="宋体" w:cs="宋体"/>
          <w:sz w:val="24"/>
        </w:rPr>
        <w:t>12</w:t>
      </w:r>
      <w:r>
        <w:rPr>
          <w:rFonts w:hint="eastAsia" w:ascii="宋体" w:hAnsi="宋体" w:cs="宋体"/>
          <w:sz w:val="24"/>
        </w:rPr>
        <w:t>个品种以上</w:t>
      </w:r>
      <w:r>
        <w:rPr>
          <w:rFonts w:ascii="宋体" w:cs="宋体"/>
          <w:sz w:val="24"/>
        </w:rPr>
        <w:t>,</w:t>
      </w:r>
      <w:r>
        <w:rPr>
          <w:rFonts w:hint="eastAsia" w:ascii="宋体" w:hAnsi="宋体" w:cs="宋体"/>
          <w:sz w:val="24"/>
        </w:rPr>
        <w:t>含面点、稀饭、豆浆、油条等。小菜品种不少于</w:t>
      </w:r>
      <w:r>
        <w:rPr>
          <w:rFonts w:ascii="宋体" w:hAnsi="宋体" w:cs="宋体"/>
          <w:sz w:val="24"/>
        </w:rPr>
        <w:t>6</w:t>
      </w:r>
      <w:r>
        <w:rPr>
          <w:rFonts w:hint="eastAsia" w:ascii="宋体" w:hAnsi="宋体" w:cs="宋体"/>
          <w:sz w:val="24"/>
        </w:rPr>
        <w:t>个；</w:t>
      </w:r>
    </w:p>
    <w:p>
      <w:pPr>
        <w:snapToGrid w:val="0"/>
        <w:spacing w:line="360" w:lineRule="auto"/>
        <w:ind w:firstLine="480" w:firstLineChars="200"/>
        <w:jc w:val="left"/>
        <w:rPr>
          <w:rFonts w:ascii="宋体" w:cs="宋体"/>
          <w:sz w:val="24"/>
        </w:rPr>
      </w:pPr>
      <w:r>
        <w:rPr>
          <w:rFonts w:hint="eastAsia" w:ascii="宋体" w:hAnsi="宋体" w:cs="宋体"/>
          <w:sz w:val="24"/>
        </w:rPr>
        <w:t>②中餐，提供不少于四大荤、四混炒、六素菜、汤及米饭、面点，适当提供风味美食，提供台州特色新菜（每月）；</w:t>
      </w:r>
    </w:p>
    <w:p>
      <w:pPr>
        <w:snapToGrid w:val="0"/>
        <w:spacing w:line="360" w:lineRule="auto"/>
        <w:ind w:firstLine="480" w:firstLineChars="200"/>
        <w:jc w:val="left"/>
        <w:rPr>
          <w:rFonts w:ascii="宋体" w:cs="宋体"/>
          <w:sz w:val="24"/>
        </w:rPr>
      </w:pPr>
      <w:r>
        <w:rPr>
          <w:rFonts w:hint="eastAsia" w:ascii="宋体" w:hAnsi="宋体" w:cs="宋体"/>
          <w:sz w:val="24"/>
        </w:rPr>
        <w:t>③晚餐，提供三大荤、四混炒、四素菜、一汤、米饭。</w:t>
      </w:r>
    </w:p>
    <w:p>
      <w:pPr>
        <w:snapToGrid w:val="0"/>
        <w:spacing w:line="360" w:lineRule="auto"/>
        <w:ind w:firstLine="480" w:firstLineChars="200"/>
        <w:jc w:val="left"/>
        <w:rPr>
          <w:rFonts w:ascii="宋体" w:cs="宋体"/>
          <w:sz w:val="24"/>
        </w:rPr>
      </w:pPr>
      <w:r>
        <w:rPr>
          <w:rFonts w:hint="eastAsia" w:ascii="宋体" w:hAnsi="宋体" w:cs="宋体"/>
          <w:sz w:val="24"/>
        </w:rPr>
        <w:t>菜品应以台州本地特色为主，如就餐方式发生变化，就餐品种应按要求作相应调整。</w:t>
      </w:r>
    </w:p>
    <w:p>
      <w:pPr>
        <w:snapToGrid w:val="0"/>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临时人员就餐保障。根据法院工作安排临时到法院机关参加会议、培训、外来工作交流等人员的就餐保障。甲方食堂管理人员将就餐人数、就餐标准和就餐形式提前通知乙方。（要求星级服务以上接待标准），用餐以台州本地菜系为主，用餐标准由甲方制定，乙方需做到准时开餐、质量保证。</w:t>
      </w:r>
    </w:p>
    <w:p>
      <w:pPr>
        <w:snapToGrid w:val="0"/>
        <w:spacing w:line="360" w:lineRule="auto"/>
        <w:ind w:firstLine="480" w:firstLineChars="200"/>
        <w:jc w:val="left"/>
        <w:rPr>
          <w:rFonts w:ascii="宋体" w:cs="宋体"/>
          <w:sz w:val="24"/>
        </w:rPr>
      </w:pPr>
      <w:r>
        <w:rPr>
          <w:rFonts w:ascii="宋体" w:hAnsi="宋体" w:cs="宋体"/>
          <w:sz w:val="24"/>
        </w:rPr>
        <w:t>3</w:t>
      </w:r>
      <w:r>
        <w:rPr>
          <w:rFonts w:hint="eastAsia" w:ascii="宋体" w:hAnsi="宋体" w:cs="宋体"/>
          <w:sz w:val="24"/>
        </w:rPr>
        <w:t>、重大活动的餐饮保障。根据工作任务，需要相应保障甲方组织的系统业务考试、会议培训等重大活动餐饮保障任务，乙方应甲方要求及时增派服务人员。</w:t>
      </w:r>
    </w:p>
    <w:p>
      <w:pPr>
        <w:snapToGrid w:val="0"/>
        <w:spacing w:line="360" w:lineRule="auto"/>
        <w:ind w:firstLine="480" w:firstLineChars="200"/>
        <w:jc w:val="left"/>
        <w:rPr>
          <w:rFonts w:ascii="宋体" w:cs="宋体"/>
          <w:sz w:val="24"/>
        </w:rPr>
      </w:pPr>
      <w:r>
        <w:rPr>
          <w:rFonts w:ascii="宋体" w:hAnsi="宋体" w:cs="宋体"/>
          <w:sz w:val="24"/>
        </w:rPr>
        <w:t>4</w:t>
      </w:r>
      <w:r>
        <w:rPr>
          <w:rFonts w:hint="eastAsia" w:ascii="宋体" w:hAnsi="宋体" w:cs="宋体"/>
          <w:sz w:val="24"/>
        </w:rPr>
        <w:t>、乙方应根据季节不同提供适时菜品，每月推出特色菜或新菜。</w:t>
      </w:r>
    </w:p>
    <w:p>
      <w:pPr>
        <w:snapToGrid w:val="0"/>
        <w:spacing w:line="360" w:lineRule="auto"/>
        <w:ind w:firstLine="480" w:firstLineChars="200"/>
        <w:jc w:val="left"/>
        <w:rPr>
          <w:rFonts w:ascii="宋体" w:cs="宋体"/>
          <w:sz w:val="24"/>
        </w:rPr>
      </w:pPr>
      <w:r>
        <w:rPr>
          <w:rFonts w:ascii="宋体" w:hAnsi="宋体" w:cs="宋体"/>
          <w:sz w:val="24"/>
        </w:rPr>
        <w:t>5</w:t>
      </w:r>
      <w:r>
        <w:rPr>
          <w:rFonts w:hint="eastAsia" w:ascii="宋体" w:hAnsi="宋体" w:cs="宋体"/>
          <w:sz w:val="24"/>
        </w:rPr>
        <w:t>、乙方应提出原材料申购清单，甲方采购人员负责采购并送到食堂，乙方做好验收、加工、留样、分发等工作，流程清晰、单据保管齐全，并接受甲方相关人员监督检查。</w:t>
      </w:r>
    </w:p>
    <w:p>
      <w:pPr>
        <w:snapToGrid w:val="0"/>
        <w:spacing w:line="360" w:lineRule="auto"/>
        <w:ind w:firstLine="480" w:firstLineChars="200"/>
        <w:jc w:val="left"/>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）乙方按规定的标准和需求每周制订菜谱，并在每周四上午前将下一周食谱送交甲方行装处审核批准后实施，菜谱一旦确定，未经甲方行装处同意不得擅自变更。</w:t>
      </w:r>
    </w:p>
    <w:p>
      <w:pPr>
        <w:snapToGrid w:val="0"/>
        <w:spacing w:line="360" w:lineRule="auto"/>
        <w:ind w:firstLine="480" w:firstLineChars="200"/>
        <w:jc w:val="left"/>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）乙方应按照甲方就餐人员数量变化科学制定原材料采购计划，严格控制制作、售卖等环节，减少剩余浪费，帮助甲方控制好用餐成本。</w:t>
      </w:r>
    </w:p>
    <w:p>
      <w:pPr>
        <w:snapToGrid w:val="0"/>
        <w:spacing w:line="360" w:lineRule="auto"/>
        <w:ind w:firstLine="480" w:firstLineChars="200"/>
        <w:jc w:val="left"/>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）乙方应对所有甲方采购的实物进行复核入库，复核人员必须对照采购清单分别对品种、数量、质量进行检查，发现问题及时向行装处反映。</w:t>
      </w:r>
    </w:p>
    <w:p>
      <w:pPr>
        <w:snapToGrid w:val="0"/>
        <w:spacing w:line="360" w:lineRule="auto"/>
        <w:ind w:firstLine="480" w:firstLineChars="200"/>
        <w:jc w:val="left"/>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）乙方按菜谱要求加工主副食品，操作人员要严格按卫生要求操作，确保食物的卫生、营养、可口、安全，留样并由专人检查食物的质量。</w:t>
      </w:r>
    </w:p>
    <w:p>
      <w:pPr>
        <w:snapToGrid w:val="0"/>
        <w:spacing w:line="360" w:lineRule="auto"/>
        <w:ind w:firstLine="480" w:firstLineChars="200"/>
        <w:jc w:val="left"/>
        <w:rPr>
          <w:rFonts w:asci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）就餐人员统一刷卡就餐，早、中、晚餐按要求供应，加强服务人员技能和礼貌用语训练，熟练掌握刷卡机的使用方法，维持分发秩序，做到文明待人。</w:t>
      </w:r>
    </w:p>
    <w:p>
      <w:pPr>
        <w:snapToGrid w:val="0"/>
        <w:spacing w:line="360" w:lineRule="auto"/>
        <w:ind w:firstLine="480" w:firstLineChars="200"/>
        <w:jc w:val="left"/>
        <w:rPr>
          <w:rFonts w:ascii="宋体" w:cs="宋体"/>
          <w:sz w:val="24"/>
        </w:rPr>
      </w:pPr>
      <w:r>
        <w:rPr>
          <w:rFonts w:ascii="宋体" w:hAnsi="宋体" w:cs="宋体"/>
          <w:sz w:val="24"/>
        </w:rPr>
        <w:t>6</w:t>
      </w:r>
      <w:r>
        <w:rPr>
          <w:rFonts w:hint="eastAsia" w:ascii="宋体" w:hAnsi="宋体" w:cs="宋体"/>
          <w:sz w:val="24"/>
        </w:rPr>
        <w:t>、甲方提供厨房、餐厅等用餐场所及用具，乙方在服务期内应妥善使用保管，加强食堂设备日常使用和维护，责任落实到人，确保设备的正常运行；如有遗失、人为损坏，乙方负责赔偿（属自然损耗、甲方干部职工损坏、来宾损坏等情况，乙方应在二日内对上述损坏物品如实上报甲方行装处）。本着厉行节约的原则，对小件物品和易耗物品也要专人管理、严格领用，搞好登记、按月核算。</w:t>
      </w:r>
    </w:p>
    <w:p>
      <w:pPr>
        <w:snapToGrid w:val="0"/>
        <w:spacing w:line="360" w:lineRule="auto"/>
        <w:ind w:firstLine="480" w:firstLineChars="200"/>
        <w:jc w:val="left"/>
        <w:rPr>
          <w:rFonts w:ascii="宋体" w:hAnsi="宋体" w:cs="宋体"/>
          <w:sz w:val="24"/>
        </w:rPr>
      </w:pPr>
      <w:r>
        <w:rPr>
          <w:rFonts w:ascii="宋体" w:hAnsi="宋体" w:cs="宋体"/>
          <w:sz w:val="24"/>
        </w:rPr>
        <w:t>8</w:t>
      </w:r>
      <w:r>
        <w:rPr>
          <w:rFonts w:hint="eastAsia" w:ascii="宋体" w:hAnsi="宋体" w:cs="宋体"/>
          <w:sz w:val="24"/>
        </w:rPr>
        <w:t>、乙方搞好食堂餐厅厨房的卫生防疫管理，对餐具每天定期消毒，工作人员按规定着装，保持个人卫生，严防食物中毒事故。</w:t>
      </w:r>
    </w:p>
    <w:p>
      <w:pPr>
        <w:spacing w:line="360" w:lineRule="auto"/>
        <w:ind w:firstLine="480" w:firstLineChars="200"/>
        <w:rPr>
          <w:rFonts w:ascii="宋体" w:hAnsi="宋体" w:cs="宋体"/>
          <w:sz w:val="24"/>
        </w:rPr>
      </w:pPr>
      <w:r>
        <w:rPr>
          <w:rFonts w:hint="eastAsia" w:ascii="宋体" w:hAnsi="宋体" w:cs="宋体"/>
          <w:sz w:val="24"/>
        </w:rPr>
        <w:t>9、食堂人员食宿自理，可搭伙，并按要求支付搭伙费。</w:t>
      </w:r>
    </w:p>
    <w:p>
      <w:pPr>
        <w:snapToGrid w:val="0"/>
        <w:spacing w:line="360" w:lineRule="auto"/>
        <w:ind w:firstLine="241" w:firstLineChars="100"/>
        <w:jc w:val="left"/>
        <w:rPr>
          <w:rFonts w:ascii="宋体" w:cs="宋体"/>
          <w:b/>
          <w:sz w:val="24"/>
        </w:rPr>
      </w:pPr>
      <w:r>
        <w:rPr>
          <w:rFonts w:hint="eastAsia" w:ascii="宋体" w:hAnsi="宋体" w:cs="宋体"/>
          <w:b/>
          <w:sz w:val="24"/>
        </w:rPr>
        <w:t>（二）食堂工作人员要求</w:t>
      </w:r>
    </w:p>
    <w:p>
      <w:pPr>
        <w:snapToGrid w:val="0"/>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、按要求合理配置厨师长（主持日常事务）、专业厨师、面点师、服务员等服务队伍。</w:t>
      </w:r>
    </w:p>
    <w:p>
      <w:pPr>
        <w:snapToGrid w:val="0"/>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、服务队伍配置人数12人。</w:t>
      </w:r>
    </w:p>
    <w:p>
      <w:pPr>
        <w:snapToGrid w:val="0"/>
        <w:spacing w:line="360" w:lineRule="auto"/>
        <w:ind w:firstLine="480" w:firstLineChars="200"/>
        <w:jc w:val="left"/>
        <w:rPr>
          <w:rFonts w:ascii="宋体" w:cs="宋体"/>
          <w:sz w:val="24"/>
        </w:rPr>
      </w:pPr>
      <w:r>
        <w:rPr>
          <w:rFonts w:ascii="宋体" w:hAnsi="宋体" w:cs="宋体"/>
          <w:sz w:val="24"/>
        </w:rPr>
        <w:t>3</w:t>
      </w:r>
      <w:r>
        <w:rPr>
          <w:rFonts w:hint="eastAsia" w:ascii="宋体" w:hAnsi="宋体" w:cs="宋体"/>
          <w:sz w:val="24"/>
        </w:rPr>
        <w:t>、所有工作人员必须通过卫生部门指定医院的体检，并领取饮食行业健康证。体检费用由乙方负责。</w:t>
      </w:r>
    </w:p>
    <w:p>
      <w:pPr>
        <w:snapToGrid w:val="0"/>
        <w:spacing w:line="360" w:lineRule="auto"/>
        <w:ind w:firstLine="480" w:firstLineChars="200"/>
        <w:jc w:val="left"/>
        <w:rPr>
          <w:rFonts w:ascii="宋体" w:cs="宋体"/>
          <w:sz w:val="24"/>
        </w:rPr>
      </w:pPr>
      <w:r>
        <w:rPr>
          <w:rFonts w:ascii="宋体" w:hAnsi="宋体" w:cs="宋体"/>
          <w:sz w:val="24"/>
        </w:rPr>
        <w:t>4</w:t>
      </w:r>
      <w:r>
        <w:rPr>
          <w:rFonts w:hint="eastAsia" w:ascii="宋体" w:hAnsi="宋体" w:cs="宋体"/>
          <w:sz w:val="24"/>
        </w:rPr>
        <w:t>、主厨等人员必须具有劳动部门颁发的等级技能资格证书。</w:t>
      </w:r>
    </w:p>
    <w:p>
      <w:pPr>
        <w:snapToGrid w:val="0"/>
        <w:spacing w:line="360" w:lineRule="auto"/>
        <w:ind w:firstLine="480" w:firstLineChars="200"/>
        <w:jc w:val="left"/>
        <w:rPr>
          <w:rFonts w:ascii="宋体" w:cs="宋体"/>
          <w:sz w:val="24"/>
        </w:rPr>
      </w:pPr>
      <w:r>
        <w:rPr>
          <w:rFonts w:ascii="宋体" w:hAnsi="宋体" w:cs="宋体"/>
          <w:sz w:val="24"/>
        </w:rPr>
        <w:t>5</w:t>
      </w:r>
      <w:r>
        <w:rPr>
          <w:rFonts w:hint="eastAsia" w:ascii="宋体" w:hAnsi="宋体" w:cs="宋体"/>
          <w:sz w:val="24"/>
        </w:rPr>
        <w:t>、外来务工人员必须具有公安部门核发的临时居住证。</w:t>
      </w:r>
    </w:p>
    <w:p>
      <w:pPr>
        <w:snapToGrid w:val="0"/>
        <w:spacing w:line="360" w:lineRule="auto"/>
        <w:ind w:firstLine="480" w:firstLineChars="200"/>
        <w:jc w:val="left"/>
        <w:rPr>
          <w:rFonts w:ascii="宋体" w:cs="宋体"/>
          <w:sz w:val="24"/>
        </w:rPr>
      </w:pPr>
      <w:r>
        <w:rPr>
          <w:rFonts w:ascii="宋体" w:hAnsi="宋体" w:cs="宋体"/>
          <w:sz w:val="24"/>
        </w:rPr>
        <w:t>6</w:t>
      </w:r>
      <w:r>
        <w:rPr>
          <w:rFonts w:hint="eastAsia" w:ascii="宋体" w:hAnsi="宋体" w:cs="宋体"/>
          <w:sz w:val="24"/>
        </w:rPr>
        <w:t>、所有人员的驻场工作地点必须服从甲方的分配并满足项目的整体服务要求。</w:t>
      </w:r>
    </w:p>
    <w:p>
      <w:pPr>
        <w:snapToGrid w:val="0"/>
        <w:spacing w:line="360" w:lineRule="auto"/>
        <w:ind w:firstLine="480" w:firstLineChars="200"/>
        <w:jc w:val="left"/>
        <w:rPr>
          <w:rFonts w:ascii="宋体" w:cs="宋体"/>
          <w:sz w:val="24"/>
        </w:rPr>
      </w:pPr>
      <w:r>
        <w:rPr>
          <w:rFonts w:ascii="宋体" w:hAnsi="宋体" w:cs="宋体"/>
          <w:sz w:val="24"/>
        </w:rPr>
        <w:t>7</w:t>
      </w:r>
      <w:r>
        <w:rPr>
          <w:rFonts w:hint="eastAsia" w:ascii="宋体" w:hAnsi="宋体" w:cs="宋体"/>
          <w:sz w:val="24"/>
        </w:rPr>
        <w:t>、工作人员男性</w:t>
      </w:r>
      <w:r>
        <w:rPr>
          <w:rFonts w:ascii="宋体" w:hAnsi="宋体" w:cs="宋体"/>
          <w:sz w:val="24"/>
        </w:rPr>
        <w:t>55</w:t>
      </w:r>
      <w:r>
        <w:rPr>
          <w:rFonts w:hint="eastAsia" w:ascii="宋体" w:hAnsi="宋体" w:cs="宋体"/>
          <w:sz w:val="24"/>
        </w:rPr>
        <w:t>岁之内、女性</w:t>
      </w:r>
      <w:r>
        <w:rPr>
          <w:rFonts w:ascii="宋体" w:hAnsi="宋体" w:cs="宋体"/>
          <w:sz w:val="24"/>
        </w:rPr>
        <w:t>50</w:t>
      </w:r>
      <w:r>
        <w:rPr>
          <w:rFonts w:hint="eastAsia" w:ascii="宋体" w:hAnsi="宋体" w:cs="宋体"/>
          <w:sz w:val="24"/>
        </w:rPr>
        <w:t>岁之内</w:t>
      </w:r>
      <w:r>
        <w:rPr>
          <w:rFonts w:ascii="宋体" w:cs="宋体"/>
          <w:sz w:val="24"/>
        </w:rPr>
        <w:t>,</w:t>
      </w:r>
      <w:r>
        <w:rPr>
          <w:rFonts w:hint="eastAsia" w:ascii="宋体" w:hAnsi="宋体" w:cs="宋体"/>
          <w:sz w:val="24"/>
        </w:rPr>
        <w:t>政治合格、身体健康、五官端正、仪表整洁，能够胜任本职岗位，符合法院特殊要求且无违法违纪行为。</w:t>
      </w:r>
    </w:p>
    <w:p>
      <w:pPr>
        <w:snapToGrid w:val="0"/>
        <w:spacing w:line="360" w:lineRule="auto"/>
        <w:ind w:firstLine="480" w:firstLineChars="200"/>
        <w:jc w:val="left"/>
        <w:rPr>
          <w:rFonts w:ascii="宋体" w:cs="宋体"/>
          <w:sz w:val="24"/>
        </w:rPr>
      </w:pPr>
      <w:r>
        <w:rPr>
          <w:rFonts w:ascii="宋体" w:hAnsi="宋体" w:cs="宋体"/>
          <w:sz w:val="24"/>
        </w:rPr>
        <w:t>8</w:t>
      </w:r>
      <w:r>
        <w:rPr>
          <w:rFonts w:hint="eastAsia" w:ascii="宋体" w:hAnsi="宋体" w:cs="宋体"/>
          <w:sz w:val="24"/>
        </w:rPr>
        <w:t>、明确厨师长、专业厨师、面点师，未经甲方同意不得更换人员，否则甲方有权解除合同。</w:t>
      </w:r>
    </w:p>
    <w:p>
      <w:pPr>
        <w:snapToGrid w:val="0"/>
        <w:spacing w:line="360" w:lineRule="auto"/>
        <w:ind w:firstLine="241" w:firstLineChars="100"/>
        <w:jc w:val="left"/>
        <w:rPr>
          <w:rFonts w:ascii="宋体" w:cs="宋体"/>
          <w:b/>
          <w:sz w:val="24"/>
        </w:rPr>
      </w:pPr>
      <w:r>
        <w:rPr>
          <w:rFonts w:hint="eastAsia" w:ascii="宋体" w:hAnsi="宋体" w:cs="宋体"/>
          <w:b/>
          <w:sz w:val="24"/>
        </w:rPr>
        <w:t>（三）服务管理要求</w:t>
      </w:r>
    </w:p>
    <w:p>
      <w:pPr>
        <w:snapToGrid w:val="0"/>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、乙方必须按照劳动合同法的规定合法规范用工，并全面承担工作人员涉及劳动关系的所有事宜。</w:t>
      </w:r>
    </w:p>
    <w:p>
      <w:pPr>
        <w:snapToGrid w:val="0"/>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、乙方应了解工作人员的思想动态、工作表现、遵纪情况以及甲方提出的其他合理要求，提供最佳服务。</w:t>
      </w:r>
    </w:p>
    <w:p>
      <w:pPr>
        <w:snapToGrid w:val="0"/>
        <w:spacing w:line="360" w:lineRule="auto"/>
        <w:ind w:firstLine="480" w:firstLineChars="200"/>
        <w:jc w:val="left"/>
        <w:rPr>
          <w:rFonts w:ascii="宋体" w:cs="宋体"/>
          <w:sz w:val="24"/>
        </w:rPr>
      </w:pPr>
      <w:r>
        <w:rPr>
          <w:rFonts w:ascii="宋体" w:hAnsi="宋体" w:cs="宋体"/>
          <w:sz w:val="24"/>
        </w:rPr>
        <w:t>3</w:t>
      </w:r>
      <w:r>
        <w:rPr>
          <w:rFonts w:hint="eastAsia" w:ascii="宋体" w:hAnsi="宋体" w:cs="宋体"/>
          <w:sz w:val="24"/>
        </w:rPr>
        <w:t>、根据甲方食堂的服务要求设定工作岗位，分配工作任务，并对工作人员的工作情况实行监督、检查、考核管理。</w:t>
      </w:r>
    </w:p>
    <w:p>
      <w:pPr>
        <w:snapToGrid w:val="0"/>
        <w:spacing w:line="360" w:lineRule="auto"/>
        <w:ind w:firstLine="480" w:firstLineChars="200"/>
        <w:jc w:val="left"/>
        <w:rPr>
          <w:rFonts w:ascii="宋体" w:cs="宋体"/>
          <w:sz w:val="24"/>
        </w:rPr>
      </w:pPr>
      <w:r>
        <w:rPr>
          <w:rFonts w:ascii="宋体" w:hAnsi="宋体" w:cs="宋体"/>
          <w:sz w:val="24"/>
        </w:rPr>
        <w:t>4</w:t>
      </w:r>
      <w:r>
        <w:rPr>
          <w:rFonts w:hint="eastAsia" w:ascii="宋体" w:hAnsi="宋体" w:cs="宋体"/>
          <w:sz w:val="24"/>
        </w:rPr>
        <w:t>、餐饮服务工作人员应遵守和执行甲方的规章制度。</w:t>
      </w:r>
    </w:p>
    <w:p>
      <w:pPr>
        <w:snapToGrid w:val="0"/>
        <w:spacing w:line="360" w:lineRule="auto"/>
        <w:ind w:firstLine="480" w:firstLineChars="200"/>
        <w:jc w:val="left"/>
        <w:rPr>
          <w:rFonts w:ascii="宋体" w:cs="宋体"/>
          <w:sz w:val="24"/>
        </w:rPr>
      </w:pPr>
      <w:r>
        <w:rPr>
          <w:rFonts w:ascii="宋体" w:hAnsi="宋体" w:cs="宋体"/>
          <w:sz w:val="24"/>
        </w:rPr>
        <w:t>5</w:t>
      </w:r>
      <w:r>
        <w:rPr>
          <w:rFonts w:hint="eastAsia" w:ascii="宋体" w:hAnsi="宋体" w:cs="宋体"/>
          <w:sz w:val="24"/>
        </w:rPr>
        <w:t>、餐饮服务工作人员应相对稳定，乙方须向甲方行装处提供工作人员的劳动合同复印件，如需调动需提前取得甲方同意。</w:t>
      </w:r>
    </w:p>
    <w:p>
      <w:pPr>
        <w:snapToGrid w:val="0"/>
        <w:spacing w:line="360" w:lineRule="auto"/>
        <w:ind w:firstLine="480" w:firstLineChars="200"/>
        <w:jc w:val="left"/>
        <w:rPr>
          <w:rFonts w:ascii="宋体" w:cs="宋体"/>
          <w:sz w:val="24"/>
        </w:rPr>
      </w:pPr>
      <w:r>
        <w:rPr>
          <w:rFonts w:ascii="宋体" w:hAnsi="宋体" w:cs="宋体"/>
          <w:sz w:val="24"/>
        </w:rPr>
        <w:t>6</w:t>
      </w:r>
      <w:r>
        <w:rPr>
          <w:rFonts w:hint="eastAsia" w:ascii="宋体" w:hAnsi="宋体" w:cs="宋体"/>
          <w:sz w:val="24"/>
        </w:rPr>
        <w:t>、建立健全各项规章制度、岗位责任制、操作规程和各项台账。</w:t>
      </w:r>
    </w:p>
    <w:p>
      <w:pPr>
        <w:snapToGrid w:val="0"/>
        <w:spacing w:line="360" w:lineRule="auto"/>
        <w:ind w:firstLine="480" w:firstLineChars="200"/>
        <w:jc w:val="left"/>
        <w:rPr>
          <w:rFonts w:ascii="宋体" w:cs="宋体"/>
          <w:sz w:val="24"/>
        </w:rPr>
      </w:pPr>
      <w:r>
        <w:rPr>
          <w:rFonts w:ascii="宋体" w:hAnsi="宋体" w:cs="宋体"/>
          <w:sz w:val="24"/>
        </w:rPr>
        <w:t>7</w:t>
      </w:r>
      <w:r>
        <w:rPr>
          <w:rFonts w:hint="eastAsia" w:ascii="宋体" w:hAnsi="宋体" w:cs="宋体"/>
          <w:sz w:val="24"/>
        </w:rPr>
        <w:t>、乙方须自行配备员工的劳保用品，统一工作制服。</w:t>
      </w:r>
    </w:p>
    <w:p>
      <w:pPr>
        <w:snapToGrid w:val="0"/>
        <w:spacing w:line="360" w:lineRule="auto"/>
        <w:ind w:firstLine="241" w:firstLineChars="100"/>
        <w:jc w:val="left"/>
        <w:rPr>
          <w:rFonts w:ascii="宋体" w:cs="宋体"/>
          <w:b/>
          <w:sz w:val="24"/>
        </w:rPr>
      </w:pPr>
      <w:r>
        <w:rPr>
          <w:rFonts w:hint="eastAsia" w:ascii="宋体" w:hAnsi="宋体" w:cs="宋体"/>
          <w:b/>
          <w:sz w:val="24"/>
        </w:rPr>
        <w:t>（四）卫生管理要求</w:t>
      </w:r>
    </w:p>
    <w:p>
      <w:pPr>
        <w:snapToGrid w:val="0"/>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、严格按照《中华人民共和国食品安全法》验收、清洗、加工要求制作食品，厨房用品用具严格实行一洗二过三消毒的规程。</w:t>
      </w:r>
    </w:p>
    <w:p>
      <w:pPr>
        <w:snapToGrid w:val="0"/>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、对食堂的厨房、餐厅、包厢等所有区域的卫生应按《五常法》管理模式，实行分级负责，定置、定量、定位、定进出、定标识、责任到人。</w:t>
      </w:r>
    </w:p>
    <w:p>
      <w:pPr>
        <w:snapToGrid w:val="0"/>
        <w:spacing w:line="360" w:lineRule="auto"/>
        <w:ind w:firstLine="480" w:firstLineChars="200"/>
        <w:jc w:val="left"/>
        <w:rPr>
          <w:rFonts w:ascii="宋体" w:cs="宋体"/>
          <w:sz w:val="24"/>
        </w:rPr>
      </w:pPr>
      <w:r>
        <w:rPr>
          <w:rFonts w:ascii="宋体" w:hAnsi="宋体" w:cs="宋体"/>
          <w:sz w:val="24"/>
        </w:rPr>
        <w:t>3</w:t>
      </w:r>
      <w:r>
        <w:rPr>
          <w:rFonts w:hint="eastAsia" w:ascii="宋体" w:hAnsi="宋体" w:cs="宋体"/>
          <w:sz w:val="24"/>
        </w:rPr>
        <w:t>、自觉接受卫生管理部门和甲方管理人员对食堂卫生工作的检查、监督。</w:t>
      </w:r>
    </w:p>
    <w:p>
      <w:pPr>
        <w:snapToGrid w:val="0"/>
        <w:spacing w:line="360" w:lineRule="auto"/>
        <w:ind w:firstLine="480" w:firstLineChars="200"/>
        <w:jc w:val="left"/>
        <w:rPr>
          <w:rFonts w:ascii="宋体" w:cs="宋体"/>
          <w:sz w:val="24"/>
        </w:rPr>
      </w:pPr>
      <w:r>
        <w:rPr>
          <w:rFonts w:ascii="宋体" w:hAnsi="宋体" w:cs="宋体"/>
          <w:sz w:val="24"/>
        </w:rPr>
        <w:t>4</w:t>
      </w:r>
      <w:r>
        <w:rPr>
          <w:rFonts w:hint="eastAsia" w:ascii="宋体" w:hAnsi="宋体" w:cs="宋体"/>
          <w:sz w:val="24"/>
        </w:rPr>
        <w:t>、垃圾污物应按指定地点放置，不得随意弃放。</w:t>
      </w:r>
    </w:p>
    <w:p>
      <w:pPr>
        <w:snapToGrid w:val="0"/>
        <w:spacing w:line="360" w:lineRule="auto"/>
        <w:ind w:firstLine="480" w:firstLineChars="200"/>
        <w:jc w:val="left"/>
        <w:rPr>
          <w:rFonts w:ascii="宋体" w:cs="宋体"/>
          <w:sz w:val="24"/>
        </w:rPr>
      </w:pPr>
      <w:r>
        <w:rPr>
          <w:rFonts w:ascii="宋体" w:hAnsi="宋体" w:cs="宋体"/>
          <w:sz w:val="24"/>
        </w:rPr>
        <w:t>5</w:t>
      </w:r>
      <w:r>
        <w:rPr>
          <w:rFonts w:hint="eastAsia" w:ascii="宋体" w:hAnsi="宋体" w:cs="宋体"/>
          <w:sz w:val="24"/>
        </w:rPr>
        <w:t>、做好食堂区域内除虫害工作（蟑螂、老鼠、苍蝇、蚂蚁等）。</w:t>
      </w:r>
    </w:p>
    <w:p>
      <w:pPr>
        <w:snapToGrid w:val="0"/>
        <w:spacing w:line="360" w:lineRule="auto"/>
        <w:ind w:firstLine="480" w:firstLineChars="200"/>
        <w:jc w:val="left"/>
        <w:rPr>
          <w:rFonts w:ascii="宋体" w:cs="宋体"/>
          <w:sz w:val="24"/>
        </w:rPr>
      </w:pPr>
      <w:r>
        <w:rPr>
          <w:rFonts w:ascii="宋体" w:hAnsi="宋体" w:cs="宋体"/>
          <w:sz w:val="24"/>
        </w:rPr>
        <w:t>6</w:t>
      </w:r>
      <w:r>
        <w:rPr>
          <w:rFonts w:hint="eastAsia" w:ascii="宋体" w:hAnsi="宋体" w:cs="宋体"/>
          <w:sz w:val="24"/>
        </w:rPr>
        <w:t>、做好烟道除垢、地沟油污清理工作等。</w:t>
      </w:r>
    </w:p>
    <w:p>
      <w:pPr>
        <w:snapToGrid w:val="0"/>
        <w:spacing w:line="360" w:lineRule="auto"/>
        <w:ind w:firstLine="241" w:firstLineChars="100"/>
        <w:jc w:val="left"/>
        <w:rPr>
          <w:rFonts w:ascii="宋体" w:cs="宋体"/>
          <w:b/>
          <w:sz w:val="24"/>
        </w:rPr>
      </w:pPr>
      <w:r>
        <w:rPr>
          <w:rFonts w:hint="eastAsia" w:ascii="宋体" w:hAnsi="宋体" w:cs="宋体"/>
          <w:b/>
          <w:sz w:val="24"/>
        </w:rPr>
        <w:t>（五）安全管理要求</w:t>
      </w:r>
    </w:p>
    <w:p>
      <w:pPr>
        <w:snapToGrid w:val="0"/>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、严格执行《中华人民共和国食品安全法》，保证食品安全，严禁使用任何变质或受污染的原料制作食品，落实食品留样制度，防止食物中毒事件发生。</w:t>
      </w:r>
    </w:p>
    <w:p>
      <w:pPr>
        <w:snapToGrid w:val="0"/>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、严格控制使用食品添加剂，注重食品卫生，保障就餐人员身体健康。</w:t>
      </w:r>
    </w:p>
    <w:p>
      <w:pPr>
        <w:snapToGrid w:val="0"/>
        <w:spacing w:line="360" w:lineRule="auto"/>
        <w:ind w:firstLine="480" w:firstLineChars="200"/>
        <w:jc w:val="left"/>
        <w:rPr>
          <w:rFonts w:ascii="宋体" w:cs="宋体"/>
          <w:sz w:val="24"/>
        </w:rPr>
      </w:pPr>
      <w:r>
        <w:rPr>
          <w:rFonts w:ascii="宋体" w:hAnsi="宋体" w:cs="宋体"/>
          <w:sz w:val="24"/>
        </w:rPr>
        <w:t>3</w:t>
      </w:r>
      <w:r>
        <w:rPr>
          <w:rFonts w:hint="eastAsia" w:ascii="宋体" w:hAnsi="宋体" w:cs="宋体"/>
          <w:sz w:val="24"/>
        </w:rPr>
        <w:t>、下班后和设备使用完后落实关气、关电、关水、关门检查制度，预防火灾、偷盗事件发生。</w:t>
      </w:r>
    </w:p>
    <w:p>
      <w:pPr>
        <w:snapToGrid w:val="0"/>
        <w:spacing w:line="360" w:lineRule="auto"/>
        <w:ind w:firstLine="241" w:firstLineChars="100"/>
        <w:jc w:val="left"/>
        <w:rPr>
          <w:rFonts w:ascii="宋体" w:cs="宋体"/>
          <w:b/>
          <w:sz w:val="24"/>
        </w:rPr>
      </w:pPr>
      <w:r>
        <w:rPr>
          <w:rFonts w:hint="eastAsia" w:ascii="宋体" w:hAnsi="宋体" w:cs="宋体"/>
          <w:b/>
          <w:sz w:val="24"/>
        </w:rPr>
        <w:t>（六）节能管理要求</w:t>
      </w:r>
    </w:p>
    <w:p>
      <w:pPr>
        <w:snapToGrid w:val="0"/>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、餐厅在准备早餐、中餐、晚餐期间不得开启空调和大灯，开餐前</w:t>
      </w:r>
      <w:r>
        <w:rPr>
          <w:rFonts w:ascii="宋体" w:hAnsi="宋体" w:cs="宋体"/>
          <w:sz w:val="24"/>
        </w:rPr>
        <w:t>15-30</w:t>
      </w:r>
      <w:r>
        <w:rPr>
          <w:rFonts w:hint="eastAsia" w:ascii="宋体" w:hAnsi="宋体" w:cs="宋体"/>
          <w:sz w:val="24"/>
        </w:rPr>
        <w:t>分钟开启空调，开餐前</w:t>
      </w:r>
      <w:r>
        <w:rPr>
          <w:rFonts w:ascii="宋体" w:hAnsi="宋体" w:cs="宋体"/>
          <w:sz w:val="24"/>
        </w:rPr>
        <w:t>5</w:t>
      </w:r>
      <w:r>
        <w:rPr>
          <w:rFonts w:hint="eastAsia" w:ascii="宋体" w:hAnsi="宋体" w:cs="宋体"/>
          <w:sz w:val="24"/>
        </w:rPr>
        <w:t>分钟开灯，如光线良好则一律不开灯，就餐打扫卫生完毕后</w:t>
      </w:r>
      <w:r>
        <w:rPr>
          <w:rFonts w:ascii="宋体" w:hAnsi="宋体" w:cs="宋体"/>
          <w:sz w:val="24"/>
        </w:rPr>
        <w:t>5</w:t>
      </w:r>
      <w:r>
        <w:rPr>
          <w:rFonts w:hint="eastAsia" w:ascii="宋体" w:hAnsi="宋体" w:cs="宋体"/>
          <w:sz w:val="24"/>
        </w:rPr>
        <w:t>分钟内关闭所有空调电灯，节约能源。</w:t>
      </w:r>
    </w:p>
    <w:p>
      <w:pPr>
        <w:snapToGrid w:val="0"/>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、厨房在光线良好情况下不开灯，更衣间随手关灯，原料和餐具清洗完后应立即关闭水源。</w:t>
      </w:r>
    </w:p>
    <w:p>
      <w:pPr>
        <w:snapToGrid w:val="0"/>
        <w:spacing w:line="360" w:lineRule="auto"/>
        <w:ind w:firstLine="241" w:firstLineChars="100"/>
        <w:jc w:val="left"/>
        <w:rPr>
          <w:rFonts w:ascii="宋体" w:cs="宋体"/>
          <w:b/>
          <w:sz w:val="24"/>
        </w:rPr>
      </w:pPr>
      <w:r>
        <w:rPr>
          <w:rFonts w:hint="eastAsia" w:ascii="宋体" w:hAnsi="宋体" w:cs="宋体"/>
          <w:b/>
          <w:sz w:val="24"/>
        </w:rPr>
        <w:t>（七）满意度测评</w:t>
      </w:r>
    </w:p>
    <w:p>
      <w:pPr>
        <w:snapToGrid w:val="0"/>
        <w:spacing w:line="360" w:lineRule="auto"/>
        <w:ind w:firstLine="480" w:firstLineChars="200"/>
        <w:jc w:val="left"/>
        <w:rPr>
          <w:rFonts w:ascii="宋体" w:cs="宋体"/>
          <w:sz w:val="24"/>
        </w:rPr>
      </w:pPr>
      <w:r>
        <w:rPr>
          <w:rFonts w:hint="eastAsia" w:ascii="宋体" w:hAnsi="宋体" w:cs="宋体"/>
          <w:sz w:val="24"/>
        </w:rPr>
        <w:t>满意度测评由甲方每年组织实施一次。测评内容包括食堂环境卫生、工作人员卫生、食品器具卫生、服务态度、服务质量、饭菜口味、耗能安全、成本控制等。综合测评等次分为满意、基本满意、不满意三级。</w:t>
      </w:r>
    </w:p>
    <w:p>
      <w:pPr>
        <w:snapToGrid w:val="0"/>
        <w:spacing w:line="360" w:lineRule="auto"/>
        <w:ind w:firstLine="241" w:firstLineChars="100"/>
        <w:jc w:val="left"/>
        <w:rPr>
          <w:rFonts w:ascii="宋体" w:cs="宋体"/>
          <w:b/>
          <w:sz w:val="24"/>
        </w:rPr>
      </w:pPr>
      <w:r>
        <w:rPr>
          <w:rFonts w:hint="eastAsia" w:ascii="宋体" w:hAnsi="宋体" w:cs="宋体"/>
          <w:b/>
          <w:sz w:val="24"/>
        </w:rPr>
        <w:t>（八）其他有关事项</w:t>
      </w:r>
    </w:p>
    <w:p>
      <w:pPr>
        <w:snapToGrid w:val="0"/>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、甲方负责提供厨房和餐厅的所需设备、设施、工具、器皿，负责水电气的供应，负责本级食堂的食材、调味品采购和财务管理工作；乙方负责本级食堂的食材、调味品的入库验收及仓库管理。</w:t>
      </w:r>
    </w:p>
    <w:p>
      <w:pPr>
        <w:snapToGrid w:val="0"/>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、乙方负责管理、服务团队的组建，负责员工配置、工资、福利待遇、服装及人事、劳资、社保等所有关系。</w:t>
      </w:r>
    </w:p>
    <w:p>
      <w:pPr>
        <w:snapToGrid w:val="0"/>
        <w:spacing w:line="360" w:lineRule="auto"/>
        <w:ind w:firstLine="480" w:firstLineChars="200"/>
        <w:jc w:val="left"/>
        <w:rPr>
          <w:rFonts w:ascii="宋体" w:cs="宋体"/>
          <w:sz w:val="24"/>
        </w:rPr>
      </w:pPr>
      <w:r>
        <w:rPr>
          <w:rFonts w:ascii="宋体" w:hAnsi="宋体" w:cs="宋体"/>
          <w:sz w:val="24"/>
        </w:rPr>
        <w:t>3</w:t>
      </w:r>
      <w:r>
        <w:rPr>
          <w:rFonts w:hint="eastAsia" w:ascii="宋体" w:hAnsi="宋体" w:cs="宋体"/>
          <w:sz w:val="24"/>
        </w:rPr>
        <w:t>、乙方必须按《劳动合同法》和政府有关部门规定为职工交纳所有相关的社会保险及其他相关费用，并作出明确承诺。工作人员在工作期间发生的一切安全事故均由乙方自行负责（含因用工不当导致人员伤亡由乙方负全责）。在正常使用情况下，因场地或设备原因、盗窃等引发的安全事故，甲方有义务配合乙方向相关责任方追责。</w:t>
      </w:r>
    </w:p>
    <w:p>
      <w:pPr>
        <w:snapToGrid w:val="0"/>
        <w:spacing w:line="360" w:lineRule="auto"/>
        <w:ind w:firstLine="480" w:firstLineChars="200"/>
        <w:jc w:val="left"/>
        <w:rPr>
          <w:rFonts w:ascii="宋体" w:cs="宋体"/>
          <w:sz w:val="24"/>
        </w:rPr>
      </w:pPr>
      <w:r>
        <w:rPr>
          <w:rFonts w:ascii="宋体" w:hAnsi="宋体" w:cs="宋体"/>
          <w:sz w:val="24"/>
        </w:rPr>
        <w:t>4</w:t>
      </w:r>
      <w:r>
        <w:rPr>
          <w:rFonts w:hint="eastAsia" w:ascii="宋体" w:hAnsi="宋体" w:cs="宋体"/>
          <w:sz w:val="24"/>
        </w:rPr>
        <w:t>、乙方必须按《中华人民共和国食品安全法》等法律法规要求，保证食品安全，落实食品留样制度，除因食品原材料导致的食品安全事故由甲方和餐饮共同负责外，其余环节导致的食品安全事故均由乙方负责。</w:t>
      </w:r>
    </w:p>
    <w:p>
      <w:pPr>
        <w:snapToGrid w:val="0"/>
        <w:spacing w:line="360" w:lineRule="auto"/>
        <w:ind w:firstLine="480" w:firstLineChars="200"/>
        <w:jc w:val="left"/>
        <w:rPr>
          <w:rFonts w:ascii="宋体" w:cs="宋体"/>
          <w:sz w:val="24"/>
        </w:rPr>
      </w:pPr>
      <w:r>
        <w:rPr>
          <w:rFonts w:ascii="宋体" w:hAnsi="宋体" w:cs="宋体"/>
          <w:sz w:val="24"/>
        </w:rPr>
        <w:t>5</w:t>
      </w:r>
      <w:r>
        <w:rPr>
          <w:rFonts w:hint="eastAsia" w:ascii="宋体" w:hAnsi="宋体" w:cs="宋体"/>
          <w:sz w:val="24"/>
        </w:rPr>
        <w:t>、乙方应根据生产岗位的需要，按照国家有关劳动安全、卫生的规定为工作人员配置和完善必要的安全防护措施。</w:t>
      </w:r>
    </w:p>
    <w:p>
      <w:pPr>
        <w:snapToGrid w:val="0"/>
        <w:spacing w:line="360" w:lineRule="auto"/>
        <w:ind w:firstLine="480" w:firstLineChars="200"/>
        <w:jc w:val="left"/>
        <w:rPr>
          <w:rFonts w:ascii="宋体" w:cs="宋体"/>
          <w:sz w:val="24"/>
        </w:rPr>
      </w:pPr>
      <w:r>
        <w:rPr>
          <w:rFonts w:ascii="宋体" w:hAnsi="宋体" w:cs="宋体"/>
          <w:sz w:val="24"/>
        </w:rPr>
        <w:t>6</w:t>
      </w:r>
      <w:r>
        <w:rPr>
          <w:rFonts w:hint="eastAsia" w:ascii="宋体" w:hAnsi="宋体" w:cs="宋体"/>
          <w:sz w:val="24"/>
        </w:rPr>
        <w:t>、乙方应根据国家有关法律、法规，建立安全生产制度。严格遵守劳动安全制度，严禁违章作业，防止劳动过程中的事故，减少职业危害。</w:t>
      </w:r>
    </w:p>
    <w:p>
      <w:pPr>
        <w:snapToGrid w:val="0"/>
        <w:spacing w:line="360" w:lineRule="auto"/>
        <w:ind w:firstLine="480" w:firstLineChars="200"/>
        <w:jc w:val="left"/>
        <w:rPr>
          <w:rFonts w:ascii="宋体" w:cs="宋体"/>
          <w:sz w:val="24"/>
        </w:rPr>
      </w:pPr>
      <w:r>
        <w:rPr>
          <w:rFonts w:ascii="宋体" w:hAnsi="宋体" w:cs="宋体"/>
          <w:sz w:val="24"/>
        </w:rPr>
        <w:t>7</w:t>
      </w:r>
      <w:r>
        <w:rPr>
          <w:rFonts w:hint="eastAsia" w:ascii="宋体" w:hAnsi="宋体" w:cs="宋体"/>
          <w:sz w:val="24"/>
        </w:rPr>
        <w:t>、乙方应当建立、健全职业病防治责任制，制定并落实职业病防范措施。</w:t>
      </w:r>
    </w:p>
    <w:p>
      <w:pPr>
        <w:snapToGrid w:val="0"/>
        <w:spacing w:line="360" w:lineRule="auto"/>
        <w:ind w:firstLine="480" w:firstLineChars="200"/>
        <w:jc w:val="left"/>
        <w:rPr>
          <w:rFonts w:ascii="宋体" w:cs="宋体"/>
          <w:sz w:val="24"/>
        </w:rPr>
      </w:pPr>
      <w:r>
        <w:rPr>
          <w:rFonts w:ascii="宋体" w:hAnsi="宋体" w:cs="宋体"/>
          <w:sz w:val="24"/>
        </w:rPr>
        <w:t>8</w:t>
      </w:r>
      <w:r>
        <w:rPr>
          <w:rFonts w:hint="eastAsia" w:ascii="宋体" w:hAnsi="宋体" w:cs="宋体"/>
          <w:sz w:val="24"/>
        </w:rPr>
        <w:t>、甲方有权对乙方工作人员上班工作期间进行监督、检查、考核管理等。对餐饮服务工作人员工作不满意或餐饮服务工作人员有违法乱纪行为的，甲方有权要求乙方在</w:t>
      </w:r>
      <w:r>
        <w:rPr>
          <w:rFonts w:ascii="宋体" w:hAnsi="宋体" w:cs="宋体"/>
          <w:sz w:val="24"/>
        </w:rPr>
        <w:t>10</w:t>
      </w:r>
      <w:r>
        <w:rPr>
          <w:rFonts w:hint="eastAsia" w:ascii="宋体" w:hAnsi="宋体" w:cs="宋体"/>
          <w:sz w:val="24"/>
        </w:rPr>
        <w:t>个工作日内调换人员</w:t>
      </w:r>
      <w:r>
        <w:rPr>
          <w:rFonts w:ascii="宋体" w:hAnsi="宋体" w:cs="宋体"/>
          <w:sz w:val="24"/>
        </w:rPr>
        <w:t xml:space="preserve">, </w:t>
      </w:r>
      <w:r>
        <w:rPr>
          <w:rFonts w:hint="eastAsia" w:ascii="宋体" w:hAnsi="宋体" w:cs="宋体"/>
          <w:sz w:val="24"/>
        </w:rPr>
        <w:t>乙方必须按甲方要求执行。</w:t>
      </w:r>
    </w:p>
    <w:p>
      <w:pPr>
        <w:spacing w:line="360" w:lineRule="auto"/>
        <w:ind w:firstLine="482" w:firstLineChars="200"/>
        <w:rPr>
          <w:rFonts w:ascii="宋体" w:hAnsi="宋体"/>
          <w:sz w:val="24"/>
        </w:rPr>
      </w:pPr>
      <w:r>
        <w:rPr>
          <w:rFonts w:hint="eastAsia" w:ascii="宋体" w:hAnsi="宋体"/>
          <w:b/>
          <w:bCs/>
          <w:sz w:val="24"/>
        </w:rPr>
        <w:t xml:space="preserve">第七条   </w:t>
      </w:r>
      <w:r>
        <w:rPr>
          <w:rFonts w:ascii="宋体" w:hAnsi="宋体"/>
          <w:sz w:val="24"/>
        </w:rPr>
        <w:t>款项支付</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付款方式：</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 xml:space="preserve">2、履约保证金： </w:t>
      </w:r>
    </w:p>
    <w:p>
      <w:pPr>
        <w:spacing w:line="360" w:lineRule="auto"/>
        <w:ind w:firstLine="480" w:firstLineChars="200"/>
        <w:rPr>
          <w:rFonts w:ascii="宋体" w:hAnsi="宋体"/>
          <w:sz w:val="24"/>
        </w:rPr>
      </w:pPr>
      <w:r>
        <w:rPr>
          <w:rFonts w:hint="eastAsia" w:ascii="宋体" w:hAnsi="宋体"/>
          <w:sz w:val="24"/>
        </w:rPr>
        <w:t>3、其他：</w:t>
      </w:r>
    </w:p>
    <w:p>
      <w:pPr>
        <w:spacing w:line="360" w:lineRule="auto"/>
        <w:ind w:firstLine="482" w:firstLineChars="200"/>
        <w:rPr>
          <w:rFonts w:ascii="宋体" w:hAnsi="宋体"/>
          <w:sz w:val="24"/>
        </w:rPr>
      </w:pPr>
      <w:r>
        <w:rPr>
          <w:rFonts w:hint="eastAsia" w:ascii="宋体" w:hAnsi="宋体"/>
          <w:b/>
          <w:bCs/>
          <w:sz w:val="24"/>
        </w:rPr>
        <w:t>第八条</w:t>
      </w:r>
      <w:r>
        <w:rPr>
          <w:rFonts w:hint="eastAsia" w:ascii="宋体" w:hAnsi="宋体"/>
          <w:sz w:val="24"/>
        </w:rPr>
        <w:t xml:space="preserve">   税费</w:t>
      </w:r>
    </w:p>
    <w:p>
      <w:pPr>
        <w:spacing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pPr>
        <w:spacing w:line="360" w:lineRule="auto"/>
        <w:ind w:firstLine="482" w:firstLineChars="200"/>
        <w:rPr>
          <w:rFonts w:ascii="宋体" w:hAnsi="宋体"/>
          <w:sz w:val="24"/>
        </w:rPr>
      </w:pPr>
      <w:r>
        <w:rPr>
          <w:rFonts w:hint="eastAsia" w:ascii="宋体" w:hAnsi="宋体"/>
          <w:b/>
          <w:bCs/>
          <w:sz w:val="24"/>
        </w:rPr>
        <w:t>第九条</w:t>
      </w:r>
      <w:r>
        <w:rPr>
          <w:rFonts w:hint="eastAsia" w:ascii="宋体" w:hAnsi="宋体"/>
          <w:sz w:val="24"/>
        </w:rPr>
        <w:t xml:space="preserve">  </w:t>
      </w:r>
      <w:r>
        <w:rPr>
          <w:rFonts w:ascii="宋体" w:hAnsi="宋体"/>
          <w:sz w:val="24"/>
        </w:rPr>
        <w:t>违约责任</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甲方无正当理由拒收接受服务的，甲方向乙方偿付合同款项百分之五作为违约金。</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甲方无故逾期验收和办理款项支付手续的,甲方应按逾期付款总额每日万分之五向乙方支付违约金。</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乙方</w:t>
      </w:r>
      <w:r>
        <w:rPr>
          <w:rFonts w:hint="eastAsia" w:ascii="宋体" w:hAnsi="宋体"/>
          <w:sz w:val="24"/>
        </w:rPr>
        <w:t>未能如</w:t>
      </w:r>
      <w:r>
        <w:rPr>
          <w:rFonts w:ascii="宋体" w:hAnsi="宋体"/>
          <w:sz w:val="24"/>
        </w:rPr>
        <w:t>期提供服务的，每日向甲方支付</w:t>
      </w:r>
      <w:r>
        <w:rPr>
          <w:rFonts w:hint="eastAsia" w:ascii="宋体" w:hAnsi="宋体"/>
          <w:sz w:val="24"/>
        </w:rPr>
        <w:t>合同款项的</w:t>
      </w:r>
      <w:r>
        <w:rPr>
          <w:rFonts w:ascii="宋体" w:hAnsi="宋体"/>
          <w:sz w:val="24"/>
        </w:rPr>
        <w:t>千分之六</w:t>
      </w:r>
      <w:r>
        <w:rPr>
          <w:rFonts w:hint="eastAsia" w:ascii="宋体" w:hAnsi="宋体"/>
          <w:sz w:val="24"/>
        </w:rPr>
        <w:t>作为</w:t>
      </w:r>
      <w:r>
        <w:rPr>
          <w:rFonts w:ascii="宋体" w:hAnsi="宋体"/>
          <w:sz w:val="24"/>
        </w:rPr>
        <w:t>违约金。乙方超过约定日期10个工作日</w:t>
      </w:r>
      <w:r>
        <w:rPr>
          <w:rFonts w:hint="eastAsia" w:ascii="宋体" w:hAnsi="宋体"/>
          <w:sz w:val="24"/>
        </w:rPr>
        <w:t>仍</w:t>
      </w:r>
      <w:r>
        <w:rPr>
          <w:rFonts w:ascii="宋体" w:hAnsi="宋体"/>
          <w:sz w:val="24"/>
        </w:rPr>
        <w:t>不能</w:t>
      </w:r>
      <w:r>
        <w:rPr>
          <w:rFonts w:hint="eastAsia" w:ascii="宋体" w:hAnsi="宋体"/>
          <w:sz w:val="24"/>
        </w:rPr>
        <w:t>提供服务</w:t>
      </w:r>
      <w:r>
        <w:rPr>
          <w:rFonts w:ascii="宋体" w:hAnsi="宋体"/>
          <w:sz w:val="24"/>
        </w:rPr>
        <w:t>的，甲方可解除本合同。乙方因</w:t>
      </w:r>
      <w:r>
        <w:rPr>
          <w:rFonts w:hint="eastAsia" w:ascii="宋体" w:hAnsi="宋体"/>
          <w:sz w:val="24"/>
        </w:rPr>
        <w:t>未能如</w:t>
      </w:r>
      <w:r>
        <w:rPr>
          <w:rFonts w:ascii="宋体" w:hAnsi="宋体"/>
          <w:sz w:val="24"/>
        </w:rPr>
        <w:t xml:space="preserve">期提供服务或因其他违约行为导致甲方解除合同的，乙方应向甲方支付合同总值5%的违约金，如造成甲方损失超过违约金的，超出部分由乙方继续承担赔偿责任。 </w:t>
      </w:r>
    </w:p>
    <w:p>
      <w:pPr>
        <w:spacing w:line="360" w:lineRule="auto"/>
        <w:ind w:firstLine="482" w:firstLineChars="200"/>
        <w:rPr>
          <w:rFonts w:ascii="宋体" w:hAnsi="宋体"/>
          <w:sz w:val="24"/>
        </w:rPr>
      </w:pPr>
      <w:r>
        <w:rPr>
          <w:rFonts w:hint="eastAsia" w:ascii="宋体" w:hAnsi="宋体"/>
          <w:b/>
          <w:bCs/>
          <w:sz w:val="24"/>
        </w:rPr>
        <w:t>第十条</w:t>
      </w:r>
      <w:r>
        <w:rPr>
          <w:rFonts w:hint="eastAsia" w:ascii="宋体" w:hAnsi="宋体"/>
          <w:sz w:val="24"/>
        </w:rPr>
        <w:t xml:space="preserve">  </w:t>
      </w:r>
      <w:r>
        <w:rPr>
          <w:rFonts w:ascii="宋体" w:hAnsi="宋体"/>
          <w:sz w:val="24"/>
        </w:rPr>
        <w:t>不可抗力事件处理</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在合同有效期内，任何一方因不可抗力事件导致不能履行合同，则合同履行期可延长，其延长期与不可抗力影响期相同。</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不可抗力事件发生后，应立即通知对方，并寄送有关权威机构出具的证明。</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不可抗力事件延续120天以上，双方应通过友好协商，确定是否继续履行合同。</w:t>
      </w:r>
    </w:p>
    <w:p>
      <w:pPr>
        <w:tabs>
          <w:tab w:val="left" w:pos="6015"/>
        </w:tabs>
        <w:spacing w:line="360" w:lineRule="auto"/>
        <w:ind w:firstLine="482" w:firstLineChars="200"/>
        <w:rPr>
          <w:rFonts w:ascii="宋体" w:hAnsi="宋体"/>
          <w:sz w:val="24"/>
        </w:rPr>
      </w:pPr>
      <w:r>
        <w:rPr>
          <w:rFonts w:hint="eastAsia" w:ascii="宋体" w:hAnsi="宋体"/>
          <w:b/>
          <w:sz w:val="24"/>
        </w:rPr>
        <w:t xml:space="preserve">第十一条 </w:t>
      </w:r>
      <w:r>
        <w:rPr>
          <w:rFonts w:hint="eastAsia" w:ascii="宋体" w:hAnsi="宋体"/>
          <w:sz w:val="24"/>
        </w:rPr>
        <w:t xml:space="preserve"> 解决争议的方法</w:t>
      </w:r>
    </w:p>
    <w:p>
      <w:pPr>
        <w:spacing w:line="360" w:lineRule="auto"/>
        <w:ind w:firstLine="480" w:firstLineChars="200"/>
        <w:rPr>
          <w:rFonts w:ascii="宋体" w:hAnsi="宋体"/>
          <w:sz w:val="24"/>
        </w:rPr>
      </w:pPr>
      <w:r>
        <w:rPr>
          <w:rFonts w:ascii="宋体" w:hAnsi="宋体"/>
          <w:sz w:val="24"/>
        </w:rPr>
        <w:t>如双方在履行合同时发生纠纷，应协商解决；协商不成时，</w:t>
      </w:r>
      <w:r>
        <w:rPr>
          <w:rFonts w:hint="eastAsia" w:ascii="宋体" w:hAnsi="宋体"/>
          <w:sz w:val="24"/>
        </w:rPr>
        <w:t>可向甲方所在地人民法院提起诉讼。</w:t>
      </w:r>
    </w:p>
    <w:p>
      <w:pPr>
        <w:spacing w:line="408" w:lineRule="auto"/>
        <w:ind w:firstLine="482" w:firstLineChars="200"/>
        <w:rPr>
          <w:rFonts w:ascii="宋体" w:hAnsi="宋体"/>
          <w:sz w:val="24"/>
        </w:rPr>
      </w:pPr>
      <w:r>
        <w:rPr>
          <w:rFonts w:hint="eastAsia" w:ascii="宋体" w:hAnsi="宋体"/>
          <w:b/>
          <w:bCs/>
          <w:sz w:val="24"/>
        </w:rPr>
        <w:t>第十二条</w:t>
      </w:r>
      <w:r>
        <w:rPr>
          <w:rFonts w:hint="eastAsia" w:ascii="宋体" w:hAnsi="宋体"/>
          <w:sz w:val="24"/>
        </w:rPr>
        <w:t xml:space="preserve">   </w:t>
      </w:r>
      <w:r>
        <w:rPr>
          <w:rFonts w:ascii="宋体" w:hAnsi="宋体"/>
          <w:sz w:val="24"/>
        </w:rPr>
        <w:t>合同生效及其它</w:t>
      </w:r>
      <w:r>
        <w:rPr>
          <w:rFonts w:ascii="宋体" w:hAnsi="宋体"/>
          <w:sz w:val="24"/>
        </w:rPr>
        <w:tab/>
      </w:r>
    </w:p>
    <w:p>
      <w:pPr>
        <w:widowControl/>
        <w:spacing w:line="408" w:lineRule="auto"/>
        <w:ind w:firstLine="480" w:firstLineChars="200"/>
        <w:jc w:val="left"/>
        <w:rPr>
          <w:rFonts w:ascii="宋体" w:hAnsi="宋体"/>
          <w:sz w:val="24"/>
        </w:rPr>
      </w:pPr>
      <w:r>
        <w:rPr>
          <w:rFonts w:hint="eastAsia" w:ascii="宋体" w:hAnsi="宋体"/>
          <w:sz w:val="24"/>
        </w:rPr>
        <w:t>1、合同经双方法定代表人或授权代表签字并加盖单位公章后生效。</w:t>
      </w:r>
    </w:p>
    <w:p>
      <w:pPr>
        <w:widowControl/>
        <w:spacing w:line="408" w:lineRule="auto"/>
        <w:ind w:firstLine="480" w:firstLineChars="200"/>
        <w:jc w:val="left"/>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本合同未尽事宜，遵照《中华人民共和国民法典》有关条文执行。</w:t>
      </w:r>
    </w:p>
    <w:p>
      <w:pPr>
        <w:widowControl/>
        <w:spacing w:line="408" w:lineRule="auto"/>
        <w:ind w:firstLine="480" w:firstLineChars="200"/>
        <w:jc w:val="left"/>
        <w:rPr>
          <w:rFonts w:ascii="宋体" w:hAnsi="宋体"/>
          <w:b/>
          <w:sz w:val="24"/>
        </w:rPr>
      </w:pPr>
      <w:r>
        <w:rPr>
          <w:rFonts w:hint="eastAsia" w:ascii="宋体" w:hAnsi="宋体"/>
          <w:sz w:val="24"/>
        </w:rPr>
        <w:t>3、本合同正本一式肆份，与本合同有关的磋商文件及磋商记录同本合同具有同等法律效力，甲、乙、代理机构三方各执壹份，采购办执一份。</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甲方（公章）                                     乙方（公章）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                                     法定代表人：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委托代理人：                                     委托代理人：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联系电话：                                       联系电话：</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开户银行：                                       开户银行：</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账号：                                           账号：</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地址及邮编：                                     地址及邮编：</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签订时间：    年   月    日</w:t>
      </w:r>
    </w:p>
    <w:p>
      <w:pPr>
        <w:spacing w:line="360" w:lineRule="auto"/>
        <w:jc w:val="center"/>
        <w:rPr>
          <w:rFonts w:ascii="宋体" w:hAnsi="宋体"/>
          <w:b/>
          <w:sz w:val="36"/>
        </w:rPr>
      </w:pPr>
    </w:p>
    <w:p>
      <w:pPr>
        <w:pStyle w:val="4"/>
        <w:numPr>
          <w:ilvl w:val="0"/>
          <w:numId w:val="0"/>
        </w:numPr>
        <w:jc w:val="both"/>
      </w:pPr>
    </w:p>
    <w:p/>
    <w:p>
      <w:pPr>
        <w:pStyle w:val="20"/>
      </w:pPr>
    </w:p>
    <w:p/>
    <w:p>
      <w:pPr>
        <w:pStyle w:val="20"/>
      </w:pPr>
    </w:p>
    <w:p/>
    <w:p>
      <w:pPr>
        <w:pStyle w:val="20"/>
      </w:pPr>
    </w:p>
    <w:p/>
    <w:p>
      <w:pPr>
        <w:pStyle w:val="8"/>
      </w:pPr>
    </w:p>
    <w:p>
      <w:pPr>
        <w:pStyle w:val="9"/>
      </w:pPr>
    </w:p>
    <w:p>
      <w:pPr>
        <w:pStyle w:val="10"/>
        <w:ind w:left="5250"/>
      </w:pPr>
    </w:p>
    <w:p>
      <w:pPr>
        <w:rPr>
          <w:rFonts w:asciiTheme="minorEastAsia" w:hAnsiTheme="minorEastAsia" w:eastAsiaTheme="minorEastAsia"/>
          <w:b/>
          <w:sz w:val="36"/>
          <w:szCs w:val="36"/>
        </w:rPr>
      </w:pPr>
    </w:p>
    <w:p>
      <w:pPr>
        <w:rPr>
          <w:rFonts w:asciiTheme="minorEastAsia" w:hAnsiTheme="minorEastAsia" w:eastAsiaTheme="minorEastAsia"/>
          <w:b/>
          <w:sz w:val="36"/>
          <w:szCs w:val="36"/>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Pr>
        <w:numPr>
          <w:ilvl w:val="0"/>
          <w:numId w:val="4"/>
        </w:numPr>
        <w:spacing w:line="360" w:lineRule="auto"/>
        <w:jc w:val="center"/>
        <w:outlineLvl w:val="0"/>
        <w:rPr>
          <w:rFonts w:asciiTheme="minorEastAsia" w:hAnsiTheme="minorEastAsia" w:eastAsiaTheme="minorEastAsia"/>
          <w:b/>
          <w:sz w:val="36"/>
          <w:szCs w:val="36"/>
        </w:rPr>
      </w:pPr>
      <w:bookmarkStart w:id="57" w:name="_Toc22166"/>
      <w:r>
        <w:rPr>
          <w:rFonts w:hint="eastAsia" w:asciiTheme="minorEastAsia" w:hAnsiTheme="minorEastAsia" w:eastAsiaTheme="minorEastAsia"/>
          <w:b/>
          <w:sz w:val="36"/>
          <w:szCs w:val="36"/>
        </w:rPr>
        <w:t>响应文件格式</w:t>
      </w:r>
      <w:bookmarkEnd w:id="57"/>
    </w:p>
    <w:p>
      <w:pPr>
        <w:outlineLvl w:val="0"/>
        <w:rPr>
          <w:rFonts w:ascii="宋体" w:hAnsi="宋体"/>
          <w:b/>
          <w:kern w:val="0"/>
          <w:sz w:val="28"/>
          <w:szCs w:val="28"/>
        </w:rPr>
      </w:pPr>
      <w:r>
        <w:rPr>
          <w:rFonts w:hint="eastAsia" w:ascii="宋体" w:hAnsi="宋体"/>
          <w:b/>
          <w:sz w:val="28"/>
          <w:szCs w:val="28"/>
        </w:rPr>
        <w:t xml:space="preserve">附件1 </w:t>
      </w: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snapToGrid w:val="0"/>
        <w:spacing w:line="360" w:lineRule="auto"/>
        <w:jc w:val="center"/>
        <w:outlineLvl w:val="0"/>
        <w:rPr>
          <w:rFonts w:ascii="宋体" w:hAnsi="宋体"/>
          <w:bCs/>
          <w:sz w:val="44"/>
          <w:szCs w:val="44"/>
        </w:rPr>
      </w:pPr>
      <w:r>
        <w:rPr>
          <w:rFonts w:hint="eastAsia" w:ascii="宋体" w:hAnsi="宋体"/>
          <w:bCs/>
          <w:sz w:val="44"/>
          <w:szCs w:val="44"/>
        </w:rPr>
        <w:t>台州市中级人民法院后勤保障服务项目</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eastAsia="宋体"/>
          <w:b/>
          <w:bCs/>
          <w:kern w:val="0"/>
          <w:sz w:val="30"/>
          <w:szCs w:val="30"/>
          <w:lang w:eastAsia="zh-CN"/>
        </w:rPr>
      </w:pPr>
      <w:r>
        <w:rPr>
          <w:rFonts w:hint="eastAsia" w:ascii="宋体" w:hAnsi="宋体" w:cs="宋体"/>
          <w:sz w:val="36"/>
          <w:szCs w:val="36"/>
        </w:rPr>
        <w:t>项目编号：</w:t>
      </w:r>
      <w:r>
        <w:rPr>
          <w:rFonts w:hint="eastAsia" w:ascii="宋体" w:hAnsi="宋体" w:cs="宋体"/>
          <w:sz w:val="36"/>
          <w:szCs w:val="36"/>
          <w:lang w:eastAsia="zh-CN"/>
        </w:rPr>
        <w:t>TZTX-2024-CS053-1</w:t>
      </w:r>
    </w:p>
    <w:p>
      <w:pPr>
        <w:spacing w:beforeLines="100" w:line="360" w:lineRule="auto"/>
        <w:ind w:right="-108"/>
        <w:jc w:val="center"/>
        <w:rPr>
          <w:rFonts w:ascii="宋体" w:hAnsi="宋体"/>
          <w:sz w:val="36"/>
          <w:szCs w:val="36"/>
        </w:rPr>
      </w:pPr>
    </w:p>
    <w:p>
      <w:pPr>
        <w:jc w:val="center"/>
        <w:rPr>
          <w:sz w:val="84"/>
          <w:szCs w:val="84"/>
        </w:rPr>
      </w:pPr>
      <w:r>
        <w:rPr>
          <w:rFonts w:hint="eastAsia"/>
          <w:sz w:val="84"/>
          <w:szCs w:val="84"/>
        </w:rPr>
        <w:t>磋</w:t>
      </w:r>
    </w:p>
    <w:p>
      <w:pPr>
        <w:jc w:val="center"/>
        <w:rPr>
          <w:sz w:val="84"/>
          <w:szCs w:val="84"/>
        </w:rPr>
      </w:pPr>
      <w:r>
        <w:rPr>
          <w:rFonts w:hint="eastAsia"/>
          <w:sz w:val="84"/>
          <w:szCs w:val="84"/>
        </w:rPr>
        <w:t>商</w:t>
      </w:r>
    </w:p>
    <w:p>
      <w:pPr>
        <w:jc w:val="center"/>
        <w:rPr>
          <w:sz w:val="84"/>
          <w:szCs w:val="84"/>
        </w:rPr>
      </w:pPr>
      <w:r>
        <w:rPr>
          <w:rFonts w:hint="eastAsia"/>
          <w:sz w:val="84"/>
          <w:szCs w:val="84"/>
        </w:rPr>
        <w:t>响</w:t>
      </w:r>
    </w:p>
    <w:p>
      <w:pPr>
        <w:jc w:val="center"/>
        <w:rPr>
          <w:sz w:val="84"/>
          <w:szCs w:val="84"/>
        </w:rPr>
      </w:pPr>
      <w:r>
        <w:rPr>
          <w:rFonts w:hint="eastAsia"/>
          <w:sz w:val="84"/>
          <w:szCs w:val="84"/>
        </w:rPr>
        <w:t>应</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pStyle w:val="26"/>
      </w:pPr>
    </w:p>
    <w:p>
      <w:pPr>
        <w:spacing w:line="360" w:lineRule="auto"/>
        <w:ind w:right="532" w:firstLine="640" w:firstLineChars="200"/>
        <w:rPr>
          <w:rFonts w:ascii="宋体" w:hAnsi="宋体"/>
          <w:sz w:val="32"/>
          <w:szCs w:val="32"/>
        </w:rPr>
      </w:pPr>
      <w:r>
        <w:rPr>
          <w:rFonts w:hint="eastAsia" w:ascii="宋体" w:hAnsi="宋体"/>
          <w:sz w:val="32"/>
          <w:szCs w:val="32"/>
        </w:rPr>
        <w:t>供应商全称（电子印章）：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仿宋_GB2312" w:hAnsi="宋体" w:eastAsia="仿宋_GB2312"/>
          <w:b/>
          <w:sz w:val="36"/>
          <w:szCs w:val="36"/>
        </w:rPr>
      </w:pPr>
      <w:r>
        <w:rPr>
          <w:rFonts w:hint="eastAsia" w:ascii="宋体" w:hAnsi="宋体"/>
          <w:sz w:val="32"/>
          <w:szCs w:val="32"/>
        </w:rPr>
        <w:t>时    间：</w:t>
      </w:r>
    </w:p>
    <w:p>
      <w:pPr>
        <w:pStyle w:val="4"/>
        <w:numPr>
          <w:ilvl w:val="0"/>
          <w:numId w:val="0"/>
        </w:numPr>
        <w:ind w:left="425"/>
        <w:jc w:val="both"/>
      </w:pPr>
    </w:p>
    <w:p>
      <w:pPr>
        <w:jc w:val="center"/>
        <w:rPr>
          <w:b/>
          <w:bCs/>
          <w:sz w:val="32"/>
          <w:szCs w:val="40"/>
        </w:rPr>
      </w:pPr>
    </w:p>
    <w:p>
      <w:pPr>
        <w:jc w:val="center"/>
        <w:rPr>
          <w:b/>
          <w:bCs/>
          <w:sz w:val="32"/>
          <w:szCs w:val="40"/>
        </w:rPr>
      </w:pPr>
    </w:p>
    <w:p>
      <w:pPr>
        <w:jc w:val="center"/>
        <w:rPr>
          <w:b/>
          <w:bCs/>
          <w:sz w:val="32"/>
          <w:szCs w:val="40"/>
        </w:rPr>
      </w:pPr>
    </w:p>
    <w:p>
      <w:pPr>
        <w:jc w:val="center"/>
        <w:rPr>
          <w:sz w:val="24"/>
        </w:rPr>
      </w:pPr>
      <w:r>
        <w:rPr>
          <w:rFonts w:hint="eastAsia"/>
          <w:b/>
          <w:bCs/>
          <w:sz w:val="32"/>
          <w:szCs w:val="40"/>
        </w:rPr>
        <w:t>资格证明内容目录</w:t>
      </w:r>
    </w:p>
    <w:p>
      <w:pPr>
        <w:spacing w:line="360" w:lineRule="auto"/>
        <w:ind w:firstLine="480" w:firstLineChars="200"/>
        <w:rPr>
          <w:sz w:val="24"/>
        </w:rPr>
      </w:pPr>
      <w:bookmarkStart w:id="58" w:name="_Toc12587_WPSOffice_Level1"/>
      <w:bookmarkStart w:id="59" w:name="_Toc27049_WPSOffice_Level1"/>
      <w:r>
        <w:rPr>
          <w:rFonts w:hint="eastAsia"/>
          <w:sz w:val="24"/>
        </w:rPr>
        <w:t>1、磋商声明书（附件2）</w:t>
      </w:r>
      <w:bookmarkEnd w:id="58"/>
      <w:bookmarkEnd w:id="59"/>
      <w:r>
        <w:rPr>
          <w:rFonts w:hint="eastAsia"/>
          <w:sz w:val="24"/>
        </w:rPr>
        <w:t>。</w:t>
      </w:r>
    </w:p>
    <w:p>
      <w:pPr>
        <w:spacing w:line="360" w:lineRule="auto"/>
        <w:ind w:firstLine="480" w:firstLineChars="200"/>
        <w:rPr>
          <w:sz w:val="24"/>
        </w:rPr>
      </w:pPr>
      <w:bookmarkStart w:id="60" w:name="_Toc25574_WPSOffice_Level1"/>
      <w:bookmarkStart w:id="61" w:name="_Toc28306_WPSOffice_Level1"/>
      <w:r>
        <w:rPr>
          <w:rFonts w:hint="eastAsia"/>
          <w:sz w:val="24"/>
        </w:rPr>
        <w:t>2、</w:t>
      </w:r>
      <w:r>
        <w:rPr>
          <w:sz w:val="24"/>
        </w:rPr>
        <w:t>授权</w:t>
      </w:r>
      <w:r>
        <w:rPr>
          <w:rFonts w:hint="eastAsia"/>
          <w:sz w:val="24"/>
        </w:rPr>
        <w:t>委托</w:t>
      </w:r>
      <w:r>
        <w:rPr>
          <w:sz w:val="24"/>
        </w:rPr>
        <w:t>书</w:t>
      </w:r>
      <w:r>
        <w:rPr>
          <w:rFonts w:hint="eastAsia"/>
          <w:sz w:val="24"/>
        </w:rPr>
        <w:t>（法定代表人办理磋商事宜的，则无需提交)（附件3）</w:t>
      </w:r>
      <w:bookmarkEnd w:id="60"/>
      <w:bookmarkEnd w:id="61"/>
      <w:r>
        <w:rPr>
          <w:rFonts w:hint="eastAsia"/>
          <w:sz w:val="24"/>
        </w:rPr>
        <w:t>。</w:t>
      </w:r>
    </w:p>
    <w:p>
      <w:pPr>
        <w:spacing w:line="360" w:lineRule="auto"/>
        <w:ind w:firstLine="480" w:firstLineChars="200"/>
        <w:rPr>
          <w:sz w:val="24"/>
        </w:rPr>
      </w:pPr>
      <w:bookmarkStart w:id="62" w:name="_Toc32100_WPSOffice_Level1"/>
      <w:bookmarkStart w:id="63" w:name="_Toc29616_WPSOffice_Level1"/>
      <w:r>
        <w:rPr>
          <w:rFonts w:hint="eastAsia"/>
          <w:sz w:val="24"/>
        </w:rPr>
        <w:t>3、</w:t>
      </w:r>
      <w:r>
        <w:rPr>
          <w:sz w:val="24"/>
        </w:rPr>
        <w:t>法人或者其他组织的营业执照等证明文件，自然人的身份证明</w:t>
      </w:r>
      <w:bookmarkEnd w:id="62"/>
      <w:bookmarkEnd w:id="63"/>
      <w:r>
        <w:rPr>
          <w:rFonts w:hint="eastAsia"/>
          <w:sz w:val="24"/>
        </w:rPr>
        <w:t>。</w:t>
      </w:r>
    </w:p>
    <w:p>
      <w:pPr>
        <w:spacing w:line="360" w:lineRule="auto"/>
        <w:ind w:firstLine="480" w:firstLineChars="200"/>
        <w:rPr>
          <w:rFonts w:ascii="宋体" w:hAnsi="宋体" w:cs="宋体"/>
          <w:sz w:val="24"/>
        </w:rPr>
      </w:pPr>
      <w:bookmarkStart w:id="64" w:name="_Toc9981_WPSOffice_Level1"/>
      <w:bookmarkStart w:id="65" w:name="_Toc25807_WPSOffice_Level1"/>
      <w:r>
        <w:rPr>
          <w:rFonts w:hint="eastAsia"/>
          <w:sz w:val="24"/>
        </w:rPr>
        <w:t>4、</w:t>
      </w:r>
      <w:bookmarkEnd w:id="64"/>
      <w:bookmarkEnd w:id="65"/>
      <w:bookmarkStart w:id="66" w:name="_Toc30751_WPSOffice_Level1"/>
      <w:bookmarkStart w:id="67" w:name="_Toc2696_WPSOffice_Level1"/>
      <w:r>
        <w:rPr>
          <w:rFonts w:hint="eastAsia" w:ascii="宋体" w:hAnsi="宋体" w:cs="宋体"/>
          <w:sz w:val="24"/>
        </w:rPr>
        <w:t>财务报告、依法缴纳税收和社会保障资金的相关材料。</w:t>
      </w:r>
    </w:p>
    <w:p>
      <w:pPr>
        <w:spacing w:line="360" w:lineRule="auto"/>
        <w:ind w:firstLine="480" w:firstLineChars="200"/>
        <w:rPr>
          <w:sz w:val="24"/>
        </w:rPr>
      </w:pPr>
      <w:r>
        <w:rPr>
          <w:rFonts w:hint="eastAsia"/>
          <w:sz w:val="24"/>
        </w:rPr>
        <w:t>5、</w:t>
      </w:r>
      <w:r>
        <w:rPr>
          <w:sz w:val="24"/>
        </w:rPr>
        <w:t>具备履行合同所必需的设备和专业技术能力的证明材料</w:t>
      </w:r>
      <w:bookmarkEnd w:id="66"/>
      <w:bookmarkEnd w:id="67"/>
      <w:r>
        <w:rPr>
          <w:rFonts w:hint="eastAsia"/>
          <w:sz w:val="24"/>
        </w:rPr>
        <w:t>。</w:t>
      </w:r>
    </w:p>
    <w:p>
      <w:pPr>
        <w:spacing w:line="360" w:lineRule="auto"/>
        <w:ind w:firstLine="480" w:firstLineChars="200"/>
        <w:rPr>
          <w:sz w:val="24"/>
        </w:rPr>
      </w:pPr>
      <w:bookmarkStart w:id="68" w:name="_Toc14150_WPSOffice_Level1"/>
      <w:bookmarkStart w:id="69" w:name="_Toc4587_WPSOffice_Level1"/>
      <w:r>
        <w:rPr>
          <w:rFonts w:hint="eastAsia"/>
          <w:sz w:val="24"/>
        </w:rPr>
        <w:t>6、本项目要求的特定资质证书</w:t>
      </w:r>
      <w:bookmarkEnd w:id="68"/>
      <w:bookmarkEnd w:id="69"/>
      <w:r>
        <w:rPr>
          <w:rFonts w:hint="eastAsia"/>
          <w:sz w:val="24"/>
        </w:rPr>
        <w:t>。</w:t>
      </w:r>
    </w:p>
    <w:p>
      <w:pPr>
        <w:spacing w:line="360" w:lineRule="auto"/>
        <w:ind w:firstLine="480" w:firstLineChars="200"/>
        <w:rPr>
          <w:rFonts w:ascii="宋体" w:hAnsi="宋体"/>
          <w:b/>
          <w:sz w:val="24"/>
        </w:rPr>
      </w:pPr>
      <w:r>
        <w:rPr>
          <w:rFonts w:hint="eastAsia"/>
          <w:sz w:val="24"/>
        </w:rPr>
        <w:t>7、</w:t>
      </w:r>
      <w:r>
        <w:rPr>
          <w:rFonts w:hint="eastAsia" w:ascii="宋体" w:hAnsi="宋体" w:cs="宋体"/>
          <w:sz w:val="24"/>
        </w:rPr>
        <w:t>中小企业声明函等</w:t>
      </w:r>
      <w:r>
        <w:rPr>
          <w:rFonts w:hint="eastAsia" w:asciiTheme="minorEastAsia" w:hAnsiTheme="minorEastAsia" w:eastAsiaTheme="minorEastAsia"/>
          <w:kern w:val="0"/>
          <w:sz w:val="24"/>
        </w:rPr>
        <w:t>（附件4）。</w:t>
      </w:r>
    </w:p>
    <w:p>
      <w:pPr>
        <w:spacing w:line="360" w:lineRule="auto"/>
        <w:ind w:firstLine="442" w:firstLineChars="200"/>
        <w:rPr>
          <w:rFonts w:ascii="宋体" w:hAnsi="宋体"/>
          <w:b/>
          <w:sz w:val="22"/>
        </w:rPr>
      </w:pPr>
    </w:p>
    <w:p>
      <w:pPr>
        <w:widowControl/>
        <w:spacing w:line="360" w:lineRule="auto"/>
        <w:ind w:right="60" w:firstLine="442" w:firstLineChars="200"/>
        <w:jc w:val="left"/>
        <w:outlineLvl w:val="0"/>
        <w:rPr>
          <w:rFonts w:ascii="宋体" w:hAnsi="宋体" w:cs="宋体"/>
          <w:b/>
          <w:sz w:val="22"/>
        </w:rPr>
      </w:pPr>
      <w:r>
        <w:rPr>
          <w:rFonts w:hint="eastAsia" w:ascii="宋体" w:hAnsi="宋体" w:cs="宋体"/>
          <w:b/>
          <w:sz w:val="22"/>
        </w:rPr>
        <w:t>注：根据《浙江省财政厅关于进一步加大政府采购支持中小企业力度助力扎实稳住经济的通知》（浙财采监〔2022〕8号）中“简化对政府采购供应商资格条件的形式审查，供应商书面承诺符合参与政府采购活动资格条件的，不需要再提供</w:t>
      </w:r>
      <w:r>
        <w:rPr>
          <w:rFonts w:hint="eastAsia" w:ascii="宋体" w:hAnsi="宋体" w:cs="宋体"/>
          <w:b/>
          <w:sz w:val="22"/>
          <w:u w:val="single"/>
        </w:rPr>
        <w:t>财务状况报告、依法缴纳税收和社会保障资金记录、无重大违法记录等证明材料</w:t>
      </w:r>
      <w:r>
        <w:rPr>
          <w:rFonts w:hint="eastAsia" w:ascii="宋体" w:hAnsi="宋体" w:cs="宋体"/>
          <w:b/>
          <w:sz w:val="22"/>
        </w:rPr>
        <w:t>。”本项目投标供应商属于中小企业范畴的，可以以书面承诺代替相关证明材料。</w:t>
      </w:r>
    </w:p>
    <w:p>
      <w:pPr>
        <w:pStyle w:val="26"/>
        <w:rPr>
          <w:rFonts w:ascii="宋体" w:hAnsi="宋体"/>
          <w:b/>
          <w:sz w:val="28"/>
        </w:rPr>
      </w:pPr>
    </w:p>
    <w:p>
      <w:pPr>
        <w:pStyle w:val="26"/>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pStyle w:val="26"/>
      </w:pPr>
    </w:p>
    <w:p>
      <w:pPr>
        <w:pStyle w:val="26"/>
      </w:pPr>
    </w:p>
    <w:p>
      <w:pPr>
        <w:pStyle w:val="26"/>
      </w:pPr>
    </w:p>
    <w:p>
      <w:pPr>
        <w:pStyle w:val="26"/>
      </w:pPr>
    </w:p>
    <w:p>
      <w:pPr>
        <w:pStyle w:val="26"/>
      </w:pPr>
    </w:p>
    <w:p>
      <w:pPr>
        <w:pStyle w:val="26"/>
      </w:pPr>
    </w:p>
    <w:p>
      <w:pPr>
        <w:pStyle w:val="26"/>
      </w:pPr>
    </w:p>
    <w:p>
      <w:pPr>
        <w:spacing w:line="312" w:lineRule="auto"/>
        <w:outlineLvl w:val="0"/>
        <w:rPr>
          <w:rFonts w:ascii="宋体" w:hAnsi="宋体"/>
          <w:b/>
          <w:sz w:val="28"/>
        </w:rPr>
      </w:pPr>
      <w:bookmarkStart w:id="70" w:name="_Toc1587"/>
    </w:p>
    <w:p>
      <w:pPr>
        <w:spacing w:line="312" w:lineRule="auto"/>
        <w:outlineLvl w:val="0"/>
        <w:rPr>
          <w:rFonts w:ascii="宋体" w:hAnsi="宋体"/>
          <w:b/>
          <w:sz w:val="28"/>
        </w:rPr>
      </w:pPr>
    </w:p>
    <w:p>
      <w:pPr>
        <w:spacing w:line="312" w:lineRule="auto"/>
        <w:outlineLvl w:val="0"/>
        <w:rPr>
          <w:rFonts w:ascii="宋体" w:hAnsi="宋体"/>
          <w:b/>
          <w:sz w:val="28"/>
        </w:rPr>
      </w:pPr>
    </w:p>
    <w:p>
      <w:pPr>
        <w:spacing w:line="312" w:lineRule="auto"/>
        <w:outlineLvl w:val="0"/>
        <w:rPr>
          <w:rFonts w:ascii="宋体" w:hAnsi="宋体"/>
          <w:b/>
          <w:sz w:val="28"/>
        </w:rPr>
      </w:pPr>
      <w:r>
        <w:rPr>
          <w:rFonts w:hint="eastAsia" w:ascii="宋体" w:hAnsi="宋体"/>
          <w:b/>
          <w:sz w:val="28"/>
        </w:rPr>
        <w:t>附件2</w:t>
      </w:r>
      <w:bookmarkEnd w:id="70"/>
    </w:p>
    <w:p>
      <w:pPr>
        <w:adjustRightInd w:val="0"/>
        <w:snapToGrid w:val="0"/>
        <w:spacing w:line="312" w:lineRule="auto"/>
        <w:ind w:right="480"/>
        <w:jc w:val="center"/>
        <w:rPr>
          <w:rFonts w:ascii="宋体" w:hAnsi="宋体"/>
          <w:b/>
          <w:kern w:val="0"/>
          <w:sz w:val="32"/>
          <w:szCs w:val="32"/>
          <w:lang w:val="zh-CN"/>
        </w:rPr>
      </w:pPr>
      <w:bookmarkStart w:id="71" w:name="_Toc31708_WPSOffice_Level1"/>
      <w:bookmarkStart w:id="72" w:name="_Toc30723_WPSOffice_Level1"/>
      <w:r>
        <w:rPr>
          <w:rFonts w:hint="eastAsia" w:ascii="宋体" w:hAnsi="宋体"/>
          <w:b/>
          <w:kern w:val="0"/>
          <w:sz w:val="32"/>
          <w:szCs w:val="32"/>
        </w:rPr>
        <w:t>磋商</w:t>
      </w:r>
      <w:r>
        <w:rPr>
          <w:rFonts w:hint="eastAsia" w:ascii="宋体" w:hAnsi="宋体"/>
          <w:b/>
          <w:kern w:val="0"/>
          <w:sz w:val="32"/>
          <w:szCs w:val="32"/>
          <w:lang w:val="zh-CN"/>
        </w:rPr>
        <w:t>声明书</w:t>
      </w:r>
      <w:bookmarkEnd w:id="71"/>
      <w:bookmarkEnd w:id="72"/>
    </w:p>
    <w:p>
      <w:pPr>
        <w:snapToGrid w:val="0"/>
        <w:spacing w:beforeLines="50" w:after="50" w:line="312" w:lineRule="auto"/>
        <w:rPr>
          <w:rFonts w:ascii="宋体" w:hAnsi="宋体" w:cs="宋体"/>
          <w:kern w:val="0"/>
          <w:sz w:val="24"/>
        </w:rPr>
      </w:pPr>
      <w:r>
        <w:rPr>
          <w:rFonts w:hint="eastAsia" w:ascii="宋体" w:hAnsi="宋体" w:cstheme="minorBidi"/>
          <w:sz w:val="24"/>
          <w:u w:val="single"/>
        </w:rPr>
        <w:t>台州天兴工程管理咨询有限公司</w:t>
      </w:r>
      <w:r>
        <w:rPr>
          <w:rFonts w:hint="eastAsia" w:ascii="宋体" w:hAnsi="宋体" w:cs="宋体"/>
          <w:kern w:val="0"/>
          <w:sz w:val="24"/>
        </w:rPr>
        <w:t>：</w:t>
      </w:r>
    </w:p>
    <w:p>
      <w:pPr>
        <w:snapToGrid w:val="0"/>
        <w:spacing w:line="312" w:lineRule="auto"/>
        <w:ind w:firstLine="480" w:firstLineChars="200"/>
        <w:rPr>
          <w:rFonts w:ascii="宋体" w:hAnsi="宋体" w:cs="宋体"/>
          <w:kern w:val="0"/>
          <w:sz w:val="24"/>
        </w:rPr>
      </w:pPr>
      <w:r>
        <w:rPr>
          <w:rFonts w:hint="eastAsia" w:ascii="宋体" w:hAnsi="宋体" w:cs="宋体"/>
          <w:kern w:val="0"/>
          <w:sz w:val="24"/>
          <w:u w:val="single"/>
        </w:rPr>
        <w:t>（供应商名称）</w:t>
      </w:r>
      <w:r>
        <w:rPr>
          <w:rFonts w:hint="eastAsia" w:ascii="宋体" w:hAnsi="宋体" w:cs="宋体"/>
          <w:kern w:val="0"/>
          <w:sz w:val="24"/>
        </w:rPr>
        <w:t>系中华人民共和国合法企业，经营地址</w:t>
      </w:r>
      <w:r>
        <w:rPr>
          <w:rFonts w:hint="eastAsia" w:ascii="宋体" w:hAnsi="宋体" w:cs="宋体"/>
          <w:kern w:val="0"/>
          <w:sz w:val="24"/>
          <w:u w:val="single"/>
        </w:rPr>
        <w:t xml:space="preserve">     </w:t>
      </w:r>
      <w:r>
        <w:rPr>
          <w:rFonts w:hint="eastAsia" w:ascii="宋体" w:hAnsi="宋体" w:cs="宋体"/>
          <w:kern w:val="0"/>
          <w:sz w:val="24"/>
        </w:rPr>
        <w:t>。</w:t>
      </w:r>
    </w:p>
    <w:p>
      <w:pPr>
        <w:spacing w:line="312" w:lineRule="auto"/>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供应商名称 </w:t>
      </w:r>
      <w:r>
        <w:rPr>
          <w:rFonts w:hint="eastAsia" w:ascii="宋体" w:hAnsi="宋体" w:cs="宋体"/>
          <w:kern w:val="0"/>
          <w:sz w:val="24"/>
        </w:rPr>
        <w:t>）的法定代表人，我公司自愿参加贵方组织的</w:t>
      </w:r>
      <w:r>
        <w:rPr>
          <w:rFonts w:hint="eastAsia" w:ascii="宋体" w:hAnsi="宋体" w:cs="宋体"/>
          <w:kern w:val="0"/>
          <w:sz w:val="24"/>
          <w:u w:val="single"/>
        </w:rPr>
        <w:t>台州市中级人民法院后勤保障服务项目（编号为</w:t>
      </w:r>
      <w:r>
        <w:rPr>
          <w:rFonts w:hint="eastAsia" w:ascii="宋体" w:hAnsi="宋体" w:cs="宋体"/>
          <w:kern w:val="0"/>
          <w:sz w:val="24"/>
          <w:u w:val="single"/>
          <w:lang w:eastAsia="zh-CN"/>
        </w:rPr>
        <w:t>TZTX-2024-CS053-1</w:t>
      </w:r>
      <w:r>
        <w:rPr>
          <w:rFonts w:hint="eastAsia" w:ascii="宋体" w:hAnsi="宋体" w:cs="宋体"/>
          <w:kern w:val="0"/>
          <w:sz w:val="24"/>
          <w:u w:val="single"/>
        </w:rPr>
        <w:t>）</w:t>
      </w:r>
      <w:r>
        <w:rPr>
          <w:rFonts w:hint="eastAsia" w:ascii="宋体" w:hAnsi="宋体" w:cs="宋体"/>
          <w:kern w:val="0"/>
          <w:sz w:val="24"/>
        </w:rPr>
        <w:t>的磋商，为此，我公司就本次磋商有关事项郑重声明如下：</w:t>
      </w:r>
    </w:p>
    <w:p>
      <w:pPr>
        <w:widowControl/>
        <w:spacing w:line="312" w:lineRule="auto"/>
        <w:ind w:firstLine="480" w:firstLineChars="200"/>
        <w:rPr>
          <w:rFonts w:ascii="宋体" w:hAnsi="宋体" w:cs="宋体"/>
          <w:kern w:val="0"/>
          <w:sz w:val="24"/>
        </w:rPr>
      </w:pPr>
      <w:r>
        <w:rPr>
          <w:rFonts w:hint="eastAsia" w:ascii="宋体" w:hAnsi="宋体" w:cs="宋体"/>
          <w:kern w:val="0"/>
          <w:sz w:val="24"/>
        </w:rPr>
        <w:t>1、我公司声明截止磋商时间近三年以来：在参加本次采购活动前无重大违法记录（重大违法记录是指供应商因违法经营受到刑事处罚或者责令停产停业、吊销许可证或者执照、较大数额罚款等行政处罚）。</w:t>
      </w:r>
    </w:p>
    <w:p>
      <w:pPr>
        <w:widowControl/>
        <w:spacing w:line="312" w:lineRule="auto"/>
        <w:ind w:firstLine="480" w:firstLineChars="200"/>
        <w:rPr>
          <w:rFonts w:ascii="宋体" w:hAnsi="宋体" w:cs="宋体"/>
          <w:kern w:val="0"/>
          <w:sz w:val="24"/>
        </w:rPr>
      </w:pPr>
      <w:r>
        <w:rPr>
          <w:rFonts w:hint="eastAsia" w:ascii="宋体" w:hAnsi="宋体" w:cs="宋体"/>
          <w:kern w:val="0"/>
          <w:sz w:val="24"/>
        </w:rPr>
        <w:t>2、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pPr>
        <w:widowControl/>
        <w:spacing w:line="312" w:lineRule="auto"/>
        <w:ind w:firstLine="480" w:firstLineChars="200"/>
        <w:rPr>
          <w:rFonts w:ascii="宋体" w:hAnsi="宋体" w:cs="宋体"/>
          <w:kern w:val="0"/>
          <w:sz w:val="24"/>
        </w:rPr>
      </w:pPr>
      <w:r>
        <w:rPr>
          <w:rFonts w:hint="eastAsia" w:ascii="宋体" w:hAnsi="宋体" w:cs="宋体"/>
          <w:kern w:val="0"/>
          <w:sz w:val="24"/>
        </w:rPr>
        <w:t>3、我公司不是采购人的附属机构；在获知本项目采购信息后，与采购人聘请的为此项目提供咨询服务的公司及其附属机构没有任何联系。</w:t>
      </w:r>
    </w:p>
    <w:p>
      <w:pPr>
        <w:widowControl/>
        <w:spacing w:line="312" w:lineRule="auto"/>
        <w:ind w:firstLine="480" w:firstLineChars="200"/>
        <w:rPr>
          <w:rFonts w:ascii="宋体" w:hAnsi="宋体" w:cs="宋体"/>
          <w:kern w:val="0"/>
          <w:sz w:val="24"/>
        </w:rPr>
      </w:pPr>
      <w:r>
        <w:rPr>
          <w:rFonts w:hint="eastAsia" w:ascii="宋体" w:hAnsi="宋体" w:cs="宋体"/>
          <w:kern w:val="0"/>
          <w:sz w:val="24"/>
        </w:rPr>
        <w:t>4、我公司保证，采购人在中华人民共和国境内使用我公司磋商响应的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pPr>
        <w:widowControl/>
        <w:spacing w:line="312" w:lineRule="auto"/>
        <w:ind w:firstLine="480" w:firstLineChars="200"/>
        <w:rPr>
          <w:rFonts w:ascii="宋体" w:hAnsi="宋体" w:cs="宋体"/>
          <w:kern w:val="0"/>
          <w:sz w:val="24"/>
        </w:rPr>
      </w:pPr>
      <w:r>
        <w:rPr>
          <w:rFonts w:hint="eastAsia" w:ascii="宋体" w:hAnsi="宋体" w:cs="宋体"/>
          <w:kern w:val="0"/>
          <w:sz w:val="24"/>
        </w:rPr>
        <w:t>5、我公司严格履行采购合同，不降低合同约定的产品质量和服务，不擅自变更、中止、终止合同，或拒绝履行合同义务。</w:t>
      </w:r>
    </w:p>
    <w:p>
      <w:pPr>
        <w:widowControl/>
        <w:spacing w:line="312"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6、我</w:t>
      </w:r>
      <w:r>
        <w:rPr>
          <w:rFonts w:hint="eastAsia" w:asciiTheme="minorEastAsia" w:hAnsiTheme="minorEastAsia" w:eastAsiaTheme="minorEastAsia" w:cstheme="minorEastAsia"/>
          <w:kern w:val="0"/>
          <w:sz w:val="24"/>
          <w:lang w:val="zh-CN"/>
        </w:rPr>
        <w:t>公司如被确定为成交供应商，保证在成交结果公示后五个工作日内缴纳采购代理服务费人民币</w:t>
      </w:r>
      <w:r>
        <w:rPr>
          <w:rFonts w:hint="eastAsia" w:ascii="宋体" w:hAnsi="宋体" w:cs="宋体" w:eastAsiaTheme="minorEastAsia"/>
          <w:sz w:val="24"/>
          <w:u w:val="single"/>
        </w:rPr>
        <w:t>壹万元整</w:t>
      </w:r>
      <w:r>
        <w:rPr>
          <w:rFonts w:hint="eastAsia" w:asciiTheme="minorEastAsia" w:hAnsiTheme="minorEastAsia" w:eastAsiaTheme="minorEastAsia" w:cstheme="minorEastAsia"/>
          <w:sz w:val="24"/>
        </w:rPr>
        <w:t>（小写¥</w:t>
      </w:r>
      <w:r>
        <w:rPr>
          <w:rFonts w:hint="eastAsia" w:asciiTheme="minorEastAsia" w:hAnsiTheme="minorEastAsia" w:eastAsiaTheme="minorEastAsia" w:cstheme="minorEastAsia"/>
          <w:sz w:val="24"/>
          <w:u w:val="single"/>
        </w:rPr>
        <w:t>10000.00元</w:t>
      </w:r>
      <w:r>
        <w:rPr>
          <w:rFonts w:hint="eastAsia" w:asciiTheme="minorEastAsia" w:hAnsiTheme="minorEastAsia" w:eastAsiaTheme="minorEastAsia" w:cstheme="minorEastAsia"/>
          <w:sz w:val="24"/>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8"/>
        <w:gridCol w:w="5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798" w:type="dxa"/>
            <w:vAlign w:val="center"/>
          </w:tcPr>
          <w:p>
            <w:pPr>
              <w:pStyle w:val="9"/>
              <w:rPr>
                <w:rFonts w:hAnsi="宋体"/>
                <w:kern w:val="0"/>
                <w:sz w:val="24"/>
                <w:lang w:val="zh-CN"/>
              </w:rPr>
            </w:pPr>
            <w:r>
              <w:rPr>
                <w:rFonts w:hint="eastAsia" w:hAnsi="宋体"/>
                <w:kern w:val="0"/>
                <w:sz w:val="24"/>
                <w:lang w:val="zh-CN"/>
              </w:rPr>
              <w:t>开票信息</w:t>
            </w:r>
          </w:p>
          <w:p>
            <w:pPr>
              <w:pStyle w:val="9"/>
              <w:rPr>
                <w:rFonts w:hAnsi="宋体"/>
                <w:kern w:val="0"/>
                <w:sz w:val="24"/>
                <w:lang w:val="zh-CN"/>
              </w:rPr>
            </w:pPr>
            <w:r>
              <w:rPr>
                <w:rFonts w:hint="eastAsia" w:hAnsi="宋体"/>
                <w:kern w:val="0"/>
                <w:sz w:val="24"/>
                <w:lang w:val="zh-CN"/>
              </w:rPr>
              <w:t>（普通发票只需要提供纳税识别号，专用发票需要财务确认过的开票信息）</w:t>
            </w:r>
          </w:p>
        </w:tc>
        <w:tc>
          <w:tcPr>
            <w:tcW w:w="5013" w:type="dxa"/>
          </w:tcPr>
          <w:p>
            <w:pPr>
              <w:pStyle w:val="9"/>
              <w:rPr>
                <w:rFonts w:hAnsi="宋体"/>
                <w:kern w:val="0"/>
                <w:sz w:val="24"/>
                <w:lang w:val="zh-CN"/>
              </w:rPr>
            </w:pPr>
            <w:r>
              <w:rPr>
                <w:rFonts w:hint="eastAsia" w:hAnsi="宋体"/>
                <w:kern w:val="0"/>
                <w:sz w:val="24"/>
                <w:lang w:val="zh-CN"/>
              </w:rPr>
              <w:t>纳税人名称：</w:t>
            </w:r>
          </w:p>
          <w:p>
            <w:pPr>
              <w:pStyle w:val="9"/>
              <w:rPr>
                <w:rFonts w:hAnsi="宋体"/>
                <w:kern w:val="0"/>
                <w:sz w:val="24"/>
                <w:lang w:val="zh-CN"/>
              </w:rPr>
            </w:pPr>
            <w:r>
              <w:rPr>
                <w:rFonts w:hint="eastAsia" w:hAnsi="宋体"/>
                <w:kern w:val="0"/>
                <w:sz w:val="24"/>
                <w:lang w:val="zh-CN"/>
              </w:rPr>
              <w:t>纳税识别号：</w:t>
            </w:r>
          </w:p>
          <w:p>
            <w:pPr>
              <w:pStyle w:val="9"/>
              <w:rPr>
                <w:rFonts w:hAnsi="宋体"/>
                <w:kern w:val="0"/>
                <w:sz w:val="24"/>
                <w:lang w:val="zh-CN"/>
              </w:rPr>
            </w:pPr>
            <w:r>
              <w:rPr>
                <w:rFonts w:hint="eastAsia" w:hAnsi="宋体"/>
                <w:kern w:val="0"/>
                <w:sz w:val="24"/>
                <w:lang w:val="zh-CN"/>
              </w:rPr>
              <w:t>（税务部门备案的）地址：</w:t>
            </w:r>
          </w:p>
          <w:p>
            <w:pPr>
              <w:pStyle w:val="9"/>
              <w:rPr>
                <w:rFonts w:hAnsi="宋体"/>
                <w:kern w:val="0"/>
                <w:sz w:val="24"/>
                <w:lang w:val="zh-CN"/>
              </w:rPr>
            </w:pPr>
            <w:r>
              <w:rPr>
                <w:rFonts w:hint="eastAsia" w:hAnsi="宋体"/>
                <w:kern w:val="0"/>
                <w:sz w:val="24"/>
                <w:lang w:val="zh-CN"/>
              </w:rPr>
              <w:t>（税务部门备案的）电话：</w:t>
            </w:r>
          </w:p>
          <w:p>
            <w:pPr>
              <w:pStyle w:val="9"/>
              <w:rPr>
                <w:rFonts w:hAnsi="宋体"/>
                <w:kern w:val="0"/>
                <w:sz w:val="24"/>
                <w:lang w:val="zh-CN"/>
              </w:rPr>
            </w:pPr>
            <w:r>
              <w:rPr>
                <w:rFonts w:hint="eastAsia" w:hAnsi="宋体"/>
                <w:kern w:val="0"/>
                <w:sz w:val="24"/>
                <w:lang w:val="zh-CN"/>
              </w:rPr>
              <w:t>开户行：</w:t>
            </w:r>
          </w:p>
          <w:p>
            <w:pPr>
              <w:pStyle w:val="9"/>
              <w:rPr>
                <w:rFonts w:hAnsi="宋体"/>
                <w:kern w:val="0"/>
                <w:sz w:val="24"/>
                <w:lang w:val="zh-CN"/>
              </w:rPr>
            </w:pPr>
            <w:r>
              <w:rPr>
                <w:rFonts w:hint="eastAsia" w:hAnsi="宋体"/>
                <w:kern w:val="0"/>
                <w:sz w:val="24"/>
                <w:lang w:val="zh-CN"/>
              </w:rPr>
              <w:t>银行账号：</w:t>
            </w:r>
          </w:p>
        </w:tc>
      </w:tr>
    </w:tbl>
    <w:p>
      <w:pPr>
        <w:snapToGrid w:val="0"/>
        <w:spacing w:line="360" w:lineRule="auto"/>
        <w:ind w:firstLine="480" w:firstLineChars="200"/>
        <w:rPr>
          <w:rFonts w:ascii="宋体" w:hAnsi="宋体"/>
          <w:sz w:val="24"/>
        </w:rPr>
      </w:pPr>
      <w:r>
        <w:rPr>
          <w:rFonts w:hint="eastAsia" w:ascii="宋体" w:hAnsi="宋体"/>
          <w:sz w:val="24"/>
        </w:rPr>
        <w:t>7、以上事项如有虚假或隐瞒，我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0" w:firstLineChars="200"/>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rPr>
        <w:t xml:space="preserve">    </w:t>
      </w:r>
      <w:r>
        <w:rPr>
          <w:rFonts w:hint="eastAsia" w:ascii="宋体" w:hAnsi="宋体" w:cs="仿宋_GB2312"/>
          <w:kern w:val="0"/>
          <w:sz w:val="24"/>
          <w:lang w:val="zh-CN"/>
        </w:rPr>
        <w:t xml:space="preserve"> </w:t>
      </w:r>
      <w:r>
        <w:rPr>
          <w:rFonts w:hint="eastAsia" w:ascii="宋体" w:hAnsi="宋体" w:cs="仿宋_GB2312"/>
          <w:kern w:val="0"/>
          <w:sz w:val="24"/>
        </w:rPr>
        <w:t>供应商</w:t>
      </w:r>
      <w:r>
        <w:rPr>
          <w:rFonts w:hint="eastAsia" w:ascii="宋体" w:hAnsi="宋体" w:cs="仿宋_GB2312"/>
          <w:kern w:val="0"/>
          <w:sz w:val="24"/>
          <w:lang w:val="zh-CN"/>
        </w:rPr>
        <w:t>名称(电子印章)：</w:t>
      </w:r>
    </w:p>
    <w:p>
      <w:pPr>
        <w:adjustRightInd w:val="0"/>
        <w:snapToGrid w:val="0"/>
        <w:spacing w:line="360" w:lineRule="auto"/>
        <w:ind w:firstLine="480" w:firstLineChars="200"/>
        <w:jc w:val="right"/>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法定代表人或授权委托人签字或电子印章：                                    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adjustRightInd w:val="0"/>
        <w:snapToGrid w:val="0"/>
        <w:spacing w:line="360" w:lineRule="auto"/>
        <w:ind w:right="480"/>
        <w:outlineLvl w:val="0"/>
        <w:rPr>
          <w:rFonts w:ascii="宋体"/>
          <w:b/>
          <w:sz w:val="30"/>
          <w:szCs w:val="30"/>
        </w:rPr>
      </w:pPr>
      <w:bookmarkStart w:id="73" w:name="_Toc32143"/>
      <w:r>
        <w:rPr>
          <w:rFonts w:hint="eastAsia" w:ascii="宋体" w:hAnsi="宋体"/>
          <w:b/>
          <w:sz w:val="28"/>
        </w:rPr>
        <w:t>附件3</w:t>
      </w:r>
      <w:bookmarkEnd w:id="73"/>
    </w:p>
    <w:p>
      <w:pPr>
        <w:spacing w:line="360" w:lineRule="auto"/>
        <w:ind w:firstLine="321" w:firstLineChars="100"/>
        <w:jc w:val="center"/>
        <w:rPr>
          <w:rFonts w:hAnsi="宋体"/>
          <w:b/>
          <w:sz w:val="32"/>
          <w:szCs w:val="32"/>
          <w:u w:val="single"/>
        </w:rPr>
      </w:pPr>
      <w:bookmarkStart w:id="74" w:name="_Toc24373_WPSOffice_Level1"/>
      <w:bookmarkStart w:id="75" w:name="_Toc6870_WPSOffice_Level1"/>
      <w:r>
        <w:rPr>
          <w:b/>
          <w:sz w:val="32"/>
          <w:szCs w:val="32"/>
        </w:rPr>
        <w:t>授权</w:t>
      </w:r>
      <w:r>
        <w:rPr>
          <w:rFonts w:hint="eastAsia"/>
          <w:b/>
          <w:sz w:val="32"/>
          <w:szCs w:val="32"/>
        </w:rPr>
        <w:t>委托</w:t>
      </w:r>
      <w:r>
        <w:rPr>
          <w:b/>
          <w:sz w:val="32"/>
          <w:szCs w:val="32"/>
        </w:rPr>
        <w:t>书</w:t>
      </w:r>
      <w:bookmarkEnd w:id="74"/>
      <w:bookmarkEnd w:id="75"/>
    </w:p>
    <w:p>
      <w:pPr>
        <w:pStyle w:val="9"/>
        <w:spacing w:line="360" w:lineRule="auto"/>
        <w:rPr>
          <w:rFonts w:hAnsi="宋体"/>
          <w:bCs/>
          <w:sz w:val="24"/>
          <w:u w:val="single"/>
        </w:rPr>
      </w:pPr>
    </w:p>
    <w:p>
      <w:pPr>
        <w:pStyle w:val="9"/>
        <w:spacing w:line="360" w:lineRule="auto"/>
        <w:rPr>
          <w:rFonts w:hAnsi="宋体"/>
          <w:bCs/>
          <w:sz w:val="24"/>
        </w:rPr>
      </w:pPr>
      <w:r>
        <w:rPr>
          <w:rFonts w:hint="eastAsia" w:hAnsi="宋体"/>
          <w:bCs/>
          <w:sz w:val="24"/>
          <w:u w:val="single"/>
        </w:rPr>
        <w:t>台州天兴工程管理咨询有限公司</w:t>
      </w:r>
      <w:r>
        <w:rPr>
          <w:rFonts w:hAnsi="宋体"/>
          <w:bCs/>
          <w:sz w:val="24"/>
        </w:rPr>
        <w:t>：</w:t>
      </w:r>
    </w:p>
    <w:p>
      <w:pPr>
        <w:pStyle w:val="9"/>
        <w:spacing w:line="360" w:lineRule="auto"/>
        <w:ind w:firstLine="480" w:firstLineChars="200"/>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（授权代表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授权代表</w:t>
      </w:r>
      <w:r>
        <w:rPr>
          <w:rFonts w:hAnsi="宋体"/>
          <w:sz w:val="24"/>
        </w:rPr>
        <w:t>，参加贵单位组织的</w:t>
      </w:r>
      <w:r>
        <w:rPr>
          <w:rFonts w:hint="eastAsia" w:hAnsi="宋体" w:cs="宋体"/>
          <w:kern w:val="0"/>
          <w:sz w:val="24"/>
          <w:u w:val="single"/>
        </w:rPr>
        <w:t>台州市中级人民法院后勤保障服务</w:t>
      </w:r>
      <w:r>
        <w:rPr>
          <w:rFonts w:hAnsi="宋体"/>
          <w:sz w:val="24"/>
        </w:rPr>
        <w:t>项目的采购活动，并代表我方全权办理针对上述项目的磋商、签约等具体事务和签署相关文件。</w:t>
      </w:r>
      <w:r>
        <w:rPr>
          <w:rFonts w:hint="eastAsia" w:hAnsi="宋体"/>
          <w:sz w:val="24"/>
        </w:rPr>
        <w:t>我方对授权代表的签字事项负全部责任。</w:t>
      </w:r>
    </w:p>
    <w:p>
      <w:pPr>
        <w:pStyle w:val="9"/>
        <w:spacing w:line="360" w:lineRule="auto"/>
        <w:ind w:firstLine="480" w:firstLineChars="200"/>
        <w:rPr>
          <w:rFonts w:hAnsi="宋体"/>
          <w:sz w:val="24"/>
        </w:rPr>
      </w:pPr>
      <w:r>
        <w:rPr>
          <w:rFonts w:hint="eastAsia" w:hAnsi="宋体"/>
          <w:sz w:val="24"/>
        </w:rPr>
        <w:t>在撤销授权的书面通知以前，本授权书一直有效。授权代表在授权委托书有效期内签署的所有文件不因授权的撤销而失效。</w:t>
      </w:r>
    </w:p>
    <w:p>
      <w:pPr>
        <w:pStyle w:val="9"/>
        <w:spacing w:line="360" w:lineRule="auto"/>
        <w:ind w:firstLine="480" w:firstLineChars="200"/>
        <w:rPr>
          <w:rFonts w:hAnsi="宋体"/>
          <w:sz w:val="24"/>
        </w:rPr>
      </w:pPr>
      <w:r>
        <w:rPr>
          <w:rFonts w:hint="eastAsia" w:hAnsi="宋体"/>
          <w:sz w:val="24"/>
        </w:rPr>
        <w:t>授权代表无转委托权，特此委托。</w:t>
      </w:r>
    </w:p>
    <w:p>
      <w:pPr>
        <w:spacing w:line="360" w:lineRule="auto"/>
        <w:ind w:firstLine="480" w:firstLineChars="200"/>
        <w:rPr>
          <w:sz w:val="24"/>
        </w:rPr>
      </w:pPr>
    </w:p>
    <w:p>
      <w:pPr>
        <w:pStyle w:val="2"/>
      </w:pPr>
    </w:p>
    <w:p>
      <w:pPr>
        <w:spacing w:line="360" w:lineRule="auto"/>
        <w:rPr>
          <w:b/>
          <w:bCs/>
          <w:sz w:val="24"/>
        </w:rPr>
      </w:pPr>
      <w:r>
        <w:rPr>
          <w:rFonts w:hint="eastAsia" w:ascii="宋体"/>
          <w:b/>
          <w:bCs/>
          <w:sz w:val="24"/>
        </w:rPr>
        <w:t>法定代表人签字或盖章：</w:t>
      </w:r>
    </w:p>
    <w:p>
      <w:pPr>
        <w:spacing w:line="360" w:lineRule="auto"/>
        <w:rPr>
          <w:rFonts w:ascii="宋体" w:hAnsi="宋体" w:cs="仿宋_GB2312"/>
          <w:kern w:val="0"/>
          <w:sz w:val="24"/>
          <w:lang w:val="zh-CN"/>
        </w:rPr>
      </w:pPr>
      <w:r>
        <w:rPr>
          <w:rFonts w:hint="eastAsia" w:ascii="宋体"/>
          <w:b/>
          <w:bCs/>
          <w:sz w:val="24"/>
        </w:rPr>
        <w:t>供应商全称（公章）：</w:t>
      </w:r>
      <w:r>
        <w:rPr>
          <w:rFonts w:hint="eastAsia" w:ascii="宋体"/>
          <w:sz w:val="24"/>
        </w:rPr>
        <w:t xml:space="preserve">                              日期：</w:t>
      </w:r>
    </w:p>
    <w:p>
      <w:pPr>
        <w:spacing w:line="360" w:lineRule="auto"/>
        <w:rPr>
          <w:sz w:val="24"/>
        </w:rPr>
      </w:pPr>
      <w:r>
        <w:rPr>
          <w:sz w:val="24"/>
        </w:rPr>
        <w:t xml:space="preserve"> </w:t>
      </w:r>
    </w:p>
    <w:p>
      <w:pPr>
        <w:spacing w:line="360" w:lineRule="auto"/>
        <w:rPr>
          <w:b/>
          <w:sz w:val="24"/>
        </w:rPr>
      </w:pPr>
      <w:r>
        <w:rPr>
          <w:rFonts w:hint="eastAsia" w:ascii="宋体"/>
          <w:b/>
          <w:sz w:val="24"/>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法定代表身份证复印件粘贴处</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授权代表身份证复印件粘贴处</w:t>
            </w:r>
          </w:p>
        </w:tc>
      </w:tr>
    </w:tbl>
    <w:p>
      <w:pPr>
        <w:spacing w:line="360" w:lineRule="auto"/>
        <w:rPr>
          <w:rFonts w:ascii="宋体"/>
          <w:sz w:val="24"/>
        </w:rPr>
      </w:pPr>
      <w:r>
        <w:rPr>
          <w:rFonts w:hint="eastAsia" w:ascii="宋体"/>
          <w:sz w:val="24"/>
        </w:rPr>
        <w:t xml:space="preserve">授权代表姓名：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napToGrid w:val="0"/>
        <w:spacing w:beforeLines="50" w:after="50" w:line="360" w:lineRule="auto"/>
        <w:outlineLvl w:val="0"/>
        <w:rPr>
          <w:rFonts w:ascii="宋体" w:hAnsi="宋体"/>
          <w:b/>
          <w:sz w:val="28"/>
          <w:szCs w:val="28"/>
        </w:rPr>
      </w:pPr>
      <w:r>
        <w:rPr>
          <w:rFonts w:hint="eastAsia" w:ascii="宋体" w:hAnsi="宋体"/>
          <w:b/>
          <w:sz w:val="28"/>
        </w:rPr>
        <w:t>附件4</w:t>
      </w:r>
    </w:p>
    <w:p>
      <w:pPr>
        <w:spacing w:line="312" w:lineRule="auto"/>
        <w:ind w:right="-110"/>
        <w:jc w:val="center"/>
        <w:rPr>
          <w:rFonts w:ascii="宋体" w:hAnsi="宋体" w:cs="宋体"/>
          <w:b/>
          <w:sz w:val="32"/>
          <w:szCs w:val="32"/>
        </w:rPr>
      </w:pPr>
      <w:r>
        <w:rPr>
          <w:rFonts w:hint="eastAsia" w:ascii="宋体" w:hAnsi="宋体" w:cs="宋体"/>
          <w:sz w:val="24"/>
        </w:rPr>
        <w:t xml:space="preserve">    </w:t>
      </w:r>
      <w:r>
        <w:rPr>
          <w:rFonts w:ascii="宋体" w:hAnsi="宋体" w:cs="宋体"/>
          <w:b/>
          <w:sz w:val="32"/>
          <w:szCs w:val="32"/>
        </w:rPr>
        <w:t>中小企业声明函（工程、服务）</w:t>
      </w:r>
    </w:p>
    <w:p>
      <w:pPr>
        <w:pStyle w:val="40"/>
        <w:spacing w:line="480" w:lineRule="auto"/>
        <w:ind w:firstLine="504" w:firstLineChars="200"/>
        <w:rPr>
          <w:rFonts w:ascii="宋体" w:hAnsi="宋体" w:cs="宋体"/>
          <w:spacing w:val="6"/>
          <w:sz w:val="24"/>
        </w:rPr>
      </w:pPr>
      <w:r>
        <w:rPr>
          <w:rFonts w:ascii="宋体" w:hAnsi="宋体" w:cs="宋体"/>
          <w:spacing w:val="6"/>
          <w:sz w:val="24"/>
        </w:rPr>
        <w:t>本公司（联合体）郑重声明，根据《政府采购促进中小企业发展管理办法》（财库（2020）46号）的规定，本公司(联合体)参加</w:t>
      </w:r>
      <w:r>
        <w:rPr>
          <w:rFonts w:hint="eastAsia" w:ascii="宋体" w:hAnsi="宋体" w:cs="宋体"/>
          <w:spacing w:val="6"/>
          <w:sz w:val="24"/>
          <w:u w:val="single"/>
        </w:rPr>
        <w:t>台州市中级人民法院</w:t>
      </w:r>
      <w:r>
        <w:rPr>
          <w:rFonts w:hint="eastAsia" w:ascii="宋体" w:hAnsi="宋体" w:cs="宋体"/>
          <w:spacing w:val="6"/>
          <w:sz w:val="24"/>
        </w:rPr>
        <w:t>的</w:t>
      </w:r>
      <w:r>
        <w:rPr>
          <w:rFonts w:hint="eastAsia" w:ascii="宋体" w:hAnsi="宋体" w:cs="宋体"/>
          <w:spacing w:val="6"/>
          <w:sz w:val="24"/>
          <w:u w:val="single"/>
        </w:rPr>
        <w:t>台州市中级人民法院后勤保障服务项目</w:t>
      </w:r>
      <w:r>
        <w:rPr>
          <w:rFonts w:ascii="宋体" w:hAnsi="宋体" w:cs="宋体"/>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40"/>
        <w:spacing w:line="480" w:lineRule="auto"/>
        <w:ind w:firstLine="504" w:firstLineChars="200"/>
        <w:rPr>
          <w:rFonts w:ascii="宋体" w:hAnsi="宋体" w:cs="宋体"/>
          <w:spacing w:val="6"/>
          <w:sz w:val="24"/>
          <w:szCs w:val="28"/>
        </w:rPr>
      </w:pPr>
      <w:r>
        <w:rPr>
          <w:rFonts w:ascii="宋体" w:hAnsi="宋体" w:cs="宋体"/>
          <w:spacing w:val="6"/>
          <w:sz w:val="24"/>
        </w:rPr>
        <w:t>1.</w:t>
      </w:r>
      <w:r>
        <w:rPr>
          <w:rFonts w:hint="eastAsia" w:ascii="宋体" w:hAnsi="宋体" w:cs="宋体"/>
          <w:b/>
          <w:sz w:val="24"/>
          <w:u w:val="single"/>
        </w:rPr>
        <w:t xml:space="preserve"> 后勤保障服务</w:t>
      </w:r>
      <w:r>
        <w:rPr>
          <w:rFonts w:ascii="宋体" w:hAnsi="宋体" w:cs="宋体"/>
          <w:spacing w:val="6"/>
          <w:sz w:val="24"/>
        </w:rPr>
        <w:t>，属于</w:t>
      </w:r>
      <w:r>
        <w:rPr>
          <w:rFonts w:hint="eastAsia" w:ascii="宋体" w:hAnsi="宋体" w:cs="宋体"/>
          <w:b/>
          <w:spacing w:val="6"/>
          <w:sz w:val="24"/>
          <w:u w:val="single"/>
        </w:rPr>
        <w:t>（十）餐饮业</w:t>
      </w:r>
      <w:r>
        <w:rPr>
          <w:rFonts w:ascii="宋体" w:hAnsi="宋体" w:cs="宋体"/>
          <w:spacing w:val="6"/>
          <w:sz w:val="24"/>
        </w:rPr>
        <w:t>；承建（承接）企业为</w:t>
      </w:r>
      <w:r>
        <w:rPr>
          <w:rFonts w:hint="eastAsia" w:ascii="宋体" w:hAnsi="宋体" w:cs="宋体"/>
          <w:spacing w:val="6"/>
          <w:sz w:val="24"/>
          <w:u w:val="single"/>
        </w:rPr>
        <w:t xml:space="preserve">  </w:t>
      </w:r>
      <w:r>
        <w:rPr>
          <w:rFonts w:ascii="宋体" w:hAnsi="宋体" w:cs="宋体"/>
          <w:spacing w:val="6"/>
          <w:sz w:val="24"/>
          <w:u w:val="single"/>
        </w:rPr>
        <w:t>（企业名称</w:t>
      </w:r>
      <w:r>
        <w:rPr>
          <w:rFonts w:hint="eastAsia" w:ascii="宋体" w:hAnsi="宋体" w:cs="宋体"/>
          <w:spacing w:val="6"/>
          <w:sz w:val="24"/>
          <w:u w:val="single"/>
        </w:rPr>
        <w:t>）</w:t>
      </w:r>
      <w:r>
        <w:rPr>
          <w:rFonts w:hint="eastAsia" w:ascii="宋体" w:hAnsi="宋体" w:cs="宋体"/>
          <w:spacing w:val="6"/>
          <w:sz w:val="24"/>
        </w:rPr>
        <w:t>，</w:t>
      </w:r>
      <w:r>
        <w:rPr>
          <w:rFonts w:ascii="宋体" w:hAnsi="宋体" w:cs="宋体"/>
          <w:spacing w:val="6"/>
          <w:sz w:val="24"/>
        </w:rPr>
        <w:t>从业人员</w:t>
      </w:r>
      <w:r>
        <w:rPr>
          <w:rFonts w:hint="eastAsia" w:ascii="宋体" w:hAnsi="宋体" w:cs="宋体"/>
          <w:spacing w:val="6"/>
          <w:sz w:val="24"/>
          <w:u w:val="single"/>
        </w:rPr>
        <w:t xml:space="preserve">    </w:t>
      </w:r>
      <w:r>
        <w:rPr>
          <w:rFonts w:ascii="宋体" w:hAnsi="宋体" w:cs="宋体"/>
          <w:spacing w:val="6"/>
          <w:sz w:val="24"/>
        </w:rPr>
        <w:t>人，营业收入为</w:t>
      </w:r>
      <w:r>
        <w:rPr>
          <w:rFonts w:hint="eastAsia" w:ascii="宋体" w:hAnsi="宋体" w:cs="宋体"/>
          <w:spacing w:val="6"/>
          <w:sz w:val="24"/>
          <w:u w:val="single"/>
        </w:rPr>
        <w:t xml:space="preserve">     </w:t>
      </w:r>
      <w:r>
        <w:rPr>
          <w:rFonts w:ascii="宋体" w:hAnsi="宋体" w:cs="宋体"/>
          <w:spacing w:val="6"/>
          <w:sz w:val="24"/>
        </w:rPr>
        <w:t>万元，资产总额为</w:t>
      </w:r>
      <w:r>
        <w:rPr>
          <w:rFonts w:hint="eastAsia" w:ascii="宋体" w:hAnsi="宋体" w:cs="宋体"/>
          <w:spacing w:val="6"/>
          <w:sz w:val="24"/>
          <w:u w:val="single"/>
        </w:rPr>
        <w:t xml:space="preserve">     </w:t>
      </w:r>
      <w:r>
        <w:rPr>
          <w:rFonts w:ascii="宋体" w:hAnsi="宋体" w:cs="宋体"/>
          <w:spacing w:val="6"/>
          <w:sz w:val="24"/>
        </w:rPr>
        <w:t>万元</w:t>
      </w:r>
      <w:r>
        <w:rPr>
          <w:rFonts w:hint="eastAsia" w:ascii="宋体" w:hAnsi="宋体" w:cs="宋体"/>
          <w:b/>
          <w:spacing w:val="6"/>
          <w:sz w:val="24"/>
        </w:rPr>
        <w:t>¹</w:t>
      </w:r>
      <w:r>
        <w:rPr>
          <w:rFonts w:ascii="宋体" w:hAnsi="宋体" w:cs="宋体"/>
          <w:spacing w:val="6"/>
          <w:sz w:val="24"/>
        </w:rPr>
        <w:t>，</w:t>
      </w:r>
      <w:r>
        <w:rPr>
          <w:rFonts w:ascii="宋体" w:hAnsi="宋体" w:cs="宋体"/>
          <w:spacing w:val="6"/>
          <w:sz w:val="24"/>
          <w:szCs w:val="28"/>
        </w:rPr>
        <w:t>属于</w:t>
      </w:r>
      <w:r>
        <w:rPr>
          <w:rFonts w:hint="eastAsia" w:ascii="宋体" w:hAnsi="宋体" w:cs="宋体"/>
          <w:spacing w:val="6"/>
          <w:sz w:val="24"/>
          <w:szCs w:val="28"/>
          <w:u w:val="single"/>
        </w:rPr>
        <w:t xml:space="preserve">    </w:t>
      </w:r>
      <w:r>
        <w:rPr>
          <w:rFonts w:ascii="宋体" w:hAnsi="宋体" w:cs="宋体"/>
          <w:spacing w:val="6"/>
          <w:sz w:val="24"/>
          <w:szCs w:val="28"/>
          <w:u w:val="single"/>
        </w:rPr>
        <w:t>(中型企业、小型企业、微型企业</w:t>
      </w:r>
      <w:r>
        <w:rPr>
          <w:rFonts w:hint="eastAsia" w:ascii="宋体" w:hAnsi="宋体" w:cs="宋体"/>
          <w:spacing w:val="6"/>
          <w:sz w:val="24"/>
          <w:szCs w:val="28"/>
          <w:u w:val="single"/>
        </w:rPr>
        <w:t>)</w:t>
      </w:r>
      <w:r>
        <w:rPr>
          <w:rFonts w:ascii="宋体" w:hAnsi="宋体" w:cs="宋体"/>
          <w:spacing w:val="6"/>
          <w:sz w:val="24"/>
          <w:szCs w:val="28"/>
        </w:rPr>
        <w:t>；</w:t>
      </w:r>
    </w:p>
    <w:p>
      <w:pPr>
        <w:pStyle w:val="40"/>
        <w:spacing w:line="480" w:lineRule="auto"/>
        <w:ind w:firstLine="504" w:firstLineChars="200"/>
        <w:rPr>
          <w:rFonts w:ascii="宋体" w:hAnsi="宋体" w:cs="宋体"/>
          <w:spacing w:val="6"/>
          <w:sz w:val="24"/>
          <w:szCs w:val="28"/>
        </w:rPr>
      </w:pPr>
      <w:r>
        <w:rPr>
          <w:rFonts w:hint="eastAsia" w:ascii="宋体" w:hAnsi="宋体" w:cs="宋体"/>
          <w:spacing w:val="6"/>
          <w:sz w:val="24"/>
        </w:rPr>
        <w:t xml:space="preserve"> 2.</w:t>
      </w:r>
      <w:r>
        <w:rPr>
          <w:rFonts w:hint="eastAsia" w:ascii="宋体" w:hAnsi="宋体" w:cs="宋体"/>
          <w:sz w:val="24"/>
          <w:u w:val="single"/>
        </w:rPr>
        <w:t>（标的名称）</w:t>
      </w:r>
      <w:r>
        <w:rPr>
          <w:rFonts w:ascii="宋体" w:hAnsi="宋体" w:cs="宋体"/>
          <w:spacing w:val="6"/>
          <w:sz w:val="24"/>
        </w:rPr>
        <w:t>，属于</w:t>
      </w:r>
      <w:r>
        <w:rPr>
          <w:rFonts w:hint="eastAsia" w:ascii="宋体" w:hAnsi="宋体" w:cs="宋体"/>
          <w:spacing w:val="6"/>
          <w:sz w:val="24"/>
          <w:u w:val="single"/>
        </w:rPr>
        <w:t xml:space="preserve"> （采购文件中明确的所属行业）</w:t>
      </w:r>
      <w:r>
        <w:rPr>
          <w:rFonts w:ascii="宋体" w:hAnsi="宋体" w:cs="宋体"/>
          <w:spacing w:val="6"/>
          <w:sz w:val="24"/>
        </w:rPr>
        <w:t>；承建（承接）企业为</w:t>
      </w:r>
      <w:r>
        <w:rPr>
          <w:rFonts w:hint="eastAsia" w:ascii="宋体" w:hAnsi="宋体" w:cs="宋体"/>
          <w:spacing w:val="6"/>
          <w:sz w:val="24"/>
          <w:u w:val="single"/>
        </w:rPr>
        <w:t xml:space="preserve">  </w:t>
      </w:r>
      <w:r>
        <w:rPr>
          <w:rFonts w:ascii="宋体" w:hAnsi="宋体" w:cs="宋体"/>
          <w:spacing w:val="6"/>
          <w:sz w:val="24"/>
          <w:u w:val="single"/>
        </w:rPr>
        <w:t>（企业名称</w:t>
      </w:r>
      <w:r>
        <w:rPr>
          <w:rFonts w:hint="eastAsia" w:ascii="宋体" w:hAnsi="宋体" w:cs="宋体"/>
          <w:spacing w:val="6"/>
          <w:sz w:val="24"/>
          <w:u w:val="single"/>
        </w:rPr>
        <w:t>）</w:t>
      </w:r>
      <w:r>
        <w:rPr>
          <w:rFonts w:hint="eastAsia" w:ascii="宋体" w:hAnsi="宋体" w:cs="宋体"/>
          <w:spacing w:val="6"/>
          <w:sz w:val="24"/>
        </w:rPr>
        <w:t>，</w:t>
      </w:r>
      <w:r>
        <w:rPr>
          <w:rFonts w:ascii="宋体" w:hAnsi="宋体" w:cs="宋体"/>
          <w:spacing w:val="6"/>
          <w:sz w:val="24"/>
        </w:rPr>
        <w:t>从业人员</w:t>
      </w:r>
      <w:r>
        <w:rPr>
          <w:rFonts w:hint="eastAsia" w:ascii="宋体" w:hAnsi="宋体" w:cs="宋体"/>
          <w:spacing w:val="6"/>
          <w:sz w:val="24"/>
          <w:u w:val="single"/>
        </w:rPr>
        <w:t xml:space="preserve">    </w:t>
      </w:r>
      <w:r>
        <w:rPr>
          <w:rFonts w:ascii="宋体" w:hAnsi="宋体" w:cs="宋体"/>
          <w:spacing w:val="6"/>
          <w:sz w:val="24"/>
        </w:rPr>
        <w:t>人，营业收入为</w:t>
      </w:r>
      <w:r>
        <w:rPr>
          <w:rFonts w:hint="eastAsia" w:ascii="宋体" w:hAnsi="宋体" w:cs="宋体"/>
          <w:spacing w:val="6"/>
          <w:sz w:val="24"/>
          <w:u w:val="single"/>
        </w:rPr>
        <w:t xml:space="preserve">     </w:t>
      </w:r>
      <w:r>
        <w:rPr>
          <w:rFonts w:ascii="宋体" w:hAnsi="宋体" w:cs="宋体"/>
          <w:spacing w:val="6"/>
          <w:sz w:val="24"/>
        </w:rPr>
        <w:t>万元，资产总额为</w:t>
      </w:r>
      <w:r>
        <w:rPr>
          <w:rFonts w:hint="eastAsia" w:ascii="宋体" w:hAnsi="宋体" w:cs="宋体"/>
          <w:spacing w:val="6"/>
          <w:sz w:val="24"/>
          <w:u w:val="single"/>
        </w:rPr>
        <w:t xml:space="preserve">     </w:t>
      </w:r>
      <w:r>
        <w:rPr>
          <w:rFonts w:ascii="宋体" w:hAnsi="宋体" w:cs="宋体"/>
          <w:spacing w:val="6"/>
          <w:sz w:val="24"/>
        </w:rPr>
        <w:t>万元</w:t>
      </w:r>
      <w:r>
        <w:rPr>
          <w:rFonts w:hint="eastAsia" w:ascii="宋体" w:hAnsi="宋体" w:cs="宋体"/>
          <w:b/>
          <w:spacing w:val="6"/>
          <w:sz w:val="24"/>
        </w:rPr>
        <w:t>¹</w:t>
      </w:r>
      <w:r>
        <w:rPr>
          <w:rFonts w:ascii="宋体" w:hAnsi="宋体" w:cs="宋体"/>
          <w:spacing w:val="6"/>
          <w:sz w:val="24"/>
        </w:rPr>
        <w:t>，</w:t>
      </w:r>
      <w:r>
        <w:rPr>
          <w:rFonts w:ascii="宋体" w:hAnsi="宋体" w:cs="宋体"/>
          <w:spacing w:val="6"/>
          <w:sz w:val="24"/>
          <w:szCs w:val="28"/>
        </w:rPr>
        <w:t>属于</w:t>
      </w:r>
      <w:r>
        <w:rPr>
          <w:rFonts w:hint="eastAsia" w:ascii="宋体" w:hAnsi="宋体" w:cs="宋体"/>
          <w:spacing w:val="6"/>
          <w:sz w:val="24"/>
          <w:szCs w:val="28"/>
          <w:u w:val="single"/>
        </w:rPr>
        <w:t xml:space="preserve">    </w:t>
      </w:r>
      <w:r>
        <w:rPr>
          <w:rFonts w:ascii="宋体" w:hAnsi="宋体" w:cs="宋体"/>
          <w:spacing w:val="6"/>
          <w:sz w:val="24"/>
          <w:szCs w:val="28"/>
          <w:u w:val="single"/>
        </w:rPr>
        <w:t>(中型企业、小型企业、微型企业</w:t>
      </w:r>
      <w:r>
        <w:rPr>
          <w:rFonts w:hint="eastAsia" w:ascii="宋体" w:hAnsi="宋体" w:cs="宋体"/>
          <w:spacing w:val="6"/>
          <w:sz w:val="24"/>
          <w:szCs w:val="28"/>
          <w:u w:val="single"/>
        </w:rPr>
        <w:t>)</w:t>
      </w:r>
      <w:r>
        <w:rPr>
          <w:rFonts w:ascii="宋体" w:hAnsi="宋体" w:cs="宋体"/>
          <w:spacing w:val="6"/>
          <w:sz w:val="24"/>
          <w:szCs w:val="28"/>
        </w:rPr>
        <w:t>；</w:t>
      </w:r>
    </w:p>
    <w:p>
      <w:pPr>
        <w:pStyle w:val="40"/>
        <w:spacing w:line="480" w:lineRule="auto"/>
        <w:ind w:firstLine="504" w:firstLineChars="200"/>
        <w:rPr>
          <w:rFonts w:ascii="宋体" w:hAnsi="宋体" w:cs="宋体"/>
          <w:spacing w:val="6"/>
          <w:sz w:val="24"/>
        </w:rPr>
      </w:pPr>
      <w:r>
        <w:rPr>
          <w:rFonts w:ascii="宋体" w:hAnsi="宋体" w:cs="宋体"/>
          <w:spacing w:val="6"/>
          <w:sz w:val="24"/>
        </w:rPr>
        <w:t>……</w:t>
      </w:r>
    </w:p>
    <w:p>
      <w:pPr>
        <w:pStyle w:val="40"/>
        <w:spacing w:line="480" w:lineRule="auto"/>
        <w:ind w:firstLine="504" w:firstLineChars="200"/>
        <w:rPr>
          <w:rFonts w:ascii="宋体" w:hAnsi="宋体" w:cs="宋体"/>
          <w:spacing w:val="6"/>
          <w:sz w:val="24"/>
        </w:rPr>
      </w:pPr>
      <w:r>
        <w:rPr>
          <w:rFonts w:ascii="宋体" w:hAnsi="宋体" w:cs="宋体"/>
          <w:spacing w:val="6"/>
          <w:sz w:val="24"/>
        </w:rPr>
        <w:t>以上企业，不属于大企业的分支机构，不存在控股股东为大企业的情形，也不存在与大企业的负责人为同一人的情形。</w:t>
      </w:r>
    </w:p>
    <w:p>
      <w:pPr>
        <w:pStyle w:val="40"/>
        <w:spacing w:line="480" w:lineRule="auto"/>
        <w:ind w:firstLine="504" w:firstLineChars="200"/>
        <w:rPr>
          <w:rFonts w:ascii="宋体" w:hAnsi="宋体" w:cs="宋体"/>
          <w:spacing w:val="6"/>
          <w:sz w:val="24"/>
        </w:rPr>
      </w:pPr>
      <w:r>
        <w:rPr>
          <w:rFonts w:ascii="宋体" w:hAnsi="宋体" w:cs="宋体"/>
          <w:spacing w:val="6"/>
          <w:sz w:val="24"/>
        </w:rPr>
        <w:t>本企业对上述声明内容的真实性负责。如有虚假，将依法承担相应责任。</w:t>
      </w:r>
    </w:p>
    <w:p>
      <w:pPr>
        <w:pStyle w:val="40"/>
        <w:spacing w:line="480" w:lineRule="auto"/>
        <w:ind w:left="4253" w:leftChars="2025"/>
        <w:rPr>
          <w:rFonts w:ascii="宋体" w:hAnsi="宋体" w:cs="宋体"/>
          <w:sz w:val="24"/>
        </w:rPr>
      </w:pPr>
      <w:r>
        <w:rPr>
          <w:rFonts w:ascii="宋体" w:hAnsi="宋体" w:cs="宋体"/>
          <w:sz w:val="24"/>
        </w:rPr>
        <w:t>企业名称（盖章）：</w:t>
      </w:r>
    </w:p>
    <w:p>
      <w:pPr>
        <w:pStyle w:val="40"/>
        <w:spacing w:line="480" w:lineRule="auto"/>
        <w:ind w:left="4253" w:leftChars="2025"/>
        <w:rPr>
          <w:rFonts w:ascii="宋体" w:hAnsi="宋体" w:cs="宋体"/>
          <w:sz w:val="24"/>
        </w:rPr>
      </w:pPr>
      <w:r>
        <w:rPr>
          <w:rFonts w:ascii="宋体" w:hAnsi="宋体" w:cs="宋体"/>
          <w:sz w:val="24"/>
        </w:rPr>
        <w:t>日期：</w:t>
      </w:r>
      <w:r>
        <w:rPr>
          <w:rFonts w:hint="eastAsia" w:ascii="宋体" w:hAnsi="宋体" w:cs="宋体"/>
          <w:sz w:val="24"/>
        </w:rPr>
        <w:t>××年××月××日</w:t>
      </w:r>
    </w:p>
    <w:p>
      <w:pPr>
        <w:spacing w:line="360" w:lineRule="auto"/>
        <w:jc w:val="left"/>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p>
    <w:p>
      <w:pPr>
        <w:spacing w:line="360" w:lineRule="auto"/>
        <w:rPr>
          <w:rFonts w:ascii="宋体" w:hAnsi="宋体" w:cs="宋体"/>
          <w:sz w:val="22"/>
        </w:rPr>
      </w:pPr>
      <w:r>
        <w:rPr>
          <w:rFonts w:ascii="宋体" w:hAnsi="宋体" w:cs="宋体"/>
          <w:sz w:val="22"/>
        </w:rPr>
        <w:pict>
          <v:line id="_x0000_s1027" o:spid="_x0000_s1027" o:spt="20" style="position:absolute;left:0pt;flip:y;margin-left:0.4pt;margin-top:16.5pt;height:0pt;width:239.2pt;z-index:251659264;mso-width-relative:page;mso-height-relative:page;" coordsize="21600,21600">
            <v:path arrowok="t"/>
            <v:fill focussize="0,0"/>
            <v:stroke weight="1pt" joinstyle="miter"/>
            <v:imagedata o:title=""/>
            <o:lock v:ext="edit"/>
          </v:line>
        </w:pict>
      </w:r>
    </w:p>
    <w:p>
      <w:pPr>
        <w:rPr>
          <w:rFonts w:ascii="宋体" w:hAnsi="宋体" w:cs="宋体"/>
          <w:sz w:val="22"/>
        </w:rPr>
      </w:pPr>
      <w:r>
        <w:rPr>
          <w:rFonts w:hint="eastAsia" w:ascii="宋体" w:hAnsi="宋体" w:cs="宋体"/>
          <w:b/>
          <w:spacing w:val="6"/>
          <w:sz w:val="24"/>
        </w:rPr>
        <w:t>¹</w:t>
      </w:r>
      <w:r>
        <w:rPr>
          <w:rFonts w:hint="eastAsia" w:ascii="宋体" w:hAnsi="宋体" w:cs="宋体"/>
          <w:sz w:val="22"/>
        </w:rPr>
        <w:t>从业人员、营业收入、资产总额填报上一年度数据，无上一年度数据的新成立企业可不填报。</w:t>
      </w:r>
    </w:p>
    <w:p>
      <w:pPr>
        <w:rPr>
          <w:rFonts w:ascii="宋体" w:hAnsi="宋体" w:cs="宋体"/>
          <w:sz w:val="24"/>
        </w:rPr>
        <w:sectPr>
          <w:headerReference r:id="rId4" w:type="first"/>
          <w:headerReference r:id="rId3" w:type="default"/>
          <w:footerReference r:id="rId5" w:type="default"/>
          <w:pgSz w:w="11906" w:h="16838"/>
          <w:pgMar w:top="1440" w:right="1418" w:bottom="1440" w:left="1418" w:header="851" w:footer="851" w:gutter="0"/>
          <w:cols w:space="720" w:num="1"/>
          <w:docGrid w:linePitch="312" w:charSpace="0"/>
        </w:sectPr>
      </w:pPr>
    </w:p>
    <w:p>
      <w:pPr>
        <w:pStyle w:val="9"/>
        <w:spacing w:line="360" w:lineRule="auto"/>
        <w:jc w:val="center"/>
        <w:outlineLvl w:val="1"/>
        <w:rPr>
          <w:rFonts w:hAnsi="宋体" w:cs="宋体"/>
          <w:b/>
          <w:sz w:val="32"/>
          <w:szCs w:val="32"/>
          <w:lang w:val="en-GB"/>
        </w:rPr>
      </w:pPr>
      <w:bookmarkStart w:id="76" w:name="_Toc17646_WPSOffice_Level1"/>
      <w:bookmarkStart w:id="77" w:name="_Toc27483_WPSOffice_Level1"/>
      <w:r>
        <w:rPr>
          <w:rFonts w:hint="eastAsia" w:hAnsi="宋体" w:cs="宋体"/>
          <w:b/>
          <w:sz w:val="32"/>
          <w:szCs w:val="32"/>
          <w:lang w:val="en-GB"/>
        </w:rPr>
        <w:t>残疾人福利性单位声明函</w:t>
      </w:r>
      <w:bookmarkEnd w:id="76"/>
      <w:bookmarkEnd w:id="77"/>
    </w:p>
    <w:p>
      <w:pPr>
        <w:spacing w:line="588" w:lineRule="exact"/>
        <w:ind w:firstLine="504" w:firstLineChars="200"/>
        <w:rPr>
          <w:rFonts w:ascii="宋体" w:hAnsi="宋体" w:cs="宋体"/>
          <w:spacing w:val="6"/>
          <w:sz w:val="24"/>
        </w:rPr>
      </w:pPr>
    </w:p>
    <w:p>
      <w:pPr>
        <w:spacing w:line="588"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pacing w:val="6"/>
          <w:sz w:val="24"/>
          <w:u w:val="single"/>
        </w:rPr>
        <w:t>台州市中级人民法院</w:t>
      </w:r>
      <w:r>
        <w:rPr>
          <w:rFonts w:hint="eastAsia" w:ascii="宋体" w:hAnsi="宋体" w:cs="宋体"/>
          <w:spacing w:val="6"/>
          <w:sz w:val="24"/>
        </w:rPr>
        <w:t>单位的</w:t>
      </w:r>
      <w:r>
        <w:rPr>
          <w:rFonts w:hint="eastAsia" w:ascii="宋体" w:hAnsi="宋体" w:cs="宋体"/>
          <w:spacing w:val="6"/>
          <w:sz w:val="24"/>
          <w:u w:val="single"/>
        </w:rPr>
        <w:t>台州市中级人民法院后勤保障服务</w:t>
      </w:r>
      <w:r>
        <w:rPr>
          <w:rFonts w:hint="eastAsia" w:ascii="宋体" w:hAnsi="宋体" w:cs="宋体"/>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w:t>
      </w: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单位名称（盖章）：</w:t>
      </w: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w:t>
      </w:r>
    </w:p>
    <w:p>
      <w:pPr>
        <w:tabs>
          <w:tab w:val="left" w:pos="4860"/>
        </w:tabs>
        <w:spacing w:line="588" w:lineRule="exact"/>
        <w:ind w:right="1560" w:firstLine="504" w:firstLineChars="200"/>
        <w:jc w:val="center"/>
        <w:rPr>
          <w:rFonts w:ascii="宋体" w:hAnsi="宋体" w:cs="宋体"/>
          <w:sz w:val="24"/>
        </w:rPr>
      </w:pPr>
      <w:r>
        <w:rPr>
          <w:rFonts w:hint="eastAsia" w:ascii="宋体" w:hAnsi="宋体" w:cs="宋体"/>
          <w:spacing w:val="6"/>
          <w:sz w:val="24"/>
        </w:rPr>
        <w:t xml:space="preserve">                                  日  期  ：</w:t>
      </w:r>
    </w:p>
    <w:p>
      <w:pPr>
        <w:tabs>
          <w:tab w:val="left" w:pos="4860"/>
        </w:tabs>
        <w:spacing w:line="588" w:lineRule="exact"/>
        <w:ind w:right="1560"/>
        <w:rPr>
          <w:rFonts w:ascii="宋体" w:hAnsi="宋体" w:cs="宋体"/>
          <w:b/>
          <w:sz w:val="28"/>
          <w:szCs w:val="28"/>
        </w:rPr>
      </w:pPr>
    </w:p>
    <w:p>
      <w:pPr>
        <w:tabs>
          <w:tab w:val="left" w:pos="4860"/>
        </w:tabs>
        <w:spacing w:line="588" w:lineRule="exact"/>
        <w:ind w:right="1560"/>
        <w:rPr>
          <w:rFonts w:ascii="宋体" w:hAnsi="宋体" w:cs="宋体"/>
          <w:b/>
          <w:sz w:val="28"/>
          <w:szCs w:val="28"/>
        </w:rPr>
      </w:pPr>
    </w:p>
    <w:p>
      <w:pPr>
        <w:tabs>
          <w:tab w:val="left" w:pos="4860"/>
        </w:tabs>
        <w:spacing w:line="588" w:lineRule="exact"/>
        <w:ind w:right="1560"/>
        <w:rPr>
          <w:rFonts w:ascii="宋体" w:hAnsi="宋体" w:cs="宋体"/>
          <w:b/>
          <w:sz w:val="28"/>
          <w:szCs w:val="28"/>
        </w:rPr>
      </w:pPr>
    </w:p>
    <w:p>
      <w:pPr>
        <w:tabs>
          <w:tab w:val="left" w:pos="4860"/>
        </w:tabs>
        <w:spacing w:line="588" w:lineRule="exact"/>
        <w:ind w:right="1560"/>
        <w:rPr>
          <w:rFonts w:ascii="宋体" w:hAnsi="宋体" w:cs="宋体"/>
          <w:b/>
          <w:sz w:val="28"/>
          <w:szCs w:val="28"/>
        </w:rPr>
      </w:pPr>
    </w:p>
    <w:p>
      <w:pPr>
        <w:tabs>
          <w:tab w:val="left" w:pos="4860"/>
        </w:tabs>
        <w:spacing w:line="588" w:lineRule="exact"/>
        <w:ind w:right="1560"/>
        <w:rPr>
          <w:rFonts w:ascii="宋体" w:hAnsi="宋体" w:cs="宋体"/>
          <w:b/>
          <w:sz w:val="28"/>
          <w:szCs w:val="28"/>
        </w:rPr>
      </w:pPr>
    </w:p>
    <w:p>
      <w:pPr>
        <w:tabs>
          <w:tab w:val="left" w:pos="4860"/>
        </w:tabs>
        <w:spacing w:line="588" w:lineRule="exact"/>
        <w:ind w:right="1560"/>
        <w:rPr>
          <w:rFonts w:ascii="宋体" w:hAnsi="宋体" w:cs="宋体"/>
          <w:b/>
          <w:sz w:val="28"/>
          <w:szCs w:val="28"/>
        </w:rPr>
      </w:pPr>
    </w:p>
    <w:p>
      <w:pPr>
        <w:tabs>
          <w:tab w:val="left" w:pos="4860"/>
        </w:tabs>
        <w:spacing w:line="588" w:lineRule="exact"/>
        <w:ind w:right="1560"/>
        <w:rPr>
          <w:rFonts w:ascii="宋体" w:hAnsi="宋体" w:cs="宋体"/>
          <w:b/>
          <w:sz w:val="28"/>
          <w:szCs w:val="28"/>
        </w:rPr>
      </w:pPr>
    </w:p>
    <w:p>
      <w:pPr>
        <w:tabs>
          <w:tab w:val="left" w:pos="4860"/>
        </w:tabs>
        <w:spacing w:line="588" w:lineRule="exact"/>
        <w:ind w:right="1560"/>
        <w:rPr>
          <w:rFonts w:ascii="宋体" w:hAnsi="宋体" w:cs="宋体"/>
          <w:b/>
          <w:sz w:val="28"/>
          <w:szCs w:val="28"/>
        </w:rPr>
      </w:pPr>
    </w:p>
    <w:p>
      <w:pPr>
        <w:tabs>
          <w:tab w:val="left" w:pos="4860"/>
        </w:tabs>
        <w:spacing w:line="588" w:lineRule="exact"/>
        <w:ind w:right="1560"/>
        <w:rPr>
          <w:rFonts w:ascii="宋体" w:hAnsi="宋体" w:cs="宋体"/>
          <w:b/>
          <w:sz w:val="28"/>
          <w:szCs w:val="28"/>
        </w:rPr>
      </w:pPr>
    </w:p>
    <w:p>
      <w:pPr>
        <w:rPr>
          <w:b/>
          <w:bCs/>
          <w:sz w:val="32"/>
          <w:szCs w:val="32"/>
          <w:lang w:val="zh-CN"/>
        </w:rPr>
      </w:pPr>
      <w:r>
        <w:rPr>
          <w:rFonts w:hint="eastAsia" w:ascii="宋体" w:hAnsi="宋体"/>
          <w:b/>
          <w:sz w:val="28"/>
        </w:rPr>
        <w:br w:type="page"/>
      </w:r>
      <w:bookmarkStart w:id="78" w:name="_Toc5889_WPSOffice_Level1"/>
      <w:bookmarkStart w:id="79" w:name="_Toc11308_WPSOffice_Level1"/>
    </w:p>
    <w:p>
      <w:pPr>
        <w:adjustRightInd w:val="0"/>
        <w:snapToGrid w:val="0"/>
        <w:spacing w:line="360" w:lineRule="auto"/>
        <w:ind w:right="480"/>
        <w:outlineLvl w:val="0"/>
        <w:rPr>
          <w:rFonts w:ascii="宋体" w:hAnsi="宋体"/>
          <w:b/>
          <w:sz w:val="28"/>
        </w:rPr>
      </w:pPr>
      <w:r>
        <w:rPr>
          <w:rFonts w:hint="eastAsia" w:ascii="宋体" w:hAnsi="宋体"/>
          <w:b/>
          <w:sz w:val="28"/>
        </w:rPr>
        <w:t>附件5</w:t>
      </w:r>
    </w:p>
    <w:p>
      <w:pPr>
        <w:jc w:val="center"/>
        <w:rPr>
          <w:b/>
          <w:bCs/>
          <w:sz w:val="32"/>
          <w:szCs w:val="32"/>
        </w:rPr>
      </w:pPr>
      <w:r>
        <w:rPr>
          <w:rFonts w:hint="eastAsia"/>
          <w:b/>
          <w:bCs/>
          <w:sz w:val="32"/>
          <w:szCs w:val="32"/>
          <w:lang w:val="zh-CN"/>
        </w:rPr>
        <w:t>商务与技术文件</w:t>
      </w:r>
      <w:r>
        <w:rPr>
          <w:rFonts w:hint="eastAsia"/>
          <w:b/>
          <w:bCs/>
          <w:sz w:val="32"/>
          <w:szCs w:val="32"/>
        </w:rPr>
        <w:t>目录</w:t>
      </w:r>
      <w:bookmarkEnd w:id="78"/>
      <w:bookmarkEnd w:id="79"/>
    </w:p>
    <w:p>
      <w:pPr>
        <w:rPr>
          <w:sz w:val="28"/>
          <w:szCs w:val="28"/>
        </w:rPr>
      </w:pPr>
    </w:p>
    <w:p>
      <w:pPr>
        <w:spacing w:line="360" w:lineRule="auto"/>
        <w:ind w:firstLine="482" w:firstLineChars="200"/>
        <w:rPr>
          <w:b/>
          <w:bCs/>
          <w:sz w:val="24"/>
        </w:rPr>
      </w:pPr>
      <w:bookmarkStart w:id="80" w:name="_Toc21250_WPSOffice_Level1"/>
      <w:bookmarkStart w:id="81" w:name="_Toc20529_WPSOffice_Level1"/>
      <w:r>
        <w:rPr>
          <w:rFonts w:hint="eastAsia"/>
          <w:b/>
          <w:bCs/>
          <w:sz w:val="24"/>
        </w:rPr>
        <w:t>第一部分  技术方案描述部分</w:t>
      </w:r>
      <w:bookmarkEnd w:id="80"/>
      <w:bookmarkEnd w:id="81"/>
    </w:p>
    <w:p>
      <w:pPr>
        <w:spacing w:line="360" w:lineRule="auto"/>
        <w:ind w:firstLine="480" w:firstLineChars="200"/>
        <w:rPr>
          <w:sz w:val="24"/>
        </w:rPr>
      </w:pPr>
      <w:r>
        <w:rPr>
          <w:rFonts w:hint="eastAsia"/>
          <w:sz w:val="24"/>
        </w:rPr>
        <w:t>1、供应商情况介绍（附件6）。</w:t>
      </w:r>
    </w:p>
    <w:p>
      <w:pPr>
        <w:spacing w:line="360" w:lineRule="auto"/>
        <w:ind w:firstLine="480" w:firstLineChars="200"/>
        <w:rPr>
          <w:sz w:val="24"/>
        </w:rPr>
      </w:pPr>
      <w:r>
        <w:rPr>
          <w:rFonts w:hint="eastAsia"/>
          <w:sz w:val="24"/>
        </w:rPr>
        <w:t>2、项目需求的理解与分析。</w:t>
      </w:r>
    </w:p>
    <w:p>
      <w:pPr>
        <w:spacing w:line="360" w:lineRule="auto"/>
        <w:ind w:firstLine="480" w:firstLineChars="200"/>
        <w:rPr>
          <w:sz w:val="24"/>
        </w:rPr>
      </w:pPr>
      <w:r>
        <w:rPr>
          <w:rFonts w:hint="eastAsia"/>
          <w:sz w:val="24"/>
        </w:rPr>
        <w:t>3、项目实施人员一览表（附件7）。</w:t>
      </w:r>
    </w:p>
    <w:p>
      <w:pPr>
        <w:spacing w:line="360" w:lineRule="auto"/>
        <w:ind w:firstLine="480" w:firstLineChars="200"/>
        <w:rPr>
          <w:sz w:val="24"/>
        </w:rPr>
      </w:pPr>
      <w:r>
        <w:rPr>
          <w:rFonts w:hint="eastAsia"/>
          <w:sz w:val="24"/>
        </w:rPr>
        <w:t>4、项目负责人（附件8)。</w:t>
      </w:r>
      <w:r>
        <w:rPr>
          <w:sz w:val="24"/>
        </w:rPr>
        <w:t xml:space="preserve"> </w:t>
      </w:r>
    </w:p>
    <w:p>
      <w:pPr>
        <w:spacing w:line="360" w:lineRule="auto"/>
        <w:ind w:firstLine="480" w:firstLineChars="200"/>
        <w:rPr>
          <w:sz w:val="24"/>
        </w:rPr>
      </w:pPr>
      <w:r>
        <w:rPr>
          <w:rFonts w:hint="eastAsia"/>
          <w:sz w:val="24"/>
        </w:rPr>
        <w:t>5、技术需求响应表（附件9）。</w:t>
      </w:r>
    </w:p>
    <w:p>
      <w:pPr>
        <w:spacing w:line="360" w:lineRule="auto"/>
        <w:ind w:firstLine="480" w:firstLineChars="200"/>
        <w:rPr>
          <w:sz w:val="24"/>
        </w:rPr>
      </w:pPr>
      <w:r>
        <w:rPr>
          <w:rFonts w:hint="eastAsia"/>
          <w:sz w:val="24"/>
        </w:rPr>
        <w:t>6、验收方案及服务承诺（格式自拟）。</w:t>
      </w:r>
    </w:p>
    <w:p>
      <w:pPr>
        <w:spacing w:line="360" w:lineRule="auto"/>
        <w:ind w:firstLine="480" w:firstLineChars="200"/>
        <w:rPr>
          <w:sz w:val="24"/>
        </w:rPr>
      </w:pPr>
      <w:r>
        <w:rPr>
          <w:rFonts w:hint="eastAsia"/>
          <w:sz w:val="24"/>
        </w:rPr>
        <w:t>7、供应商</w:t>
      </w:r>
      <w:r>
        <w:rPr>
          <w:sz w:val="24"/>
        </w:rPr>
        <w:t>需要说明的其他</w:t>
      </w:r>
      <w:r>
        <w:rPr>
          <w:rFonts w:hint="eastAsia"/>
          <w:sz w:val="24"/>
        </w:rPr>
        <w:t>内容。（包括可能影响供应商技术性能评分项的各类证明材料）</w:t>
      </w:r>
    </w:p>
    <w:p>
      <w:pPr>
        <w:spacing w:line="360" w:lineRule="auto"/>
        <w:ind w:firstLine="482" w:firstLineChars="200"/>
        <w:rPr>
          <w:b/>
          <w:bCs/>
          <w:sz w:val="24"/>
        </w:rPr>
      </w:pPr>
      <w:bookmarkStart w:id="82" w:name="_Toc20986_WPSOffice_Level1"/>
      <w:bookmarkStart w:id="83" w:name="_Toc30029_WPSOffice_Level1"/>
      <w:r>
        <w:rPr>
          <w:rFonts w:hint="eastAsia"/>
          <w:b/>
          <w:bCs/>
          <w:sz w:val="24"/>
        </w:rPr>
        <w:t>第二部分  商务响应及其他部分</w:t>
      </w:r>
      <w:bookmarkEnd w:id="82"/>
      <w:bookmarkEnd w:id="83"/>
    </w:p>
    <w:p>
      <w:pPr>
        <w:spacing w:line="360" w:lineRule="auto"/>
        <w:ind w:firstLine="480" w:firstLineChars="200"/>
        <w:rPr>
          <w:sz w:val="24"/>
        </w:rPr>
      </w:pPr>
      <w:r>
        <w:rPr>
          <w:rFonts w:hint="eastAsia"/>
          <w:sz w:val="24"/>
        </w:rPr>
        <w:t>1、证书一览表（附件10）。</w:t>
      </w:r>
    </w:p>
    <w:p>
      <w:pPr>
        <w:spacing w:line="360" w:lineRule="auto"/>
        <w:ind w:firstLine="480" w:firstLineChars="200"/>
        <w:rPr>
          <w:sz w:val="24"/>
        </w:rPr>
      </w:pPr>
      <w:r>
        <w:rPr>
          <w:rFonts w:hint="eastAsia"/>
          <w:sz w:val="24"/>
        </w:rPr>
        <w:t>2、近年来类似项目的成功案例（附件11）。</w:t>
      </w:r>
    </w:p>
    <w:p>
      <w:pPr>
        <w:spacing w:line="360" w:lineRule="auto"/>
        <w:ind w:firstLine="480" w:firstLineChars="200"/>
        <w:rPr>
          <w:rFonts w:ascii="宋体" w:hAnsi="宋体"/>
          <w:b/>
          <w:sz w:val="32"/>
          <w:szCs w:val="32"/>
        </w:rPr>
      </w:pPr>
      <w:r>
        <w:rPr>
          <w:rFonts w:hint="eastAsia"/>
          <w:sz w:val="24"/>
        </w:rPr>
        <w:t>3、商务需求响应表（附件12）。</w:t>
      </w:r>
    </w:p>
    <w:p>
      <w:pPr>
        <w:spacing w:line="360" w:lineRule="auto"/>
        <w:ind w:firstLine="480" w:firstLineChars="200"/>
        <w:rPr>
          <w:sz w:val="24"/>
        </w:rPr>
      </w:pPr>
      <w:r>
        <w:rPr>
          <w:rFonts w:hint="eastAsia"/>
          <w:sz w:val="24"/>
        </w:rPr>
        <w:t>4、供应商需要说明的其他内容（包括可能影响供应商技术性能评分项的各类证明材料）。</w:t>
      </w:r>
    </w:p>
    <w:p>
      <w:pPr>
        <w:spacing w:line="360" w:lineRule="auto"/>
        <w:ind w:firstLine="482" w:firstLineChars="200"/>
        <w:rPr>
          <w:b/>
          <w:bCs/>
          <w:sz w:val="24"/>
        </w:rPr>
      </w:pPr>
      <w:r>
        <w:rPr>
          <w:rFonts w:hint="eastAsia"/>
          <w:b/>
          <w:bCs/>
          <w:sz w:val="24"/>
        </w:rPr>
        <w:t>第三部分  评分索引表</w:t>
      </w:r>
    </w:p>
    <w:p>
      <w:pPr>
        <w:snapToGrid w:val="0"/>
        <w:spacing w:line="264" w:lineRule="auto"/>
        <w:ind w:firstLine="480" w:firstLineChars="200"/>
        <w:rPr>
          <w:rFonts w:ascii="宋体" w:hAnsi="宋体" w:cs="宋体"/>
          <w:sz w:val="24"/>
        </w:rPr>
      </w:pPr>
      <w:r>
        <w:rPr>
          <w:rFonts w:hint="eastAsia" w:ascii="宋体" w:hAnsi="宋体" w:cs="宋体"/>
          <w:sz w:val="24"/>
        </w:rPr>
        <w:t>针对第四章评分标准每项评分具体分值细化条款，注明有无提交及页码范围，行数不够自行添加，格式参见下表：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2797"/>
        <w:gridCol w:w="956"/>
        <w:gridCol w:w="88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vMerge w:val="restart"/>
            <w:vAlign w:val="center"/>
          </w:tcPr>
          <w:p>
            <w:pPr>
              <w:tabs>
                <w:tab w:val="left" w:pos="540"/>
              </w:tabs>
              <w:spacing w:line="240" w:lineRule="exact"/>
              <w:jc w:val="center"/>
              <w:textAlignment w:val="baseline"/>
              <w:rPr>
                <w:rStyle w:val="55"/>
                <w:rFonts w:ascii="宋体" w:hAnsi="宋体"/>
                <w:b/>
              </w:rPr>
            </w:pPr>
            <w:r>
              <w:rPr>
                <w:rStyle w:val="55"/>
                <w:rFonts w:hint="eastAsia" w:ascii="宋体" w:hAnsi="宋体"/>
                <w:b/>
              </w:rPr>
              <w:t>评分项目</w:t>
            </w:r>
          </w:p>
        </w:tc>
        <w:tc>
          <w:tcPr>
            <w:tcW w:w="2797" w:type="dxa"/>
            <w:vMerge w:val="restart"/>
            <w:vAlign w:val="center"/>
          </w:tcPr>
          <w:p>
            <w:pPr>
              <w:tabs>
                <w:tab w:val="left" w:pos="540"/>
              </w:tabs>
              <w:spacing w:line="240" w:lineRule="exact"/>
              <w:jc w:val="center"/>
              <w:textAlignment w:val="baseline"/>
              <w:rPr>
                <w:rStyle w:val="55"/>
                <w:rFonts w:ascii="宋体" w:hAnsi="宋体"/>
                <w:b/>
              </w:rPr>
            </w:pPr>
            <w:r>
              <w:rPr>
                <w:rStyle w:val="55"/>
                <w:rFonts w:hint="eastAsia" w:ascii="宋体" w:hAnsi="宋体"/>
                <w:b/>
              </w:rPr>
              <w:t xml:space="preserve">评分标准 </w:t>
            </w:r>
          </w:p>
        </w:tc>
        <w:tc>
          <w:tcPr>
            <w:tcW w:w="1843" w:type="dxa"/>
            <w:gridSpan w:val="2"/>
            <w:vAlign w:val="center"/>
          </w:tcPr>
          <w:p>
            <w:pPr>
              <w:pStyle w:val="8"/>
              <w:spacing w:line="240" w:lineRule="exact"/>
              <w:ind w:firstLine="0"/>
              <w:jc w:val="center"/>
              <w:rPr>
                <w:rFonts w:ascii="宋体" w:hAnsi="宋体"/>
                <w:b/>
              </w:rPr>
            </w:pPr>
            <w:r>
              <w:rPr>
                <w:rFonts w:hint="eastAsia" w:ascii="宋体" w:hAnsi="宋体"/>
                <w:b/>
              </w:rPr>
              <w:t>提交情况</w:t>
            </w:r>
          </w:p>
        </w:tc>
        <w:tc>
          <w:tcPr>
            <w:tcW w:w="1417" w:type="dxa"/>
            <w:vMerge w:val="restart"/>
            <w:vAlign w:val="center"/>
          </w:tcPr>
          <w:p>
            <w:pPr>
              <w:pStyle w:val="8"/>
              <w:spacing w:line="240" w:lineRule="exact"/>
              <w:ind w:firstLine="0"/>
              <w:jc w:val="center"/>
              <w:rPr>
                <w:rFonts w:ascii="宋体" w:hAnsi="宋体"/>
                <w:b/>
              </w:rPr>
            </w:pPr>
            <w:r>
              <w:rPr>
                <w:rFonts w:hint="eastAsia" w:ascii="宋体" w:hAnsi="宋体"/>
                <w:b/>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vMerge w:val="continue"/>
            <w:vAlign w:val="center"/>
          </w:tcPr>
          <w:p>
            <w:pPr>
              <w:adjustRightInd w:val="0"/>
              <w:snapToGrid w:val="0"/>
              <w:jc w:val="center"/>
              <w:rPr>
                <w:rFonts w:ascii="宋体" w:hAnsi="宋体"/>
                <w:b/>
              </w:rPr>
            </w:pPr>
          </w:p>
        </w:tc>
        <w:tc>
          <w:tcPr>
            <w:tcW w:w="2797" w:type="dxa"/>
            <w:vMerge w:val="continue"/>
            <w:vAlign w:val="center"/>
          </w:tcPr>
          <w:p>
            <w:pPr>
              <w:adjustRightInd w:val="0"/>
              <w:snapToGrid w:val="0"/>
              <w:jc w:val="center"/>
              <w:rPr>
                <w:rFonts w:ascii="宋体" w:hAnsi="宋体"/>
                <w:b/>
              </w:rPr>
            </w:pPr>
          </w:p>
        </w:tc>
        <w:tc>
          <w:tcPr>
            <w:tcW w:w="956" w:type="dxa"/>
            <w:vAlign w:val="center"/>
          </w:tcPr>
          <w:p>
            <w:pPr>
              <w:pStyle w:val="8"/>
              <w:ind w:firstLine="0"/>
              <w:jc w:val="center"/>
              <w:rPr>
                <w:rFonts w:ascii="宋体" w:hAnsi="宋体"/>
                <w:b/>
              </w:rPr>
            </w:pPr>
            <w:r>
              <w:rPr>
                <w:rFonts w:hint="eastAsia" w:ascii="宋体" w:hAnsi="宋体"/>
                <w:b/>
              </w:rPr>
              <w:t>有</w:t>
            </w:r>
          </w:p>
        </w:tc>
        <w:tc>
          <w:tcPr>
            <w:tcW w:w="887" w:type="dxa"/>
          </w:tcPr>
          <w:p>
            <w:pPr>
              <w:pStyle w:val="8"/>
              <w:tabs>
                <w:tab w:val="center" w:pos="576"/>
              </w:tabs>
              <w:ind w:firstLine="0"/>
              <w:jc w:val="center"/>
              <w:rPr>
                <w:rFonts w:ascii="宋体" w:hAnsi="宋体"/>
                <w:b/>
              </w:rPr>
            </w:pPr>
            <w:r>
              <w:rPr>
                <w:rFonts w:hint="eastAsia" w:ascii="宋体" w:hAnsi="宋体"/>
                <w:b/>
              </w:rPr>
              <w:t>无</w:t>
            </w:r>
          </w:p>
        </w:tc>
        <w:tc>
          <w:tcPr>
            <w:tcW w:w="1417" w:type="dxa"/>
            <w:vMerge w:val="continue"/>
          </w:tcPr>
          <w:p>
            <w:pPr>
              <w:pStyle w:val="8"/>
              <w:ind w:firstLine="482"/>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422" w:type="dxa"/>
            <w:vAlign w:val="center"/>
          </w:tcPr>
          <w:p>
            <w:pPr>
              <w:adjustRightInd w:val="0"/>
              <w:snapToGrid w:val="0"/>
              <w:spacing w:line="180" w:lineRule="exact"/>
              <w:jc w:val="center"/>
              <w:rPr>
                <w:rFonts w:ascii="宋体" w:hAnsi="宋体"/>
                <w:b/>
              </w:rPr>
            </w:pPr>
          </w:p>
        </w:tc>
        <w:tc>
          <w:tcPr>
            <w:tcW w:w="2797" w:type="dxa"/>
            <w:vAlign w:val="center"/>
          </w:tcPr>
          <w:p>
            <w:pPr>
              <w:adjustRightInd w:val="0"/>
              <w:snapToGrid w:val="0"/>
              <w:spacing w:line="180" w:lineRule="exact"/>
              <w:jc w:val="center"/>
              <w:rPr>
                <w:rFonts w:ascii="宋体" w:hAnsi="宋体"/>
                <w:b/>
              </w:rPr>
            </w:pPr>
          </w:p>
        </w:tc>
        <w:tc>
          <w:tcPr>
            <w:tcW w:w="956" w:type="dxa"/>
          </w:tcPr>
          <w:p>
            <w:pPr>
              <w:pStyle w:val="8"/>
              <w:spacing w:line="180" w:lineRule="exact"/>
              <w:ind w:firstLine="482"/>
              <w:jc w:val="center"/>
              <w:rPr>
                <w:rFonts w:ascii="宋体" w:hAnsi="宋体"/>
                <w:b/>
              </w:rPr>
            </w:pPr>
          </w:p>
        </w:tc>
        <w:tc>
          <w:tcPr>
            <w:tcW w:w="887" w:type="dxa"/>
          </w:tcPr>
          <w:p>
            <w:pPr>
              <w:pStyle w:val="8"/>
              <w:spacing w:line="180" w:lineRule="exact"/>
              <w:ind w:firstLine="482"/>
              <w:jc w:val="center"/>
              <w:rPr>
                <w:rFonts w:ascii="宋体" w:hAnsi="宋体"/>
                <w:b/>
              </w:rPr>
            </w:pPr>
          </w:p>
        </w:tc>
        <w:tc>
          <w:tcPr>
            <w:tcW w:w="1417" w:type="dxa"/>
          </w:tcPr>
          <w:p>
            <w:pPr>
              <w:pStyle w:val="8"/>
              <w:spacing w:line="180" w:lineRule="exact"/>
              <w:ind w:firstLine="482"/>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422" w:type="dxa"/>
            <w:vAlign w:val="center"/>
          </w:tcPr>
          <w:p>
            <w:pPr>
              <w:adjustRightInd w:val="0"/>
              <w:snapToGrid w:val="0"/>
              <w:spacing w:line="180" w:lineRule="exact"/>
              <w:jc w:val="center"/>
              <w:rPr>
                <w:rFonts w:ascii="宋体" w:hAnsi="宋体"/>
                <w:b/>
              </w:rPr>
            </w:pPr>
          </w:p>
        </w:tc>
        <w:tc>
          <w:tcPr>
            <w:tcW w:w="2797" w:type="dxa"/>
            <w:vAlign w:val="center"/>
          </w:tcPr>
          <w:p>
            <w:pPr>
              <w:adjustRightInd w:val="0"/>
              <w:snapToGrid w:val="0"/>
              <w:spacing w:line="180" w:lineRule="exact"/>
              <w:jc w:val="center"/>
              <w:rPr>
                <w:rFonts w:ascii="宋体" w:hAnsi="宋体"/>
                <w:b/>
              </w:rPr>
            </w:pPr>
          </w:p>
        </w:tc>
        <w:tc>
          <w:tcPr>
            <w:tcW w:w="956" w:type="dxa"/>
          </w:tcPr>
          <w:p>
            <w:pPr>
              <w:pStyle w:val="8"/>
              <w:spacing w:line="180" w:lineRule="exact"/>
              <w:ind w:firstLine="422"/>
              <w:jc w:val="center"/>
              <w:rPr>
                <w:rFonts w:ascii="宋体" w:hAnsi="宋体"/>
                <w:b/>
                <w:sz w:val="18"/>
              </w:rPr>
            </w:pPr>
          </w:p>
        </w:tc>
        <w:tc>
          <w:tcPr>
            <w:tcW w:w="887" w:type="dxa"/>
          </w:tcPr>
          <w:p>
            <w:pPr>
              <w:pStyle w:val="8"/>
              <w:spacing w:line="180" w:lineRule="exact"/>
              <w:ind w:firstLine="422"/>
              <w:jc w:val="center"/>
              <w:rPr>
                <w:rFonts w:ascii="宋体" w:hAnsi="宋体"/>
                <w:b/>
                <w:sz w:val="18"/>
              </w:rPr>
            </w:pPr>
          </w:p>
        </w:tc>
        <w:tc>
          <w:tcPr>
            <w:tcW w:w="1417" w:type="dxa"/>
          </w:tcPr>
          <w:p>
            <w:pPr>
              <w:pStyle w:val="8"/>
              <w:spacing w:line="180" w:lineRule="exact"/>
              <w:ind w:firstLine="422"/>
              <w:jc w:val="center"/>
              <w:rPr>
                <w:rFonts w:ascii="宋体" w:hAnsi="宋体"/>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2" w:type="dxa"/>
            <w:vAlign w:val="center"/>
          </w:tcPr>
          <w:p>
            <w:pPr>
              <w:adjustRightInd w:val="0"/>
              <w:snapToGrid w:val="0"/>
              <w:spacing w:line="180" w:lineRule="exact"/>
              <w:jc w:val="center"/>
              <w:rPr>
                <w:rFonts w:ascii="宋体" w:hAnsi="宋体"/>
                <w:b/>
              </w:rPr>
            </w:pPr>
          </w:p>
        </w:tc>
        <w:tc>
          <w:tcPr>
            <w:tcW w:w="2797" w:type="dxa"/>
            <w:vAlign w:val="center"/>
          </w:tcPr>
          <w:p>
            <w:pPr>
              <w:adjustRightInd w:val="0"/>
              <w:snapToGrid w:val="0"/>
              <w:spacing w:line="180" w:lineRule="exact"/>
              <w:jc w:val="center"/>
              <w:rPr>
                <w:rFonts w:ascii="宋体" w:hAnsi="宋体"/>
                <w:b/>
              </w:rPr>
            </w:pPr>
          </w:p>
        </w:tc>
        <w:tc>
          <w:tcPr>
            <w:tcW w:w="956" w:type="dxa"/>
          </w:tcPr>
          <w:p>
            <w:pPr>
              <w:pStyle w:val="8"/>
              <w:spacing w:line="180" w:lineRule="exact"/>
              <w:ind w:firstLine="422"/>
              <w:jc w:val="center"/>
              <w:rPr>
                <w:rFonts w:ascii="宋体" w:hAnsi="宋体"/>
                <w:b/>
                <w:sz w:val="18"/>
              </w:rPr>
            </w:pPr>
          </w:p>
        </w:tc>
        <w:tc>
          <w:tcPr>
            <w:tcW w:w="887" w:type="dxa"/>
          </w:tcPr>
          <w:p>
            <w:pPr>
              <w:pStyle w:val="8"/>
              <w:spacing w:line="180" w:lineRule="exact"/>
              <w:ind w:firstLine="422"/>
              <w:jc w:val="center"/>
              <w:rPr>
                <w:rFonts w:ascii="宋体" w:hAnsi="宋体"/>
                <w:b/>
                <w:sz w:val="18"/>
              </w:rPr>
            </w:pPr>
          </w:p>
        </w:tc>
        <w:tc>
          <w:tcPr>
            <w:tcW w:w="1417" w:type="dxa"/>
          </w:tcPr>
          <w:p>
            <w:pPr>
              <w:pStyle w:val="8"/>
              <w:spacing w:line="180" w:lineRule="exact"/>
              <w:ind w:firstLine="422"/>
              <w:jc w:val="center"/>
              <w:rPr>
                <w:rFonts w:ascii="宋体" w:hAnsi="宋体"/>
                <w:b/>
                <w:sz w:val="18"/>
              </w:rPr>
            </w:pPr>
          </w:p>
        </w:tc>
      </w:tr>
    </w:tbl>
    <w:p>
      <w:pPr>
        <w:spacing w:line="360" w:lineRule="auto"/>
        <w:ind w:left="420"/>
        <w:rPr>
          <w:rFonts w:ascii="宋体" w:hAnsi="宋体"/>
          <w:b/>
          <w:sz w:val="28"/>
        </w:rPr>
      </w:pPr>
    </w:p>
    <w:p>
      <w:pPr>
        <w:pStyle w:val="2"/>
      </w:pPr>
    </w:p>
    <w:p>
      <w:pPr>
        <w:pStyle w:val="30"/>
        <w:spacing w:before="0" w:beforeAutospacing="0" w:after="0" w:afterAutospacing="0" w:line="360" w:lineRule="auto"/>
        <w:ind w:firstLine="482" w:firstLineChars="200"/>
        <w:jc w:val="both"/>
        <w:rPr>
          <w:b/>
        </w:rPr>
      </w:pPr>
    </w:p>
    <w:p>
      <w:pPr>
        <w:pStyle w:val="30"/>
        <w:spacing w:before="0" w:beforeAutospacing="0" w:after="0" w:afterAutospacing="0" w:line="360" w:lineRule="auto"/>
        <w:ind w:firstLine="482" w:firstLineChars="200"/>
        <w:jc w:val="both"/>
        <w:rPr>
          <w:b/>
        </w:rPr>
      </w:pPr>
    </w:p>
    <w:p>
      <w:pPr>
        <w:pStyle w:val="30"/>
        <w:spacing w:before="0" w:beforeAutospacing="0" w:after="0" w:afterAutospacing="0" w:line="360" w:lineRule="auto"/>
        <w:ind w:firstLine="482" w:firstLineChars="200"/>
        <w:jc w:val="both"/>
        <w:rPr>
          <w:b/>
        </w:rPr>
      </w:pPr>
    </w:p>
    <w:p>
      <w:pPr>
        <w:pStyle w:val="30"/>
        <w:spacing w:before="0" w:beforeAutospacing="0" w:after="0" w:afterAutospacing="0" w:line="360" w:lineRule="auto"/>
        <w:outlineLvl w:val="0"/>
        <w:rPr>
          <w:b/>
          <w:sz w:val="28"/>
        </w:rPr>
      </w:pPr>
      <w:bookmarkStart w:id="84" w:name="_Toc3188"/>
      <w:r>
        <w:rPr>
          <w:rFonts w:hint="eastAsia"/>
          <w:b/>
          <w:sz w:val="28"/>
        </w:rPr>
        <w:t>附件</w:t>
      </w:r>
      <w:bookmarkEnd w:id="84"/>
      <w:r>
        <w:rPr>
          <w:rFonts w:hint="eastAsia"/>
          <w:b/>
          <w:sz w:val="28"/>
        </w:rPr>
        <w:t>6</w:t>
      </w:r>
    </w:p>
    <w:p>
      <w:pPr>
        <w:pStyle w:val="30"/>
        <w:spacing w:before="0" w:beforeAutospacing="0" w:after="0" w:afterAutospacing="0" w:line="360" w:lineRule="auto"/>
        <w:jc w:val="center"/>
        <w:rPr>
          <w:rFonts w:eastAsia="微软雅黑"/>
          <w:sz w:val="36"/>
          <w:szCs w:val="36"/>
        </w:rPr>
      </w:pPr>
      <w:r>
        <w:rPr>
          <w:rFonts w:hint="eastAsia"/>
          <w:b/>
          <w:sz w:val="32"/>
          <w:szCs w:val="32"/>
        </w:rPr>
        <w:t xml:space="preserve">  </w:t>
      </w:r>
      <w:bookmarkStart w:id="85" w:name="_Toc13307_WPSOffice_Level1"/>
      <w:bookmarkStart w:id="86" w:name="_Toc14261_WPSOffice_Level1"/>
      <w:r>
        <w:rPr>
          <w:rFonts w:hint="eastAsia"/>
          <w:b/>
          <w:sz w:val="32"/>
          <w:szCs w:val="32"/>
        </w:rPr>
        <w:t>供应商</w:t>
      </w:r>
      <w:r>
        <w:rPr>
          <w:rFonts w:hint="eastAsia"/>
          <w:b/>
          <w:bCs/>
          <w:spacing w:val="21"/>
          <w:sz w:val="32"/>
          <w:szCs w:val="32"/>
        </w:rPr>
        <w:t>基本情况表</w:t>
      </w:r>
      <w:bookmarkEnd w:id="85"/>
      <w:bookmarkEnd w:id="86"/>
    </w:p>
    <w:tbl>
      <w:tblPr>
        <w:tblStyle w:val="22"/>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910"/>
        <w:gridCol w:w="86"/>
        <w:gridCol w:w="1077"/>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3" w:type="dxa"/>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企业名称</w:t>
            </w:r>
          </w:p>
        </w:tc>
        <w:tc>
          <w:tcPr>
            <w:tcW w:w="3979" w:type="dxa"/>
            <w:gridSpan w:val="6"/>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p>
        </w:tc>
        <w:tc>
          <w:tcPr>
            <w:tcW w:w="2001" w:type="dxa"/>
            <w:gridSpan w:val="3"/>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法人代表</w:t>
            </w:r>
          </w:p>
        </w:tc>
        <w:tc>
          <w:tcPr>
            <w:tcW w:w="2151" w:type="dxa"/>
            <w:gridSpan w:val="2"/>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3" w:type="dxa"/>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地址</w:t>
            </w:r>
          </w:p>
        </w:tc>
        <w:tc>
          <w:tcPr>
            <w:tcW w:w="3979" w:type="dxa"/>
            <w:gridSpan w:val="6"/>
            <w:tcBorders>
              <w:bottom w:val="single" w:color="auto" w:sz="4" w:space="0"/>
            </w:tcBorders>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p>
        </w:tc>
        <w:tc>
          <w:tcPr>
            <w:tcW w:w="2001" w:type="dxa"/>
            <w:gridSpan w:val="3"/>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企业性质</w:t>
            </w:r>
          </w:p>
        </w:tc>
        <w:tc>
          <w:tcPr>
            <w:tcW w:w="2151" w:type="dxa"/>
            <w:gridSpan w:val="2"/>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3" w:type="dxa"/>
            <w:tcBorders>
              <w:bottom w:val="single" w:color="auto" w:sz="4" w:space="0"/>
            </w:tcBorders>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股东姓名</w:t>
            </w:r>
          </w:p>
        </w:tc>
        <w:tc>
          <w:tcPr>
            <w:tcW w:w="701" w:type="dxa"/>
            <w:tcBorders>
              <w:bottom w:val="single" w:color="auto" w:sz="4" w:space="0"/>
            </w:tcBorders>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p>
        </w:tc>
        <w:tc>
          <w:tcPr>
            <w:tcW w:w="910" w:type="dxa"/>
            <w:tcBorders>
              <w:bottom w:val="single" w:color="auto" w:sz="4" w:space="0"/>
            </w:tcBorders>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股权结构（%）</w:t>
            </w:r>
          </w:p>
        </w:tc>
        <w:tc>
          <w:tcPr>
            <w:tcW w:w="2368" w:type="dxa"/>
            <w:gridSpan w:val="4"/>
            <w:tcBorders>
              <w:bottom w:val="single" w:color="auto" w:sz="4" w:space="0"/>
            </w:tcBorders>
            <w:vAlign w:val="center"/>
          </w:tcPr>
          <w:p>
            <w:pPr>
              <w:widowControl/>
              <w:spacing w:line="360" w:lineRule="auto"/>
              <w:jc w:val="center"/>
              <w:rPr>
                <w:rFonts w:asciiTheme="minorEastAsia" w:hAnsiTheme="minorEastAsia" w:eastAsiaTheme="minorEastAsia" w:cstheme="minorEastAsia"/>
                <w:bCs/>
                <w:kern w:val="0"/>
                <w:sz w:val="24"/>
              </w:rPr>
            </w:pPr>
          </w:p>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p>
        </w:tc>
        <w:tc>
          <w:tcPr>
            <w:tcW w:w="2001" w:type="dxa"/>
            <w:gridSpan w:val="3"/>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股东关系</w:t>
            </w:r>
          </w:p>
        </w:tc>
        <w:tc>
          <w:tcPr>
            <w:tcW w:w="2151" w:type="dxa"/>
            <w:gridSpan w:val="2"/>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3" w:type="dxa"/>
            <w:vMerge w:val="restart"/>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联系人姓名</w:t>
            </w:r>
          </w:p>
        </w:tc>
        <w:tc>
          <w:tcPr>
            <w:tcW w:w="701" w:type="dxa"/>
            <w:vMerge w:val="restart"/>
            <w:tcBorders>
              <w:top w:val="nil"/>
            </w:tcBorders>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p>
        </w:tc>
        <w:tc>
          <w:tcPr>
            <w:tcW w:w="910" w:type="dxa"/>
            <w:tcBorders>
              <w:top w:val="nil"/>
              <w:bottom w:val="single" w:color="auto" w:sz="4" w:space="0"/>
            </w:tcBorders>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固定电话</w:t>
            </w:r>
          </w:p>
        </w:tc>
        <w:tc>
          <w:tcPr>
            <w:tcW w:w="2368" w:type="dxa"/>
            <w:gridSpan w:val="4"/>
            <w:tcBorders>
              <w:top w:val="nil"/>
              <w:bottom w:val="single" w:color="auto" w:sz="4" w:space="0"/>
            </w:tcBorders>
            <w:vAlign w:val="center"/>
          </w:tcPr>
          <w:p>
            <w:pPr>
              <w:widowControl/>
              <w:spacing w:line="360" w:lineRule="auto"/>
              <w:jc w:val="center"/>
              <w:rPr>
                <w:rFonts w:asciiTheme="minorEastAsia" w:hAnsiTheme="minorEastAsia" w:eastAsiaTheme="minorEastAsia" w:cstheme="minorEastAsia"/>
                <w:bCs/>
                <w:kern w:val="0"/>
                <w:sz w:val="24"/>
              </w:rPr>
            </w:pPr>
          </w:p>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p>
        </w:tc>
        <w:tc>
          <w:tcPr>
            <w:tcW w:w="2001" w:type="dxa"/>
            <w:gridSpan w:val="3"/>
            <w:vMerge w:val="restart"/>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传真</w:t>
            </w:r>
          </w:p>
        </w:tc>
        <w:tc>
          <w:tcPr>
            <w:tcW w:w="2151" w:type="dxa"/>
            <w:gridSpan w:val="2"/>
            <w:vMerge w:val="restart"/>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3" w:type="dxa"/>
            <w:vMerge w:val="continue"/>
            <w:tcBorders>
              <w:bottom w:val="single" w:color="auto" w:sz="4" w:space="0"/>
            </w:tcBorders>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p>
        </w:tc>
        <w:tc>
          <w:tcPr>
            <w:tcW w:w="701" w:type="dxa"/>
            <w:vMerge w:val="continue"/>
            <w:tcBorders>
              <w:bottom w:val="single" w:color="auto" w:sz="4" w:space="0"/>
            </w:tcBorders>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p>
        </w:tc>
        <w:tc>
          <w:tcPr>
            <w:tcW w:w="910" w:type="dxa"/>
            <w:tcBorders>
              <w:bottom w:val="single" w:color="auto" w:sz="4" w:space="0"/>
            </w:tcBorders>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手机</w:t>
            </w:r>
          </w:p>
        </w:tc>
        <w:tc>
          <w:tcPr>
            <w:tcW w:w="2368" w:type="dxa"/>
            <w:gridSpan w:val="4"/>
            <w:tcBorders>
              <w:bottom w:val="single" w:color="auto" w:sz="4" w:space="0"/>
            </w:tcBorders>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p>
        </w:tc>
        <w:tc>
          <w:tcPr>
            <w:tcW w:w="2001" w:type="dxa"/>
            <w:gridSpan w:val="3"/>
            <w:vMerge w:val="continue"/>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p>
        </w:tc>
        <w:tc>
          <w:tcPr>
            <w:tcW w:w="2151" w:type="dxa"/>
            <w:gridSpan w:val="2"/>
            <w:vMerge w:val="continue"/>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3" w:type="dxa"/>
            <w:vMerge w:val="restart"/>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1.</w:t>
            </w:r>
          </w:p>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企</w:t>
            </w:r>
          </w:p>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业</w:t>
            </w:r>
          </w:p>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概</w:t>
            </w:r>
          </w:p>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况</w:t>
            </w:r>
          </w:p>
        </w:tc>
        <w:tc>
          <w:tcPr>
            <w:tcW w:w="701" w:type="dxa"/>
            <w:tcBorders>
              <w:top w:val="nil"/>
            </w:tcBorders>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职工人数</w:t>
            </w:r>
          </w:p>
        </w:tc>
        <w:tc>
          <w:tcPr>
            <w:tcW w:w="910" w:type="dxa"/>
            <w:tcBorders>
              <w:top w:val="nil"/>
            </w:tcBorders>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p>
        </w:tc>
        <w:tc>
          <w:tcPr>
            <w:tcW w:w="1163" w:type="dxa"/>
            <w:gridSpan w:val="2"/>
            <w:tcBorders>
              <w:top w:val="nil"/>
            </w:tcBorders>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具备大专以上学历人数</w:t>
            </w:r>
          </w:p>
        </w:tc>
        <w:tc>
          <w:tcPr>
            <w:tcW w:w="1205" w:type="dxa"/>
            <w:gridSpan w:val="2"/>
            <w:tcBorders>
              <w:top w:val="nil"/>
            </w:tcBorders>
            <w:vAlign w:val="center"/>
          </w:tcPr>
          <w:p>
            <w:pPr>
              <w:widowControl/>
              <w:spacing w:line="360" w:lineRule="auto"/>
              <w:jc w:val="center"/>
              <w:rPr>
                <w:rFonts w:asciiTheme="minorEastAsia" w:hAnsiTheme="minorEastAsia" w:eastAsiaTheme="minorEastAsia" w:cstheme="minorEastAsia"/>
                <w:bCs/>
                <w:kern w:val="0"/>
                <w:sz w:val="24"/>
              </w:rPr>
            </w:pPr>
          </w:p>
          <w:p>
            <w:pPr>
              <w:widowControl/>
              <w:spacing w:line="360" w:lineRule="auto"/>
              <w:jc w:val="center"/>
              <w:rPr>
                <w:rFonts w:asciiTheme="minorEastAsia" w:hAnsiTheme="minorEastAsia" w:eastAsiaTheme="minorEastAsia" w:cstheme="minorEastAsia"/>
                <w:bCs/>
                <w:kern w:val="0"/>
                <w:sz w:val="24"/>
              </w:rPr>
            </w:pPr>
          </w:p>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p>
        </w:tc>
        <w:tc>
          <w:tcPr>
            <w:tcW w:w="2001" w:type="dxa"/>
            <w:gridSpan w:val="3"/>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国家授予技术职称人数</w:t>
            </w:r>
          </w:p>
        </w:tc>
        <w:tc>
          <w:tcPr>
            <w:tcW w:w="2151" w:type="dxa"/>
            <w:gridSpan w:val="2"/>
            <w:vAlign w:val="center"/>
          </w:tcPr>
          <w:p>
            <w:pPr>
              <w:widowControl/>
              <w:spacing w:line="360" w:lineRule="auto"/>
              <w:jc w:val="center"/>
              <w:rPr>
                <w:rFonts w:asciiTheme="minorEastAsia" w:hAnsiTheme="minorEastAsia" w:eastAsiaTheme="minorEastAsia" w:cstheme="minorEastAsia"/>
                <w:bCs/>
                <w:kern w:val="0"/>
                <w:sz w:val="24"/>
              </w:rPr>
            </w:pPr>
          </w:p>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3" w:type="dxa"/>
            <w:vMerge w:val="continue"/>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p>
        </w:tc>
        <w:tc>
          <w:tcPr>
            <w:tcW w:w="701" w:type="dxa"/>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占地面积</w:t>
            </w:r>
          </w:p>
        </w:tc>
        <w:tc>
          <w:tcPr>
            <w:tcW w:w="910" w:type="dxa"/>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p>
        </w:tc>
        <w:tc>
          <w:tcPr>
            <w:tcW w:w="1163" w:type="dxa"/>
            <w:gridSpan w:val="2"/>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建筑面积</w:t>
            </w:r>
          </w:p>
        </w:tc>
        <w:tc>
          <w:tcPr>
            <w:tcW w:w="1205" w:type="dxa"/>
            <w:gridSpan w:val="2"/>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平方米</w:t>
            </w:r>
          </w:p>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□自有</w:t>
            </w:r>
          </w:p>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□租赁</w:t>
            </w:r>
          </w:p>
        </w:tc>
        <w:tc>
          <w:tcPr>
            <w:tcW w:w="2001" w:type="dxa"/>
            <w:gridSpan w:val="3"/>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生产经营场所及场所的设施与设备</w:t>
            </w:r>
          </w:p>
        </w:tc>
        <w:tc>
          <w:tcPr>
            <w:tcW w:w="2151" w:type="dxa"/>
            <w:gridSpan w:val="2"/>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3" w:type="dxa"/>
            <w:vMerge w:val="continue"/>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p>
        </w:tc>
        <w:tc>
          <w:tcPr>
            <w:tcW w:w="701" w:type="dxa"/>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注册资金</w:t>
            </w:r>
          </w:p>
        </w:tc>
        <w:tc>
          <w:tcPr>
            <w:tcW w:w="910" w:type="dxa"/>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p>
        </w:tc>
        <w:tc>
          <w:tcPr>
            <w:tcW w:w="1163" w:type="dxa"/>
            <w:gridSpan w:val="2"/>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注册发证机关</w:t>
            </w:r>
          </w:p>
        </w:tc>
        <w:tc>
          <w:tcPr>
            <w:tcW w:w="3206" w:type="dxa"/>
            <w:gridSpan w:val="5"/>
            <w:vAlign w:val="center"/>
          </w:tcPr>
          <w:p>
            <w:pPr>
              <w:widowControl/>
              <w:spacing w:line="360" w:lineRule="auto"/>
              <w:jc w:val="center"/>
              <w:rPr>
                <w:rFonts w:asciiTheme="minorEastAsia" w:hAnsiTheme="minorEastAsia" w:eastAsiaTheme="minorEastAsia" w:cstheme="minorEastAsia"/>
                <w:bCs/>
                <w:kern w:val="0"/>
                <w:sz w:val="24"/>
              </w:rPr>
            </w:pPr>
          </w:p>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p>
        </w:tc>
        <w:tc>
          <w:tcPr>
            <w:tcW w:w="1218" w:type="dxa"/>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公司成立时间</w:t>
            </w:r>
          </w:p>
        </w:tc>
        <w:tc>
          <w:tcPr>
            <w:tcW w:w="933" w:type="dxa"/>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3" w:type="dxa"/>
            <w:vMerge w:val="continue"/>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p>
        </w:tc>
        <w:tc>
          <w:tcPr>
            <w:tcW w:w="701" w:type="dxa"/>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核准经营范围</w:t>
            </w:r>
          </w:p>
        </w:tc>
        <w:tc>
          <w:tcPr>
            <w:tcW w:w="7430" w:type="dxa"/>
            <w:gridSpan w:val="10"/>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3" w:type="dxa"/>
            <w:vMerge w:val="continue"/>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p>
        </w:tc>
        <w:tc>
          <w:tcPr>
            <w:tcW w:w="8131" w:type="dxa"/>
            <w:gridSpan w:val="11"/>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3" w:type="dxa"/>
            <w:vMerge w:val="restart"/>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2．</w:t>
            </w:r>
          </w:p>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企业有关资质获证情况</w:t>
            </w:r>
          </w:p>
        </w:tc>
        <w:tc>
          <w:tcPr>
            <w:tcW w:w="1697" w:type="dxa"/>
            <w:gridSpan w:val="3"/>
            <w:vMerge w:val="restart"/>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产品生产许可证情况（对需获得生产许可证的产品要填写此栏）</w:t>
            </w:r>
          </w:p>
        </w:tc>
        <w:tc>
          <w:tcPr>
            <w:tcW w:w="1189" w:type="dxa"/>
            <w:gridSpan w:val="2"/>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产品名称</w:t>
            </w:r>
          </w:p>
        </w:tc>
        <w:tc>
          <w:tcPr>
            <w:tcW w:w="1418" w:type="dxa"/>
            <w:gridSpan w:val="2"/>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发证机关</w:t>
            </w:r>
          </w:p>
        </w:tc>
        <w:tc>
          <w:tcPr>
            <w:tcW w:w="1276" w:type="dxa"/>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编号</w:t>
            </w:r>
          </w:p>
        </w:tc>
        <w:tc>
          <w:tcPr>
            <w:tcW w:w="1618" w:type="dxa"/>
            <w:gridSpan w:val="2"/>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发证时间</w:t>
            </w:r>
          </w:p>
        </w:tc>
        <w:tc>
          <w:tcPr>
            <w:tcW w:w="933" w:type="dxa"/>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3" w:type="dxa"/>
            <w:vMerge w:val="continue"/>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p>
        </w:tc>
        <w:tc>
          <w:tcPr>
            <w:tcW w:w="1697" w:type="dxa"/>
            <w:gridSpan w:val="3"/>
            <w:vMerge w:val="continue"/>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p>
        </w:tc>
        <w:tc>
          <w:tcPr>
            <w:tcW w:w="1189" w:type="dxa"/>
            <w:gridSpan w:val="2"/>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p>
        </w:tc>
        <w:tc>
          <w:tcPr>
            <w:tcW w:w="1418" w:type="dxa"/>
            <w:gridSpan w:val="2"/>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p>
        </w:tc>
        <w:tc>
          <w:tcPr>
            <w:tcW w:w="1276" w:type="dxa"/>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p>
        </w:tc>
        <w:tc>
          <w:tcPr>
            <w:tcW w:w="2551" w:type="dxa"/>
            <w:gridSpan w:val="3"/>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3" w:type="dxa"/>
            <w:vMerge w:val="continue"/>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p>
        </w:tc>
        <w:tc>
          <w:tcPr>
            <w:tcW w:w="1697" w:type="dxa"/>
            <w:gridSpan w:val="3"/>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企业通过质量体系、环保体系、计量等认证情况</w:t>
            </w:r>
          </w:p>
        </w:tc>
        <w:tc>
          <w:tcPr>
            <w:tcW w:w="6434" w:type="dxa"/>
            <w:gridSpan w:val="8"/>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823" w:type="dxa"/>
            <w:vMerge w:val="continue"/>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p>
        </w:tc>
        <w:tc>
          <w:tcPr>
            <w:tcW w:w="1697" w:type="dxa"/>
            <w:gridSpan w:val="3"/>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企业获得专利情况</w:t>
            </w:r>
          </w:p>
        </w:tc>
        <w:tc>
          <w:tcPr>
            <w:tcW w:w="6434" w:type="dxa"/>
            <w:gridSpan w:val="8"/>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rPr>
            </w:pPr>
          </w:p>
        </w:tc>
      </w:tr>
    </w:tbl>
    <w:p>
      <w:pPr>
        <w:pStyle w:val="30"/>
        <w:spacing w:before="0" w:beforeAutospacing="0" w:after="0" w:afterAutospacing="0" w:line="360" w:lineRule="auto"/>
        <w:rPr>
          <w:rFonts w:ascii="仿宋_GB2312" w:eastAsia="仿宋_GB2312"/>
        </w:rPr>
      </w:pPr>
    </w:p>
    <w:p>
      <w:pPr>
        <w:pStyle w:val="30"/>
        <w:spacing w:before="0" w:beforeAutospacing="0" w:after="0" w:afterAutospacing="0" w:line="360" w:lineRule="auto"/>
        <w:rPr>
          <w:b/>
          <w:sz w:val="21"/>
          <w:szCs w:val="21"/>
        </w:rPr>
      </w:pPr>
      <w:r>
        <w:rPr>
          <w:rFonts w:hint="eastAsia"/>
          <w:b/>
          <w:sz w:val="21"/>
          <w:szCs w:val="21"/>
        </w:rPr>
        <w:t>要求：</w:t>
      </w:r>
    </w:p>
    <w:p>
      <w:pPr>
        <w:pStyle w:val="30"/>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供应商代表签字或电子印章：</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0"/>
        <w:spacing w:before="0" w:beforeAutospacing="0" w:after="0" w:afterAutospacing="0" w:line="360" w:lineRule="auto"/>
        <w:ind w:firstLine="424" w:firstLineChars="177"/>
        <w:rPr>
          <w:b/>
          <w:bCs/>
          <w:spacing w:val="11"/>
        </w:rPr>
      </w:pPr>
      <w:r>
        <w:rPr>
          <w:rFonts w:hint="eastAsia"/>
        </w:rPr>
        <w:t>日        期：：</w:t>
      </w:r>
    </w:p>
    <w:p>
      <w:pPr>
        <w:spacing w:line="360" w:lineRule="auto"/>
        <w:rPr>
          <w:rFonts w:ascii="宋体" w:hAnsi="宋体"/>
          <w:b/>
          <w:sz w:val="24"/>
        </w:rPr>
      </w:pPr>
    </w:p>
    <w:p>
      <w:pPr>
        <w:spacing w:line="360" w:lineRule="auto"/>
        <w:outlineLvl w:val="0"/>
        <w:rPr>
          <w:rFonts w:ascii="宋体" w:hAnsi="宋体"/>
          <w:b/>
          <w:sz w:val="28"/>
        </w:rPr>
      </w:pPr>
      <w:bookmarkStart w:id="87" w:name="_Toc6916"/>
    </w:p>
    <w:p>
      <w:pPr>
        <w:spacing w:line="360" w:lineRule="auto"/>
        <w:outlineLvl w:val="0"/>
        <w:rPr>
          <w:rFonts w:ascii="宋体" w:hAnsi="宋体"/>
          <w:b/>
          <w:sz w:val="28"/>
        </w:rPr>
      </w:pPr>
    </w:p>
    <w:p>
      <w:pPr>
        <w:spacing w:line="360" w:lineRule="auto"/>
        <w:outlineLvl w:val="0"/>
        <w:rPr>
          <w:rFonts w:ascii="宋体" w:hAnsi="宋体"/>
          <w:b/>
          <w:sz w:val="28"/>
        </w:rPr>
      </w:pPr>
    </w:p>
    <w:p>
      <w:pPr>
        <w:spacing w:line="360" w:lineRule="auto"/>
        <w:outlineLvl w:val="0"/>
        <w:rPr>
          <w:rFonts w:ascii="宋体" w:hAnsi="宋体"/>
          <w:b/>
          <w:sz w:val="28"/>
        </w:rPr>
      </w:pPr>
    </w:p>
    <w:p>
      <w:pPr>
        <w:spacing w:line="360" w:lineRule="auto"/>
        <w:outlineLvl w:val="0"/>
        <w:rPr>
          <w:rFonts w:ascii="宋体" w:hAnsi="宋体"/>
          <w:b/>
          <w:sz w:val="28"/>
        </w:rPr>
      </w:pPr>
    </w:p>
    <w:p>
      <w:pPr>
        <w:spacing w:line="360" w:lineRule="auto"/>
        <w:outlineLvl w:val="0"/>
        <w:rPr>
          <w:rFonts w:ascii="宋体" w:hAnsi="宋体"/>
          <w:b/>
          <w:sz w:val="28"/>
        </w:rPr>
      </w:pPr>
    </w:p>
    <w:p>
      <w:pPr>
        <w:spacing w:line="360" w:lineRule="auto"/>
        <w:outlineLvl w:val="0"/>
        <w:rPr>
          <w:rFonts w:ascii="宋体" w:hAnsi="宋体"/>
          <w:b/>
          <w:sz w:val="28"/>
        </w:rPr>
      </w:pPr>
    </w:p>
    <w:p>
      <w:pPr>
        <w:spacing w:line="360" w:lineRule="auto"/>
        <w:outlineLvl w:val="0"/>
        <w:rPr>
          <w:rFonts w:ascii="宋体" w:hAnsi="宋体"/>
          <w:sz w:val="24"/>
        </w:rPr>
      </w:pPr>
      <w:r>
        <w:rPr>
          <w:rFonts w:hint="eastAsia" w:ascii="宋体" w:hAnsi="宋体"/>
          <w:b/>
          <w:sz w:val="28"/>
        </w:rPr>
        <w:t>附件</w:t>
      </w:r>
      <w:bookmarkEnd w:id="87"/>
      <w:r>
        <w:rPr>
          <w:rFonts w:hint="eastAsia" w:ascii="宋体" w:hAnsi="宋体"/>
          <w:b/>
          <w:sz w:val="28"/>
        </w:rPr>
        <w:t>7</w:t>
      </w:r>
    </w:p>
    <w:p>
      <w:pPr>
        <w:snapToGrid w:val="0"/>
        <w:spacing w:beforeLines="50" w:after="50" w:line="360" w:lineRule="auto"/>
        <w:ind w:firstLine="2570" w:firstLineChars="800"/>
        <w:rPr>
          <w:rFonts w:ascii="宋体" w:hAnsi="宋体"/>
          <w:b/>
          <w:sz w:val="36"/>
          <w:szCs w:val="36"/>
        </w:rPr>
      </w:pPr>
      <w:bookmarkStart w:id="88" w:name="_Toc23671_WPSOffice_Level1"/>
      <w:bookmarkStart w:id="89" w:name="_Toc20569_WPSOffice_Level1"/>
      <w:r>
        <w:rPr>
          <w:rFonts w:hint="eastAsia" w:ascii="宋体" w:hAnsi="宋体"/>
          <w:b/>
          <w:sz w:val="32"/>
          <w:szCs w:val="32"/>
        </w:rPr>
        <w:t>项目实施人员一览表</w:t>
      </w:r>
      <w:bookmarkEnd w:id="88"/>
      <w:bookmarkEnd w:id="89"/>
    </w:p>
    <w:p>
      <w:pPr>
        <w:snapToGrid w:val="0"/>
        <w:spacing w:beforeLines="50" w:after="50" w:line="360" w:lineRule="auto"/>
        <w:ind w:firstLine="2400" w:firstLineChars="1000"/>
        <w:rPr>
          <w:rFonts w:ascii="宋体" w:hAnsi="宋体"/>
          <w:sz w:val="24"/>
        </w:rPr>
      </w:pPr>
      <w:r>
        <w:rPr>
          <w:rFonts w:hint="eastAsia" w:ascii="宋体" w:hAnsi="宋体"/>
          <w:sz w:val="24"/>
        </w:rPr>
        <w:t>（主要从业人员及其技术资格）</w:t>
      </w:r>
    </w:p>
    <w:tbl>
      <w:tblPr>
        <w:tblStyle w:val="22"/>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sz w:val="24"/>
                <w:szCs w:val="20"/>
              </w:rPr>
            </w:pPr>
            <w:r>
              <w:rPr>
                <w:rFonts w:hint="eastAsia" w:ascii="宋体" w:hAnsi="宋体"/>
                <w:b/>
                <w:sz w:val="24"/>
                <w:szCs w:val="20"/>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sz w:val="24"/>
                <w:szCs w:val="20"/>
              </w:rPr>
            </w:pPr>
            <w:r>
              <w:rPr>
                <w:rFonts w:hint="eastAsia" w:ascii="宋体" w:hAnsi="宋体"/>
                <w:b/>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sz w:val="24"/>
                <w:szCs w:val="20"/>
              </w:rPr>
            </w:pPr>
            <w:r>
              <w:rPr>
                <w:rFonts w:hint="eastAsia" w:ascii="宋体" w:hAnsi="宋体"/>
                <w:b/>
                <w:sz w:val="24"/>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sz w:val="24"/>
                <w:szCs w:val="20"/>
              </w:rPr>
            </w:pPr>
            <w:r>
              <w:rPr>
                <w:rFonts w:hint="eastAsia" w:ascii="宋体" w:hAnsi="宋体"/>
                <w:b/>
                <w:sz w:val="24"/>
                <w:szCs w:val="20"/>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sz w:val="24"/>
                <w:szCs w:val="20"/>
              </w:rPr>
            </w:pPr>
            <w:r>
              <w:rPr>
                <w:rFonts w:hint="eastAsia" w:ascii="宋体" w:hAnsi="宋体"/>
                <w:b/>
                <w:sz w:val="24"/>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sz w:val="24"/>
                <w:szCs w:val="20"/>
              </w:rPr>
            </w:pPr>
            <w:r>
              <w:rPr>
                <w:rFonts w:hint="eastAsia" w:ascii="宋体" w:hAnsi="宋体"/>
                <w:b/>
                <w:sz w:val="24"/>
              </w:rPr>
              <w:t>证书编号</w:t>
            </w:r>
          </w:p>
        </w:tc>
        <w:tc>
          <w:tcPr>
            <w:tcW w:w="17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bCs/>
                <w:sz w:val="24"/>
                <w:szCs w:val="20"/>
              </w:rPr>
            </w:pPr>
            <w:r>
              <w:rPr>
                <w:rFonts w:hint="eastAsia" w:ascii="宋体" w:hAnsi="宋体"/>
                <w:b/>
                <w:bCs/>
                <w:sz w:val="24"/>
              </w:rPr>
              <w:t>参加本单位工作时间</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bCs/>
                <w:sz w:val="24"/>
                <w:szCs w:val="20"/>
              </w:rPr>
            </w:pPr>
            <w:r>
              <w:rPr>
                <w:rFonts w:hint="eastAsia" w:ascii="宋体" w:hAnsi="宋体"/>
                <w:b/>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pStyle w:val="10"/>
              <w:snapToGrid w:val="0"/>
              <w:spacing w:beforeLines="50" w:after="50" w:line="360" w:lineRule="auto"/>
              <w:ind w:left="5250"/>
              <w:rPr>
                <w:rFonts w:ascii="宋体" w:hAnsi="宋体" w:eastAsia="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10"/>
              <w:snapToGrid w:val="0"/>
              <w:spacing w:beforeLines="50" w:after="50" w:line="360" w:lineRule="auto"/>
              <w:ind w:left="5250"/>
              <w:rPr>
                <w:rFonts w:ascii="宋体" w:hAnsi="宋体" w:eastAsia="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10"/>
              <w:spacing w:line="360" w:lineRule="auto"/>
              <w:ind w:left="5250"/>
              <w:rPr>
                <w:rFonts w:ascii="宋体" w:hAnsi="宋体"/>
                <w:sz w:val="24"/>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szCs w:val="21"/>
        </w:rPr>
        <w:t>1.在填写时，如本表格不适合供应商的实际情况，可根据本表格式自行划表填写。</w:t>
      </w:r>
    </w:p>
    <w:p>
      <w:pPr>
        <w:pStyle w:val="31"/>
        <w:spacing w:line="360" w:lineRule="auto"/>
        <w:ind w:left="424" w:leftChars="202"/>
        <w:rPr>
          <w:rFonts w:ascii="宋体" w:hAnsi="宋体"/>
          <w:szCs w:val="21"/>
        </w:rPr>
      </w:pPr>
      <w:r>
        <w:rPr>
          <w:rFonts w:hint="eastAsia" w:ascii="宋体" w:hAnsi="宋体"/>
          <w:szCs w:val="21"/>
        </w:rPr>
        <w:t>2.附人员证书复印件。</w:t>
      </w:r>
    </w:p>
    <w:p>
      <w:pPr>
        <w:pStyle w:val="31"/>
        <w:spacing w:line="360" w:lineRule="auto"/>
        <w:ind w:left="424" w:hanging="424" w:hangingChars="202"/>
        <w:rPr>
          <w:rFonts w:ascii="宋体" w:hAnsi="宋体"/>
          <w:szCs w:val="21"/>
        </w:rPr>
      </w:pPr>
      <w:r>
        <w:rPr>
          <w:rFonts w:hint="eastAsia" w:ascii="宋体" w:hAnsi="宋体"/>
          <w:szCs w:val="21"/>
        </w:rPr>
        <w:t>　　3.出具上述人员在本单位服务的外部证明，如：磋商响应</w:t>
      </w:r>
      <w:r>
        <w:rPr>
          <w:rFonts w:ascii="宋体" w:hAnsi="宋体"/>
          <w:szCs w:val="21"/>
        </w:rPr>
        <w:t>截止日之前近</w:t>
      </w:r>
      <w:r>
        <w:rPr>
          <w:rFonts w:hint="eastAsia" w:ascii="宋体" w:hAnsi="宋体"/>
          <w:szCs w:val="21"/>
        </w:rPr>
        <w:t>三</w:t>
      </w:r>
      <w:r>
        <w:rPr>
          <w:rFonts w:ascii="宋体" w:hAnsi="宋体"/>
          <w:szCs w:val="21"/>
        </w:rPr>
        <w:t>个月任一月的</w:t>
      </w:r>
      <w:r>
        <w:rPr>
          <w:rFonts w:hint="eastAsia" w:ascii="宋体" w:hAnsi="宋体"/>
          <w:szCs w:val="21"/>
        </w:rPr>
        <w:t>代缴个税税单、参加社会保险的《投保单》或《社会保险参保人员证明》等</w:t>
      </w:r>
      <w:r>
        <w:rPr>
          <w:rFonts w:hint="eastAsia" w:ascii="宋体" w:hAnsi="宋体"/>
          <w:szCs w:val="21"/>
          <w:lang w:eastAsia="zh-CN"/>
        </w:rPr>
        <w:t>，具体见评分标准对应评分项</w:t>
      </w:r>
      <w:r>
        <w:rPr>
          <w:rFonts w:hint="eastAsia" w:ascii="宋体" w:hAnsi="宋体"/>
          <w:szCs w:val="21"/>
        </w:rPr>
        <w:t>。</w:t>
      </w:r>
    </w:p>
    <w:p>
      <w:pPr>
        <w:snapToGrid w:val="0"/>
        <w:spacing w:before="50" w:afterLines="50" w:line="360" w:lineRule="auto"/>
        <w:jc w:val="left"/>
        <w:rPr>
          <w:rFonts w:ascii="宋体" w:hAnsi="宋体"/>
          <w:sz w:val="24"/>
          <w:szCs w:val="20"/>
        </w:rPr>
      </w:pPr>
    </w:p>
    <w:p>
      <w:pPr>
        <w:snapToGrid w:val="0"/>
        <w:spacing w:before="5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供应商代表签字或电子印章：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bookmarkStart w:id="90" w:name="_Toc17888"/>
    </w:p>
    <w:p>
      <w:pPr>
        <w:spacing w:line="360" w:lineRule="auto"/>
        <w:outlineLvl w:val="0"/>
        <w:rPr>
          <w:rFonts w:ascii="宋体" w:hAnsi="宋体"/>
        </w:rPr>
      </w:pPr>
      <w:r>
        <w:rPr>
          <w:rFonts w:hint="eastAsia" w:ascii="宋体" w:hAnsi="宋体"/>
          <w:b/>
          <w:sz w:val="28"/>
        </w:rPr>
        <w:t>附件</w:t>
      </w:r>
      <w:bookmarkEnd w:id="90"/>
      <w:r>
        <w:rPr>
          <w:rFonts w:hint="eastAsia" w:ascii="宋体" w:hAnsi="宋体"/>
          <w:b/>
          <w:sz w:val="28"/>
        </w:rPr>
        <w:t>8</w:t>
      </w:r>
    </w:p>
    <w:p>
      <w:pPr>
        <w:spacing w:beforeLines="50" w:afterLines="50" w:line="360" w:lineRule="auto"/>
        <w:ind w:right="-10"/>
        <w:jc w:val="center"/>
        <w:rPr>
          <w:rFonts w:ascii="宋体" w:hAnsi="宋体"/>
          <w:b/>
          <w:bCs/>
          <w:sz w:val="32"/>
          <w:szCs w:val="32"/>
        </w:rPr>
      </w:pPr>
      <w:bookmarkStart w:id="91" w:name="_Toc12710_WPSOffice_Level1"/>
      <w:bookmarkStart w:id="92" w:name="_Toc23055_WPSOffice_Level1"/>
      <w:r>
        <w:rPr>
          <w:rFonts w:hint="eastAsia" w:ascii="宋体" w:hAnsi="宋体"/>
          <w:b/>
          <w:bCs/>
          <w:sz w:val="32"/>
          <w:szCs w:val="32"/>
        </w:rPr>
        <w:t>项目负责人资格情况表</w:t>
      </w:r>
      <w:bookmarkEnd w:id="91"/>
      <w:bookmarkEnd w:id="92"/>
    </w:p>
    <w:p>
      <w:pPr>
        <w:spacing w:line="360" w:lineRule="auto"/>
        <w:rPr>
          <w:rFonts w:ascii="宋体" w:hAnsi="宋体"/>
        </w:rPr>
      </w:pPr>
      <w:r>
        <w:rPr>
          <w:rFonts w:hint="eastAsia" w:ascii="宋体" w:hAnsi="宋体"/>
        </w:rPr>
        <w:t>项目名称：                                            项目编号：</w:t>
      </w:r>
    </w:p>
    <w:tbl>
      <w:tblPr>
        <w:tblStyle w:val="22"/>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供应商代表签字或电子印章：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50" w:after="50" w:line="360" w:lineRule="auto"/>
        <w:outlineLvl w:val="0"/>
        <w:rPr>
          <w:rFonts w:ascii="宋体" w:hAnsi="宋体"/>
          <w:sz w:val="24"/>
        </w:rPr>
      </w:pPr>
      <w:bookmarkStart w:id="93" w:name="_Toc18391"/>
      <w:r>
        <w:rPr>
          <w:rFonts w:hint="eastAsia" w:ascii="宋体" w:hAnsi="宋体"/>
          <w:b/>
          <w:sz w:val="28"/>
        </w:rPr>
        <w:t>附件</w:t>
      </w:r>
      <w:bookmarkEnd w:id="93"/>
      <w:r>
        <w:rPr>
          <w:rFonts w:hint="eastAsia" w:ascii="宋体" w:hAnsi="宋体"/>
          <w:b/>
          <w:sz w:val="28"/>
        </w:rPr>
        <w:t>9</w:t>
      </w:r>
    </w:p>
    <w:p>
      <w:pPr>
        <w:spacing w:line="360" w:lineRule="auto"/>
        <w:ind w:left="420"/>
        <w:rPr>
          <w:rFonts w:ascii="宋体" w:hAnsi="宋体"/>
          <w:sz w:val="24"/>
        </w:rPr>
      </w:pPr>
    </w:p>
    <w:p>
      <w:pPr>
        <w:spacing w:line="360" w:lineRule="auto"/>
        <w:ind w:left="480"/>
        <w:jc w:val="center"/>
        <w:rPr>
          <w:rFonts w:ascii="宋体" w:hAnsi="宋体"/>
          <w:b/>
          <w:bCs/>
          <w:sz w:val="32"/>
          <w:szCs w:val="32"/>
        </w:rPr>
      </w:pPr>
      <w:bookmarkStart w:id="94" w:name="_Toc12856_WPSOffice_Level1"/>
      <w:bookmarkStart w:id="95" w:name="_Toc26601_WPSOffice_Level1"/>
      <w:r>
        <w:rPr>
          <w:rFonts w:ascii="宋体" w:hAnsi="宋体"/>
          <w:b/>
          <w:bCs/>
          <w:kern w:val="0"/>
          <w:sz w:val="32"/>
          <w:szCs w:val="32"/>
        </w:rPr>
        <w:t>技术</w:t>
      </w:r>
      <w:r>
        <w:rPr>
          <w:rFonts w:hint="eastAsia" w:ascii="宋体" w:hAnsi="宋体"/>
          <w:b/>
          <w:bCs/>
          <w:kern w:val="0"/>
          <w:sz w:val="32"/>
          <w:szCs w:val="32"/>
        </w:rPr>
        <w:t>需求</w:t>
      </w:r>
      <w:r>
        <w:rPr>
          <w:rFonts w:ascii="宋体" w:hAnsi="宋体"/>
          <w:b/>
          <w:bCs/>
          <w:kern w:val="0"/>
          <w:sz w:val="32"/>
          <w:szCs w:val="32"/>
        </w:rPr>
        <w:t>响应表</w:t>
      </w:r>
      <w:bookmarkEnd w:id="94"/>
      <w:bookmarkEnd w:id="95"/>
    </w:p>
    <w:tbl>
      <w:tblPr>
        <w:tblStyle w:val="22"/>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048"/>
        <w:gridCol w:w="2011"/>
        <w:gridCol w:w="2473"/>
        <w:gridCol w:w="1547"/>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892" w:type="dxa"/>
            <w:vAlign w:val="center"/>
          </w:tcPr>
          <w:p>
            <w:pPr>
              <w:jc w:val="center"/>
              <w:rPr>
                <w:rFonts w:ascii="宋体" w:hAnsi="宋体"/>
                <w:b/>
                <w:sz w:val="24"/>
              </w:rPr>
            </w:pPr>
            <w:r>
              <w:rPr>
                <w:rFonts w:hint="eastAsia" w:ascii="宋体" w:hAnsi="宋体"/>
                <w:b/>
                <w:sz w:val="24"/>
              </w:rPr>
              <w:t>序号</w:t>
            </w:r>
          </w:p>
        </w:tc>
        <w:tc>
          <w:tcPr>
            <w:tcW w:w="2048" w:type="dxa"/>
            <w:vAlign w:val="center"/>
          </w:tcPr>
          <w:p>
            <w:pPr>
              <w:jc w:val="center"/>
              <w:rPr>
                <w:rFonts w:ascii="宋体" w:hAnsi="宋体"/>
                <w:b/>
                <w:sz w:val="24"/>
              </w:rPr>
            </w:pPr>
            <w:r>
              <w:rPr>
                <w:rFonts w:hint="eastAsia" w:ascii="宋体" w:hAnsi="宋体"/>
                <w:b/>
                <w:sz w:val="24"/>
              </w:rPr>
              <w:t>内容</w:t>
            </w:r>
          </w:p>
        </w:tc>
        <w:tc>
          <w:tcPr>
            <w:tcW w:w="2011" w:type="dxa"/>
            <w:vAlign w:val="center"/>
          </w:tcPr>
          <w:p>
            <w:pPr>
              <w:jc w:val="center"/>
              <w:rPr>
                <w:rFonts w:ascii="宋体" w:hAnsi="宋体"/>
                <w:b/>
                <w:sz w:val="24"/>
              </w:rPr>
            </w:pPr>
            <w:r>
              <w:rPr>
                <w:rFonts w:hint="eastAsia" w:ascii="宋体" w:hAnsi="宋体"/>
                <w:b/>
                <w:sz w:val="24"/>
              </w:rPr>
              <w:t>磋商文件</w:t>
            </w:r>
          </w:p>
          <w:p>
            <w:pPr>
              <w:jc w:val="center"/>
              <w:rPr>
                <w:rFonts w:ascii="宋体" w:hAnsi="宋体"/>
                <w:b/>
                <w:sz w:val="24"/>
              </w:rPr>
            </w:pPr>
            <w:r>
              <w:rPr>
                <w:rFonts w:hint="eastAsia" w:ascii="宋体" w:hAnsi="宋体"/>
                <w:b/>
                <w:sz w:val="24"/>
              </w:rPr>
              <w:t>要求</w:t>
            </w:r>
          </w:p>
        </w:tc>
        <w:tc>
          <w:tcPr>
            <w:tcW w:w="2473" w:type="dxa"/>
            <w:vAlign w:val="center"/>
          </w:tcPr>
          <w:p>
            <w:pPr>
              <w:jc w:val="center"/>
              <w:rPr>
                <w:rFonts w:ascii="宋体" w:hAnsi="宋体"/>
                <w:b/>
                <w:sz w:val="24"/>
              </w:rPr>
            </w:pPr>
            <w:r>
              <w:rPr>
                <w:rFonts w:hint="eastAsia" w:ascii="宋体" w:hAnsi="宋体"/>
                <w:b/>
                <w:sz w:val="24"/>
              </w:rPr>
              <w:t>磋商响应文件</w:t>
            </w:r>
          </w:p>
          <w:p>
            <w:pPr>
              <w:jc w:val="center"/>
              <w:rPr>
                <w:rFonts w:ascii="宋体" w:hAnsi="宋体"/>
                <w:b/>
                <w:sz w:val="24"/>
              </w:rPr>
            </w:pPr>
            <w:r>
              <w:rPr>
                <w:rFonts w:hint="eastAsia" w:ascii="宋体" w:hAnsi="宋体"/>
                <w:b/>
                <w:sz w:val="24"/>
              </w:rPr>
              <w:t>响应</w:t>
            </w:r>
          </w:p>
        </w:tc>
        <w:tc>
          <w:tcPr>
            <w:tcW w:w="1547" w:type="dxa"/>
            <w:vAlign w:val="center"/>
          </w:tcPr>
          <w:p>
            <w:pPr>
              <w:jc w:val="center"/>
              <w:rPr>
                <w:rFonts w:ascii="宋体" w:hAnsi="宋体"/>
                <w:b/>
                <w:sz w:val="24"/>
              </w:rPr>
            </w:pPr>
            <w:r>
              <w:rPr>
                <w:rFonts w:hint="eastAsia" w:ascii="宋体" w:hAnsi="宋体"/>
                <w:b/>
                <w:sz w:val="24"/>
              </w:rPr>
              <w:t>偏离说明</w:t>
            </w:r>
          </w:p>
        </w:tc>
        <w:tc>
          <w:tcPr>
            <w:tcW w:w="825" w:type="dxa"/>
            <w:vAlign w:val="center"/>
          </w:tcPr>
          <w:p>
            <w:pPr>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92" w:type="dxa"/>
            <w:vAlign w:val="center"/>
          </w:tcPr>
          <w:p>
            <w:pPr>
              <w:rPr>
                <w:rFonts w:ascii="宋体" w:hAnsi="宋体"/>
                <w:sz w:val="24"/>
              </w:rPr>
            </w:pPr>
          </w:p>
        </w:tc>
        <w:tc>
          <w:tcPr>
            <w:tcW w:w="2048" w:type="dxa"/>
            <w:vAlign w:val="center"/>
          </w:tcPr>
          <w:p>
            <w:pPr>
              <w:rPr>
                <w:rFonts w:ascii="宋体" w:hAnsi="宋体"/>
                <w:sz w:val="24"/>
              </w:rPr>
            </w:pPr>
          </w:p>
        </w:tc>
        <w:tc>
          <w:tcPr>
            <w:tcW w:w="2011" w:type="dxa"/>
            <w:vAlign w:val="center"/>
          </w:tcPr>
          <w:p>
            <w:pPr>
              <w:rPr>
                <w:rFonts w:ascii="宋体" w:hAnsi="宋体"/>
                <w:sz w:val="24"/>
              </w:rPr>
            </w:pPr>
          </w:p>
        </w:tc>
        <w:tc>
          <w:tcPr>
            <w:tcW w:w="2473" w:type="dxa"/>
            <w:vAlign w:val="center"/>
          </w:tcPr>
          <w:p>
            <w:pPr>
              <w:rPr>
                <w:rFonts w:ascii="宋体" w:hAnsi="宋体"/>
                <w:sz w:val="24"/>
              </w:rPr>
            </w:pPr>
          </w:p>
        </w:tc>
        <w:tc>
          <w:tcPr>
            <w:tcW w:w="1547" w:type="dxa"/>
            <w:vAlign w:val="center"/>
          </w:tcPr>
          <w:p>
            <w:pPr>
              <w:rPr>
                <w:rFonts w:ascii="宋体" w:hAnsi="宋体"/>
                <w:sz w:val="24"/>
              </w:rPr>
            </w:pPr>
          </w:p>
        </w:tc>
        <w:tc>
          <w:tcPr>
            <w:tcW w:w="825"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892" w:type="dxa"/>
            <w:vAlign w:val="center"/>
          </w:tcPr>
          <w:p>
            <w:pPr>
              <w:rPr>
                <w:rFonts w:ascii="宋体" w:hAnsi="宋体"/>
                <w:sz w:val="24"/>
              </w:rPr>
            </w:pPr>
          </w:p>
        </w:tc>
        <w:tc>
          <w:tcPr>
            <w:tcW w:w="2048" w:type="dxa"/>
            <w:vAlign w:val="center"/>
          </w:tcPr>
          <w:p>
            <w:pPr>
              <w:rPr>
                <w:rFonts w:ascii="宋体" w:hAnsi="宋体"/>
                <w:sz w:val="24"/>
              </w:rPr>
            </w:pPr>
          </w:p>
        </w:tc>
        <w:tc>
          <w:tcPr>
            <w:tcW w:w="2011" w:type="dxa"/>
            <w:vAlign w:val="center"/>
          </w:tcPr>
          <w:p>
            <w:pPr>
              <w:rPr>
                <w:rFonts w:ascii="宋体" w:hAnsi="宋体"/>
                <w:sz w:val="24"/>
              </w:rPr>
            </w:pPr>
          </w:p>
        </w:tc>
        <w:tc>
          <w:tcPr>
            <w:tcW w:w="2473" w:type="dxa"/>
            <w:vAlign w:val="center"/>
          </w:tcPr>
          <w:p>
            <w:pPr>
              <w:rPr>
                <w:rFonts w:ascii="宋体" w:hAnsi="宋体"/>
                <w:sz w:val="24"/>
              </w:rPr>
            </w:pPr>
          </w:p>
        </w:tc>
        <w:tc>
          <w:tcPr>
            <w:tcW w:w="1547" w:type="dxa"/>
            <w:vAlign w:val="center"/>
          </w:tcPr>
          <w:p>
            <w:pPr>
              <w:rPr>
                <w:rFonts w:ascii="宋体" w:hAnsi="宋体"/>
                <w:sz w:val="24"/>
              </w:rPr>
            </w:pPr>
          </w:p>
        </w:tc>
        <w:tc>
          <w:tcPr>
            <w:tcW w:w="825"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892" w:type="dxa"/>
            <w:vAlign w:val="center"/>
          </w:tcPr>
          <w:p>
            <w:pPr>
              <w:rPr>
                <w:rFonts w:ascii="宋体" w:hAnsi="宋体"/>
                <w:sz w:val="24"/>
              </w:rPr>
            </w:pPr>
          </w:p>
        </w:tc>
        <w:tc>
          <w:tcPr>
            <w:tcW w:w="2048" w:type="dxa"/>
            <w:vAlign w:val="center"/>
          </w:tcPr>
          <w:p>
            <w:pPr>
              <w:rPr>
                <w:rFonts w:ascii="宋体" w:hAnsi="宋体"/>
                <w:sz w:val="24"/>
              </w:rPr>
            </w:pPr>
          </w:p>
        </w:tc>
        <w:tc>
          <w:tcPr>
            <w:tcW w:w="2011" w:type="dxa"/>
            <w:vAlign w:val="center"/>
          </w:tcPr>
          <w:p>
            <w:pPr>
              <w:rPr>
                <w:rFonts w:ascii="宋体" w:hAnsi="宋体"/>
                <w:sz w:val="24"/>
              </w:rPr>
            </w:pPr>
          </w:p>
        </w:tc>
        <w:tc>
          <w:tcPr>
            <w:tcW w:w="2473" w:type="dxa"/>
            <w:vAlign w:val="center"/>
          </w:tcPr>
          <w:p>
            <w:pPr>
              <w:rPr>
                <w:rFonts w:ascii="宋体" w:hAnsi="宋体"/>
                <w:sz w:val="24"/>
              </w:rPr>
            </w:pPr>
          </w:p>
        </w:tc>
        <w:tc>
          <w:tcPr>
            <w:tcW w:w="1547" w:type="dxa"/>
            <w:vAlign w:val="center"/>
          </w:tcPr>
          <w:p>
            <w:pPr>
              <w:rPr>
                <w:rFonts w:ascii="宋体" w:hAnsi="宋体"/>
                <w:sz w:val="24"/>
              </w:rPr>
            </w:pPr>
          </w:p>
        </w:tc>
        <w:tc>
          <w:tcPr>
            <w:tcW w:w="825"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892" w:type="dxa"/>
            <w:vAlign w:val="center"/>
          </w:tcPr>
          <w:p>
            <w:pPr>
              <w:rPr>
                <w:rFonts w:ascii="宋体" w:hAnsi="宋体"/>
                <w:sz w:val="24"/>
              </w:rPr>
            </w:pPr>
          </w:p>
        </w:tc>
        <w:tc>
          <w:tcPr>
            <w:tcW w:w="2048" w:type="dxa"/>
            <w:vAlign w:val="center"/>
          </w:tcPr>
          <w:p>
            <w:pPr>
              <w:rPr>
                <w:rFonts w:ascii="宋体" w:hAnsi="宋体"/>
                <w:sz w:val="24"/>
              </w:rPr>
            </w:pPr>
          </w:p>
        </w:tc>
        <w:tc>
          <w:tcPr>
            <w:tcW w:w="2011" w:type="dxa"/>
            <w:vAlign w:val="center"/>
          </w:tcPr>
          <w:p>
            <w:pPr>
              <w:rPr>
                <w:rFonts w:ascii="宋体" w:hAnsi="宋体"/>
                <w:sz w:val="24"/>
              </w:rPr>
            </w:pPr>
          </w:p>
        </w:tc>
        <w:tc>
          <w:tcPr>
            <w:tcW w:w="2473" w:type="dxa"/>
            <w:vAlign w:val="center"/>
          </w:tcPr>
          <w:p>
            <w:pPr>
              <w:rPr>
                <w:rFonts w:ascii="宋体" w:hAnsi="宋体"/>
                <w:sz w:val="24"/>
              </w:rPr>
            </w:pPr>
          </w:p>
        </w:tc>
        <w:tc>
          <w:tcPr>
            <w:tcW w:w="1547" w:type="dxa"/>
            <w:vAlign w:val="center"/>
          </w:tcPr>
          <w:p>
            <w:pPr>
              <w:rPr>
                <w:rFonts w:ascii="宋体" w:hAnsi="宋体"/>
                <w:sz w:val="24"/>
              </w:rPr>
            </w:pPr>
          </w:p>
        </w:tc>
        <w:tc>
          <w:tcPr>
            <w:tcW w:w="825"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92" w:type="dxa"/>
            <w:vAlign w:val="center"/>
          </w:tcPr>
          <w:p>
            <w:pPr>
              <w:rPr>
                <w:rFonts w:ascii="宋体" w:hAnsi="宋体"/>
                <w:sz w:val="24"/>
              </w:rPr>
            </w:pPr>
          </w:p>
        </w:tc>
        <w:tc>
          <w:tcPr>
            <w:tcW w:w="2048" w:type="dxa"/>
            <w:vAlign w:val="center"/>
          </w:tcPr>
          <w:p>
            <w:pPr>
              <w:rPr>
                <w:rFonts w:ascii="宋体" w:hAnsi="宋体"/>
                <w:sz w:val="24"/>
              </w:rPr>
            </w:pPr>
          </w:p>
        </w:tc>
        <w:tc>
          <w:tcPr>
            <w:tcW w:w="2011" w:type="dxa"/>
            <w:vAlign w:val="center"/>
          </w:tcPr>
          <w:p>
            <w:pPr>
              <w:rPr>
                <w:rFonts w:ascii="宋体" w:hAnsi="宋体"/>
                <w:sz w:val="24"/>
              </w:rPr>
            </w:pPr>
          </w:p>
        </w:tc>
        <w:tc>
          <w:tcPr>
            <w:tcW w:w="2473" w:type="dxa"/>
            <w:vAlign w:val="center"/>
          </w:tcPr>
          <w:p>
            <w:pPr>
              <w:rPr>
                <w:rFonts w:ascii="宋体" w:hAnsi="宋体"/>
                <w:sz w:val="24"/>
              </w:rPr>
            </w:pPr>
          </w:p>
        </w:tc>
        <w:tc>
          <w:tcPr>
            <w:tcW w:w="1547" w:type="dxa"/>
            <w:vAlign w:val="center"/>
          </w:tcPr>
          <w:p>
            <w:pPr>
              <w:rPr>
                <w:rFonts w:ascii="宋体" w:hAnsi="宋体"/>
                <w:sz w:val="24"/>
              </w:rPr>
            </w:pPr>
          </w:p>
        </w:tc>
        <w:tc>
          <w:tcPr>
            <w:tcW w:w="825"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892" w:type="dxa"/>
            <w:vAlign w:val="center"/>
          </w:tcPr>
          <w:p>
            <w:pPr>
              <w:rPr>
                <w:rFonts w:ascii="宋体" w:hAnsi="宋体"/>
                <w:sz w:val="24"/>
              </w:rPr>
            </w:pPr>
          </w:p>
        </w:tc>
        <w:tc>
          <w:tcPr>
            <w:tcW w:w="2048" w:type="dxa"/>
            <w:vAlign w:val="center"/>
          </w:tcPr>
          <w:p>
            <w:pPr>
              <w:rPr>
                <w:rFonts w:ascii="宋体" w:hAnsi="宋体"/>
                <w:sz w:val="24"/>
              </w:rPr>
            </w:pPr>
          </w:p>
        </w:tc>
        <w:tc>
          <w:tcPr>
            <w:tcW w:w="2011" w:type="dxa"/>
            <w:vAlign w:val="center"/>
          </w:tcPr>
          <w:p>
            <w:pPr>
              <w:rPr>
                <w:rFonts w:ascii="宋体" w:hAnsi="宋体"/>
                <w:sz w:val="24"/>
              </w:rPr>
            </w:pPr>
          </w:p>
        </w:tc>
        <w:tc>
          <w:tcPr>
            <w:tcW w:w="2473" w:type="dxa"/>
            <w:vAlign w:val="center"/>
          </w:tcPr>
          <w:p>
            <w:pPr>
              <w:rPr>
                <w:rFonts w:ascii="宋体" w:hAnsi="宋体"/>
                <w:sz w:val="24"/>
              </w:rPr>
            </w:pPr>
          </w:p>
        </w:tc>
        <w:tc>
          <w:tcPr>
            <w:tcW w:w="1547" w:type="dxa"/>
            <w:vAlign w:val="center"/>
          </w:tcPr>
          <w:p>
            <w:pPr>
              <w:rPr>
                <w:rFonts w:ascii="宋体" w:hAnsi="宋体"/>
                <w:sz w:val="24"/>
              </w:rPr>
            </w:pPr>
          </w:p>
        </w:tc>
        <w:tc>
          <w:tcPr>
            <w:tcW w:w="825"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892" w:type="dxa"/>
            <w:vAlign w:val="center"/>
          </w:tcPr>
          <w:p>
            <w:pPr>
              <w:rPr>
                <w:rFonts w:ascii="宋体" w:hAnsi="宋体"/>
                <w:sz w:val="24"/>
              </w:rPr>
            </w:pPr>
          </w:p>
        </w:tc>
        <w:tc>
          <w:tcPr>
            <w:tcW w:w="2048" w:type="dxa"/>
            <w:vAlign w:val="center"/>
          </w:tcPr>
          <w:p>
            <w:pPr>
              <w:rPr>
                <w:rFonts w:ascii="宋体" w:hAnsi="宋体"/>
                <w:sz w:val="24"/>
              </w:rPr>
            </w:pPr>
          </w:p>
        </w:tc>
        <w:tc>
          <w:tcPr>
            <w:tcW w:w="2011" w:type="dxa"/>
            <w:vAlign w:val="center"/>
          </w:tcPr>
          <w:p>
            <w:pPr>
              <w:rPr>
                <w:rFonts w:ascii="宋体" w:hAnsi="宋体"/>
                <w:sz w:val="24"/>
              </w:rPr>
            </w:pPr>
          </w:p>
        </w:tc>
        <w:tc>
          <w:tcPr>
            <w:tcW w:w="2473" w:type="dxa"/>
            <w:vAlign w:val="center"/>
          </w:tcPr>
          <w:p>
            <w:pPr>
              <w:rPr>
                <w:rFonts w:ascii="宋体" w:hAnsi="宋体"/>
                <w:sz w:val="24"/>
              </w:rPr>
            </w:pPr>
          </w:p>
        </w:tc>
        <w:tc>
          <w:tcPr>
            <w:tcW w:w="1547" w:type="dxa"/>
            <w:vAlign w:val="center"/>
          </w:tcPr>
          <w:p>
            <w:pPr>
              <w:rPr>
                <w:rFonts w:ascii="宋体" w:hAnsi="宋体"/>
                <w:sz w:val="24"/>
              </w:rPr>
            </w:pPr>
          </w:p>
        </w:tc>
        <w:tc>
          <w:tcPr>
            <w:tcW w:w="825" w:type="dxa"/>
          </w:tcPr>
          <w:p>
            <w:pPr>
              <w:rPr>
                <w:rFonts w:ascii="宋体" w:hAnsi="宋体"/>
                <w:sz w:val="24"/>
              </w:rPr>
            </w:pPr>
          </w:p>
        </w:tc>
      </w:tr>
    </w:tbl>
    <w:p>
      <w:pPr>
        <w:pStyle w:val="32"/>
        <w:tabs>
          <w:tab w:val="left" w:pos="360"/>
        </w:tabs>
        <w:spacing w:line="360" w:lineRule="auto"/>
        <w:ind w:right="84" w:rightChars="40" w:firstLine="422" w:firstLineChars="200"/>
        <w:rPr>
          <w:rFonts w:ascii="宋体"/>
          <w:b/>
          <w:szCs w:val="21"/>
        </w:rPr>
      </w:pPr>
      <w:r>
        <w:rPr>
          <w:rFonts w:hint="eastAsia" w:ascii="宋体"/>
          <w:b/>
          <w:szCs w:val="21"/>
        </w:rPr>
        <w:t>要求：</w:t>
      </w:r>
    </w:p>
    <w:p>
      <w:pPr>
        <w:pStyle w:val="32"/>
        <w:spacing w:line="360" w:lineRule="auto"/>
        <w:ind w:right="84" w:rightChars="40" w:firstLine="420" w:firstLineChars="200"/>
        <w:rPr>
          <w:rFonts w:ascii="宋体"/>
          <w:szCs w:val="21"/>
        </w:rPr>
      </w:pPr>
      <w:r>
        <w:rPr>
          <w:rFonts w:hint="eastAsia" w:ascii="宋体"/>
          <w:szCs w:val="21"/>
        </w:rPr>
        <w:t>1.本表参照本磋商文件第三章“项目需求”内第二条“技术需求”填制，供应商应根据</w:t>
      </w:r>
      <w:r>
        <w:rPr>
          <w:rFonts w:hint="eastAsia"/>
          <w:szCs w:val="21"/>
        </w:rPr>
        <w:t>各指标项逐条说明，写出各磋商要求的具体响应内容</w:t>
      </w:r>
      <w:r>
        <w:rPr>
          <w:rFonts w:hint="eastAsia" w:ascii="宋体"/>
          <w:szCs w:val="21"/>
        </w:rPr>
        <w:t>，对照磋商文件要求在“偏离情况”栏注明“正偏离”、“负偏离”或“无偏离”。</w:t>
      </w:r>
    </w:p>
    <w:p>
      <w:pPr>
        <w:pStyle w:val="32"/>
        <w:spacing w:line="360" w:lineRule="auto"/>
        <w:ind w:right="84" w:rightChars="40" w:firstLine="420" w:firstLineChars="200"/>
        <w:rPr>
          <w:rFonts w:ascii="宋体"/>
          <w:szCs w:val="21"/>
        </w:rPr>
      </w:pPr>
      <w:r>
        <w:rPr>
          <w:rFonts w:hint="eastAsia" w:ascii="宋体"/>
          <w:szCs w:val="21"/>
        </w:rPr>
        <w:t>2.对于技术偏离情况需严格按照磋商文件的技术要求一一比对给出，未达到技术要求中规定的应以负偏离标注。若因技术实现方式等其他问题而导致的理解不同未标注负偏离的，需在备注中具体说明；若未按要求标注负偏离又未予以说明的，评审小组将视偏离程度给予扣分或认定为虚假应标。</w:t>
      </w:r>
    </w:p>
    <w:p>
      <w:pPr>
        <w:pStyle w:val="32"/>
        <w:spacing w:line="360" w:lineRule="auto"/>
        <w:ind w:right="84" w:rightChars="40" w:firstLine="420" w:firstLineChars="200"/>
        <w:rPr>
          <w:rFonts w:ascii="宋体"/>
          <w:szCs w:val="21"/>
        </w:rPr>
      </w:pPr>
      <w:r>
        <w:rPr>
          <w:rFonts w:hint="eastAsia" w:ascii="宋体"/>
          <w:szCs w:val="21"/>
        </w:rPr>
        <w:t>3.行数不够自行添加。</w:t>
      </w:r>
    </w:p>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供应商代表签字或电子印章：</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line="360" w:lineRule="auto"/>
        <w:jc w:val="center"/>
        <w:rPr>
          <w:rFonts w:hAnsi="宋体" w:cs="宋体"/>
          <w:szCs w:val="21"/>
        </w:rPr>
      </w:pPr>
      <w:bookmarkStart w:id="96" w:name="_Toc20060"/>
    </w:p>
    <w:p>
      <w:pPr>
        <w:pStyle w:val="33"/>
        <w:spacing w:line="360" w:lineRule="auto"/>
        <w:jc w:val="left"/>
        <w:outlineLvl w:val="0"/>
        <w:rPr>
          <w:rFonts w:ascii="宋体" w:hAnsi="宋体"/>
          <w:b/>
          <w:sz w:val="28"/>
        </w:rPr>
      </w:pPr>
      <w:r>
        <w:rPr>
          <w:rFonts w:hint="eastAsia" w:ascii="宋体" w:hAnsi="宋体"/>
          <w:b/>
          <w:sz w:val="28"/>
        </w:rPr>
        <w:t>附件</w:t>
      </w:r>
      <w:bookmarkEnd w:id="96"/>
      <w:r>
        <w:rPr>
          <w:rFonts w:hint="eastAsia" w:ascii="宋体" w:hAnsi="宋体"/>
          <w:b/>
          <w:sz w:val="28"/>
        </w:rPr>
        <w:t>10</w:t>
      </w:r>
    </w:p>
    <w:p>
      <w:pPr>
        <w:pStyle w:val="34"/>
        <w:spacing w:line="360" w:lineRule="auto"/>
        <w:jc w:val="center"/>
        <w:rPr>
          <w:rFonts w:ascii="宋体" w:hAnsi="宋体"/>
          <w:b/>
          <w:sz w:val="32"/>
          <w:szCs w:val="32"/>
        </w:rPr>
      </w:pPr>
      <w:bookmarkStart w:id="97" w:name="_Toc17604_WPSOffice_Level1"/>
      <w:bookmarkStart w:id="98" w:name="_Toc11030_WPSOffice_Level1"/>
      <w:r>
        <w:rPr>
          <w:rFonts w:hint="eastAsia" w:ascii="宋体" w:hAnsi="宋体"/>
          <w:b/>
          <w:sz w:val="32"/>
          <w:szCs w:val="32"/>
        </w:rPr>
        <w:t>证书一览表</w:t>
      </w:r>
      <w:bookmarkEnd w:id="97"/>
      <w:bookmarkEnd w:id="98"/>
    </w:p>
    <w:p>
      <w:pPr>
        <w:pStyle w:val="34"/>
        <w:spacing w:line="360" w:lineRule="auto"/>
        <w:jc w:val="center"/>
        <w:rPr>
          <w:rFonts w:ascii="宋体" w:hAnsi="宋体" w:cs="Arial"/>
          <w:sz w:val="28"/>
          <w:szCs w:val="28"/>
        </w:rPr>
      </w:pPr>
    </w:p>
    <w:tbl>
      <w:tblPr>
        <w:tblStyle w:val="22"/>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7" w:type="dxa"/>
            <w:tcBorders>
              <w:top w:val="single" w:color="auto" w:sz="4" w:space="0"/>
              <w:left w:val="single" w:color="auto" w:sz="4" w:space="0"/>
              <w:bottom w:val="single" w:color="auto" w:sz="4" w:space="0"/>
            </w:tcBorders>
            <w:vAlign w:val="center"/>
          </w:tcPr>
          <w:p>
            <w:pPr>
              <w:pStyle w:val="34"/>
              <w:jc w:val="center"/>
              <w:rPr>
                <w:rFonts w:ascii="宋体" w:hAnsi="宋体" w:cs="Arial"/>
                <w:b/>
                <w:bCs/>
                <w:sz w:val="24"/>
              </w:rPr>
            </w:pPr>
            <w:r>
              <w:rPr>
                <w:rFonts w:hint="eastAsia" w:ascii="宋体" w:hAnsi="宋体" w:cs="Arial"/>
                <w:b/>
                <w:bCs/>
                <w:sz w:val="24"/>
              </w:rPr>
              <w:t>证书名称</w:t>
            </w:r>
          </w:p>
        </w:tc>
        <w:tc>
          <w:tcPr>
            <w:tcW w:w="2258" w:type="dxa"/>
            <w:tcBorders>
              <w:top w:val="single" w:color="auto" w:sz="4" w:space="0"/>
              <w:bottom w:val="single" w:color="auto" w:sz="4" w:space="0"/>
            </w:tcBorders>
            <w:vAlign w:val="center"/>
          </w:tcPr>
          <w:p>
            <w:pPr>
              <w:pStyle w:val="34"/>
              <w:jc w:val="center"/>
              <w:rPr>
                <w:rFonts w:ascii="宋体" w:hAnsi="宋体" w:cs="Arial"/>
                <w:b/>
                <w:bCs/>
                <w:sz w:val="24"/>
              </w:rPr>
            </w:pPr>
            <w:r>
              <w:rPr>
                <w:rFonts w:hint="eastAsia" w:ascii="宋体" w:hAnsi="宋体" w:cs="Arial"/>
                <w:b/>
                <w:bCs/>
                <w:sz w:val="24"/>
              </w:rPr>
              <w:t>发证单位</w:t>
            </w:r>
          </w:p>
        </w:tc>
        <w:tc>
          <w:tcPr>
            <w:tcW w:w="2260" w:type="dxa"/>
            <w:tcBorders>
              <w:top w:val="single" w:color="auto" w:sz="4" w:space="0"/>
              <w:bottom w:val="single" w:color="auto" w:sz="4" w:space="0"/>
            </w:tcBorders>
            <w:vAlign w:val="center"/>
          </w:tcPr>
          <w:p>
            <w:pPr>
              <w:pStyle w:val="34"/>
              <w:jc w:val="center"/>
              <w:rPr>
                <w:rFonts w:ascii="宋体" w:hAnsi="宋体" w:cs="Arial"/>
                <w:b/>
                <w:bCs/>
                <w:sz w:val="24"/>
              </w:rPr>
            </w:pPr>
            <w:r>
              <w:rPr>
                <w:rFonts w:hint="eastAsia" w:ascii="宋体" w:hAnsi="宋体" w:cs="Arial"/>
                <w:b/>
                <w:bCs/>
                <w:sz w:val="24"/>
              </w:rPr>
              <w:t>证书等级</w:t>
            </w:r>
          </w:p>
        </w:tc>
        <w:tc>
          <w:tcPr>
            <w:tcW w:w="2047" w:type="dxa"/>
            <w:tcBorders>
              <w:top w:val="single" w:color="auto" w:sz="4" w:space="0"/>
              <w:bottom w:val="single" w:color="auto" w:sz="4" w:space="0"/>
              <w:right w:val="single" w:color="auto" w:sz="4" w:space="0"/>
            </w:tcBorders>
            <w:vAlign w:val="center"/>
          </w:tcPr>
          <w:p>
            <w:pPr>
              <w:pStyle w:val="34"/>
              <w:jc w:val="center"/>
              <w:rPr>
                <w:rFonts w:ascii="宋体" w:hAnsi="宋体" w:cs="Arial"/>
                <w:b/>
                <w:bCs/>
                <w:sz w:val="24"/>
              </w:rPr>
            </w:pPr>
            <w:r>
              <w:rPr>
                <w:rFonts w:hint="eastAsia" w:ascii="宋体" w:hAnsi="宋体" w:cs="Arial"/>
                <w:b/>
                <w:bCs/>
                <w:sz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7" w:type="dxa"/>
            <w:tcBorders>
              <w:top w:val="single" w:color="auto" w:sz="4" w:space="0"/>
              <w:left w:val="single" w:color="auto" w:sz="4" w:space="0"/>
            </w:tcBorders>
            <w:vAlign w:val="center"/>
          </w:tcPr>
          <w:p>
            <w:pPr>
              <w:pStyle w:val="34"/>
              <w:jc w:val="center"/>
              <w:rPr>
                <w:rFonts w:ascii="宋体" w:hAnsi="宋体" w:cs="Arial"/>
                <w:szCs w:val="21"/>
              </w:rPr>
            </w:pPr>
          </w:p>
        </w:tc>
        <w:tc>
          <w:tcPr>
            <w:tcW w:w="2258" w:type="dxa"/>
            <w:tcBorders>
              <w:top w:val="single" w:color="auto" w:sz="4" w:space="0"/>
            </w:tcBorders>
            <w:vAlign w:val="center"/>
          </w:tcPr>
          <w:p>
            <w:pPr>
              <w:pStyle w:val="34"/>
              <w:jc w:val="center"/>
              <w:rPr>
                <w:rFonts w:ascii="宋体" w:hAnsi="宋体" w:cs="Arial"/>
                <w:szCs w:val="21"/>
              </w:rPr>
            </w:pPr>
          </w:p>
        </w:tc>
        <w:tc>
          <w:tcPr>
            <w:tcW w:w="2260" w:type="dxa"/>
            <w:tcBorders>
              <w:top w:val="single" w:color="auto" w:sz="4" w:space="0"/>
            </w:tcBorders>
            <w:vAlign w:val="center"/>
          </w:tcPr>
          <w:p>
            <w:pPr>
              <w:pStyle w:val="34"/>
              <w:jc w:val="center"/>
              <w:rPr>
                <w:rFonts w:ascii="宋体" w:hAnsi="宋体" w:cs="Arial"/>
                <w:szCs w:val="21"/>
              </w:rPr>
            </w:pPr>
          </w:p>
        </w:tc>
        <w:tc>
          <w:tcPr>
            <w:tcW w:w="2047" w:type="dxa"/>
            <w:tcBorders>
              <w:top w:val="single" w:color="auto" w:sz="4" w:space="0"/>
              <w:right w:val="single" w:color="auto" w:sz="4" w:space="0"/>
            </w:tcBorders>
            <w:vAlign w:val="center"/>
          </w:tcPr>
          <w:p>
            <w:pPr>
              <w:pStyle w:val="34"/>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7" w:type="dxa"/>
            <w:tcBorders>
              <w:left w:val="single" w:color="auto" w:sz="4" w:space="0"/>
            </w:tcBorders>
            <w:vAlign w:val="center"/>
          </w:tcPr>
          <w:p>
            <w:pPr>
              <w:pStyle w:val="34"/>
              <w:jc w:val="center"/>
              <w:rPr>
                <w:rFonts w:ascii="宋体" w:hAnsi="宋体" w:cs="Arial"/>
                <w:szCs w:val="21"/>
              </w:rPr>
            </w:pPr>
          </w:p>
        </w:tc>
        <w:tc>
          <w:tcPr>
            <w:tcW w:w="2258" w:type="dxa"/>
            <w:vAlign w:val="center"/>
          </w:tcPr>
          <w:p>
            <w:pPr>
              <w:pStyle w:val="34"/>
              <w:jc w:val="center"/>
              <w:rPr>
                <w:rFonts w:ascii="宋体" w:hAnsi="宋体" w:cs="Arial"/>
                <w:szCs w:val="21"/>
              </w:rPr>
            </w:pPr>
          </w:p>
        </w:tc>
        <w:tc>
          <w:tcPr>
            <w:tcW w:w="2260" w:type="dxa"/>
            <w:vAlign w:val="center"/>
          </w:tcPr>
          <w:p>
            <w:pPr>
              <w:pStyle w:val="34"/>
              <w:jc w:val="center"/>
              <w:rPr>
                <w:rFonts w:ascii="宋体" w:hAnsi="宋体" w:cs="Arial"/>
                <w:szCs w:val="21"/>
              </w:rPr>
            </w:pPr>
          </w:p>
        </w:tc>
        <w:tc>
          <w:tcPr>
            <w:tcW w:w="2047" w:type="dxa"/>
            <w:tcBorders>
              <w:right w:val="single" w:color="auto" w:sz="4" w:space="0"/>
            </w:tcBorders>
            <w:vAlign w:val="center"/>
          </w:tcPr>
          <w:p>
            <w:pPr>
              <w:pStyle w:val="34"/>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7" w:type="dxa"/>
            <w:tcBorders>
              <w:left w:val="single" w:color="auto" w:sz="4" w:space="0"/>
            </w:tcBorders>
            <w:vAlign w:val="center"/>
          </w:tcPr>
          <w:p>
            <w:pPr>
              <w:pStyle w:val="34"/>
              <w:jc w:val="center"/>
              <w:rPr>
                <w:rFonts w:ascii="宋体" w:hAnsi="宋体" w:cs="Arial"/>
                <w:szCs w:val="21"/>
              </w:rPr>
            </w:pPr>
          </w:p>
        </w:tc>
        <w:tc>
          <w:tcPr>
            <w:tcW w:w="2258" w:type="dxa"/>
            <w:vAlign w:val="center"/>
          </w:tcPr>
          <w:p>
            <w:pPr>
              <w:pStyle w:val="34"/>
              <w:jc w:val="center"/>
              <w:rPr>
                <w:rFonts w:ascii="宋体" w:hAnsi="宋体" w:cs="Arial"/>
                <w:szCs w:val="21"/>
              </w:rPr>
            </w:pPr>
          </w:p>
        </w:tc>
        <w:tc>
          <w:tcPr>
            <w:tcW w:w="2260" w:type="dxa"/>
            <w:vAlign w:val="center"/>
          </w:tcPr>
          <w:p>
            <w:pPr>
              <w:pStyle w:val="34"/>
              <w:jc w:val="center"/>
              <w:rPr>
                <w:rFonts w:ascii="宋体" w:hAnsi="宋体" w:cs="Arial"/>
                <w:szCs w:val="21"/>
              </w:rPr>
            </w:pPr>
          </w:p>
        </w:tc>
        <w:tc>
          <w:tcPr>
            <w:tcW w:w="2047" w:type="dxa"/>
            <w:tcBorders>
              <w:right w:val="single" w:color="auto" w:sz="4" w:space="0"/>
            </w:tcBorders>
            <w:vAlign w:val="center"/>
          </w:tcPr>
          <w:p>
            <w:pPr>
              <w:pStyle w:val="34"/>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7" w:type="dxa"/>
            <w:tcBorders>
              <w:left w:val="single" w:color="auto" w:sz="4" w:space="0"/>
            </w:tcBorders>
            <w:vAlign w:val="center"/>
          </w:tcPr>
          <w:p>
            <w:pPr>
              <w:pStyle w:val="34"/>
              <w:jc w:val="center"/>
              <w:rPr>
                <w:rFonts w:ascii="宋体" w:hAnsi="宋体" w:cs="Arial"/>
                <w:szCs w:val="21"/>
              </w:rPr>
            </w:pPr>
          </w:p>
        </w:tc>
        <w:tc>
          <w:tcPr>
            <w:tcW w:w="2258" w:type="dxa"/>
            <w:vAlign w:val="center"/>
          </w:tcPr>
          <w:p>
            <w:pPr>
              <w:pStyle w:val="34"/>
              <w:jc w:val="center"/>
              <w:rPr>
                <w:rFonts w:ascii="宋体" w:hAnsi="宋体" w:cs="Arial"/>
                <w:szCs w:val="21"/>
              </w:rPr>
            </w:pPr>
          </w:p>
        </w:tc>
        <w:tc>
          <w:tcPr>
            <w:tcW w:w="2260" w:type="dxa"/>
            <w:vAlign w:val="center"/>
          </w:tcPr>
          <w:p>
            <w:pPr>
              <w:pStyle w:val="34"/>
              <w:jc w:val="center"/>
              <w:rPr>
                <w:rFonts w:ascii="宋体" w:hAnsi="宋体" w:cs="Arial"/>
                <w:szCs w:val="21"/>
              </w:rPr>
            </w:pPr>
          </w:p>
        </w:tc>
        <w:tc>
          <w:tcPr>
            <w:tcW w:w="2047" w:type="dxa"/>
            <w:tcBorders>
              <w:right w:val="single" w:color="auto" w:sz="4" w:space="0"/>
            </w:tcBorders>
            <w:vAlign w:val="center"/>
          </w:tcPr>
          <w:p>
            <w:pPr>
              <w:pStyle w:val="34"/>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7" w:type="dxa"/>
            <w:tcBorders>
              <w:left w:val="single" w:color="auto" w:sz="4" w:space="0"/>
            </w:tcBorders>
            <w:vAlign w:val="center"/>
          </w:tcPr>
          <w:p>
            <w:pPr>
              <w:pStyle w:val="34"/>
              <w:jc w:val="center"/>
              <w:rPr>
                <w:rFonts w:ascii="宋体" w:hAnsi="宋体" w:cs="Arial"/>
                <w:szCs w:val="21"/>
              </w:rPr>
            </w:pPr>
          </w:p>
        </w:tc>
        <w:tc>
          <w:tcPr>
            <w:tcW w:w="2258" w:type="dxa"/>
            <w:vAlign w:val="center"/>
          </w:tcPr>
          <w:p>
            <w:pPr>
              <w:pStyle w:val="34"/>
              <w:jc w:val="center"/>
              <w:rPr>
                <w:rFonts w:ascii="宋体" w:hAnsi="宋体" w:cs="Arial"/>
                <w:szCs w:val="21"/>
              </w:rPr>
            </w:pPr>
          </w:p>
        </w:tc>
        <w:tc>
          <w:tcPr>
            <w:tcW w:w="2260" w:type="dxa"/>
            <w:vAlign w:val="center"/>
          </w:tcPr>
          <w:p>
            <w:pPr>
              <w:pStyle w:val="34"/>
              <w:jc w:val="center"/>
              <w:rPr>
                <w:rFonts w:ascii="宋体" w:hAnsi="宋体" w:cs="Arial"/>
                <w:szCs w:val="21"/>
              </w:rPr>
            </w:pPr>
          </w:p>
        </w:tc>
        <w:tc>
          <w:tcPr>
            <w:tcW w:w="2047" w:type="dxa"/>
            <w:tcBorders>
              <w:right w:val="single" w:color="auto" w:sz="4" w:space="0"/>
            </w:tcBorders>
            <w:vAlign w:val="center"/>
          </w:tcPr>
          <w:p>
            <w:pPr>
              <w:pStyle w:val="34"/>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7" w:type="dxa"/>
            <w:tcBorders>
              <w:left w:val="single" w:color="auto" w:sz="4" w:space="0"/>
            </w:tcBorders>
            <w:vAlign w:val="center"/>
          </w:tcPr>
          <w:p>
            <w:pPr>
              <w:pStyle w:val="34"/>
              <w:jc w:val="center"/>
              <w:rPr>
                <w:rFonts w:ascii="宋体" w:hAnsi="宋体" w:cs="Arial"/>
                <w:szCs w:val="21"/>
              </w:rPr>
            </w:pPr>
          </w:p>
        </w:tc>
        <w:tc>
          <w:tcPr>
            <w:tcW w:w="2258" w:type="dxa"/>
            <w:vAlign w:val="center"/>
          </w:tcPr>
          <w:p>
            <w:pPr>
              <w:pStyle w:val="34"/>
              <w:jc w:val="center"/>
              <w:rPr>
                <w:rFonts w:ascii="宋体" w:hAnsi="宋体" w:cs="Arial"/>
                <w:szCs w:val="21"/>
              </w:rPr>
            </w:pPr>
          </w:p>
        </w:tc>
        <w:tc>
          <w:tcPr>
            <w:tcW w:w="2260" w:type="dxa"/>
            <w:vAlign w:val="center"/>
          </w:tcPr>
          <w:p>
            <w:pPr>
              <w:pStyle w:val="34"/>
              <w:jc w:val="center"/>
              <w:rPr>
                <w:rFonts w:ascii="宋体" w:hAnsi="宋体" w:cs="Arial"/>
                <w:szCs w:val="21"/>
              </w:rPr>
            </w:pPr>
          </w:p>
        </w:tc>
        <w:tc>
          <w:tcPr>
            <w:tcW w:w="2047" w:type="dxa"/>
            <w:tcBorders>
              <w:right w:val="single" w:color="auto" w:sz="4" w:space="0"/>
            </w:tcBorders>
            <w:vAlign w:val="center"/>
          </w:tcPr>
          <w:p>
            <w:pPr>
              <w:pStyle w:val="34"/>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7" w:type="dxa"/>
            <w:tcBorders>
              <w:left w:val="single" w:color="auto" w:sz="4" w:space="0"/>
              <w:bottom w:val="single" w:color="auto" w:sz="4" w:space="0"/>
            </w:tcBorders>
            <w:vAlign w:val="center"/>
          </w:tcPr>
          <w:p>
            <w:pPr>
              <w:pStyle w:val="34"/>
              <w:jc w:val="center"/>
              <w:rPr>
                <w:rFonts w:ascii="宋体" w:hAnsi="宋体" w:cs="Arial"/>
                <w:szCs w:val="21"/>
              </w:rPr>
            </w:pPr>
          </w:p>
        </w:tc>
        <w:tc>
          <w:tcPr>
            <w:tcW w:w="2258" w:type="dxa"/>
            <w:tcBorders>
              <w:bottom w:val="single" w:color="auto" w:sz="4" w:space="0"/>
            </w:tcBorders>
            <w:vAlign w:val="center"/>
          </w:tcPr>
          <w:p>
            <w:pPr>
              <w:pStyle w:val="34"/>
              <w:jc w:val="center"/>
              <w:rPr>
                <w:rFonts w:ascii="宋体" w:hAnsi="宋体" w:cs="Arial"/>
                <w:szCs w:val="21"/>
              </w:rPr>
            </w:pPr>
          </w:p>
        </w:tc>
        <w:tc>
          <w:tcPr>
            <w:tcW w:w="2260" w:type="dxa"/>
            <w:tcBorders>
              <w:bottom w:val="single" w:color="auto" w:sz="4" w:space="0"/>
            </w:tcBorders>
            <w:vAlign w:val="center"/>
          </w:tcPr>
          <w:p>
            <w:pPr>
              <w:pStyle w:val="34"/>
              <w:jc w:val="center"/>
              <w:rPr>
                <w:rFonts w:ascii="宋体" w:hAnsi="宋体" w:cs="Arial"/>
                <w:szCs w:val="21"/>
              </w:rPr>
            </w:pPr>
          </w:p>
        </w:tc>
        <w:tc>
          <w:tcPr>
            <w:tcW w:w="2047" w:type="dxa"/>
            <w:tcBorders>
              <w:bottom w:val="single" w:color="auto" w:sz="4" w:space="0"/>
              <w:right w:val="single" w:color="auto" w:sz="4" w:space="0"/>
            </w:tcBorders>
            <w:vAlign w:val="center"/>
          </w:tcPr>
          <w:p>
            <w:pPr>
              <w:pStyle w:val="34"/>
              <w:jc w:val="center"/>
              <w:rPr>
                <w:rFonts w:ascii="宋体" w:hAnsi="宋体" w:cs="Arial"/>
                <w:szCs w:val="21"/>
              </w:rPr>
            </w:pPr>
          </w:p>
        </w:tc>
      </w:tr>
    </w:tbl>
    <w:p>
      <w:pPr>
        <w:pStyle w:val="34"/>
        <w:tabs>
          <w:tab w:val="left" w:pos="1050"/>
        </w:tabs>
        <w:spacing w:line="360" w:lineRule="auto"/>
        <w:rPr>
          <w:rFonts w:ascii="仿宋_GB2312" w:hAnsi="宋体" w:eastAsia="仿宋_GB2312"/>
          <w:sz w:val="24"/>
        </w:rPr>
      </w:pPr>
    </w:p>
    <w:p>
      <w:pPr>
        <w:pStyle w:val="34"/>
        <w:tabs>
          <w:tab w:val="left" w:pos="1050"/>
        </w:tabs>
        <w:spacing w:line="360" w:lineRule="auto"/>
        <w:ind w:firstLine="422" w:firstLineChars="200"/>
        <w:rPr>
          <w:rFonts w:ascii="宋体" w:hAnsi="宋体"/>
          <w:szCs w:val="21"/>
        </w:rPr>
      </w:pPr>
      <w:r>
        <w:rPr>
          <w:rFonts w:hint="eastAsia" w:ascii="宋体" w:hAnsi="宋体"/>
          <w:b/>
          <w:szCs w:val="21"/>
        </w:rPr>
        <w:t>要求：</w:t>
      </w:r>
    </w:p>
    <w:p>
      <w:pPr>
        <w:pStyle w:val="34"/>
        <w:tabs>
          <w:tab w:val="left" w:pos="1050"/>
        </w:tabs>
        <w:spacing w:line="360" w:lineRule="auto"/>
        <w:ind w:firstLine="424" w:firstLineChars="202"/>
        <w:rPr>
          <w:rFonts w:ascii="宋体" w:hAnsi="宋体"/>
          <w:szCs w:val="21"/>
        </w:rPr>
      </w:pPr>
      <w:r>
        <w:rPr>
          <w:rFonts w:hint="eastAsia" w:ascii="宋体" w:hAnsi="宋体"/>
          <w:szCs w:val="21"/>
        </w:rPr>
        <w:t>1.填写供应商获得资质、认证或企业信誉证书；</w:t>
      </w:r>
    </w:p>
    <w:p>
      <w:pPr>
        <w:pStyle w:val="34"/>
        <w:tabs>
          <w:tab w:val="left" w:pos="1050"/>
        </w:tabs>
        <w:spacing w:line="360" w:lineRule="auto"/>
        <w:ind w:firstLine="424" w:firstLineChars="202"/>
        <w:rPr>
          <w:rFonts w:ascii="宋体" w:hAnsi="宋体"/>
          <w:szCs w:val="21"/>
        </w:rPr>
      </w:pPr>
      <w:r>
        <w:rPr>
          <w:rFonts w:hint="eastAsia" w:ascii="宋体" w:hAnsi="宋体"/>
          <w:szCs w:val="21"/>
        </w:rPr>
        <w:t>2.附所列证书复印件或其他证明材料。</w:t>
      </w:r>
    </w:p>
    <w:p>
      <w:pPr>
        <w:pStyle w:val="34"/>
        <w:tabs>
          <w:tab w:val="left" w:pos="1050"/>
        </w:tabs>
        <w:spacing w:line="360" w:lineRule="auto"/>
        <w:ind w:firstLine="720" w:firstLineChars="300"/>
        <w:rPr>
          <w:rFonts w:ascii="仿宋_GB2312" w:hAnsi="宋体" w:eastAsia="仿宋_GB2312"/>
          <w:sz w:val="24"/>
        </w:rPr>
      </w:pPr>
    </w:p>
    <w:p>
      <w:pPr>
        <w:pStyle w:val="34"/>
        <w:tabs>
          <w:tab w:val="left" w:pos="1050"/>
        </w:tabs>
        <w:spacing w:line="360" w:lineRule="auto"/>
        <w:ind w:firstLine="720" w:firstLineChars="300"/>
        <w:rPr>
          <w:rFonts w:ascii="仿宋_GB2312" w:hAnsi="宋体" w:eastAsia="仿宋_GB2312"/>
          <w:sz w:val="24"/>
        </w:rPr>
      </w:pPr>
    </w:p>
    <w:p>
      <w:pPr>
        <w:pStyle w:val="34"/>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供应商代表签字或电子印章：</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0"/>
        <w:spacing w:before="0" w:beforeAutospacing="0" w:after="0" w:afterAutospacing="0" w:line="360" w:lineRule="auto"/>
        <w:ind w:firstLine="424" w:firstLineChars="177"/>
        <w:rPr>
          <w:b/>
          <w:bCs/>
          <w:spacing w:val="11"/>
        </w:rPr>
      </w:pPr>
      <w:r>
        <w:rPr>
          <w:rFonts w:hint="eastAsia"/>
        </w:rPr>
        <w:t>日        期：：</w:t>
      </w:r>
    </w:p>
    <w:p>
      <w:pPr>
        <w:spacing w:line="360" w:lineRule="auto"/>
        <w:outlineLvl w:val="0"/>
        <w:rPr>
          <w:rFonts w:ascii="宋体" w:hAnsi="宋体"/>
          <w:b/>
          <w:sz w:val="28"/>
        </w:rPr>
      </w:pPr>
      <w:bookmarkStart w:id="99" w:name="_Toc24698"/>
    </w:p>
    <w:p>
      <w:pPr>
        <w:spacing w:line="360" w:lineRule="auto"/>
        <w:outlineLvl w:val="0"/>
        <w:rPr>
          <w:rFonts w:ascii="宋体" w:hAnsi="宋体"/>
          <w:b/>
          <w:sz w:val="28"/>
        </w:rPr>
      </w:pPr>
      <w:r>
        <w:rPr>
          <w:rFonts w:hint="eastAsia" w:ascii="宋体" w:hAnsi="宋体"/>
          <w:b/>
          <w:sz w:val="28"/>
        </w:rPr>
        <w:t>附件1</w:t>
      </w:r>
      <w:bookmarkEnd w:id="99"/>
      <w:r>
        <w:rPr>
          <w:rFonts w:hint="eastAsia" w:ascii="宋体" w:hAnsi="宋体"/>
          <w:b/>
          <w:sz w:val="28"/>
        </w:rPr>
        <w:t>1</w:t>
      </w:r>
    </w:p>
    <w:p>
      <w:pPr>
        <w:pStyle w:val="33"/>
        <w:spacing w:line="360" w:lineRule="auto"/>
        <w:jc w:val="center"/>
        <w:rPr>
          <w:rFonts w:ascii="宋体" w:hAnsi="宋体"/>
          <w:b/>
          <w:sz w:val="32"/>
          <w:szCs w:val="32"/>
        </w:rPr>
      </w:pPr>
      <w:bookmarkStart w:id="100" w:name="_Toc19231_WPSOffice_Level1"/>
      <w:bookmarkStart w:id="101" w:name="_Toc7134_WPSOffice_Level1"/>
      <w:r>
        <w:rPr>
          <w:rFonts w:hint="eastAsia" w:ascii="宋体" w:hAnsi="宋体"/>
          <w:b/>
          <w:sz w:val="32"/>
          <w:szCs w:val="32"/>
        </w:rPr>
        <w:t>类似项目实施情况一览表</w:t>
      </w:r>
      <w:bookmarkEnd w:id="100"/>
      <w:bookmarkEnd w:id="101"/>
    </w:p>
    <w:p>
      <w:pPr>
        <w:pStyle w:val="33"/>
        <w:spacing w:line="360" w:lineRule="auto"/>
        <w:jc w:val="center"/>
        <w:rPr>
          <w:rFonts w:ascii="仿宋_GB2312" w:eastAsia="仿宋_GB2312"/>
          <w:b/>
          <w:sz w:val="28"/>
          <w:szCs w:val="28"/>
        </w:rPr>
      </w:pPr>
    </w:p>
    <w:tbl>
      <w:tblPr>
        <w:tblStyle w:val="22"/>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sz w:val="24"/>
              </w:rPr>
            </w:pPr>
            <w:r>
              <w:rPr>
                <w:rFonts w:hint="eastAsia" w:ascii="宋体" w:hAnsi="宋体" w:cs="Arial"/>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sz w:val="24"/>
              </w:rPr>
            </w:pPr>
            <w:r>
              <w:rPr>
                <w:rFonts w:hint="eastAsia" w:ascii="宋体" w:hAnsi="宋体" w:cs="Arial"/>
                <w:b/>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sz w:val="24"/>
              </w:rPr>
            </w:pPr>
            <w:r>
              <w:rPr>
                <w:rFonts w:hint="eastAsia" w:ascii="宋体" w:hAnsi="宋体" w:cs="Arial"/>
                <w:b/>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sz w:val="24"/>
              </w:rPr>
            </w:pPr>
            <w:r>
              <w:rPr>
                <w:rFonts w:hint="eastAsia" w:ascii="宋体" w:hAnsi="宋体" w:cs="Arial"/>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sz w:val="24"/>
              </w:rPr>
            </w:pPr>
            <w:r>
              <w:rPr>
                <w:rFonts w:hint="eastAsia" w:ascii="宋体" w:hAnsi="宋体" w:cs="Arial"/>
                <w:b/>
                <w:bCs/>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sz w:val="24"/>
              </w:rPr>
            </w:pPr>
            <w:r>
              <w:rPr>
                <w:rFonts w:hint="eastAsia" w:ascii="宋体" w:hAnsi="宋体" w:cs="Arial"/>
                <w:b/>
                <w:bCs/>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sz w:val="24"/>
              </w:rPr>
            </w:pPr>
            <w:r>
              <w:rPr>
                <w:rFonts w:hint="eastAsia" w:ascii="宋体" w:hAnsi="宋体" w:cs="Arial"/>
                <w:b/>
                <w:bCs/>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jc w:val="center"/>
              <w:rPr>
                <w:rFonts w:ascii="宋体" w:hAnsi="宋体" w:cs="Arial"/>
                <w:sz w:val="24"/>
              </w:rPr>
            </w:pPr>
            <w:r>
              <w:rPr>
                <w:rFonts w:hint="eastAsia" w:ascii="宋体" w:hAnsi="宋体" w:cs="Arial"/>
                <w:sz w:val="24"/>
              </w:rPr>
              <w:t>1</w:t>
            </w: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jc w:val="center"/>
              <w:rPr>
                <w:rFonts w:ascii="宋体" w:hAnsi="宋体" w:cs="Arial"/>
                <w:sz w:val="24"/>
              </w:rPr>
            </w:pPr>
            <w:r>
              <w:rPr>
                <w:rFonts w:hint="eastAsia" w:ascii="宋体" w:hAnsi="宋体" w:cs="Arial"/>
                <w:sz w:val="24"/>
              </w:rPr>
              <w:t>2</w:t>
            </w: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jc w:val="center"/>
              <w:rPr>
                <w:rFonts w:ascii="宋体" w:hAnsi="宋体" w:cs="Arial"/>
                <w:sz w:val="24"/>
              </w:rPr>
            </w:pPr>
            <w:r>
              <w:rPr>
                <w:rFonts w:hint="eastAsia" w:ascii="宋体" w:hAnsi="宋体" w:cs="Arial"/>
                <w:sz w:val="24"/>
              </w:rPr>
              <w:t>3</w:t>
            </w: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r>
              <w:rPr>
                <w:rFonts w:hint="eastAsia" w:ascii="宋体" w:hAnsi="宋体" w:cs="Arial"/>
                <w:sz w:val="24"/>
              </w:rPr>
              <w:t>…</w:t>
            </w: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r>
    </w:tbl>
    <w:p>
      <w:pPr>
        <w:autoSpaceDE w:val="0"/>
        <w:autoSpaceDN w:val="0"/>
        <w:adjustRightInd w:val="0"/>
        <w:spacing w:beforeLines="50" w:line="360" w:lineRule="auto"/>
        <w:ind w:firstLine="422" w:firstLineChars="200"/>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Lines="50" w:line="360" w:lineRule="auto"/>
        <w:ind w:firstLine="424" w:firstLineChars="202"/>
        <w:rPr>
          <w:rFonts w:ascii="宋体" w:hAnsi="宋体" w:cs="Arial"/>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w:t>
      </w:r>
      <w:r>
        <w:rPr>
          <w:rFonts w:hint="eastAsia" w:ascii="宋体" w:hAnsi="宋体" w:cs="Arial"/>
          <w:szCs w:val="21"/>
        </w:rPr>
        <w:t>证明</w:t>
      </w:r>
      <w:r>
        <w:rPr>
          <w:rFonts w:ascii="宋体" w:hAnsi="宋体" w:cs="Arial"/>
          <w:szCs w:val="21"/>
        </w:rPr>
        <w:t>材料提供详见第</w:t>
      </w:r>
      <w:r>
        <w:rPr>
          <w:rFonts w:hint="eastAsia" w:ascii="宋体" w:hAnsi="宋体" w:cs="Arial"/>
          <w:szCs w:val="21"/>
        </w:rPr>
        <w:t>四</w:t>
      </w:r>
      <w:r>
        <w:rPr>
          <w:rFonts w:ascii="宋体" w:hAnsi="宋体" w:cs="Arial"/>
          <w:szCs w:val="21"/>
        </w:rPr>
        <w:t>章内</w:t>
      </w:r>
      <w:r>
        <w:rPr>
          <w:rFonts w:hint="eastAsia" w:ascii="宋体" w:hAnsi="宋体" w:cs="Arial"/>
          <w:szCs w:val="21"/>
        </w:rPr>
        <w:t>“评分标准”</w:t>
      </w:r>
      <w:r>
        <w:rPr>
          <w:rFonts w:ascii="宋体" w:hAnsi="宋体" w:cs="Arial"/>
          <w:szCs w:val="21"/>
        </w:rPr>
        <w:t>对应评分项</w:t>
      </w:r>
      <w:r>
        <w:rPr>
          <w:rFonts w:hint="eastAsia" w:ascii="宋体" w:hAnsi="宋体" w:cs="Arial"/>
          <w:szCs w:val="21"/>
        </w:rPr>
        <w:t>，并加盖供应商电子印章</w:t>
      </w:r>
      <w:r>
        <w:rPr>
          <w:rFonts w:ascii="宋体" w:hAnsi="宋体" w:cs="Arial"/>
          <w:szCs w:val="21"/>
        </w:rPr>
        <w:t>）</w:t>
      </w:r>
      <w:r>
        <w:rPr>
          <w:rFonts w:hint="eastAsia" w:ascii="宋体" w:hAnsi="宋体" w:cs="Arial"/>
          <w:szCs w:val="21"/>
        </w:rPr>
        <w:t>。</w:t>
      </w:r>
    </w:p>
    <w:p>
      <w:pPr>
        <w:spacing w:line="360" w:lineRule="auto"/>
        <w:rPr>
          <w:rFonts w:ascii="宋体" w:hAnsi="宋体"/>
          <w:sz w:val="22"/>
          <w:szCs w:val="22"/>
        </w:rPr>
      </w:pPr>
    </w:p>
    <w:p>
      <w:pPr>
        <w:spacing w:line="360" w:lineRule="auto"/>
        <w:rPr>
          <w:rFonts w:ascii="宋体" w:hAnsi="宋体"/>
          <w:sz w:val="22"/>
          <w:szCs w:val="22"/>
        </w:rPr>
      </w:pPr>
    </w:p>
    <w:p>
      <w:pPr>
        <w:spacing w:line="360" w:lineRule="auto"/>
        <w:ind w:left="420"/>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供应商代表签字或电子印章：</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pStyle w:val="34"/>
        <w:tabs>
          <w:tab w:val="left" w:pos="1050"/>
        </w:tabs>
        <w:spacing w:line="360" w:lineRule="auto"/>
        <w:outlineLvl w:val="0"/>
        <w:rPr>
          <w:rFonts w:ascii="宋体" w:hAnsi="宋体"/>
          <w:b/>
          <w:sz w:val="28"/>
        </w:rPr>
      </w:pPr>
      <w:bookmarkStart w:id="102" w:name="_Toc19806"/>
    </w:p>
    <w:p>
      <w:pPr>
        <w:pStyle w:val="34"/>
        <w:tabs>
          <w:tab w:val="left" w:pos="1050"/>
        </w:tabs>
        <w:spacing w:line="360" w:lineRule="auto"/>
        <w:outlineLvl w:val="0"/>
        <w:rPr>
          <w:rFonts w:ascii="宋体" w:hAnsi="宋体"/>
          <w:b/>
          <w:sz w:val="28"/>
        </w:rPr>
      </w:pPr>
    </w:p>
    <w:p>
      <w:pPr>
        <w:pStyle w:val="34"/>
        <w:tabs>
          <w:tab w:val="left" w:pos="1050"/>
        </w:tabs>
        <w:spacing w:line="360" w:lineRule="auto"/>
        <w:outlineLvl w:val="0"/>
        <w:rPr>
          <w:rFonts w:ascii="仿宋_GB2312" w:hAnsi="宋体" w:eastAsia="仿宋_GB2312"/>
          <w:sz w:val="24"/>
        </w:rPr>
      </w:pPr>
      <w:r>
        <w:rPr>
          <w:rFonts w:hint="eastAsia" w:ascii="宋体" w:hAnsi="宋体"/>
          <w:b/>
          <w:sz w:val="28"/>
        </w:rPr>
        <w:t>附件1</w:t>
      </w:r>
      <w:bookmarkEnd w:id="102"/>
      <w:r>
        <w:rPr>
          <w:rFonts w:hint="eastAsia" w:ascii="宋体" w:hAnsi="宋体"/>
          <w:b/>
          <w:sz w:val="28"/>
        </w:rPr>
        <w:t>2</w:t>
      </w:r>
    </w:p>
    <w:p>
      <w:pPr>
        <w:spacing w:line="360" w:lineRule="auto"/>
        <w:ind w:left="549" w:hanging="549" w:hangingChars="171"/>
        <w:jc w:val="center"/>
        <w:rPr>
          <w:rFonts w:ascii="宋体" w:hAnsi="宋体"/>
          <w:b/>
          <w:sz w:val="32"/>
          <w:szCs w:val="32"/>
        </w:rPr>
      </w:pPr>
      <w:bookmarkStart w:id="103" w:name="_Toc21582_WPSOffice_Level1"/>
      <w:bookmarkStart w:id="104" w:name="_Toc3068_WPSOffice_Level1"/>
      <w:r>
        <w:rPr>
          <w:rFonts w:hint="eastAsia" w:ascii="宋体" w:hAnsi="宋体"/>
          <w:b/>
          <w:sz w:val="32"/>
          <w:szCs w:val="32"/>
        </w:rPr>
        <w:t>商务需求响应表</w:t>
      </w:r>
      <w:bookmarkEnd w:id="103"/>
      <w:bookmarkEnd w:id="104"/>
    </w:p>
    <w:p>
      <w:pPr>
        <w:spacing w:line="360" w:lineRule="auto"/>
        <w:ind w:left="481" w:leftChars="229" w:firstLine="813" w:firstLineChars="450"/>
        <w:rPr>
          <w:rFonts w:ascii="宋体" w:hAnsi="宋体"/>
          <w:b/>
          <w:sz w:val="18"/>
          <w:szCs w:val="18"/>
        </w:rPr>
      </w:pPr>
    </w:p>
    <w:tbl>
      <w:tblPr>
        <w:tblStyle w:val="22"/>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966"/>
        <w:gridCol w:w="2604"/>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hAnsi="宋体"/>
                <w:b/>
                <w:sz w:val="24"/>
              </w:rPr>
            </w:pPr>
            <w:r>
              <w:rPr>
                <w:rFonts w:hint="eastAsia" w:ascii="宋体" w:hAnsi="宋体"/>
                <w:b/>
                <w:sz w:val="24"/>
              </w:rPr>
              <w:t>序号</w:t>
            </w:r>
          </w:p>
        </w:tc>
        <w:tc>
          <w:tcPr>
            <w:tcW w:w="966" w:type="dxa"/>
            <w:vAlign w:val="center"/>
          </w:tcPr>
          <w:p>
            <w:pPr>
              <w:jc w:val="center"/>
              <w:rPr>
                <w:rFonts w:ascii="宋体" w:hAnsi="宋体"/>
                <w:b/>
                <w:sz w:val="24"/>
              </w:rPr>
            </w:pPr>
            <w:r>
              <w:rPr>
                <w:rFonts w:hint="eastAsia" w:ascii="宋体" w:hAnsi="宋体"/>
                <w:b/>
                <w:sz w:val="24"/>
              </w:rPr>
              <w:t>内容</w:t>
            </w:r>
          </w:p>
        </w:tc>
        <w:tc>
          <w:tcPr>
            <w:tcW w:w="2604" w:type="dxa"/>
            <w:vAlign w:val="center"/>
          </w:tcPr>
          <w:p>
            <w:pPr>
              <w:jc w:val="center"/>
              <w:rPr>
                <w:rFonts w:ascii="宋体" w:hAnsi="宋体"/>
                <w:b/>
                <w:sz w:val="24"/>
              </w:rPr>
            </w:pPr>
            <w:r>
              <w:rPr>
                <w:rFonts w:hint="eastAsia" w:ascii="宋体" w:hAnsi="宋体"/>
                <w:b/>
                <w:sz w:val="24"/>
              </w:rPr>
              <w:t>磋商采购需求</w:t>
            </w:r>
          </w:p>
        </w:tc>
        <w:tc>
          <w:tcPr>
            <w:tcW w:w="1365" w:type="dxa"/>
            <w:vAlign w:val="center"/>
          </w:tcPr>
          <w:p>
            <w:pPr>
              <w:ind w:left="152"/>
              <w:rPr>
                <w:rFonts w:ascii="宋体" w:hAnsi="宋体"/>
                <w:b/>
                <w:sz w:val="24"/>
              </w:rPr>
            </w:pPr>
            <w:r>
              <w:rPr>
                <w:rFonts w:hint="eastAsia" w:ascii="宋体" w:hAnsi="宋体"/>
                <w:b/>
                <w:sz w:val="24"/>
              </w:rPr>
              <w:t>是否响应</w:t>
            </w:r>
          </w:p>
        </w:tc>
        <w:tc>
          <w:tcPr>
            <w:tcW w:w="2625" w:type="dxa"/>
            <w:vAlign w:val="center"/>
          </w:tcPr>
          <w:p>
            <w:pPr>
              <w:jc w:val="center"/>
              <w:rPr>
                <w:rFonts w:ascii="宋体" w:hAnsi="宋体"/>
                <w:b/>
                <w:sz w:val="24"/>
              </w:rPr>
            </w:pPr>
            <w:r>
              <w:rPr>
                <w:rFonts w:hint="eastAsia" w:ascii="宋体" w:hAnsi="宋体"/>
                <w:b/>
                <w:sz w:val="24"/>
              </w:rPr>
              <w:t>供应商的承诺或说明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jc w:val="center"/>
              <w:rPr>
                <w:rFonts w:ascii="宋体" w:hAnsi="宋体"/>
                <w:sz w:val="24"/>
              </w:rPr>
            </w:pPr>
            <w:r>
              <w:rPr>
                <w:rFonts w:hint="eastAsia" w:ascii="宋体" w:hAnsi="宋体"/>
                <w:sz w:val="24"/>
              </w:rPr>
              <w:t>1</w:t>
            </w:r>
          </w:p>
        </w:tc>
        <w:tc>
          <w:tcPr>
            <w:tcW w:w="966" w:type="dxa"/>
          </w:tcPr>
          <w:p>
            <w:pPr>
              <w:snapToGrid w:val="0"/>
              <w:rPr>
                <w:rFonts w:ascii="宋体" w:hAnsi="宋体"/>
                <w:sz w:val="24"/>
              </w:rPr>
            </w:pPr>
          </w:p>
        </w:tc>
        <w:tc>
          <w:tcPr>
            <w:tcW w:w="2604"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jc w:val="center"/>
              <w:rPr>
                <w:rFonts w:ascii="宋体" w:hAnsi="宋体"/>
                <w:sz w:val="24"/>
              </w:rPr>
            </w:pPr>
            <w:r>
              <w:rPr>
                <w:rFonts w:hint="eastAsia" w:ascii="宋体" w:hAnsi="宋体"/>
                <w:sz w:val="24"/>
              </w:rPr>
              <w:t>2</w:t>
            </w:r>
          </w:p>
        </w:tc>
        <w:tc>
          <w:tcPr>
            <w:tcW w:w="966" w:type="dxa"/>
          </w:tcPr>
          <w:p>
            <w:pPr>
              <w:snapToGrid w:val="0"/>
              <w:rPr>
                <w:rFonts w:ascii="宋体" w:hAnsi="宋体"/>
                <w:sz w:val="24"/>
              </w:rPr>
            </w:pPr>
          </w:p>
        </w:tc>
        <w:tc>
          <w:tcPr>
            <w:tcW w:w="2604"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jc w:val="center"/>
              <w:rPr>
                <w:rFonts w:ascii="宋体" w:hAnsi="宋体"/>
                <w:sz w:val="24"/>
              </w:rPr>
            </w:pPr>
            <w:r>
              <w:rPr>
                <w:rFonts w:hint="eastAsia" w:ascii="宋体" w:hAnsi="宋体"/>
                <w:sz w:val="24"/>
              </w:rPr>
              <w:t>3</w:t>
            </w:r>
          </w:p>
        </w:tc>
        <w:tc>
          <w:tcPr>
            <w:tcW w:w="966" w:type="dxa"/>
          </w:tcPr>
          <w:p>
            <w:pPr>
              <w:snapToGrid w:val="0"/>
              <w:rPr>
                <w:rFonts w:ascii="宋体" w:hAnsi="宋体"/>
                <w:sz w:val="24"/>
              </w:rPr>
            </w:pPr>
          </w:p>
        </w:tc>
        <w:tc>
          <w:tcPr>
            <w:tcW w:w="2604"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jc w:val="center"/>
              <w:rPr>
                <w:rFonts w:ascii="宋体" w:hAnsi="宋体"/>
                <w:sz w:val="24"/>
              </w:rPr>
            </w:pPr>
          </w:p>
        </w:tc>
        <w:tc>
          <w:tcPr>
            <w:tcW w:w="966" w:type="dxa"/>
          </w:tcPr>
          <w:p>
            <w:pPr>
              <w:snapToGrid w:val="0"/>
              <w:rPr>
                <w:rFonts w:ascii="宋体" w:hAnsi="宋体"/>
                <w:sz w:val="24"/>
              </w:rPr>
            </w:pPr>
          </w:p>
        </w:tc>
        <w:tc>
          <w:tcPr>
            <w:tcW w:w="2604"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966" w:type="dxa"/>
          </w:tcPr>
          <w:p>
            <w:pPr>
              <w:snapToGrid w:val="0"/>
              <w:rPr>
                <w:rFonts w:ascii="宋体" w:hAnsi="宋体"/>
                <w:sz w:val="24"/>
              </w:rPr>
            </w:pPr>
          </w:p>
        </w:tc>
        <w:tc>
          <w:tcPr>
            <w:tcW w:w="2604"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jc w:val="center"/>
              <w:rPr>
                <w:rFonts w:ascii="宋体" w:hAnsi="宋体"/>
                <w:sz w:val="24"/>
              </w:rPr>
            </w:pPr>
            <w:r>
              <w:rPr>
                <w:rFonts w:hint="eastAsia" w:ascii="宋体" w:hAnsi="宋体"/>
                <w:sz w:val="24"/>
              </w:rPr>
              <w:t>...</w:t>
            </w:r>
          </w:p>
        </w:tc>
        <w:tc>
          <w:tcPr>
            <w:tcW w:w="966" w:type="dxa"/>
          </w:tcPr>
          <w:p>
            <w:pPr>
              <w:snapToGrid w:val="0"/>
              <w:rPr>
                <w:rFonts w:ascii="宋体" w:hAnsi="宋体"/>
                <w:sz w:val="24"/>
              </w:rPr>
            </w:pPr>
          </w:p>
        </w:tc>
        <w:tc>
          <w:tcPr>
            <w:tcW w:w="2604"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735" w:type="dxa"/>
            <w:vAlign w:val="center"/>
          </w:tcPr>
          <w:p>
            <w:pPr>
              <w:rPr>
                <w:rFonts w:ascii="宋体" w:hAnsi="宋体"/>
                <w:sz w:val="24"/>
              </w:rPr>
            </w:pPr>
          </w:p>
        </w:tc>
        <w:tc>
          <w:tcPr>
            <w:tcW w:w="966" w:type="dxa"/>
          </w:tcPr>
          <w:p>
            <w:pPr>
              <w:snapToGrid w:val="0"/>
              <w:rPr>
                <w:rFonts w:ascii="宋体" w:hAnsi="宋体"/>
                <w:sz w:val="24"/>
              </w:rPr>
            </w:pPr>
          </w:p>
        </w:tc>
        <w:tc>
          <w:tcPr>
            <w:tcW w:w="2604"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jc w:val="center"/>
              <w:rPr>
                <w:rFonts w:ascii="宋体" w:hAnsi="宋体"/>
                <w:sz w:val="24"/>
              </w:rPr>
            </w:pPr>
          </w:p>
        </w:tc>
        <w:tc>
          <w:tcPr>
            <w:tcW w:w="966" w:type="dxa"/>
          </w:tcPr>
          <w:p>
            <w:pPr>
              <w:snapToGrid w:val="0"/>
              <w:rPr>
                <w:rFonts w:ascii="宋体" w:hAnsi="宋体"/>
                <w:sz w:val="24"/>
              </w:rPr>
            </w:pPr>
          </w:p>
        </w:tc>
        <w:tc>
          <w:tcPr>
            <w:tcW w:w="2604"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bl>
    <w:p>
      <w:pPr>
        <w:pStyle w:val="32"/>
        <w:spacing w:line="360" w:lineRule="auto"/>
        <w:ind w:right="84" w:rightChars="40" w:firstLine="420" w:firstLineChars="200"/>
        <w:rPr>
          <w:rFonts w:ascii="宋体"/>
          <w:szCs w:val="21"/>
        </w:rPr>
      </w:pPr>
      <w:r>
        <w:rPr>
          <w:rFonts w:hint="eastAsia" w:ascii="宋体"/>
          <w:szCs w:val="21"/>
        </w:rPr>
        <w:t>1.本表参照本磋商文件第三章“项目需求”内第三条“商务需求”填制。</w:t>
      </w:r>
    </w:p>
    <w:p>
      <w:pPr>
        <w:pStyle w:val="32"/>
        <w:spacing w:line="360" w:lineRule="auto"/>
        <w:ind w:right="84" w:rightChars="40" w:firstLine="420" w:firstLineChars="200"/>
        <w:rPr>
          <w:rFonts w:ascii="宋体"/>
          <w:szCs w:val="21"/>
        </w:rPr>
      </w:pPr>
      <w:r>
        <w:rPr>
          <w:rFonts w:hint="eastAsia" w:ascii="宋体"/>
          <w:szCs w:val="21"/>
        </w:rPr>
        <w:t>2.行数不够自行添加。</w:t>
      </w:r>
    </w:p>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供应商代表签字或电子印章：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pStyle w:val="36"/>
        <w:spacing w:line="360" w:lineRule="auto"/>
        <w:outlineLvl w:val="0"/>
        <w:rPr>
          <w:rFonts w:hAnsi="宋体"/>
          <w:spacing w:val="40"/>
          <w:sz w:val="52"/>
          <w:szCs w:val="52"/>
        </w:rPr>
      </w:pPr>
      <w:bookmarkStart w:id="105" w:name="_Toc10194"/>
      <w:r>
        <w:rPr>
          <w:rFonts w:hint="eastAsia" w:hAnsi="宋体"/>
          <w:b/>
          <w:sz w:val="28"/>
          <w:szCs w:val="28"/>
        </w:rPr>
        <w:t>附件1</w:t>
      </w:r>
      <w:bookmarkEnd w:id="105"/>
      <w:r>
        <w:rPr>
          <w:rFonts w:hint="eastAsia" w:hAnsi="宋体"/>
          <w:b/>
          <w:sz w:val="28"/>
          <w:szCs w:val="28"/>
        </w:rPr>
        <w:t>3</w:t>
      </w:r>
    </w:p>
    <w:p>
      <w:pPr>
        <w:jc w:val="center"/>
        <w:rPr>
          <w:b/>
          <w:bCs/>
          <w:sz w:val="32"/>
          <w:szCs w:val="32"/>
        </w:rPr>
      </w:pPr>
      <w:bookmarkStart w:id="106" w:name="_Toc19972_WPSOffice_Level1"/>
      <w:bookmarkStart w:id="107" w:name="_Toc29537_WPSOffice_Level1"/>
    </w:p>
    <w:p>
      <w:pPr>
        <w:jc w:val="center"/>
        <w:rPr>
          <w:b/>
          <w:bCs/>
          <w:sz w:val="32"/>
          <w:szCs w:val="32"/>
        </w:rPr>
      </w:pPr>
      <w:r>
        <w:rPr>
          <w:rFonts w:hint="eastAsia"/>
          <w:b/>
          <w:bCs/>
          <w:sz w:val="32"/>
          <w:szCs w:val="32"/>
        </w:rPr>
        <w:t>报价部分目录</w:t>
      </w:r>
      <w:bookmarkEnd w:id="106"/>
      <w:bookmarkEnd w:id="107"/>
    </w:p>
    <w:p>
      <w:pPr>
        <w:rPr>
          <w:sz w:val="28"/>
          <w:szCs w:val="28"/>
        </w:rPr>
      </w:pP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bookmarkStart w:id="108" w:name="_Toc29988_WPSOffice_Level1"/>
      <w:bookmarkStart w:id="109" w:name="_Toc6778_WPSOffice_Level1"/>
      <w:r>
        <w:rPr>
          <w:rFonts w:hint="eastAsia" w:asciiTheme="minorEastAsia" w:hAnsiTheme="minorEastAsia" w:eastAsiaTheme="minorEastAsia"/>
          <w:sz w:val="24"/>
        </w:rPr>
        <w:t>1、首次报价一览表（附件14）</w:t>
      </w:r>
      <w:bookmarkEnd w:id="108"/>
      <w:bookmarkEnd w:id="109"/>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bookmarkStart w:id="110" w:name="_Toc15601_WPSOffice_Level1"/>
      <w:bookmarkStart w:id="111" w:name="_Toc11601_WPSOffice_Level1"/>
      <w:r>
        <w:rPr>
          <w:rFonts w:hint="eastAsia" w:asciiTheme="minorEastAsia" w:hAnsiTheme="minorEastAsia" w:eastAsiaTheme="minorEastAsia"/>
          <w:sz w:val="24"/>
        </w:rPr>
        <w:t>2、报价明细表（附件15）</w:t>
      </w:r>
      <w:bookmarkEnd w:id="110"/>
      <w:bookmarkEnd w:id="111"/>
      <w:bookmarkStart w:id="112" w:name="_Toc3001_WPSOffice_Level1"/>
      <w:bookmarkStart w:id="113" w:name="_Toc14672_WPSOffice_Level1"/>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bookmarkEnd w:id="112"/>
      <w:bookmarkEnd w:id="113"/>
      <w:r>
        <w:rPr>
          <w:rFonts w:hint="eastAsia" w:asciiTheme="minorEastAsia" w:hAnsiTheme="minorEastAsia" w:eastAsiaTheme="minorEastAsia"/>
          <w:sz w:val="24"/>
        </w:rPr>
        <w:t>针对报价供应商认为其他需要说明的。</w:t>
      </w:r>
    </w:p>
    <w:p>
      <w:pPr>
        <w:spacing w:line="360" w:lineRule="auto"/>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pStyle w:val="21"/>
        <w:ind w:firstLine="0" w:firstLineChars="0"/>
      </w:pPr>
    </w:p>
    <w:p>
      <w:pPr>
        <w:spacing w:line="360" w:lineRule="auto"/>
        <w:outlineLvl w:val="0"/>
        <w:rPr>
          <w:rFonts w:ascii="宋体" w:hAnsi="宋体"/>
          <w:b/>
          <w:sz w:val="28"/>
        </w:rPr>
      </w:pPr>
      <w:bookmarkStart w:id="114" w:name="_Toc13512"/>
    </w:p>
    <w:p>
      <w:pPr>
        <w:spacing w:line="360" w:lineRule="auto"/>
        <w:outlineLvl w:val="0"/>
        <w:rPr>
          <w:rFonts w:ascii="宋体" w:hAnsi="宋体"/>
          <w:b/>
          <w:sz w:val="28"/>
        </w:rPr>
      </w:pPr>
      <w:r>
        <w:rPr>
          <w:rFonts w:hint="eastAsia" w:ascii="宋体" w:hAnsi="宋体"/>
          <w:b/>
          <w:sz w:val="28"/>
        </w:rPr>
        <w:t>附件1</w:t>
      </w:r>
      <w:bookmarkEnd w:id="114"/>
      <w:r>
        <w:rPr>
          <w:rFonts w:hint="eastAsia" w:ascii="宋体" w:hAnsi="宋体"/>
          <w:b/>
          <w:sz w:val="28"/>
        </w:rPr>
        <w:t>4</w:t>
      </w:r>
    </w:p>
    <w:p>
      <w:pPr>
        <w:spacing w:line="360" w:lineRule="auto"/>
        <w:ind w:left="-2" w:hanging="2"/>
        <w:jc w:val="center"/>
        <w:rPr>
          <w:rFonts w:ascii="宋体" w:hAnsi="宋体"/>
          <w:b/>
          <w:sz w:val="32"/>
          <w:szCs w:val="32"/>
        </w:rPr>
      </w:pPr>
      <w:bookmarkStart w:id="115" w:name="_Toc30363_WPSOffice_Level1"/>
      <w:bookmarkStart w:id="116" w:name="_Toc16144_WPSOffice_Level1"/>
      <w:r>
        <w:rPr>
          <w:rFonts w:hint="eastAsia" w:ascii="宋体" w:hAnsi="宋体"/>
          <w:b/>
          <w:sz w:val="32"/>
          <w:szCs w:val="32"/>
        </w:rPr>
        <w:t xml:space="preserve">首次报价一览表 </w:t>
      </w:r>
      <w:bookmarkEnd w:id="115"/>
      <w:bookmarkEnd w:id="116"/>
    </w:p>
    <w:p>
      <w:pPr>
        <w:pStyle w:val="9"/>
        <w:spacing w:line="320" w:lineRule="exact"/>
        <w:ind w:firstLine="241" w:firstLineChars="100"/>
        <w:rPr>
          <w:rFonts w:hAnsi="宋体"/>
          <w:b/>
          <w:sz w:val="24"/>
        </w:rPr>
      </w:pPr>
      <w:r>
        <w:rPr>
          <w:rFonts w:hAnsi="宋体"/>
          <w:b/>
          <w:sz w:val="24"/>
        </w:rPr>
        <w:t>项目编号：</w:t>
      </w:r>
    </w:p>
    <w:p>
      <w:pPr>
        <w:pStyle w:val="39"/>
        <w:spacing w:line="360" w:lineRule="auto"/>
        <w:ind w:right="480" w:firstLine="241" w:firstLineChars="1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2"/>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磋商总报价(元)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 w:val="24"/>
              </w:rPr>
            </w:pPr>
          </w:p>
        </w:tc>
      </w:tr>
    </w:tbl>
    <w:p>
      <w:pPr>
        <w:spacing w:line="360" w:lineRule="auto"/>
        <w:ind w:left="480"/>
        <w:rPr>
          <w:rFonts w:ascii="宋体" w:hAnsi="宋体"/>
          <w:b/>
          <w:sz w:val="30"/>
        </w:rPr>
      </w:pPr>
    </w:p>
    <w:p>
      <w:pPr>
        <w:spacing w:line="360" w:lineRule="auto"/>
        <w:rPr>
          <w:rFonts w:ascii="宋体" w:hAnsi="宋体"/>
          <w:sz w:val="24"/>
        </w:rPr>
      </w:pPr>
      <w:r>
        <w:rPr>
          <w:rFonts w:hint="eastAsia" w:ascii="宋体" w:hAnsi="宋体"/>
          <w:b/>
          <w:szCs w:val="21"/>
        </w:rPr>
        <w:t>填报要求：</w:t>
      </w:r>
    </w:p>
    <w:p>
      <w:pPr>
        <w:spacing w:line="360" w:lineRule="auto"/>
        <w:ind w:left="420"/>
        <w:rPr>
          <w:rFonts w:ascii="宋体" w:hAnsi="宋体"/>
          <w:sz w:val="24"/>
        </w:rPr>
      </w:pPr>
      <w:r>
        <w:rPr>
          <w:rFonts w:hint="eastAsia" w:ascii="宋体" w:hAnsi="宋体"/>
          <w:sz w:val="24"/>
        </w:rPr>
        <w:t>磋商总报价是包括基本工资、加班费、社保费、节假日补助费、节假日费、高温费、年终考核奖、年休假、补偿金、管理培训费、服装费、劳保用品、体检费、税费、员工就餐费、其他费用等各项费用及不可预见费等所需的全部费用。</w:t>
      </w:r>
    </w:p>
    <w:p>
      <w:pPr>
        <w:spacing w:line="360" w:lineRule="auto"/>
        <w:ind w:left="420"/>
        <w:rPr>
          <w:rFonts w:ascii="宋体" w:hAnsi="宋体"/>
          <w:sz w:val="24"/>
        </w:rPr>
      </w:pPr>
    </w:p>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供应商代表签字或电子印章：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napToGrid w:val="0"/>
        <w:spacing w:beforeLines="50" w:after="50" w:line="360" w:lineRule="auto"/>
        <w:outlineLvl w:val="0"/>
        <w:rPr>
          <w:rFonts w:ascii="宋体" w:hAnsi="宋体"/>
          <w:b/>
          <w:sz w:val="28"/>
        </w:rPr>
      </w:pPr>
      <w:bookmarkStart w:id="117" w:name="_Toc22412_WPSOffice_Level1"/>
      <w:bookmarkStart w:id="118" w:name="_Toc8975_WPSOffice_Level1"/>
    </w:p>
    <w:p>
      <w:pPr>
        <w:snapToGrid w:val="0"/>
        <w:spacing w:beforeLines="50" w:after="50" w:line="360" w:lineRule="auto"/>
        <w:outlineLvl w:val="0"/>
        <w:rPr>
          <w:rFonts w:ascii="宋体" w:hAnsi="宋体"/>
          <w:b/>
          <w:sz w:val="32"/>
          <w:szCs w:val="32"/>
        </w:rPr>
      </w:pPr>
      <w:r>
        <w:rPr>
          <w:rFonts w:hint="eastAsia" w:ascii="宋体" w:hAnsi="宋体"/>
          <w:b/>
          <w:sz w:val="28"/>
        </w:rPr>
        <w:t>附件15</w:t>
      </w:r>
    </w:p>
    <w:p>
      <w:pPr>
        <w:spacing w:line="360" w:lineRule="auto"/>
        <w:ind w:left="480"/>
        <w:jc w:val="center"/>
        <w:rPr>
          <w:rFonts w:ascii="宋体" w:hAnsi="宋体"/>
        </w:rPr>
      </w:pPr>
      <w:r>
        <w:rPr>
          <w:rFonts w:hint="eastAsia" w:ascii="宋体" w:hAnsi="宋体"/>
          <w:b/>
          <w:sz w:val="32"/>
          <w:szCs w:val="32"/>
        </w:rPr>
        <w:t>报价明细表</w:t>
      </w:r>
      <w:bookmarkEnd w:id="117"/>
      <w:bookmarkEnd w:id="118"/>
    </w:p>
    <w:p>
      <w:pPr>
        <w:spacing w:line="360" w:lineRule="auto"/>
        <w:rPr>
          <w:rFonts w:ascii="宋体" w:hAnsi="宋体"/>
          <w:sz w:val="24"/>
        </w:rPr>
      </w:pPr>
      <w:r>
        <w:rPr>
          <w:rFonts w:hint="eastAsia" w:ascii="宋体" w:hAnsi="宋体"/>
          <w:sz w:val="24"/>
        </w:rPr>
        <w:t xml:space="preserve">  项目编号：                                    [货币单位：人民币元]</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30"/>
        <w:gridCol w:w="1665"/>
        <w:gridCol w:w="1245"/>
        <w:gridCol w:w="121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852" w:type="dxa"/>
            <w:vAlign w:val="center"/>
          </w:tcPr>
          <w:p>
            <w:pPr>
              <w:spacing w:line="360" w:lineRule="auto"/>
              <w:rPr>
                <w:rFonts w:ascii="宋体" w:hAnsi="宋体"/>
                <w:b/>
                <w:sz w:val="24"/>
              </w:rPr>
            </w:pPr>
            <w:r>
              <w:rPr>
                <w:rFonts w:hint="eastAsia" w:ascii="宋体" w:hAnsi="宋体"/>
                <w:b/>
                <w:sz w:val="24"/>
              </w:rPr>
              <w:t>序号</w:t>
            </w:r>
          </w:p>
        </w:tc>
        <w:tc>
          <w:tcPr>
            <w:tcW w:w="2130" w:type="dxa"/>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rPr>
              <w:t>报价项目</w:t>
            </w:r>
          </w:p>
        </w:tc>
        <w:tc>
          <w:tcPr>
            <w:tcW w:w="1665" w:type="dxa"/>
            <w:vAlign w:val="center"/>
          </w:tcPr>
          <w:p>
            <w:pPr>
              <w:spacing w:line="360" w:lineRule="auto"/>
              <w:ind w:left="152"/>
              <w:jc w:val="center"/>
              <w:rPr>
                <w:rFonts w:ascii="宋体" w:hAnsi="宋体"/>
                <w:b/>
                <w:sz w:val="24"/>
              </w:rPr>
            </w:pPr>
            <w:r>
              <w:rPr>
                <w:rFonts w:hint="eastAsia" w:ascii="宋体" w:hAnsi="宋体"/>
                <w:b/>
                <w:sz w:val="24"/>
              </w:rPr>
              <w:t>数量</w:t>
            </w:r>
          </w:p>
        </w:tc>
        <w:tc>
          <w:tcPr>
            <w:tcW w:w="1245" w:type="dxa"/>
            <w:vAlign w:val="center"/>
          </w:tcPr>
          <w:p>
            <w:pPr>
              <w:spacing w:line="360" w:lineRule="auto"/>
              <w:jc w:val="center"/>
              <w:rPr>
                <w:rFonts w:ascii="宋体" w:hAnsi="宋体"/>
                <w:b/>
                <w:sz w:val="24"/>
              </w:rPr>
            </w:pPr>
            <w:r>
              <w:rPr>
                <w:rFonts w:hint="eastAsia" w:ascii="宋体" w:hAnsi="宋体"/>
                <w:b/>
                <w:sz w:val="24"/>
              </w:rPr>
              <w:t>单价</w:t>
            </w:r>
          </w:p>
        </w:tc>
        <w:tc>
          <w:tcPr>
            <w:tcW w:w="1215" w:type="dxa"/>
            <w:vAlign w:val="center"/>
          </w:tcPr>
          <w:p>
            <w:pPr>
              <w:spacing w:line="360" w:lineRule="auto"/>
              <w:jc w:val="center"/>
              <w:rPr>
                <w:rFonts w:ascii="宋体" w:hAnsi="宋体"/>
                <w:b/>
                <w:sz w:val="24"/>
              </w:rPr>
            </w:pPr>
            <w:r>
              <w:rPr>
                <w:rFonts w:hint="eastAsia" w:ascii="宋体" w:hAnsi="宋体"/>
                <w:b/>
                <w:sz w:val="24"/>
              </w:rPr>
              <w:t>小计</w:t>
            </w:r>
          </w:p>
        </w:tc>
        <w:tc>
          <w:tcPr>
            <w:tcW w:w="1540" w:type="dxa"/>
            <w:vAlign w:val="center"/>
          </w:tcPr>
          <w:p>
            <w:pPr>
              <w:spacing w:line="360" w:lineRule="auto"/>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852" w:type="dxa"/>
            <w:vAlign w:val="center"/>
          </w:tcPr>
          <w:p>
            <w:pPr>
              <w:spacing w:line="360" w:lineRule="auto"/>
              <w:jc w:val="center"/>
              <w:rPr>
                <w:rFonts w:ascii="宋体" w:hAnsi="宋体"/>
                <w:sz w:val="24"/>
              </w:rPr>
            </w:pPr>
            <w:r>
              <w:rPr>
                <w:rFonts w:hint="eastAsia" w:ascii="宋体" w:hAnsi="宋体"/>
                <w:sz w:val="24"/>
              </w:rPr>
              <w:t>1</w:t>
            </w:r>
          </w:p>
        </w:tc>
        <w:tc>
          <w:tcPr>
            <w:tcW w:w="2130" w:type="dxa"/>
            <w:vAlign w:val="center"/>
          </w:tcPr>
          <w:p>
            <w:pPr>
              <w:spacing w:line="360" w:lineRule="auto"/>
              <w:rPr>
                <w:rFonts w:ascii="宋体" w:hAnsi="宋体"/>
                <w:sz w:val="24"/>
              </w:rPr>
            </w:pPr>
          </w:p>
        </w:tc>
        <w:tc>
          <w:tcPr>
            <w:tcW w:w="1665" w:type="dxa"/>
            <w:vAlign w:val="center"/>
          </w:tcPr>
          <w:p>
            <w:pPr>
              <w:spacing w:line="360" w:lineRule="auto"/>
              <w:rPr>
                <w:rFonts w:ascii="宋体" w:hAnsi="宋体"/>
                <w:sz w:val="24"/>
              </w:rPr>
            </w:pPr>
          </w:p>
        </w:tc>
        <w:tc>
          <w:tcPr>
            <w:tcW w:w="1245" w:type="dxa"/>
            <w:vAlign w:val="center"/>
          </w:tcPr>
          <w:p>
            <w:pPr>
              <w:spacing w:line="360" w:lineRule="auto"/>
              <w:rPr>
                <w:rFonts w:ascii="宋体" w:hAnsi="宋体"/>
                <w:sz w:val="24"/>
              </w:rPr>
            </w:pPr>
          </w:p>
        </w:tc>
        <w:tc>
          <w:tcPr>
            <w:tcW w:w="1215" w:type="dxa"/>
            <w:vAlign w:val="center"/>
          </w:tcPr>
          <w:p>
            <w:pPr>
              <w:spacing w:line="360" w:lineRule="auto"/>
              <w:rPr>
                <w:rFonts w:ascii="宋体" w:hAnsi="宋体"/>
                <w:sz w:val="24"/>
              </w:rPr>
            </w:pPr>
          </w:p>
        </w:tc>
        <w:tc>
          <w:tcPr>
            <w:tcW w:w="1540"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52" w:type="dxa"/>
            <w:vAlign w:val="center"/>
          </w:tcPr>
          <w:p>
            <w:pPr>
              <w:spacing w:line="360" w:lineRule="auto"/>
              <w:jc w:val="center"/>
              <w:rPr>
                <w:rFonts w:ascii="宋体" w:hAnsi="宋体"/>
                <w:sz w:val="24"/>
              </w:rPr>
            </w:pPr>
            <w:r>
              <w:rPr>
                <w:rFonts w:hint="eastAsia" w:ascii="宋体" w:hAnsi="宋体"/>
                <w:sz w:val="24"/>
              </w:rPr>
              <w:t>2</w:t>
            </w:r>
          </w:p>
        </w:tc>
        <w:tc>
          <w:tcPr>
            <w:tcW w:w="2130" w:type="dxa"/>
            <w:vAlign w:val="center"/>
          </w:tcPr>
          <w:p>
            <w:pPr>
              <w:spacing w:line="360" w:lineRule="auto"/>
              <w:rPr>
                <w:rFonts w:ascii="宋体" w:hAnsi="宋体"/>
                <w:sz w:val="24"/>
              </w:rPr>
            </w:pPr>
          </w:p>
        </w:tc>
        <w:tc>
          <w:tcPr>
            <w:tcW w:w="1665" w:type="dxa"/>
            <w:vAlign w:val="center"/>
          </w:tcPr>
          <w:p>
            <w:pPr>
              <w:spacing w:line="360" w:lineRule="auto"/>
              <w:rPr>
                <w:rFonts w:ascii="宋体" w:hAnsi="宋体"/>
                <w:sz w:val="24"/>
              </w:rPr>
            </w:pPr>
          </w:p>
        </w:tc>
        <w:tc>
          <w:tcPr>
            <w:tcW w:w="1245" w:type="dxa"/>
            <w:vAlign w:val="center"/>
          </w:tcPr>
          <w:p>
            <w:pPr>
              <w:spacing w:line="360" w:lineRule="auto"/>
              <w:rPr>
                <w:rFonts w:ascii="宋体" w:hAnsi="宋体"/>
                <w:sz w:val="24"/>
              </w:rPr>
            </w:pPr>
          </w:p>
        </w:tc>
        <w:tc>
          <w:tcPr>
            <w:tcW w:w="1215" w:type="dxa"/>
            <w:vAlign w:val="center"/>
          </w:tcPr>
          <w:p>
            <w:pPr>
              <w:spacing w:line="360" w:lineRule="auto"/>
              <w:rPr>
                <w:rFonts w:ascii="宋体" w:hAnsi="宋体"/>
                <w:sz w:val="24"/>
              </w:rPr>
            </w:pPr>
          </w:p>
        </w:tc>
        <w:tc>
          <w:tcPr>
            <w:tcW w:w="1540"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52" w:type="dxa"/>
            <w:vAlign w:val="center"/>
          </w:tcPr>
          <w:p>
            <w:pPr>
              <w:spacing w:line="360" w:lineRule="auto"/>
              <w:jc w:val="center"/>
              <w:rPr>
                <w:rFonts w:ascii="宋体" w:hAnsi="宋体"/>
                <w:sz w:val="24"/>
              </w:rPr>
            </w:pPr>
            <w:r>
              <w:rPr>
                <w:rFonts w:hint="eastAsia" w:ascii="宋体" w:hAnsi="宋体"/>
                <w:sz w:val="24"/>
              </w:rPr>
              <w:t>3</w:t>
            </w:r>
          </w:p>
        </w:tc>
        <w:tc>
          <w:tcPr>
            <w:tcW w:w="2130" w:type="dxa"/>
            <w:vAlign w:val="center"/>
          </w:tcPr>
          <w:p>
            <w:pPr>
              <w:spacing w:line="360" w:lineRule="auto"/>
              <w:rPr>
                <w:rFonts w:ascii="宋体" w:hAnsi="宋体"/>
                <w:sz w:val="24"/>
              </w:rPr>
            </w:pPr>
          </w:p>
        </w:tc>
        <w:tc>
          <w:tcPr>
            <w:tcW w:w="1665" w:type="dxa"/>
            <w:vAlign w:val="center"/>
          </w:tcPr>
          <w:p>
            <w:pPr>
              <w:spacing w:line="360" w:lineRule="auto"/>
              <w:rPr>
                <w:rFonts w:ascii="宋体" w:hAnsi="宋体"/>
                <w:sz w:val="24"/>
              </w:rPr>
            </w:pPr>
          </w:p>
        </w:tc>
        <w:tc>
          <w:tcPr>
            <w:tcW w:w="1245" w:type="dxa"/>
            <w:vAlign w:val="center"/>
          </w:tcPr>
          <w:p>
            <w:pPr>
              <w:spacing w:line="360" w:lineRule="auto"/>
              <w:rPr>
                <w:rFonts w:ascii="宋体" w:hAnsi="宋体"/>
                <w:sz w:val="24"/>
              </w:rPr>
            </w:pPr>
          </w:p>
        </w:tc>
        <w:tc>
          <w:tcPr>
            <w:tcW w:w="1215" w:type="dxa"/>
            <w:vAlign w:val="center"/>
          </w:tcPr>
          <w:p>
            <w:pPr>
              <w:spacing w:line="360" w:lineRule="auto"/>
              <w:rPr>
                <w:rFonts w:ascii="宋体" w:hAnsi="宋体"/>
                <w:sz w:val="24"/>
              </w:rPr>
            </w:pPr>
          </w:p>
        </w:tc>
        <w:tc>
          <w:tcPr>
            <w:tcW w:w="1540"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52" w:type="dxa"/>
            <w:vAlign w:val="center"/>
          </w:tcPr>
          <w:p>
            <w:pPr>
              <w:spacing w:line="360" w:lineRule="auto"/>
              <w:jc w:val="center"/>
              <w:rPr>
                <w:rFonts w:ascii="宋体" w:hAnsi="宋体"/>
                <w:sz w:val="24"/>
              </w:rPr>
            </w:pPr>
          </w:p>
        </w:tc>
        <w:tc>
          <w:tcPr>
            <w:tcW w:w="2130" w:type="dxa"/>
            <w:vAlign w:val="center"/>
          </w:tcPr>
          <w:p>
            <w:pPr>
              <w:spacing w:line="360" w:lineRule="auto"/>
              <w:rPr>
                <w:rFonts w:ascii="宋体" w:hAnsi="宋体"/>
                <w:sz w:val="24"/>
              </w:rPr>
            </w:pPr>
          </w:p>
        </w:tc>
        <w:tc>
          <w:tcPr>
            <w:tcW w:w="1665" w:type="dxa"/>
            <w:vAlign w:val="center"/>
          </w:tcPr>
          <w:p>
            <w:pPr>
              <w:spacing w:line="360" w:lineRule="auto"/>
              <w:rPr>
                <w:rFonts w:ascii="宋体" w:hAnsi="宋体"/>
                <w:sz w:val="24"/>
              </w:rPr>
            </w:pPr>
          </w:p>
        </w:tc>
        <w:tc>
          <w:tcPr>
            <w:tcW w:w="1245" w:type="dxa"/>
            <w:vAlign w:val="center"/>
          </w:tcPr>
          <w:p>
            <w:pPr>
              <w:spacing w:line="360" w:lineRule="auto"/>
              <w:rPr>
                <w:rFonts w:ascii="宋体" w:hAnsi="宋体"/>
                <w:sz w:val="24"/>
              </w:rPr>
            </w:pPr>
          </w:p>
        </w:tc>
        <w:tc>
          <w:tcPr>
            <w:tcW w:w="1215" w:type="dxa"/>
            <w:vAlign w:val="center"/>
          </w:tcPr>
          <w:p>
            <w:pPr>
              <w:spacing w:line="360" w:lineRule="auto"/>
              <w:rPr>
                <w:rFonts w:ascii="宋体" w:hAnsi="宋体"/>
                <w:sz w:val="24"/>
              </w:rPr>
            </w:pPr>
          </w:p>
        </w:tc>
        <w:tc>
          <w:tcPr>
            <w:tcW w:w="1540"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852" w:type="dxa"/>
            <w:vAlign w:val="center"/>
          </w:tcPr>
          <w:p>
            <w:pPr>
              <w:spacing w:line="360" w:lineRule="auto"/>
              <w:jc w:val="center"/>
              <w:rPr>
                <w:rFonts w:ascii="宋体" w:hAnsi="宋体"/>
                <w:sz w:val="24"/>
              </w:rPr>
            </w:pPr>
            <w:r>
              <w:rPr>
                <w:rFonts w:ascii="宋体" w:hAnsi="宋体"/>
                <w:sz w:val="24"/>
              </w:rPr>
              <w:t>…</w:t>
            </w:r>
          </w:p>
        </w:tc>
        <w:tc>
          <w:tcPr>
            <w:tcW w:w="2130" w:type="dxa"/>
            <w:vAlign w:val="center"/>
          </w:tcPr>
          <w:p>
            <w:pPr>
              <w:spacing w:line="360" w:lineRule="auto"/>
              <w:jc w:val="center"/>
              <w:rPr>
                <w:rFonts w:ascii="宋体" w:hAnsi="宋体"/>
                <w:sz w:val="24"/>
              </w:rPr>
            </w:pPr>
          </w:p>
        </w:tc>
        <w:tc>
          <w:tcPr>
            <w:tcW w:w="1665" w:type="dxa"/>
            <w:vAlign w:val="center"/>
          </w:tcPr>
          <w:p>
            <w:pPr>
              <w:spacing w:line="360" w:lineRule="auto"/>
              <w:rPr>
                <w:rFonts w:ascii="宋体" w:hAnsi="宋体"/>
                <w:sz w:val="24"/>
              </w:rPr>
            </w:pPr>
          </w:p>
        </w:tc>
        <w:tc>
          <w:tcPr>
            <w:tcW w:w="1245" w:type="dxa"/>
            <w:vAlign w:val="center"/>
          </w:tcPr>
          <w:p>
            <w:pPr>
              <w:spacing w:line="360" w:lineRule="auto"/>
              <w:rPr>
                <w:rFonts w:ascii="宋体" w:hAnsi="宋体"/>
                <w:sz w:val="24"/>
              </w:rPr>
            </w:pPr>
          </w:p>
        </w:tc>
        <w:tc>
          <w:tcPr>
            <w:tcW w:w="1215" w:type="dxa"/>
            <w:vAlign w:val="center"/>
          </w:tcPr>
          <w:p>
            <w:pPr>
              <w:spacing w:line="360" w:lineRule="auto"/>
              <w:rPr>
                <w:rFonts w:ascii="宋体" w:hAnsi="宋体"/>
                <w:sz w:val="24"/>
              </w:rPr>
            </w:pPr>
          </w:p>
        </w:tc>
        <w:tc>
          <w:tcPr>
            <w:tcW w:w="1540"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647" w:type="dxa"/>
            <w:gridSpan w:val="6"/>
            <w:tcBorders>
              <w:bottom w:val="single" w:color="auto" w:sz="4" w:space="0"/>
            </w:tcBorders>
            <w:vAlign w:val="center"/>
          </w:tcPr>
          <w:p>
            <w:pPr>
              <w:spacing w:line="360" w:lineRule="auto"/>
              <w:rPr>
                <w:rFonts w:ascii="宋体" w:hAnsi="宋体"/>
                <w:b/>
                <w:sz w:val="24"/>
              </w:rPr>
            </w:pPr>
            <w:r>
              <w:rPr>
                <w:rFonts w:hint="eastAsia" w:ascii="宋体" w:hAnsi="宋体"/>
                <w:b/>
                <w:sz w:val="24"/>
              </w:rPr>
              <w:t>合计人民币：大写                              ； 小写¥</w:t>
            </w:r>
          </w:p>
        </w:tc>
      </w:tr>
    </w:tbl>
    <w:p>
      <w:pPr>
        <w:spacing w:line="360" w:lineRule="auto"/>
        <w:rPr>
          <w:rFonts w:ascii="宋体" w:hAnsi="宋体"/>
          <w:b/>
          <w:szCs w:val="21"/>
        </w:rPr>
      </w:pPr>
    </w:p>
    <w:p>
      <w:pPr>
        <w:spacing w:line="360" w:lineRule="auto"/>
        <w:rPr>
          <w:rFonts w:ascii="宋体" w:hAnsi="宋体"/>
          <w:b/>
          <w:szCs w:val="21"/>
        </w:rPr>
      </w:pPr>
      <w:r>
        <w:rPr>
          <w:rFonts w:hint="eastAsia" w:ascii="宋体" w:hAnsi="宋体"/>
          <w:b/>
          <w:szCs w:val="21"/>
        </w:rPr>
        <w:t>要求：</w:t>
      </w:r>
    </w:p>
    <w:p>
      <w:pPr>
        <w:spacing w:line="360" w:lineRule="auto"/>
        <w:ind w:left="435"/>
        <w:rPr>
          <w:rFonts w:ascii="宋体" w:hAnsi="宋体"/>
          <w:szCs w:val="21"/>
        </w:rPr>
      </w:pPr>
      <w:r>
        <w:rPr>
          <w:rFonts w:hint="eastAsia" w:ascii="宋体" w:hAnsi="宋体"/>
          <w:szCs w:val="21"/>
        </w:rPr>
        <w:t>1. 本表为《首次报价一览表》的报价明细表，如有缺项、漏项，视为投标报价中已包含相关费用，采购人无需另外支付任何费用。</w:t>
      </w:r>
    </w:p>
    <w:p>
      <w:pPr>
        <w:spacing w:line="360" w:lineRule="auto"/>
        <w:ind w:left="435"/>
        <w:rPr>
          <w:rFonts w:ascii="宋体"/>
          <w:szCs w:val="21"/>
          <w:lang w:val="zh-CN"/>
        </w:rPr>
      </w:pPr>
      <w:r>
        <w:rPr>
          <w:rFonts w:hint="eastAsia" w:ascii="宋体" w:hAnsi="宋体"/>
          <w:szCs w:val="21"/>
        </w:rPr>
        <w:t>2.</w:t>
      </w:r>
      <w:r>
        <w:rPr>
          <w:rFonts w:hint="eastAsia" w:ascii="宋体"/>
          <w:szCs w:val="21"/>
          <w:lang w:val="zh-CN"/>
        </w:rPr>
        <w:t>“报价明细表”中的报价合计应与“首次报价一览表”中的投标总报价相一致，不一致时，以首次报价一览表为准。</w:t>
      </w:r>
    </w:p>
    <w:p>
      <w:pPr>
        <w:spacing w:line="360" w:lineRule="auto"/>
        <w:ind w:left="435"/>
        <w:rPr>
          <w:rFonts w:ascii="宋体" w:hAnsi="宋体" w:cs="宋体"/>
          <w:kern w:val="0"/>
          <w:sz w:val="24"/>
        </w:rPr>
      </w:pPr>
      <w:r>
        <w:rPr>
          <w:rFonts w:hint="eastAsia" w:ascii="宋体"/>
          <w:szCs w:val="21"/>
        </w:rPr>
        <w:t>3.</w:t>
      </w:r>
      <w:r>
        <w:rPr>
          <w:rFonts w:ascii="宋体" w:hAnsi="宋体" w:cs="宋体"/>
          <w:kern w:val="0"/>
          <w:sz w:val="24"/>
        </w:rPr>
        <w:t xml:space="preserve"> </w:t>
      </w:r>
      <w:r>
        <w:rPr>
          <w:rFonts w:hint="eastAsia"/>
          <w:sz w:val="22"/>
          <w:lang w:val="zh-CN"/>
        </w:rPr>
        <w:t>行数不够自行添加。</w:t>
      </w:r>
    </w:p>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投标人代表签字或电子印章：</w:t>
      </w:r>
    </w:p>
    <w:p>
      <w:pPr>
        <w:spacing w:line="360" w:lineRule="auto"/>
        <w:ind w:firstLine="435"/>
        <w:rPr>
          <w:rFonts w:ascii="宋体" w:hAnsi="宋体"/>
          <w:sz w:val="24"/>
        </w:rPr>
      </w:pPr>
      <w:r>
        <w:rPr>
          <w:rFonts w:hint="eastAsia" w:ascii="宋体" w:hAnsi="宋体"/>
          <w:sz w:val="24"/>
        </w:rPr>
        <w:t>职        务：</w:t>
      </w:r>
    </w:p>
    <w:p>
      <w:pPr>
        <w:spacing w:line="360" w:lineRule="auto"/>
        <w:ind w:firstLine="435"/>
      </w:pPr>
      <w:r>
        <w:rPr>
          <w:rFonts w:hint="eastAsia" w:ascii="宋体" w:hAnsi="宋体"/>
          <w:sz w:val="24"/>
        </w:rPr>
        <w:t>日        期：</w:t>
      </w:r>
    </w:p>
    <w:p>
      <w:pPr>
        <w:snapToGrid w:val="0"/>
        <w:spacing w:beforeLines="50" w:after="50" w:line="360" w:lineRule="auto"/>
        <w:outlineLvl w:val="0"/>
        <w:rPr>
          <w:rFonts w:ascii="宋体" w:hAnsi="宋体"/>
          <w:b/>
          <w:sz w:val="28"/>
        </w:rPr>
      </w:pPr>
    </w:p>
    <w:p>
      <w:pPr>
        <w:snapToGrid w:val="0"/>
        <w:spacing w:beforeLines="50" w:after="50" w:line="360" w:lineRule="auto"/>
        <w:outlineLvl w:val="0"/>
        <w:rPr>
          <w:rFonts w:ascii="宋体" w:hAnsi="宋体"/>
          <w:b/>
          <w:sz w:val="28"/>
        </w:rPr>
      </w:pPr>
    </w:p>
    <w:p>
      <w:pPr>
        <w:pStyle w:val="2"/>
      </w:pPr>
    </w:p>
    <w:p>
      <w:pPr>
        <w:tabs>
          <w:tab w:val="left" w:pos="4860"/>
        </w:tabs>
        <w:spacing w:line="588" w:lineRule="exact"/>
        <w:ind w:right="1560"/>
        <w:rPr>
          <w:rFonts w:ascii="宋体" w:hAnsi="宋体" w:cs="宋体"/>
          <w:b/>
          <w:sz w:val="28"/>
          <w:szCs w:val="28"/>
        </w:rPr>
      </w:pPr>
      <w:r>
        <w:rPr>
          <w:rFonts w:hint="eastAsia" w:ascii="宋体" w:hAnsi="宋体" w:cs="宋体"/>
          <w:b/>
          <w:sz w:val="28"/>
          <w:szCs w:val="28"/>
        </w:rPr>
        <w:t>其余事项：</w:t>
      </w:r>
    </w:p>
    <w:p>
      <w:pPr>
        <w:tabs>
          <w:tab w:val="left" w:pos="4860"/>
        </w:tabs>
        <w:spacing w:line="588" w:lineRule="exact"/>
        <w:ind w:right="1560" w:firstLine="2811" w:firstLineChars="1000"/>
        <w:rPr>
          <w:rFonts w:ascii="宋体" w:hAnsi="宋体" w:cs="宋体"/>
          <w:b/>
          <w:sz w:val="28"/>
          <w:szCs w:val="28"/>
        </w:rPr>
      </w:pPr>
      <w:r>
        <w:rPr>
          <w:rFonts w:hint="eastAsia" w:ascii="宋体" w:hAnsi="宋体" w:cs="宋体"/>
          <w:b/>
          <w:sz w:val="28"/>
          <w:szCs w:val="28"/>
        </w:rPr>
        <w:t>银行（成交项目贷款咨询）</w:t>
      </w:r>
    </w:p>
    <w:p>
      <w:pPr>
        <w:spacing w:line="360" w:lineRule="auto"/>
        <w:rPr>
          <w:rFonts w:ascii="宋体" w:hAnsi="宋体" w:cs="宋体"/>
          <w:sz w:val="28"/>
          <w:szCs w:val="28"/>
        </w:rPr>
      </w:pPr>
      <w:r>
        <w:rPr>
          <w:rFonts w:hint="eastAsia" w:ascii="宋体" w:hAnsi="宋体" w:cs="宋体"/>
          <w:sz w:val="28"/>
          <w:szCs w:val="28"/>
        </w:rPr>
        <w:t>成交供应商如有融资需求，可使用以下银行的政采贷服务。</w:t>
      </w:r>
    </w:p>
    <w:tbl>
      <w:tblPr>
        <w:tblStyle w:val="22"/>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1759"/>
        <w:gridCol w:w="216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rFonts w:hint="eastAsia" w:cs="宋体"/>
                <w:sz w:val="28"/>
                <w:szCs w:val="28"/>
              </w:rPr>
              <w:t>银行</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rFonts w:hint="eastAsia" w:cs="宋体"/>
                <w:sz w:val="28"/>
                <w:szCs w:val="28"/>
              </w:rPr>
              <w:t>贷款年利率</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rFonts w:hint="eastAsia" w:cs="宋体"/>
                <w:sz w:val="28"/>
                <w:szCs w:val="28"/>
              </w:rPr>
              <w:t>联系人</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rFonts w:hint="eastAsia" w:cs="宋体"/>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rFonts w:hint="eastAsia" w:cs="宋体"/>
                <w:sz w:val="28"/>
                <w:szCs w:val="28"/>
              </w:rPr>
              <w:t>中国工商银行</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sz w:val="28"/>
                <w:szCs w:val="28"/>
              </w:rPr>
              <w:t>3.8%</w:t>
            </w:r>
            <w:r>
              <w:rPr>
                <w:rFonts w:hint="eastAsia" w:cs="宋体"/>
                <w:sz w:val="28"/>
                <w:szCs w:val="28"/>
              </w:rPr>
              <w:t>起</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rFonts w:hint="eastAsia" w:cs="宋体"/>
                <w:sz w:val="28"/>
                <w:szCs w:val="28"/>
              </w:rPr>
              <w:t>卢嘉诚</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sz w:val="28"/>
                <w:szCs w:val="28"/>
              </w:rPr>
              <w:t>88588246  13867658508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rFonts w:hint="eastAsia" w:cs="宋体"/>
                <w:sz w:val="28"/>
                <w:szCs w:val="28"/>
              </w:rPr>
              <w:t>中国农业银行</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sz w:val="28"/>
                <w:szCs w:val="28"/>
              </w:rPr>
              <w:t>3.8%</w:t>
            </w:r>
            <w:r>
              <w:rPr>
                <w:rFonts w:hint="eastAsia" w:cs="宋体"/>
                <w:sz w:val="28"/>
                <w:szCs w:val="28"/>
              </w:rPr>
              <w:t>起</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rFonts w:hint="eastAsia" w:cs="宋体"/>
                <w:sz w:val="28"/>
                <w:szCs w:val="28"/>
              </w:rPr>
              <w:t>龚盛</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sz w:val="28"/>
                <w:szCs w:val="28"/>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rFonts w:hint="eastAsia" w:cs="宋体"/>
                <w:sz w:val="28"/>
                <w:szCs w:val="28"/>
              </w:rPr>
              <w:t>中国建设银行</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sz w:val="28"/>
                <w:szCs w:val="28"/>
              </w:rPr>
              <w:t>3.8%</w:t>
            </w:r>
            <w:r>
              <w:rPr>
                <w:rFonts w:hint="eastAsia" w:cs="宋体"/>
                <w:sz w:val="28"/>
                <w:szCs w:val="28"/>
              </w:rPr>
              <w:t>起</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rFonts w:hint="eastAsia" w:cs="宋体"/>
                <w:sz w:val="28"/>
                <w:szCs w:val="28"/>
              </w:rPr>
              <w:t>梅晶晶</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sz w:val="28"/>
                <w:szCs w:val="28"/>
              </w:rPr>
              <w:t>88525339</w:t>
            </w:r>
          </w:p>
          <w:p>
            <w:pPr>
              <w:widowControl/>
              <w:spacing w:line="400" w:lineRule="exact"/>
              <w:jc w:val="center"/>
              <w:rPr>
                <w:sz w:val="28"/>
                <w:szCs w:val="28"/>
              </w:rPr>
            </w:pPr>
            <w:r>
              <w:rPr>
                <w:sz w:val="28"/>
                <w:szCs w:val="28"/>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rFonts w:hint="eastAsia" w:cs="宋体"/>
                <w:sz w:val="28"/>
                <w:szCs w:val="28"/>
              </w:rPr>
              <w:t>中国银行</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sz w:val="28"/>
                <w:szCs w:val="28"/>
              </w:rPr>
              <w:t>3.75%</w:t>
            </w:r>
            <w:r>
              <w:rPr>
                <w:rFonts w:hint="eastAsia" w:cs="宋体"/>
                <w:sz w:val="28"/>
                <w:szCs w:val="28"/>
              </w:rPr>
              <w:t>起</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rFonts w:hint="eastAsia" w:cs="宋体"/>
                <w:sz w:val="28"/>
                <w:szCs w:val="28"/>
              </w:rPr>
              <w:t>任茜</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sz w:val="28"/>
                <w:szCs w:val="28"/>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rFonts w:hint="eastAsia" w:cs="宋体"/>
                <w:sz w:val="28"/>
                <w:szCs w:val="28"/>
              </w:rPr>
              <w:t>浦发银行台州分行</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sz w:val="28"/>
                <w:szCs w:val="28"/>
              </w:rPr>
              <w:t>4.05%</w:t>
            </w:r>
            <w:r>
              <w:rPr>
                <w:rFonts w:hint="eastAsia" w:cs="宋体"/>
                <w:sz w:val="28"/>
                <w:szCs w:val="28"/>
              </w:rPr>
              <w:t>起</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rFonts w:hint="eastAsia" w:cs="宋体"/>
                <w:sz w:val="28"/>
                <w:szCs w:val="28"/>
              </w:rPr>
              <w:t>王渊</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sz w:val="28"/>
                <w:szCs w:val="28"/>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rFonts w:hint="eastAsia" w:cs="宋体"/>
                <w:sz w:val="28"/>
                <w:szCs w:val="28"/>
              </w:rPr>
              <w:t>浦发银行椒江分行</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sz w:val="28"/>
                <w:szCs w:val="28"/>
              </w:rPr>
              <w:t>4.05%</w:t>
            </w:r>
            <w:r>
              <w:rPr>
                <w:rFonts w:hint="eastAsia" w:cs="宋体"/>
                <w:sz w:val="28"/>
                <w:szCs w:val="28"/>
              </w:rPr>
              <w:t>起</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rFonts w:hint="eastAsia" w:cs="宋体"/>
                <w:sz w:val="28"/>
                <w:szCs w:val="28"/>
              </w:rPr>
              <w:t>孙瑞华</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sz w:val="28"/>
                <w:szCs w:val="28"/>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rFonts w:hint="eastAsia" w:cs="宋体"/>
                <w:sz w:val="28"/>
                <w:szCs w:val="28"/>
              </w:rPr>
              <w:t>交通银行台州分行</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sz w:val="28"/>
                <w:szCs w:val="28"/>
              </w:rPr>
              <w:t>3.75%</w:t>
            </w:r>
            <w:r>
              <w:rPr>
                <w:rFonts w:hint="eastAsia" w:cs="宋体"/>
                <w:sz w:val="28"/>
                <w:szCs w:val="28"/>
              </w:rPr>
              <w:t>起</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rFonts w:hint="eastAsia" w:cs="宋体"/>
                <w:sz w:val="28"/>
                <w:szCs w:val="28"/>
              </w:rPr>
              <w:t>周翔宇</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sz w:val="28"/>
                <w:szCs w:val="28"/>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rFonts w:hint="eastAsia" w:cs="宋体"/>
                <w:sz w:val="28"/>
                <w:szCs w:val="28"/>
              </w:rPr>
              <w:t>招商银行台州分行</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sz w:val="28"/>
                <w:szCs w:val="28"/>
              </w:rPr>
              <w:t>4.32%</w:t>
            </w:r>
            <w:r>
              <w:rPr>
                <w:rFonts w:hint="eastAsia" w:cs="宋体"/>
                <w:sz w:val="28"/>
                <w:szCs w:val="28"/>
              </w:rPr>
              <w:t>起</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rFonts w:hint="eastAsia" w:cs="宋体"/>
                <w:sz w:val="28"/>
                <w:szCs w:val="28"/>
              </w:rPr>
              <w:t>王海玲</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sz w:val="28"/>
                <w:szCs w:val="28"/>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rFonts w:hint="eastAsia" w:cs="宋体"/>
                <w:sz w:val="28"/>
                <w:szCs w:val="28"/>
              </w:rPr>
              <w:t>浙商银行台州分行</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sz w:val="28"/>
                <w:szCs w:val="28"/>
              </w:rPr>
              <w:t>5.01%</w:t>
            </w:r>
            <w:r>
              <w:rPr>
                <w:rFonts w:hint="eastAsia" w:cs="宋体"/>
                <w:sz w:val="28"/>
                <w:szCs w:val="28"/>
              </w:rPr>
              <w:t>起</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rFonts w:hint="eastAsia" w:cs="宋体"/>
                <w:sz w:val="28"/>
                <w:szCs w:val="28"/>
              </w:rPr>
              <w:t>章涉漪</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sz w:val="28"/>
                <w:szCs w:val="28"/>
              </w:rPr>
              <w:t>81880185</w:t>
            </w:r>
          </w:p>
          <w:p>
            <w:pPr>
              <w:widowControl/>
              <w:spacing w:line="400" w:lineRule="exact"/>
              <w:jc w:val="center"/>
              <w:rPr>
                <w:sz w:val="28"/>
                <w:szCs w:val="28"/>
              </w:rPr>
            </w:pPr>
            <w:r>
              <w:rPr>
                <w:sz w:val="28"/>
                <w:szCs w:val="28"/>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rFonts w:hint="eastAsia" w:cs="宋体"/>
                <w:sz w:val="28"/>
                <w:szCs w:val="28"/>
              </w:rPr>
              <w:t>中信银行台州分行</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sz w:val="28"/>
                <w:szCs w:val="28"/>
              </w:rPr>
              <w:t>4.15%</w:t>
            </w:r>
            <w:r>
              <w:rPr>
                <w:rFonts w:hint="eastAsia" w:cs="宋体"/>
                <w:sz w:val="28"/>
                <w:szCs w:val="28"/>
              </w:rPr>
              <w:t>起</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rFonts w:hint="eastAsia" w:cs="宋体"/>
                <w:sz w:val="28"/>
                <w:szCs w:val="28"/>
              </w:rPr>
              <w:t>陈金园</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sz w:val="28"/>
                <w:szCs w:val="28"/>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rFonts w:hint="eastAsia" w:cs="宋体"/>
                <w:sz w:val="28"/>
                <w:szCs w:val="28"/>
              </w:rPr>
              <w:t>华夏银行台州分行</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sz w:val="28"/>
                <w:szCs w:val="28"/>
              </w:rPr>
              <w:t>4.5%</w:t>
            </w:r>
            <w:r>
              <w:rPr>
                <w:rFonts w:hint="eastAsia" w:cs="宋体"/>
                <w:sz w:val="28"/>
                <w:szCs w:val="28"/>
              </w:rPr>
              <w:t>起</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rFonts w:hint="eastAsia" w:cs="宋体"/>
                <w:sz w:val="28"/>
                <w:szCs w:val="28"/>
              </w:rPr>
              <w:t>邱明达</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sz w:val="28"/>
                <w:szCs w:val="28"/>
              </w:rPr>
              <w:t>81871518</w:t>
            </w:r>
          </w:p>
          <w:p>
            <w:pPr>
              <w:widowControl/>
              <w:spacing w:line="400" w:lineRule="exact"/>
              <w:jc w:val="center"/>
              <w:rPr>
                <w:sz w:val="28"/>
                <w:szCs w:val="28"/>
              </w:rPr>
            </w:pPr>
            <w:r>
              <w:rPr>
                <w:sz w:val="28"/>
                <w:szCs w:val="28"/>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rFonts w:hint="eastAsia" w:cs="宋体"/>
                <w:sz w:val="28"/>
                <w:szCs w:val="28"/>
              </w:rPr>
              <w:t>泰隆银行开发区支行</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sz w:val="28"/>
                <w:szCs w:val="28"/>
              </w:rPr>
              <w:t>5.6%</w:t>
            </w:r>
            <w:r>
              <w:rPr>
                <w:rFonts w:hint="eastAsia" w:cs="宋体"/>
                <w:sz w:val="28"/>
                <w:szCs w:val="28"/>
              </w:rPr>
              <w:t>起</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rFonts w:hint="eastAsia" w:cs="宋体"/>
                <w:sz w:val="28"/>
                <w:szCs w:val="28"/>
              </w:rPr>
              <w:t>梁宛莉</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sz w:val="28"/>
                <w:szCs w:val="28"/>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rFonts w:hint="eastAsia" w:cs="宋体"/>
                <w:sz w:val="28"/>
                <w:szCs w:val="28"/>
              </w:rPr>
              <w:t>民泰银行椒江支行</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sz w:val="28"/>
                <w:szCs w:val="28"/>
              </w:rPr>
              <w:t>5.8%</w:t>
            </w:r>
            <w:r>
              <w:rPr>
                <w:rFonts w:hint="eastAsia" w:cs="宋体"/>
                <w:sz w:val="28"/>
                <w:szCs w:val="28"/>
              </w:rPr>
              <w:t>起</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rFonts w:hint="eastAsia" w:cs="宋体"/>
                <w:sz w:val="28"/>
                <w:szCs w:val="28"/>
              </w:rPr>
              <w:t>陈慧珠</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sz w:val="28"/>
                <w:szCs w:val="28"/>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rFonts w:hint="eastAsia" w:cs="宋体"/>
                <w:sz w:val="28"/>
                <w:szCs w:val="28"/>
              </w:rPr>
              <w:t>绍兴银行台州分行</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sz w:val="28"/>
                <w:szCs w:val="28"/>
              </w:rPr>
              <w:t>5.1%</w:t>
            </w:r>
            <w:r>
              <w:rPr>
                <w:rFonts w:hint="eastAsia" w:cs="宋体"/>
                <w:sz w:val="28"/>
                <w:szCs w:val="28"/>
              </w:rPr>
              <w:t>起</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rFonts w:hint="eastAsia" w:cs="宋体"/>
                <w:sz w:val="28"/>
                <w:szCs w:val="28"/>
              </w:rPr>
              <w:t>郭庭斌</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sz w:val="28"/>
                <w:szCs w:val="28"/>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rFonts w:hint="eastAsia" w:cs="宋体"/>
                <w:sz w:val="28"/>
                <w:szCs w:val="28"/>
              </w:rPr>
              <w:t>温州银行台州分行</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sz w:val="28"/>
                <w:szCs w:val="28"/>
              </w:rPr>
              <w:t>4.55%</w:t>
            </w:r>
            <w:r>
              <w:rPr>
                <w:rFonts w:hint="eastAsia" w:cs="宋体"/>
                <w:sz w:val="28"/>
                <w:szCs w:val="28"/>
              </w:rPr>
              <w:t>起</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rFonts w:hint="eastAsia" w:cs="宋体"/>
                <w:sz w:val="28"/>
                <w:szCs w:val="28"/>
              </w:rPr>
              <w:t>王晓波</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sz w:val="28"/>
                <w:szCs w:val="28"/>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rFonts w:hint="eastAsia" w:cs="宋体"/>
                <w:sz w:val="28"/>
                <w:szCs w:val="28"/>
              </w:rPr>
              <w:t>平安银行台州分行</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sz w:val="28"/>
                <w:szCs w:val="28"/>
              </w:rPr>
              <w:t>6.53%</w:t>
            </w:r>
            <w:r>
              <w:rPr>
                <w:rFonts w:hint="eastAsia" w:cs="宋体"/>
                <w:sz w:val="28"/>
                <w:szCs w:val="28"/>
              </w:rPr>
              <w:t>起</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rFonts w:hint="eastAsia" w:cs="宋体"/>
                <w:sz w:val="28"/>
                <w:szCs w:val="28"/>
              </w:rPr>
              <w:t>李俊丽</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sz w:val="28"/>
                <w:szCs w:val="28"/>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rFonts w:hint="eastAsia" w:cs="宋体"/>
                <w:sz w:val="28"/>
                <w:szCs w:val="28"/>
              </w:rPr>
              <w:t>宁波银行台州分行</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sz w:val="28"/>
                <w:szCs w:val="28"/>
              </w:rPr>
              <w:t>4.35%</w:t>
            </w:r>
            <w:r>
              <w:rPr>
                <w:rFonts w:hint="eastAsia" w:cs="宋体"/>
                <w:sz w:val="28"/>
                <w:szCs w:val="28"/>
              </w:rPr>
              <w:t>起</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rFonts w:hint="eastAsia" w:cs="宋体"/>
                <w:sz w:val="28"/>
                <w:szCs w:val="28"/>
              </w:rPr>
              <w:t>戴莉丽</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sz w:val="28"/>
                <w:szCs w:val="28"/>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rFonts w:hint="eastAsia" w:cs="宋体"/>
                <w:sz w:val="28"/>
                <w:szCs w:val="28"/>
              </w:rPr>
              <w:t>金华银行台州分行</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sz w:val="28"/>
                <w:szCs w:val="28"/>
              </w:rPr>
              <w:t>4.05%</w:t>
            </w:r>
            <w:r>
              <w:rPr>
                <w:rFonts w:hint="eastAsia" w:cs="宋体"/>
                <w:sz w:val="28"/>
                <w:szCs w:val="28"/>
              </w:rPr>
              <w:t>起</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rFonts w:hint="eastAsia" w:cs="宋体"/>
                <w:sz w:val="28"/>
                <w:szCs w:val="28"/>
              </w:rPr>
              <w:t>金雪婷</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sz w:val="28"/>
                <w:szCs w:val="28"/>
              </w:rPr>
              <w:t>81886670</w:t>
            </w:r>
          </w:p>
          <w:p>
            <w:pPr>
              <w:widowControl/>
              <w:spacing w:line="400" w:lineRule="exact"/>
              <w:jc w:val="center"/>
              <w:rPr>
                <w:sz w:val="28"/>
                <w:szCs w:val="28"/>
              </w:rPr>
            </w:pPr>
            <w:r>
              <w:rPr>
                <w:sz w:val="28"/>
                <w:szCs w:val="28"/>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rFonts w:hint="eastAsia" w:cs="宋体"/>
                <w:sz w:val="28"/>
                <w:szCs w:val="28"/>
              </w:rPr>
              <w:t>台州银行</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sz w:val="28"/>
                <w:szCs w:val="28"/>
              </w:rPr>
              <w:t>5.6%</w:t>
            </w:r>
            <w:r>
              <w:rPr>
                <w:rFonts w:hint="eastAsia" w:cs="宋体"/>
                <w:sz w:val="28"/>
                <w:szCs w:val="28"/>
              </w:rPr>
              <w:t>起</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rFonts w:hint="eastAsia" w:cs="宋体"/>
                <w:sz w:val="28"/>
                <w:szCs w:val="28"/>
              </w:rPr>
              <w:t>洪婷</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sz w:val="28"/>
                <w:szCs w:val="28"/>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rFonts w:hint="eastAsia" w:cs="宋体"/>
                <w:sz w:val="28"/>
                <w:szCs w:val="28"/>
              </w:rPr>
              <w:t>邮储银行台州分行</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sz w:val="28"/>
                <w:szCs w:val="28"/>
              </w:rPr>
              <w:t>3.85%</w:t>
            </w:r>
            <w:r>
              <w:rPr>
                <w:rFonts w:hint="eastAsia" w:cs="宋体"/>
                <w:sz w:val="28"/>
                <w:szCs w:val="28"/>
              </w:rPr>
              <w:t>起</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rFonts w:hint="eastAsia" w:cs="宋体"/>
                <w:sz w:val="28"/>
                <w:szCs w:val="28"/>
              </w:rPr>
              <w:t>董庆</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sz w:val="28"/>
                <w:szCs w:val="28"/>
              </w:rPr>
            </w:pPr>
            <w:r>
              <w:rPr>
                <w:sz w:val="28"/>
                <w:szCs w:val="28"/>
              </w:rPr>
              <w:t>81888982</w:t>
            </w:r>
          </w:p>
          <w:p>
            <w:pPr>
              <w:widowControl/>
              <w:spacing w:line="400" w:lineRule="exact"/>
              <w:jc w:val="center"/>
              <w:rPr>
                <w:sz w:val="28"/>
                <w:szCs w:val="28"/>
              </w:rPr>
            </w:pPr>
            <w:r>
              <w:rPr>
                <w:sz w:val="28"/>
                <w:szCs w:val="28"/>
              </w:rPr>
              <w:t>18957683735</w:t>
            </w:r>
          </w:p>
        </w:tc>
      </w:tr>
    </w:tbl>
    <w:p>
      <w:pPr>
        <w:rPr>
          <w:sz w:val="32"/>
          <w:szCs w:val="32"/>
        </w:rPr>
      </w:pPr>
      <w:r>
        <w:rPr>
          <w:rFonts w:hint="eastAsia" w:cs="宋体"/>
          <w:sz w:val="32"/>
          <w:szCs w:val="32"/>
        </w:rPr>
        <w:t>上表利率仅供参考，以银行实际答复利率为准</w:t>
      </w:r>
    </w:p>
    <w:p>
      <w:pPr>
        <w:spacing w:line="160" w:lineRule="atLeast"/>
        <w:ind w:firstLine="640" w:firstLineChars="200"/>
        <w:rPr>
          <w:rFonts w:cs="宋体"/>
          <w:sz w:val="32"/>
          <w:szCs w:val="32"/>
        </w:rPr>
      </w:pPr>
    </w:p>
    <w:p>
      <w:pPr>
        <w:spacing w:line="160" w:lineRule="atLeast"/>
        <w:rPr>
          <w:sz w:val="32"/>
          <w:szCs w:val="32"/>
        </w:rPr>
      </w:pPr>
      <w:r>
        <w:rPr>
          <w:rFonts w:hint="eastAsia" w:cs="宋体"/>
          <w:sz w:val="32"/>
          <w:szCs w:val="32"/>
        </w:rPr>
        <w:t>合同履约保函联系方式：</w:t>
      </w:r>
    </w:p>
    <w:tbl>
      <w:tblPr>
        <w:tblStyle w:val="22"/>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8"/>
        <w:gridCol w:w="2014"/>
        <w:gridCol w:w="113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4"/>
                <w:szCs w:val="32"/>
              </w:rPr>
            </w:pPr>
            <w:r>
              <w:rPr>
                <w:rFonts w:hint="eastAsia" w:cs="宋体"/>
                <w:sz w:val="24"/>
                <w:szCs w:val="32"/>
              </w:rPr>
              <w:t>保险公司</w:t>
            </w: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4"/>
                <w:szCs w:val="32"/>
              </w:rPr>
            </w:pPr>
            <w:r>
              <w:rPr>
                <w:rFonts w:hint="eastAsia" w:cs="宋体"/>
                <w:sz w:val="24"/>
                <w:szCs w:val="32"/>
              </w:rPr>
              <w:t>保费率</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4"/>
                <w:szCs w:val="32"/>
              </w:rPr>
            </w:pPr>
            <w:r>
              <w:rPr>
                <w:rFonts w:hint="eastAsia" w:cs="宋体"/>
                <w:sz w:val="24"/>
                <w:szCs w:val="32"/>
              </w:rPr>
              <w:t>联系人</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4"/>
                <w:szCs w:val="32"/>
              </w:rPr>
            </w:pPr>
            <w:r>
              <w:rPr>
                <w:rFonts w:hint="eastAsia" w:cs="宋体"/>
                <w:sz w:val="24"/>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4"/>
                <w:szCs w:val="32"/>
              </w:rPr>
            </w:pPr>
            <w:r>
              <w:rPr>
                <w:rFonts w:hint="eastAsia" w:cs="宋体"/>
                <w:sz w:val="24"/>
                <w:szCs w:val="32"/>
              </w:rPr>
              <w:t>中国人寿财产保险股份有限公司台州中心支公司</w:t>
            </w: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4"/>
                <w:szCs w:val="32"/>
              </w:rPr>
            </w:pPr>
            <w:r>
              <w:rPr>
                <w:rFonts w:hint="eastAsia" w:cs="宋体"/>
                <w:sz w:val="24"/>
                <w:szCs w:val="32"/>
              </w:rPr>
              <w:t>年费率</w:t>
            </w:r>
            <w:r>
              <w:rPr>
                <w:sz w:val="24"/>
                <w:szCs w:val="32"/>
              </w:rPr>
              <w:t>1%</w:t>
            </w:r>
            <w:r>
              <w:rPr>
                <w:rFonts w:hint="eastAsia" w:cs="宋体"/>
                <w:sz w:val="24"/>
                <w:szCs w:val="32"/>
              </w:rPr>
              <w:t>，最低保费</w:t>
            </w:r>
            <w:r>
              <w:rPr>
                <w:sz w:val="24"/>
                <w:szCs w:val="32"/>
              </w:rPr>
              <w:t>500</w:t>
            </w:r>
            <w:r>
              <w:rPr>
                <w:rFonts w:hint="eastAsia" w:cs="宋体"/>
                <w:sz w:val="24"/>
                <w:szCs w:val="32"/>
              </w:rPr>
              <w:t>元</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4"/>
                <w:szCs w:val="32"/>
              </w:rPr>
            </w:pPr>
            <w:r>
              <w:rPr>
                <w:rFonts w:hint="eastAsia" w:cs="宋体"/>
                <w:sz w:val="24"/>
                <w:szCs w:val="32"/>
              </w:rPr>
              <w:t>徐凌</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4"/>
                <w:szCs w:val="32"/>
              </w:rPr>
            </w:pPr>
            <w:r>
              <w:rPr>
                <w:sz w:val="24"/>
                <w:szCs w:val="32"/>
              </w:rPr>
              <w:t>13905168070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4"/>
                <w:szCs w:val="32"/>
              </w:rPr>
            </w:pPr>
            <w:r>
              <w:rPr>
                <w:rFonts w:hint="eastAsia" w:cs="宋体"/>
                <w:sz w:val="24"/>
                <w:szCs w:val="32"/>
              </w:rPr>
              <w:t>永诚财产保险股份有限公司台州分公司</w:t>
            </w: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4"/>
                <w:szCs w:val="32"/>
              </w:rPr>
            </w:pPr>
            <w:r>
              <w:rPr>
                <w:rFonts w:hint="eastAsia" w:cs="宋体"/>
                <w:sz w:val="24"/>
                <w:szCs w:val="32"/>
              </w:rPr>
              <w:t>年费率</w:t>
            </w:r>
            <w:r>
              <w:rPr>
                <w:sz w:val="24"/>
                <w:szCs w:val="32"/>
              </w:rPr>
              <w:t>1%</w:t>
            </w:r>
            <w:r>
              <w:rPr>
                <w:rFonts w:hint="eastAsia" w:cs="宋体"/>
                <w:sz w:val="24"/>
                <w:szCs w:val="32"/>
              </w:rPr>
              <w:t>，最低保费</w:t>
            </w:r>
            <w:r>
              <w:rPr>
                <w:sz w:val="24"/>
                <w:szCs w:val="32"/>
              </w:rPr>
              <w:t>1000</w:t>
            </w:r>
            <w:r>
              <w:rPr>
                <w:rFonts w:hint="eastAsia" w:cs="宋体"/>
                <w:sz w:val="24"/>
                <w:szCs w:val="32"/>
              </w:rPr>
              <w:t>元</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4"/>
                <w:szCs w:val="32"/>
              </w:rPr>
            </w:pPr>
            <w:r>
              <w:rPr>
                <w:rFonts w:hint="eastAsia" w:cs="宋体"/>
                <w:sz w:val="24"/>
                <w:szCs w:val="32"/>
              </w:rPr>
              <w:t>尹刚强</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4"/>
                <w:szCs w:val="32"/>
              </w:rPr>
            </w:pPr>
            <w:r>
              <w:rPr>
                <w:sz w:val="24"/>
                <w:szCs w:val="32"/>
              </w:rPr>
              <w:t>13750668184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4"/>
                <w:szCs w:val="32"/>
              </w:rPr>
            </w:pPr>
            <w:r>
              <w:rPr>
                <w:rFonts w:hint="eastAsia" w:cs="宋体"/>
                <w:sz w:val="24"/>
                <w:szCs w:val="32"/>
              </w:rPr>
              <w:t>华泰财产保险有限公司台州中心支公司</w:t>
            </w: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4"/>
                <w:szCs w:val="32"/>
              </w:rPr>
            </w:pPr>
            <w:r>
              <w:rPr>
                <w:rFonts w:hint="eastAsia" w:cs="宋体"/>
                <w:sz w:val="24"/>
                <w:szCs w:val="32"/>
              </w:rPr>
              <w:t>年费率</w:t>
            </w:r>
            <w:r>
              <w:rPr>
                <w:sz w:val="24"/>
                <w:szCs w:val="32"/>
              </w:rPr>
              <w:t>0.5%</w:t>
            </w:r>
            <w:r>
              <w:rPr>
                <w:rFonts w:hint="eastAsia" w:cs="宋体"/>
                <w:sz w:val="24"/>
                <w:szCs w:val="32"/>
              </w:rPr>
              <w:t>，最低保费</w:t>
            </w:r>
            <w:r>
              <w:rPr>
                <w:sz w:val="24"/>
                <w:szCs w:val="32"/>
              </w:rPr>
              <w:t>1000</w:t>
            </w:r>
            <w:r>
              <w:rPr>
                <w:rFonts w:hint="eastAsia" w:cs="宋体"/>
                <w:sz w:val="24"/>
                <w:szCs w:val="32"/>
              </w:rPr>
              <w:t>元</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4"/>
                <w:szCs w:val="32"/>
              </w:rPr>
            </w:pPr>
            <w:r>
              <w:rPr>
                <w:rFonts w:hint="eastAsia" w:cs="宋体"/>
                <w:sz w:val="24"/>
                <w:szCs w:val="32"/>
              </w:rPr>
              <w:t>王灵芳</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4"/>
                <w:szCs w:val="32"/>
              </w:rPr>
            </w:pPr>
            <w:r>
              <w:rPr>
                <w:sz w:val="24"/>
                <w:szCs w:val="32"/>
              </w:rPr>
              <w:t>88869818</w:t>
            </w:r>
            <w:r>
              <w:rPr>
                <w:rFonts w:hint="eastAsia" w:cs="宋体"/>
                <w:sz w:val="24"/>
                <w:szCs w:val="32"/>
              </w:rPr>
              <w:t>，</w:t>
            </w:r>
            <w:r>
              <w:rPr>
                <w:sz w:val="24"/>
                <w:szCs w:val="32"/>
              </w:rPr>
              <w:t>13586123199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4"/>
                <w:szCs w:val="32"/>
              </w:rPr>
            </w:pPr>
            <w:r>
              <w:rPr>
                <w:rFonts w:hint="eastAsia" w:cs="宋体"/>
                <w:sz w:val="24"/>
                <w:szCs w:val="32"/>
              </w:rPr>
              <w:t>中国大地财产保险股份有限公司台州中心支公司</w:t>
            </w: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4"/>
                <w:szCs w:val="32"/>
              </w:rPr>
            </w:pPr>
            <w:r>
              <w:rPr>
                <w:rFonts w:hint="eastAsia" w:cs="宋体"/>
                <w:sz w:val="24"/>
                <w:szCs w:val="32"/>
              </w:rPr>
              <w:t>年费率</w:t>
            </w:r>
            <w:r>
              <w:rPr>
                <w:sz w:val="24"/>
                <w:szCs w:val="32"/>
              </w:rPr>
              <w:t>1.5%</w:t>
            </w:r>
            <w:r>
              <w:rPr>
                <w:rFonts w:hint="eastAsia" w:cs="宋体"/>
                <w:sz w:val="24"/>
                <w:szCs w:val="32"/>
              </w:rPr>
              <w:t>，最低保费</w:t>
            </w:r>
            <w:r>
              <w:rPr>
                <w:sz w:val="24"/>
                <w:szCs w:val="32"/>
              </w:rPr>
              <w:t>500</w:t>
            </w:r>
            <w:r>
              <w:rPr>
                <w:rFonts w:hint="eastAsia" w:cs="宋体"/>
                <w:sz w:val="24"/>
                <w:szCs w:val="32"/>
              </w:rPr>
              <w:t>元</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4"/>
                <w:szCs w:val="32"/>
              </w:rPr>
            </w:pPr>
            <w:r>
              <w:rPr>
                <w:rFonts w:hint="eastAsia" w:cs="宋体"/>
                <w:sz w:val="24"/>
                <w:szCs w:val="32"/>
              </w:rPr>
              <w:t>徐小明</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4"/>
                <w:szCs w:val="32"/>
              </w:rPr>
            </w:pPr>
            <w:r>
              <w:rPr>
                <w:sz w:val="24"/>
                <w:szCs w:val="32"/>
              </w:rPr>
              <w:t>88552788</w:t>
            </w:r>
            <w:r>
              <w:rPr>
                <w:rFonts w:hint="eastAsia" w:cs="宋体"/>
                <w:sz w:val="24"/>
                <w:szCs w:val="32"/>
              </w:rPr>
              <w:t>，</w:t>
            </w:r>
            <w:r>
              <w:rPr>
                <w:sz w:val="24"/>
                <w:szCs w:val="32"/>
              </w:rPr>
              <w:t>13968603112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4"/>
                <w:szCs w:val="32"/>
              </w:rPr>
            </w:pPr>
            <w:r>
              <w:rPr>
                <w:rFonts w:hint="eastAsia" w:cs="宋体"/>
                <w:sz w:val="24"/>
                <w:szCs w:val="32"/>
              </w:rPr>
              <w:t>阳光保险台州中心支公司</w:t>
            </w: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4"/>
                <w:szCs w:val="32"/>
              </w:rPr>
            </w:pPr>
            <w:r>
              <w:rPr>
                <w:rFonts w:hint="eastAsia" w:cs="宋体"/>
                <w:sz w:val="24"/>
                <w:szCs w:val="32"/>
              </w:rPr>
              <w:t>年费率</w:t>
            </w:r>
            <w:r>
              <w:rPr>
                <w:sz w:val="24"/>
                <w:szCs w:val="32"/>
              </w:rPr>
              <w:t>1%</w:t>
            </w:r>
            <w:r>
              <w:rPr>
                <w:rFonts w:hint="eastAsia" w:cs="宋体"/>
                <w:sz w:val="24"/>
                <w:szCs w:val="32"/>
              </w:rPr>
              <w:t>，最低保费</w:t>
            </w:r>
            <w:r>
              <w:rPr>
                <w:sz w:val="24"/>
                <w:szCs w:val="32"/>
              </w:rPr>
              <w:t>500</w:t>
            </w:r>
            <w:r>
              <w:rPr>
                <w:rFonts w:hint="eastAsia" w:cs="宋体"/>
                <w:sz w:val="24"/>
                <w:szCs w:val="32"/>
              </w:rPr>
              <w:t>元</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4"/>
                <w:szCs w:val="32"/>
              </w:rPr>
            </w:pPr>
            <w:r>
              <w:rPr>
                <w:rFonts w:hint="eastAsia" w:cs="宋体"/>
                <w:sz w:val="24"/>
                <w:szCs w:val="32"/>
              </w:rPr>
              <w:t>林高明</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4"/>
                <w:szCs w:val="32"/>
              </w:rPr>
            </w:pPr>
            <w:r>
              <w:rPr>
                <w:sz w:val="24"/>
                <w:szCs w:val="32"/>
              </w:rPr>
              <w:t>15888682693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4"/>
                <w:szCs w:val="32"/>
              </w:rPr>
            </w:pPr>
            <w:r>
              <w:rPr>
                <w:rFonts w:hint="eastAsia" w:cs="宋体"/>
                <w:sz w:val="24"/>
                <w:szCs w:val="32"/>
              </w:rPr>
              <w:t>中华联合财产保险股份有限公司台州中心支公司</w:t>
            </w: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4"/>
                <w:szCs w:val="32"/>
              </w:rPr>
            </w:pPr>
            <w:r>
              <w:rPr>
                <w:rFonts w:hint="eastAsia" w:cs="宋体"/>
                <w:sz w:val="24"/>
                <w:szCs w:val="32"/>
              </w:rPr>
              <w:t>年费率</w:t>
            </w:r>
            <w:r>
              <w:rPr>
                <w:sz w:val="24"/>
                <w:szCs w:val="32"/>
              </w:rPr>
              <w:t>2%</w:t>
            </w:r>
            <w:r>
              <w:rPr>
                <w:rFonts w:hint="eastAsia" w:cs="宋体"/>
                <w:sz w:val="24"/>
                <w:szCs w:val="32"/>
              </w:rPr>
              <w:t>，最低保费</w:t>
            </w:r>
            <w:r>
              <w:rPr>
                <w:sz w:val="24"/>
                <w:szCs w:val="32"/>
              </w:rPr>
              <w:t>500</w:t>
            </w:r>
            <w:r>
              <w:rPr>
                <w:rFonts w:hint="eastAsia" w:cs="宋体"/>
                <w:sz w:val="24"/>
                <w:szCs w:val="32"/>
              </w:rPr>
              <w:t>元</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4"/>
                <w:szCs w:val="32"/>
              </w:rPr>
            </w:pPr>
            <w:r>
              <w:rPr>
                <w:rFonts w:hint="eastAsia" w:cs="宋体"/>
                <w:sz w:val="24"/>
                <w:szCs w:val="32"/>
              </w:rPr>
              <w:t>王仙高</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4"/>
                <w:szCs w:val="32"/>
              </w:rPr>
            </w:pPr>
            <w:r>
              <w:rPr>
                <w:sz w:val="24"/>
                <w:szCs w:val="32"/>
              </w:rPr>
              <w:t>13858600221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4"/>
                <w:szCs w:val="32"/>
              </w:rPr>
            </w:pPr>
            <w:r>
              <w:rPr>
                <w:rFonts w:hint="eastAsia" w:cs="宋体"/>
                <w:sz w:val="24"/>
                <w:szCs w:val="32"/>
              </w:rPr>
              <w:t>中国人民财产保险股份有限公司台州中心支公司</w:t>
            </w: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4"/>
                <w:szCs w:val="32"/>
              </w:rPr>
            </w:pPr>
            <w:r>
              <w:rPr>
                <w:rFonts w:hint="eastAsia" w:cs="宋体"/>
                <w:sz w:val="24"/>
                <w:szCs w:val="32"/>
              </w:rPr>
              <w:t>年费率</w:t>
            </w:r>
            <w:r>
              <w:rPr>
                <w:sz w:val="24"/>
                <w:szCs w:val="32"/>
              </w:rPr>
              <w:t>0.3%</w:t>
            </w:r>
            <w:r>
              <w:rPr>
                <w:rFonts w:hint="eastAsia" w:cs="宋体"/>
                <w:sz w:val="24"/>
                <w:szCs w:val="32"/>
              </w:rPr>
              <w:t>，最低保费</w:t>
            </w:r>
            <w:r>
              <w:rPr>
                <w:sz w:val="24"/>
                <w:szCs w:val="32"/>
              </w:rPr>
              <w:t>1000</w:t>
            </w:r>
            <w:r>
              <w:rPr>
                <w:rFonts w:hint="eastAsia" w:cs="宋体"/>
                <w:sz w:val="24"/>
                <w:szCs w:val="32"/>
              </w:rPr>
              <w:t>元</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4"/>
                <w:szCs w:val="32"/>
              </w:rPr>
            </w:pPr>
            <w:r>
              <w:rPr>
                <w:rFonts w:hint="eastAsia" w:cs="宋体"/>
                <w:sz w:val="24"/>
                <w:szCs w:val="32"/>
              </w:rPr>
              <w:t>王仙春</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4"/>
                <w:szCs w:val="32"/>
              </w:rPr>
            </w:pPr>
            <w:r>
              <w:rPr>
                <w:sz w:val="24"/>
                <w:szCs w:val="32"/>
              </w:rPr>
              <w:t>13515769179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4"/>
                <w:szCs w:val="32"/>
              </w:rPr>
            </w:pPr>
            <w:r>
              <w:rPr>
                <w:rFonts w:hint="eastAsia" w:cs="宋体"/>
                <w:sz w:val="24"/>
                <w:szCs w:val="32"/>
              </w:rPr>
              <w:t>永安财产保险股份有限公司台州中心支公司</w:t>
            </w: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4"/>
                <w:szCs w:val="32"/>
              </w:rPr>
            </w:pPr>
            <w:r>
              <w:rPr>
                <w:rFonts w:hint="eastAsia" w:cs="宋体"/>
                <w:sz w:val="24"/>
                <w:szCs w:val="32"/>
              </w:rPr>
              <w:t>年费率</w:t>
            </w:r>
            <w:r>
              <w:rPr>
                <w:sz w:val="24"/>
                <w:szCs w:val="32"/>
              </w:rPr>
              <w:t>0.3%</w:t>
            </w:r>
            <w:r>
              <w:rPr>
                <w:rFonts w:hint="eastAsia" w:cs="宋体"/>
                <w:sz w:val="24"/>
                <w:szCs w:val="32"/>
              </w:rPr>
              <w:t>，最低保费</w:t>
            </w:r>
            <w:r>
              <w:rPr>
                <w:sz w:val="24"/>
                <w:szCs w:val="32"/>
              </w:rPr>
              <w:t>1000</w:t>
            </w:r>
            <w:r>
              <w:rPr>
                <w:rFonts w:hint="eastAsia" w:cs="宋体"/>
                <w:sz w:val="24"/>
                <w:szCs w:val="32"/>
              </w:rPr>
              <w:t>元</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4"/>
                <w:szCs w:val="32"/>
              </w:rPr>
            </w:pPr>
            <w:r>
              <w:rPr>
                <w:rFonts w:hint="eastAsia" w:cs="宋体"/>
                <w:sz w:val="24"/>
                <w:szCs w:val="32"/>
              </w:rPr>
              <w:t>王春宇</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4"/>
                <w:szCs w:val="32"/>
              </w:rPr>
            </w:pPr>
            <w:r>
              <w:rPr>
                <w:sz w:val="24"/>
                <w:szCs w:val="32"/>
              </w:rPr>
              <w:t>13676675331</w:t>
            </w:r>
          </w:p>
        </w:tc>
      </w:tr>
    </w:tbl>
    <w:p>
      <w:pPr>
        <w:spacing w:line="160" w:lineRule="atLeast"/>
        <w:rPr>
          <w:sz w:val="32"/>
          <w:szCs w:val="32"/>
        </w:rPr>
      </w:pPr>
      <w:r>
        <w:rPr>
          <w:rFonts w:hint="eastAsia" w:cs="宋体"/>
          <w:sz w:val="32"/>
          <w:szCs w:val="32"/>
        </w:rPr>
        <w:t>预付款保函联系方式</w:t>
      </w:r>
    </w:p>
    <w:tbl>
      <w:tblPr>
        <w:tblStyle w:val="22"/>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2156"/>
        <w:gridCol w:w="1473"/>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60" w:lineRule="atLeast"/>
              <w:jc w:val="center"/>
              <w:rPr>
                <w:sz w:val="24"/>
                <w:szCs w:val="32"/>
              </w:rPr>
            </w:pPr>
            <w:r>
              <w:rPr>
                <w:rFonts w:hint="eastAsia" w:cs="宋体"/>
                <w:sz w:val="24"/>
                <w:szCs w:val="32"/>
              </w:rPr>
              <w:t>保险公司</w:t>
            </w:r>
          </w:p>
        </w:tc>
        <w:tc>
          <w:tcPr>
            <w:tcW w:w="21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60" w:lineRule="atLeast"/>
              <w:jc w:val="center"/>
              <w:rPr>
                <w:sz w:val="24"/>
                <w:szCs w:val="32"/>
              </w:rPr>
            </w:pPr>
            <w:r>
              <w:rPr>
                <w:rFonts w:hint="eastAsia" w:cs="宋体"/>
                <w:sz w:val="24"/>
                <w:szCs w:val="32"/>
              </w:rPr>
              <w:t>保费率</w:t>
            </w: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60" w:lineRule="atLeast"/>
              <w:jc w:val="center"/>
              <w:rPr>
                <w:sz w:val="24"/>
                <w:szCs w:val="32"/>
              </w:rPr>
            </w:pPr>
            <w:r>
              <w:rPr>
                <w:rFonts w:hint="eastAsia" w:cs="宋体"/>
                <w:sz w:val="24"/>
                <w:szCs w:val="32"/>
              </w:rPr>
              <w:t>联系人</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60" w:lineRule="atLeast"/>
              <w:jc w:val="center"/>
              <w:rPr>
                <w:sz w:val="24"/>
                <w:szCs w:val="32"/>
              </w:rPr>
            </w:pPr>
            <w:r>
              <w:rPr>
                <w:rFonts w:hint="eastAsia" w:cs="宋体"/>
                <w:sz w:val="24"/>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3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60" w:lineRule="atLeast"/>
              <w:jc w:val="center"/>
              <w:rPr>
                <w:sz w:val="24"/>
                <w:szCs w:val="32"/>
              </w:rPr>
            </w:pPr>
            <w:r>
              <w:rPr>
                <w:rFonts w:hint="eastAsia" w:cs="宋体"/>
                <w:sz w:val="24"/>
                <w:szCs w:val="32"/>
              </w:rPr>
              <w:t>中国人寿财产保险股份有限公司台州中心支公司</w:t>
            </w:r>
          </w:p>
        </w:tc>
        <w:tc>
          <w:tcPr>
            <w:tcW w:w="21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60" w:lineRule="atLeast"/>
              <w:jc w:val="center"/>
              <w:rPr>
                <w:sz w:val="24"/>
                <w:szCs w:val="32"/>
              </w:rPr>
            </w:pPr>
            <w:r>
              <w:rPr>
                <w:rFonts w:hint="eastAsia" w:cs="宋体"/>
                <w:sz w:val="24"/>
                <w:szCs w:val="32"/>
              </w:rPr>
              <w:t>年费率</w:t>
            </w:r>
            <w:r>
              <w:rPr>
                <w:sz w:val="24"/>
                <w:szCs w:val="32"/>
              </w:rPr>
              <w:t>3%</w:t>
            </w:r>
            <w:r>
              <w:rPr>
                <w:rFonts w:hint="eastAsia" w:cs="宋体"/>
                <w:sz w:val="24"/>
                <w:szCs w:val="32"/>
              </w:rPr>
              <w:t>，最低保费</w:t>
            </w:r>
            <w:r>
              <w:rPr>
                <w:sz w:val="24"/>
                <w:szCs w:val="32"/>
              </w:rPr>
              <w:t>500</w:t>
            </w:r>
            <w:r>
              <w:rPr>
                <w:rFonts w:hint="eastAsia" w:cs="宋体"/>
                <w:sz w:val="24"/>
                <w:szCs w:val="32"/>
              </w:rPr>
              <w:t>元</w:t>
            </w: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60" w:lineRule="atLeast"/>
              <w:jc w:val="center"/>
              <w:rPr>
                <w:sz w:val="24"/>
                <w:szCs w:val="32"/>
              </w:rPr>
            </w:pPr>
            <w:r>
              <w:rPr>
                <w:rFonts w:hint="eastAsia" w:cs="宋体"/>
                <w:sz w:val="24"/>
                <w:szCs w:val="32"/>
              </w:rPr>
              <w:t>徐凌</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60" w:lineRule="atLeast"/>
              <w:jc w:val="center"/>
              <w:rPr>
                <w:sz w:val="24"/>
                <w:szCs w:val="32"/>
              </w:rPr>
            </w:pPr>
            <w:r>
              <w:rPr>
                <w:sz w:val="24"/>
                <w:szCs w:val="32"/>
              </w:rPr>
              <w:t>13905168070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60" w:lineRule="atLeast"/>
              <w:jc w:val="center"/>
              <w:rPr>
                <w:sz w:val="24"/>
                <w:szCs w:val="32"/>
              </w:rPr>
            </w:pPr>
            <w:r>
              <w:rPr>
                <w:rFonts w:hint="eastAsia" w:cs="宋体"/>
                <w:sz w:val="24"/>
                <w:szCs w:val="32"/>
              </w:rPr>
              <w:t>阳光保险台州中心支公司</w:t>
            </w:r>
          </w:p>
        </w:tc>
        <w:tc>
          <w:tcPr>
            <w:tcW w:w="21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60" w:lineRule="atLeast"/>
              <w:jc w:val="center"/>
              <w:rPr>
                <w:sz w:val="24"/>
                <w:szCs w:val="32"/>
              </w:rPr>
            </w:pPr>
            <w:r>
              <w:rPr>
                <w:rFonts w:hint="eastAsia" w:cs="宋体"/>
                <w:sz w:val="24"/>
                <w:szCs w:val="32"/>
              </w:rPr>
              <w:t>年费率</w:t>
            </w:r>
            <w:r>
              <w:rPr>
                <w:sz w:val="24"/>
                <w:szCs w:val="32"/>
              </w:rPr>
              <w:t>1%</w:t>
            </w:r>
            <w:r>
              <w:rPr>
                <w:rFonts w:hint="eastAsia" w:cs="宋体"/>
                <w:sz w:val="24"/>
                <w:szCs w:val="32"/>
              </w:rPr>
              <w:t>，最低保费</w:t>
            </w:r>
            <w:r>
              <w:rPr>
                <w:sz w:val="24"/>
                <w:szCs w:val="32"/>
              </w:rPr>
              <w:t>500</w:t>
            </w:r>
            <w:r>
              <w:rPr>
                <w:rFonts w:hint="eastAsia" w:cs="宋体"/>
                <w:sz w:val="24"/>
                <w:szCs w:val="32"/>
              </w:rPr>
              <w:t>元</w:t>
            </w: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60" w:lineRule="atLeast"/>
              <w:jc w:val="center"/>
              <w:rPr>
                <w:sz w:val="24"/>
                <w:szCs w:val="32"/>
              </w:rPr>
            </w:pPr>
            <w:r>
              <w:rPr>
                <w:rFonts w:hint="eastAsia" w:cs="宋体"/>
                <w:sz w:val="24"/>
                <w:szCs w:val="32"/>
              </w:rPr>
              <w:t>林高明</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60" w:lineRule="atLeast"/>
              <w:jc w:val="center"/>
              <w:rPr>
                <w:sz w:val="24"/>
                <w:szCs w:val="32"/>
              </w:rPr>
            </w:pPr>
            <w:r>
              <w:rPr>
                <w:sz w:val="24"/>
                <w:szCs w:val="32"/>
              </w:rPr>
              <w:t>15888682693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3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60" w:lineRule="atLeast"/>
              <w:jc w:val="center"/>
              <w:rPr>
                <w:sz w:val="24"/>
                <w:szCs w:val="32"/>
              </w:rPr>
            </w:pPr>
            <w:r>
              <w:rPr>
                <w:rFonts w:hint="eastAsia" w:cs="宋体"/>
                <w:sz w:val="24"/>
                <w:szCs w:val="32"/>
              </w:rPr>
              <w:t>天安财产保险股份有限公司台州中心支公司</w:t>
            </w:r>
          </w:p>
        </w:tc>
        <w:tc>
          <w:tcPr>
            <w:tcW w:w="21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60" w:lineRule="atLeast"/>
              <w:jc w:val="center"/>
              <w:rPr>
                <w:sz w:val="24"/>
                <w:szCs w:val="32"/>
              </w:rPr>
            </w:pPr>
            <w:r>
              <w:rPr>
                <w:rFonts w:hint="eastAsia" w:cs="宋体"/>
                <w:sz w:val="24"/>
                <w:szCs w:val="32"/>
              </w:rPr>
              <w:t>年费率</w:t>
            </w:r>
            <w:r>
              <w:rPr>
                <w:sz w:val="24"/>
                <w:szCs w:val="32"/>
              </w:rPr>
              <w:t>1%-2%</w:t>
            </w:r>
            <w:r>
              <w:rPr>
                <w:rFonts w:hint="eastAsia" w:cs="宋体"/>
                <w:sz w:val="24"/>
                <w:szCs w:val="32"/>
              </w:rPr>
              <w:t>，最低保费</w:t>
            </w:r>
            <w:r>
              <w:rPr>
                <w:sz w:val="24"/>
                <w:szCs w:val="32"/>
              </w:rPr>
              <w:t>500</w:t>
            </w:r>
            <w:r>
              <w:rPr>
                <w:rFonts w:hint="eastAsia" w:cs="宋体"/>
                <w:sz w:val="24"/>
                <w:szCs w:val="32"/>
              </w:rPr>
              <w:t>元</w:t>
            </w: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60" w:lineRule="atLeast"/>
              <w:jc w:val="center"/>
              <w:rPr>
                <w:sz w:val="24"/>
                <w:szCs w:val="32"/>
              </w:rPr>
            </w:pPr>
            <w:r>
              <w:rPr>
                <w:rFonts w:hint="eastAsia" w:cs="宋体"/>
                <w:sz w:val="24"/>
                <w:szCs w:val="32"/>
              </w:rPr>
              <w:t>罗赛</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60" w:lineRule="atLeast"/>
              <w:jc w:val="center"/>
              <w:rPr>
                <w:sz w:val="24"/>
                <w:szCs w:val="32"/>
              </w:rPr>
            </w:pPr>
            <w:r>
              <w:rPr>
                <w:sz w:val="24"/>
                <w:szCs w:val="32"/>
              </w:rPr>
              <w:t>13736605643</w:t>
            </w:r>
          </w:p>
        </w:tc>
      </w:tr>
    </w:tbl>
    <w:p>
      <w:pPr>
        <w:pStyle w:val="19"/>
        <w:widowControl w:val="0"/>
        <w:spacing w:before="0" w:beforeAutospacing="0" w:after="0" w:afterAutospacing="0"/>
        <w:jc w:val="both"/>
        <w:rPr>
          <w:rFonts w:hint="default" w:cs="宋体"/>
          <w:sz w:val="28"/>
          <w:szCs w:val="28"/>
        </w:rPr>
      </w:pPr>
    </w:p>
    <w:p>
      <w:pPr>
        <w:pStyle w:val="40"/>
        <w:spacing w:line="360" w:lineRule="auto"/>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3081" o:spid="_x0000_s308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38</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53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rPr>
    </w:pPr>
    <w:r>
      <w:rPr>
        <w:sz w:val="10"/>
      </w:rPr>
      <w:pict>
        <v:shape id="_x0000_s3082" o:spid="_x0000_s3082" o:spt="202" type="#_x0000_t202" style="position:absolute;left:0pt;margin-left:373.7pt;margin-top:5.05pt;height:14.7pt;width:77.95pt;mso-position-horizontal-relative:margin;z-index:251663360;mso-width-relative:page;mso-height-relative:page;" filled="f" stroked="f" coordsize="21600,21600" o:gfxdata="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b43kD2AAAAAkBAAAPAAAAAAAAAAEAIAAAACIAAABkcnMvZG93bnJldi54bWxQ&#10;SwECFAAUAAAACACHTuJAmiBRJzACAABVBAAADgAAAAAAAAABACAAAAAnAQAAZHJzL2Uyb0RvYy54&#10;bWxQSwUGAAAAAAYABgBZAQAAyQUAAAAA&#10;">
          <v:path/>
          <v:fill on="f" focussize="0,0"/>
          <v:stroke on="f" weight="0.5pt" joinstyle="miter"/>
          <v:imagedata o:title=""/>
          <o:lock v:ext="edit"/>
          <v:textbox inset="0mm,0mm,0mm,0mm">
            <w:txbxContent>
              <w:p>
                <w:pPr>
                  <w:pStyle w:val="16"/>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w:r>
  </w:p>
  <w:p>
    <w:pPr>
      <w:pStyle w:val="16"/>
      <w:pBdr>
        <w:bottom w:val="single" w:color="auto" w:sz="4" w:space="1"/>
      </w:pBdr>
    </w:pPr>
    <w:r>
      <w:rPr>
        <w:rFonts w:hint="eastAsia"/>
        <w:b/>
        <w:i/>
        <w:color w:val="000000" w:themeColor="text1"/>
        <w:kern w:val="0"/>
      </w:rPr>
      <w:t xml:space="preserve">台州市政府采购竞争性磋商文件 </w:t>
    </w:r>
    <w:r>
      <w:rPr>
        <w:b/>
        <w:i/>
        <w:color w:val="000000" w:themeColor="text1"/>
        <w:kern w:val="0"/>
      </w:rPr>
      <w:t>–</w:t>
    </w:r>
    <w:r>
      <w:rPr>
        <w:rFonts w:hint="eastAsia"/>
        <w:b/>
        <w:i/>
        <w:color w:val="000000" w:themeColor="text1"/>
        <w:kern w:val="0"/>
      </w:rPr>
      <w:t xml:space="preserve">服务  </w:t>
    </w:r>
    <w:r>
      <w:rPr>
        <w:rFonts w:hint="eastAsia"/>
        <w:b/>
        <w:i/>
        <w:color w:val="000000" w:themeColor="text1"/>
        <w:kern w:val="0"/>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ascii="仿宋_GB2312" w:eastAsia="仿宋_GB2312"/>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rPr>
    </w:pPr>
    <w:r>
      <w:rPr>
        <w:sz w:val="10"/>
      </w:rPr>
      <w:pict>
        <v:shape id="_x0000_s3074" o:spid="_x0000_s3074"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path/>
          <v:fill on="f" focussize="0,0"/>
          <v:stroke on="f" weight="0.5pt" joinstyle="miter"/>
          <v:imagedata o:title=""/>
          <o:lock v:ext="edit"/>
          <v:textbox inset="0mm,0mm,0mm,0mm" style="mso-fit-shape-to-text:t;">
            <w:txbxContent>
              <w:p>
                <w:pPr>
                  <w:pStyle w:val="16"/>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w:r>
  </w:p>
  <w:p>
    <w:pPr>
      <w:pStyle w:val="16"/>
      <w:pBdr>
        <w:bottom w:val="single" w:color="auto" w:sz="4" w:space="1"/>
      </w:pBdr>
    </w:pPr>
    <w:r>
      <w:rPr>
        <w:rFonts w:hint="eastAsia"/>
        <w:b/>
        <w:i/>
        <w:color w:val="000000" w:themeColor="text1"/>
        <w:kern w:val="0"/>
      </w:rPr>
      <w:t>台州市政府采购竞争性磋商文件</w:t>
    </w:r>
    <w:r>
      <w:rPr>
        <w:rFonts w:hint="eastAsia"/>
        <w:b/>
        <w:i/>
        <w:color w:val="000000" w:themeColor="text1"/>
        <w:kern w:val="0"/>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68BBE"/>
    <w:multiLevelType w:val="singleLevel"/>
    <w:tmpl w:val="92168BBE"/>
    <w:lvl w:ilvl="0" w:tentative="0">
      <w:start w:val="1"/>
      <w:numFmt w:val="decimal"/>
      <w:suff w:val="nothing"/>
      <w:lvlText w:val="（%1）"/>
      <w:lvlJc w:val="left"/>
    </w:lvl>
  </w:abstractNum>
  <w:abstractNum w:abstractNumId="1">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2">
    <w:nsid w:val="30BA2ABA"/>
    <w:multiLevelType w:val="singleLevel"/>
    <w:tmpl w:val="30BA2ABA"/>
    <w:lvl w:ilvl="0" w:tentative="0">
      <w:start w:val="1"/>
      <w:numFmt w:val="chineseCounting"/>
      <w:suff w:val="nothing"/>
      <w:lvlText w:val="%1、"/>
      <w:lvlJc w:val="left"/>
      <w:rPr>
        <w:rFonts w:hint="eastAsia"/>
      </w:rPr>
    </w:lvl>
  </w:abstractNum>
  <w:abstractNum w:abstractNumId="3">
    <w:nsid w:val="461E5E94"/>
    <w:multiLevelType w:val="singleLevel"/>
    <w:tmpl w:val="461E5E94"/>
    <w:lvl w:ilvl="0" w:tentative="0">
      <w:start w:val="2"/>
      <w:numFmt w:val="chineseCounting"/>
      <w:suff w:val="space"/>
      <w:lvlText w:val="第%1章"/>
      <w:lvlJc w:val="left"/>
      <w:rPr>
        <w:rFonts w:hint="eastAsia"/>
        <w:lang w:val="en-US"/>
      </w:rPr>
    </w:lvl>
  </w:abstractNum>
  <w:abstractNum w:abstractNumId="4">
    <w:nsid w:val="63008AD5"/>
    <w:multiLevelType w:val="singleLevel"/>
    <w:tmpl w:val="63008AD5"/>
    <w:lvl w:ilvl="0" w:tentative="0">
      <w:start w:val="1"/>
      <w:numFmt w:val="decimal"/>
      <w:lvlText w:val="%1."/>
      <w:lvlJc w:val="left"/>
      <w:pPr>
        <w:tabs>
          <w:tab w:val="left" w:pos="312"/>
        </w:tabs>
      </w:pPr>
    </w:lvl>
  </w:abstractNum>
  <w:abstractNum w:abstractNumId="5">
    <w:nsid w:val="636567A2"/>
    <w:multiLevelType w:val="multilevel"/>
    <w:tmpl w:val="636567A2"/>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6">
    <w:nsid w:val="66DDD653"/>
    <w:multiLevelType w:val="singleLevel"/>
    <w:tmpl w:val="66DDD653"/>
    <w:lvl w:ilvl="0" w:tentative="0">
      <w:start w:val="1"/>
      <w:numFmt w:val="chineseCounting"/>
      <w:suff w:val="space"/>
      <w:lvlText w:val="第%1章"/>
      <w:lvlJc w:val="left"/>
      <w:rPr>
        <w:rFonts w:hint="eastAsia"/>
      </w:rPr>
    </w:lvl>
  </w:abstractNum>
  <w:num w:numId="1">
    <w:abstractNumId w:val="5"/>
  </w:num>
  <w:num w:numId="2">
    <w:abstractNumId w:val="1"/>
  </w:num>
  <w:num w:numId="3">
    <w:abstractNumId w:val="6"/>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hkM2MyMDJjZGI5MGFkM2IwNTE1M2Y0NTgwNDZhMzAifQ=="/>
  </w:docVars>
  <w:rsids>
    <w:rsidRoot w:val="685F2B0C"/>
    <w:rsid w:val="00002FCC"/>
    <w:rsid w:val="00015C4F"/>
    <w:rsid w:val="0001627F"/>
    <w:rsid w:val="00026352"/>
    <w:rsid w:val="00035CD7"/>
    <w:rsid w:val="00043144"/>
    <w:rsid w:val="000523FD"/>
    <w:rsid w:val="00052711"/>
    <w:rsid w:val="00055826"/>
    <w:rsid w:val="00065955"/>
    <w:rsid w:val="000671C0"/>
    <w:rsid w:val="00067C5B"/>
    <w:rsid w:val="0007064C"/>
    <w:rsid w:val="000720D2"/>
    <w:rsid w:val="00072B89"/>
    <w:rsid w:val="000743EC"/>
    <w:rsid w:val="000869EF"/>
    <w:rsid w:val="0009614C"/>
    <w:rsid w:val="000B22D9"/>
    <w:rsid w:val="000B2C9E"/>
    <w:rsid w:val="000B3613"/>
    <w:rsid w:val="000C57BC"/>
    <w:rsid w:val="000D2BAB"/>
    <w:rsid w:val="000D2FFB"/>
    <w:rsid w:val="000D4E9A"/>
    <w:rsid w:val="000D5EEF"/>
    <w:rsid w:val="000D6714"/>
    <w:rsid w:val="000F1862"/>
    <w:rsid w:val="000F2189"/>
    <w:rsid w:val="000F305F"/>
    <w:rsid w:val="000F3EC1"/>
    <w:rsid w:val="000F416C"/>
    <w:rsid w:val="000F6B21"/>
    <w:rsid w:val="00101C4A"/>
    <w:rsid w:val="00102F61"/>
    <w:rsid w:val="001035C8"/>
    <w:rsid w:val="00105094"/>
    <w:rsid w:val="001213F5"/>
    <w:rsid w:val="0012227C"/>
    <w:rsid w:val="001245C0"/>
    <w:rsid w:val="00125602"/>
    <w:rsid w:val="00143048"/>
    <w:rsid w:val="00143193"/>
    <w:rsid w:val="00153DD3"/>
    <w:rsid w:val="001574D2"/>
    <w:rsid w:val="00164CBC"/>
    <w:rsid w:val="001745C2"/>
    <w:rsid w:val="0018366C"/>
    <w:rsid w:val="001852A2"/>
    <w:rsid w:val="00185330"/>
    <w:rsid w:val="001A42C7"/>
    <w:rsid w:val="001A75F2"/>
    <w:rsid w:val="001A7832"/>
    <w:rsid w:val="001C484C"/>
    <w:rsid w:val="001D11AB"/>
    <w:rsid w:val="001D7A6F"/>
    <w:rsid w:val="001E5A88"/>
    <w:rsid w:val="001F1F34"/>
    <w:rsid w:val="001F241D"/>
    <w:rsid w:val="001F5844"/>
    <w:rsid w:val="001F5C96"/>
    <w:rsid w:val="00204615"/>
    <w:rsid w:val="00205DA3"/>
    <w:rsid w:val="00221407"/>
    <w:rsid w:val="00223F9B"/>
    <w:rsid w:val="00227274"/>
    <w:rsid w:val="0022737D"/>
    <w:rsid w:val="00235B15"/>
    <w:rsid w:val="00241A1A"/>
    <w:rsid w:val="00242FE6"/>
    <w:rsid w:val="00243B9D"/>
    <w:rsid w:val="002523DB"/>
    <w:rsid w:val="00260307"/>
    <w:rsid w:val="002617C6"/>
    <w:rsid w:val="00265909"/>
    <w:rsid w:val="0027504D"/>
    <w:rsid w:val="002766EC"/>
    <w:rsid w:val="00281AED"/>
    <w:rsid w:val="00284574"/>
    <w:rsid w:val="00284C31"/>
    <w:rsid w:val="00291C61"/>
    <w:rsid w:val="00292206"/>
    <w:rsid w:val="0029340D"/>
    <w:rsid w:val="00293966"/>
    <w:rsid w:val="00293D30"/>
    <w:rsid w:val="0029603E"/>
    <w:rsid w:val="002A0E08"/>
    <w:rsid w:val="002B2075"/>
    <w:rsid w:val="002B7D9D"/>
    <w:rsid w:val="002C3CF1"/>
    <w:rsid w:val="002D0C86"/>
    <w:rsid w:val="002D42A5"/>
    <w:rsid w:val="002D4956"/>
    <w:rsid w:val="002D790F"/>
    <w:rsid w:val="002E01C1"/>
    <w:rsid w:val="002E1255"/>
    <w:rsid w:val="002E5DE3"/>
    <w:rsid w:val="002F39C5"/>
    <w:rsid w:val="002F4EEB"/>
    <w:rsid w:val="0030115C"/>
    <w:rsid w:val="003013EA"/>
    <w:rsid w:val="003016AF"/>
    <w:rsid w:val="00301AEC"/>
    <w:rsid w:val="00304372"/>
    <w:rsid w:val="00315916"/>
    <w:rsid w:val="00321F61"/>
    <w:rsid w:val="00326CB4"/>
    <w:rsid w:val="003271A8"/>
    <w:rsid w:val="0032761F"/>
    <w:rsid w:val="00340F13"/>
    <w:rsid w:val="003531C7"/>
    <w:rsid w:val="00355760"/>
    <w:rsid w:val="0036114A"/>
    <w:rsid w:val="00362D2E"/>
    <w:rsid w:val="003746F5"/>
    <w:rsid w:val="00380D3B"/>
    <w:rsid w:val="00381044"/>
    <w:rsid w:val="00383B55"/>
    <w:rsid w:val="0039097A"/>
    <w:rsid w:val="003939A3"/>
    <w:rsid w:val="003A53EE"/>
    <w:rsid w:val="003B4DBE"/>
    <w:rsid w:val="003B7243"/>
    <w:rsid w:val="003C11AA"/>
    <w:rsid w:val="003C7406"/>
    <w:rsid w:val="003D5C7F"/>
    <w:rsid w:val="003E0422"/>
    <w:rsid w:val="003E0C1D"/>
    <w:rsid w:val="003E48AF"/>
    <w:rsid w:val="003F362B"/>
    <w:rsid w:val="00400051"/>
    <w:rsid w:val="0041093F"/>
    <w:rsid w:val="00422958"/>
    <w:rsid w:val="00422D19"/>
    <w:rsid w:val="004436FC"/>
    <w:rsid w:val="00447562"/>
    <w:rsid w:val="00447713"/>
    <w:rsid w:val="00450852"/>
    <w:rsid w:val="00450B6F"/>
    <w:rsid w:val="00451628"/>
    <w:rsid w:val="00451A10"/>
    <w:rsid w:val="00451A7B"/>
    <w:rsid w:val="00462978"/>
    <w:rsid w:val="004637A8"/>
    <w:rsid w:val="00465D1D"/>
    <w:rsid w:val="00473F42"/>
    <w:rsid w:val="00481F36"/>
    <w:rsid w:val="00483668"/>
    <w:rsid w:val="004845E6"/>
    <w:rsid w:val="00484CE4"/>
    <w:rsid w:val="004877B8"/>
    <w:rsid w:val="0049078B"/>
    <w:rsid w:val="00492038"/>
    <w:rsid w:val="004A4A4A"/>
    <w:rsid w:val="004A600C"/>
    <w:rsid w:val="004B16AD"/>
    <w:rsid w:val="004B4B5D"/>
    <w:rsid w:val="004B4E96"/>
    <w:rsid w:val="004B79A9"/>
    <w:rsid w:val="004C5CE2"/>
    <w:rsid w:val="004D10EC"/>
    <w:rsid w:val="004D1234"/>
    <w:rsid w:val="004D3CE9"/>
    <w:rsid w:val="004E1907"/>
    <w:rsid w:val="004E347F"/>
    <w:rsid w:val="004F0FA0"/>
    <w:rsid w:val="00503B81"/>
    <w:rsid w:val="00507355"/>
    <w:rsid w:val="005133AD"/>
    <w:rsid w:val="00513E80"/>
    <w:rsid w:val="005207E6"/>
    <w:rsid w:val="00531A0F"/>
    <w:rsid w:val="00541B57"/>
    <w:rsid w:val="00542BE9"/>
    <w:rsid w:val="0056086E"/>
    <w:rsid w:val="005746DD"/>
    <w:rsid w:val="00580D65"/>
    <w:rsid w:val="00585169"/>
    <w:rsid w:val="005861F1"/>
    <w:rsid w:val="00586542"/>
    <w:rsid w:val="00590A8C"/>
    <w:rsid w:val="005A022E"/>
    <w:rsid w:val="005A2021"/>
    <w:rsid w:val="005A7041"/>
    <w:rsid w:val="005B0153"/>
    <w:rsid w:val="005B1B80"/>
    <w:rsid w:val="005B2C7E"/>
    <w:rsid w:val="005B3AAB"/>
    <w:rsid w:val="005B3CEB"/>
    <w:rsid w:val="005C1D82"/>
    <w:rsid w:val="005C4E98"/>
    <w:rsid w:val="005C5241"/>
    <w:rsid w:val="005D2B71"/>
    <w:rsid w:val="005D2F48"/>
    <w:rsid w:val="005D64D9"/>
    <w:rsid w:val="005E2CCA"/>
    <w:rsid w:val="005E2DFF"/>
    <w:rsid w:val="005E599B"/>
    <w:rsid w:val="005E6A2A"/>
    <w:rsid w:val="005F64CE"/>
    <w:rsid w:val="006121A7"/>
    <w:rsid w:val="00614130"/>
    <w:rsid w:val="006205A2"/>
    <w:rsid w:val="00620FF6"/>
    <w:rsid w:val="0062384B"/>
    <w:rsid w:val="00623916"/>
    <w:rsid w:val="00632CC8"/>
    <w:rsid w:val="00644B57"/>
    <w:rsid w:val="00651D19"/>
    <w:rsid w:val="00662BD9"/>
    <w:rsid w:val="00665F7D"/>
    <w:rsid w:val="00666DA5"/>
    <w:rsid w:val="00681778"/>
    <w:rsid w:val="00681B22"/>
    <w:rsid w:val="006836D3"/>
    <w:rsid w:val="00686761"/>
    <w:rsid w:val="00691A72"/>
    <w:rsid w:val="00693C0D"/>
    <w:rsid w:val="00693D11"/>
    <w:rsid w:val="006B21C3"/>
    <w:rsid w:val="006B4CDC"/>
    <w:rsid w:val="006C4754"/>
    <w:rsid w:val="006C786D"/>
    <w:rsid w:val="006D6D36"/>
    <w:rsid w:val="006E1B15"/>
    <w:rsid w:val="006E659F"/>
    <w:rsid w:val="007020A3"/>
    <w:rsid w:val="0070231A"/>
    <w:rsid w:val="0071257D"/>
    <w:rsid w:val="007125F8"/>
    <w:rsid w:val="00712D5B"/>
    <w:rsid w:val="00732ECD"/>
    <w:rsid w:val="00734DAB"/>
    <w:rsid w:val="007371BE"/>
    <w:rsid w:val="00744A0A"/>
    <w:rsid w:val="00744AFF"/>
    <w:rsid w:val="00747C77"/>
    <w:rsid w:val="00750571"/>
    <w:rsid w:val="00750679"/>
    <w:rsid w:val="00751FBB"/>
    <w:rsid w:val="0075421B"/>
    <w:rsid w:val="00755749"/>
    <w:rsid w:val="00755BAD"/>
    <w:rsid w:val="00756530"/>
    <w:rsid w:val="0075787F"/>
    <w:rsid w:val="0076048D"/>
    <w:rsid w:val="00761B35"/>
    <w:rsid w:val="007620B6"/>
    <w:rsid w:val="00767528"/>
    <w:rsid w:val="007703DE"/>
    <w:rsid w:val="00771593"/>
    <w:rsid w:val="007807B6"/>
    <w:rsid w:val="00787084"/>
    <w:rsid w:val="0079543B"/>
    <w:rsid w:val="007A3F25"/>
    <w:rsid w:val="007B3E49"/>
    <w:rsid w:val="007B46C3"/>
    <w:rsid w:val="007C1F90"/>
    <w:rsid w:val="007C4959"/>
    <w:rsid w:val="007C7A0E"/>
    <w:rsid w:val="007D2013"/>
    <w:rsid w:val="007D2FE3"/>
    <w:rsid w:val="007E1891"/>
    <w:rsid w:val="007E2A93"/>
    <w:rsid w:val="007F0189"/>
    <w:rsid w:val="007F1328"/>
    <w:rsid w:val="007F27CB"/>
    <w:rsid w:val="00800382"/>
    <w:rsid w:val="00800A02"/>
    <w:rsid w:val="00803AD5"/>
    <w:rsid w:val="00810353"/>
    <w:rsid w:val="00815FA6"/>
    <w:rsid w:val="0081786C"/>
    <w:rsid w:val="008277A2"/>
    <w:rsid w:val="00831520"/>
    <w:rsid w:val="00843093"/>
    <w:rsid w:val="00850DA9"/>
    <w:rsid w:val="0085282C"/>
    <w:rsid w:val="008709A9"/>
    <w:rsid w:val="00881756"/>
    <w:rsid w:val="0088287C"/>
    <w:rsid w:val="008902CE"/>
    <w:rsid w:val="008926CD"/>
    <w:rsid w:val="008A3AF8"/>
    <w:rsid w:val="008B394B"/>
    <w:rsid w:val="008B5438"/>
    <w:rsid w:val="008B60E5"/>
    <w:rsid w:val="008B786E"/>
    <w:rsid w:val="008C2C3C"/>
    <w:rsid w:val="008C585C"/>
    <w:rsid w:val="008D005F"/>
    <w:rsid w:val="008D2619"/>
    <w:rsid w:val="008D4D24"/>
    <w:rsid w:val="008F3741"/>
    <w:rsid w:val="008F5E76"/>
    <w:rsid w:val="008F6F80"/>
    <w:rsid w:val="008F7905"/>
    <w:rsid w:val="0090367A"/>
    <w:rsid w:val="0090473E"/>
    <w:rsid w:val="009068FB"/>
    <w:rsid w:val="00916DEE"/>
    <w:rsid w:val="00927974"/>
    <w:rsid w:val="00931659"/>
    <w:rsid w:val="00941FF7"/>
    <w:rsid w:val="00950547"/>
    <w:rsid w:val="009547D7"/>
    <w:rsid w:val="009564CE"/>
    <w:rsid w:val="00961417"/>
    <w:rsid w:val="009726BE"/>
    <w:rsid w:val="0097365B"/>
    <w:rsid w:val="00977071"/>
    <w:rsid w:val="009773DC"/>
    <w:rsid w:val="00987EDA"/>
    <w:rsid w:val="00997EF2"/>
    <w:rsid w:val="009A0036"/>
    <w:rsid w:val="009A5C00"/>
    <w:rsid w:val="009A787B"/>
    <w:rsid w:val="009B1034"/>
    <w:rsid w:val="009C6DDB"/>
    <w:rsid w:val="009D35C5"/>
    <w:rsid w:val="009D6563"/>
    <w:rsid w:val="009E1084"/>
    <w:rsid w:val="009E4E81"/>
    <w:rsid w:val="009E745B"/>
    <w:rsid w:val="009F74C1"/>
    <w:rsid w:val="00A004D9"/>
    <w:rsid w:val="00A10951"/>
    <w:rsid w:val="00A10A81"/>
    <w:rsid w:val="00A20978"/>
    <w:rsid w:val="00A21AFC"/>
    <w:rsid w:val="00A21C91"/>
    <w:rsid w:val="00A24146"/>
    <w:rsid w:val="00A27C70"/>
    <w:rsid w:val="00A33D77"/>
    <w:rsid w:val="00A35099"/>
    <w:rsid w:val="00A359F9"/>
    <w:rsid w:val="00A36CEA"/>
    <w:rsid w:val="00A47DBC"/>
    <w:rsid w:val="00A5797E"/>
    <w:rsid w:val="00A6223F"/>
    <w:rsid w:val="00A664A2"/>
    <w:rsid w:val="00A67895"/>
    <w:rsid w:val="00A72BAB"/>
    <w:rsid w:val="00A76A2E"/>
    <w:rsid w:val="00A80F51"/>
    <w:rsid w:val="00A85510"/>
    <w:rsid w:val="00A872C5"/>
    <w:rsid w:val="00A87A67"/>
    <w:rsid w:val="00A91E6D"/>
    <w:rsid w:val="00A921FD"/>
    <w:rsid w:val="00A9223B"/>
    <w:rsid w:val="00A93A7F"/>
    <w:rsid w:val="00A94F8A"/>
    <w:rsid w:val="00AA1079"/>
    <w:rsid w:val="00AA53B8"/>
    <w:rsid w:val="00AB49B7"/>
    <w:rsid w:val="00AB72FD"/>
    <w:rsid w:val="00AC07C3"/>
    <w:rsid w:val="00AC2850"/>
    <w:rsid w:val="00AD4778"/>
    <w:rsid w:val="00AD4E1A"/>
    <w:rsid w:val="00AD67D5"/>
    <w:rsid w:val="00AD6D54"/>
    <w:rsid w:val="00AE4809"/>
    <w:rsid w:val="00AF111F"/>
    <w:rsid w:val="00AF3A74"/>
    <w:rsid w:val="00AF6800"/>
    <w:rsid w:val="00B02791"/>
    <w:rsid w:val="00B14ECD"/>
    <w:rsid w:val="00B201CC"/>
    <w:rsid w:val="00B31111"/>
    <w:rsid w:val="00B34F0A"/>
    <w:rsid w:val="00B53FBA"/>
    <w:rsid w:val="00B57E10"/>
    <w:rsid w:val="00B6423E"/>
    <w:rsid w:val="00B7617C"/>
    <w:rsid w:val="00B91F80"/>
    <w:rsid w:val="00BA25D7"/>
    <w:rsid w:val="00BA7E31"/>
    <w:rsid w:val="00BB26DF"/>
    <w:rsid w:val="00BC11EA"/>
    <w:rsid w:val="00BC23A7"/>
    <w:rsid w:val="00BD1381"/>
    <w:rsid w:val="00BD7252"/>
    <w:rsid w:val="00BE7127"/>
    <w:rsid w:val="00BF52BD"/>
    <w:rsid w:val="00BF62AA"/>
    <w:rsid w:val="00C06778"/>
    <w:rsid w:val="00C07766"/>
    <w:rsid w:val="00C12823"/>
    <w:rsid w:val="00C13B3F"/>
    <w:rsid w:val="00C1454A"/>
    <w:rsid w:val="00C14D4C"/>
    <w:rsid w:val="00C15A1F"/>
    <w:rsid w:val="00C2016A"/>
    <w:rsid w:val="00C20636"/>
    <w:rsid w:val="00C24490"/>
    <w:rsid w:val="00C255EC"/>
    <w:rsid w:val="00C27A45"/>
    <w:rsid w:val="00C30628"/>
    <w:rsid w:val="00C30E4B"/>
    <w:rsid w:val="00C314EC"/>
    <w:rsid w:val="00C3157E"/>
    <w:rsid w:val="00C3170C"/>
    <w:rsid w:val="00C33D8B"/>
    <w:rsid w:val="00C34A0C"/>
    <w:rsid w:val="00C425A5"/>
    <w:rsid w:val="00C42F73"/>
    <w:rsid w:val="00C45E14"/>
    <w:rsid w:val="00C47323"/>
    <w:rsid w:val="00C52182"/>
    <w:rsid w:val="00C558D3"/>
    <w:rsid w:val="00C610A7"/>
    <w:rsid w:val="00C6311C"/>
    <w:rsid w:val="00C632F6"/>
    <w:rsid w:val="00C75C6A"/>
    <w:rsid w:val="00C76321"/>
    <w:rsid w:val="00C833D4"/>
    <w:rsid w:val="00C84801"/>
    <w:rsid w:val="00C96C42"/>
    <w:rsid w:val="00CA0B73"/>
    <w:rsid w:val="00CA5099"/>
    <w:rsid w:val="00CA76DE"/>
    <w:rsid w:val="00CB24DF"/>
    <w:rsid w:val="00CB44CF"/>
    <w:rsid w:val="00CC1432"/>
    <w:rsid w:val="00CC3607"/>
    <w:rsid w:val="00CD28F8"/>
    <w:rsid w:val="00CE7134"/>
    <w:rsid w:val="00CF1385"/>
    <w:rsid w:val="00CF7688"/>
    <w:rsid w:val="00CF7853"/>
    <w:rsid w:val="00D000EE"/>
    <w:rsid w:val="00D03F0E"/>
    <w:rsid w:val="00D0411B"/>
    <w:rsid w:val="00D04B33"/>
    <w:rsid w:val="00D14CF2"/>
    <w:rsid w:val="00D15C66"/>
    <w:rsid w:val="00D228E8"/>
    <w:rsid w:val="00D249B7"/>
    <w:rsid w:val="00D35717"/>
    <w:rsid w:val="00D4155F"/>
    <w:rsid w:val="00D4356D"/>
    <w:rsid w:val="00D44508"/>
    <w:rsid w:val="00D468CA"/>
    <w:rsid w:val="00D51D07"/>
    <w:rsid w:val="00D53093"/>
    <w:rsid w:val="00D602F7"/>
    <w:rsid w:val="00D606AC"/>
    <w:rsid w:val="00D63D2D"/>
    <w:rsid w:val="00D65ACE"/>
    <w:rsid w:val="00D67A0D"/>
    <w:rsid w:val="00D72984"/>
    <w:rsid w:val="00D7566C"/>
    <w:rsid w:val="00D7665A"/>
    <w:rsid w:val="00D81387"/>
    <w:rsid w:val="00D8672C"/>
    <w:rsid w:val="00D86E8B"/>
    <w:rsid w:val="00D92D52"/>
    <w:rsid w:val="00D930D4"/>
    <w:rsid w:val="00D96768"/>
    <w:rsid w:val="00D97300"/>
    <w:rsid w:val="00DA3666"/>
    <w:rsid w:val="00DA37C6"/>
    <w:rsid w:val="00DA4ABA"/>
    <w:rsid w:val="00DA4E0F"/>
    <w:rsid w:val="00DB01C3"/>
    <w:rsid w:val="00DB0EAA"/>
    <w:rsid w:val="00DB352E"/>
    <w:rsid w:val="00DB4106"/>
    <w:rsid w:val="00DC0B8D"/>
    <w:rsid w:val="00DC284E"/>
    <w:rsid w:val="00DC2E92"/>
    <w:rsid w:val="00DC7C01"/>
    <w:rsid w:val="00DD044B"/>
    <w:rsid w:val="00DD2775"/>
    <w:rsid w:val="00DD3E57"/>
    <w:rsid w:val="00DE0993"/>
    <w:rsid w:val="00DE0D37"/>
    <w:rsid w:val="00DE2CAD"/>
    <w:rsid w:val="00DE5E96"/>
    <w:rsid w:val="00DF0FA2"/>
    <w:rsid w:val="00DF300C"/>
    <w:rsid w:val="00E01DF0"/>
    <w:rsid w:val="00E021B0"/>
    <w:rsid w:val="00E03930"/>
    <w:rsid w:val="00E03C7F"/>
    <w:rsid w:val="00E13514"/>
    <w:rsid w:val="00E15120"/>
    <w:rsid w:val="00E1587B"/>
    <w:rsid w:val="00E21EF9"/>
    <w:rsid w:val="00E22166"/>
    <w:rsid w:val="00E2275A"/>
    <w:rsid w:val="00E23137"/>
    <w:rsid w:val="00E26C05"/>
    <w:rsid w:val="00E27E4E"/>
    <w:rsid w:val="00E31E85"/>
    <w:rsid w:val="00E4194F"/>
    <w:rsid w:val="00E41F50"/>
    <w:rsid w:val="00E45C02"/>
    <w:rsid w:val="00E51DF5"/>
    <w:rsid w:val="00E55D64"/>
    <w:rsid w:val="00E5629F"/>
    <w:rsid w:val="00E7127B"/>
    <w:rsid w:val="00E71444"/>
    <w:rsid w:val="00E720CC"/>
    <w:rsid w:val="00E725A9"/>
    <w:rsid w:val="00E7272F"/>
    <w:rsid w:val="00E73B65"/>
    <w:rsid w:val="00E74391"/>
    <w:rsid w:val="00E767F1"/>
    <w:rsid w:val="00E82540"/>
    <w:rsid w:val="00E831FD"/>
    <w:rsid w:val="00E90CA5"/>
    <w:rsid w:val="00E972AE"/>
    <w:rsid w:val="00EA1255"/>
    <w:rsid w:val="00EA5544"/>
    <w:rsid w:val="00EA6393"/>
    <w:rsid w:val="00EB01B4"/>
    <w:rsid w:val="00EC280E"/>
    <w:rsid w:val="00EC3038"/>
    <w:rsid w:val="00EC7062"/>
    <w:rsid w:val="00ED0116"/>
    <w:rsid w:val="00ED0C5C"/>
    <w:rsid w:val="00ED5CF6"/>
    <w:rsid w:val="00ED69A7"/>
    <w:rsid w:val="00ED6F8F"/>
    <w:rsid w:val="00EE16ED"/>
    <w:rsid w:val="00EE1B6A"/>
    <w:rsid w:val="00EE69B9"/>
    <w:rsid w:val="00EF3F2B"/>
    <w:rsid w:val="00F012A6"/>
    <w:rsid w:val="00F024A7"/>
    <w:rsid w:val="00F058A6"/>
    <w:rsid w:val="00F0652B"/>
    <w:rsid w:val="00F10F42"/>
    <w:rsid w:val="00F22A6E"/>
    <w:rsid w:val="00F23B52"/>
    <w:rsid w:val="00F338C2"/>
    <w:rsid w:val="00F3706F"/>
    <w:rsid w:val="00F403E6"/>
    <w:rsid w:val="00F420A9"/>
    <w:rsid w:val="00F50CDF"/>
    <w:rsid w:val="00F516D2"/>
    <w:rsid w:val="00F536D6"/>
    <w:rsid w:val="00F62605"/>
    <w:rsid w:val="00F74498"/>
    <w:rsid w:val="00F76E9F"/>
    <w:rsid w:val="00F80C98"/>
    <w:rsid w:val="00F84C05"/>
    <w:rsid w:val="00F92790"/>
    <w:rsid w:val="00FA2240"/>
    <w:rsid w:val="00FA71B9"/>
    <w:rsid w:val="00FB4EAB"/>
    <w:rsid w:val="00FF0EE9"/>
    <w:rsid w:val="00FF4B97"/>
    <w:rsid w:val="010742D5"/>
    <w:rsid w:val="01255120"/>
    <w:rsid w:val="012955B3"/>
    <w:rsid w:val="012C2953"/>
    <w:rsid w:val="01351803"/>
    <w:rsid w:val="01480F2E"/>
    <w:rsid w:val="01483505"/>
    <w:rsid w:val="01490536"/>
    <w:rsid w:val="014E02A6"/>
    <w:rsid w:val="015343BB"/>
    <w:rsid w:val="01543C57"/>
    <w:rsid w:val="016928C8"/>
    <w:rsid w:val="016A786D"/>
    <w:rsid w:val="016C2D4F"/>
    <w:rsid w:val="01851778"/>
    <w:rsid w:val="018B2CF0"/>
    <w:rsid w:val="019D73AC"/>
    <w:rsid w:val="01AA3877"/>
    <w:rsid w:val="01AE11E6"/>
    <w:rsid w:val="01B06B29"/>
    <w:rsid w:val="01B46F2A"/>
    <w:rsid w:val="01BA1EF8"/>
    <w:rsid w:val="01C1163C"/>
    <w:rsid w:val="01C77A3A"/>
    <w:rsid w:val="01C84DE2"/>
    <w:rsid w:val="01CA2161"/>
    <w:rsid w:val="01D92E11"/>
    <w:rsid w:val="01DF432A"/>
    <w:rsid w:val="01E76CDD"/>
    <w:rsid w:val="01F53A09"/>
    <w:rsid w:val="020119BD"/>
    <w:rsid w:val="02186A33"/>
    <w:rsid w:val="021B6200"/>
    <w:rsid w:val="022106EC"/>
    <w:rsid w:val="02350C0E"/>
    <w:rsid w:val="023654F3"/>
    <w:rsid w:val="023E1AA3"/>
    <w:rsid w:val="024F24E2"/>
    <w:rsid w:val="025C7F22"/>
    <w:rsid w:val="02675C4E"/>
    <w:rsid w:val="027A0985"/>
    <w:rsid w:val="027D71DE"/>
    <w:rsid w:val="028E1E68"/>
    <w:rsid w:val="02971F60"/>
    <w:rsid w:val="02A76140"/>
    <w:rsid w:val="02ED5A3D"/>
    <w:rsid w:val="02EE3C38"/>
    <w:rsid w:val="02F90193"/>
    <w:rsid w:val="0305345B"/>
    <w:rsid w:val="031342A8"/>
    <w:rsid w:val="031E276F"/>
    <w:rsid w:val="032659DC"/>
    <w:rsid w:val="032B0D28"/>
    <w:rsid w:val="034E5452"/>
    <w:rsid w:val="03591F2F"/>
    <w:rsid w:val="03595555"/>
    <w:rsid w:val="036356DF"/>
    <w:rsid w:val="03716D43"/>
    <w:rsid w:val="03846C84"/>
    <w:rsid w:val="03860ECB"/>
    <w:rsid w:val="03901F7D"/>
    <w:rsid w:val="039D18E6"/>
    <w:rsid w:val="03AF7369"/>
    <w:rsid w:val="03D35307"/>
    <w:rsid w:val="03E71508"/>
    <w:rsid w:val="03EF3637"/>
    <w:rsid w:val="040F1246"/>
    <w:rsid w:val="041418C8"/>
    <w:rsid w:val="041B44D3"/>
    <w:rsid w:val="042F2ABC"/>
    <w:rsid w:val="043019CD"/>
    <w:rsid w:val="044959B6"/>
    <w:rsid w:val="044B7594"/>
    <w:rsid w:val="04604D98"/>
    <w:rsid w:val="046519BA"/>
    <w:rsid w:val="046B3792"/>
    <w:rsid w:val="04702172"/>
    <w:rsid w:val="04740392"/>
    <w:rsid w:val="048F0D2D"/>
    <w:rsid w:val="0493180D"/>
    <w:rsid w:val="049E5004"/>
    <w:rsid w:val="04B14F1D"/>
    <w:rsid w:val="04BA12CE"/>
    <w:rsid w:val="04C920A3"/>
    <w:rsid w:val="04D84084"/>
    <w:rsid w:val="04E24466"/>
    <w:rsid w:val="04E6106A"/>
    <w:rsid w:val="04E672BC"/>
    <w:rsid w:val="04EF3793"/>
    <w:rsid w:val="04F85510"/>
    <w:rsid w:val="05022C69"/>
    <w:rsid w:val="05096B07"/>
    <w:rsid w:val="051F2AF7"/>
    <w:rsid w:val="05253BB6"/>
    <w:rsid w:val="05345C3C"/>
    <w:rsid w:val="053D3EC8"/>
    <w:rsid w:val="05410997"/>
    <w:rsid w:val="054C2893"/>
    <w:rsid w:val="0585150C"/>
    <w:rsid w:val="05884774"/>
    <w:rsid w:val="059E028D"/>
    <w:rsid w:val="05AC6B8E"/>
    <w:rsid w:val="05B01B1D"/>
    <w:rsid w:val="05E7663F"/>
    <w:rsid w:val="05EA4B8A"/>
    <w:rsid w:val="05F5164A"/>
    <w:rsid w:val="05F96B7B"/>
    <w:rsid w:val="06057AD7"/>
    <w:rsid w:val="061340E1"/>
    <w:rsid w:val="06427F03"/>
    <w:rsid w:val="064613E7"/>
    <w:rsid w:val="065F7B88"/>
    <w:rsid w:val="0661309E"/>
    <w:rsid w:val="06653EC4"/>
    <w:rsid w:val="068C5F0F"/>
    <w:rsid w:val="0690668E"/>
    <w:rsid w:val="0699402C"/>
    <w:rsid w:val="069C64C8"/>
    <w:rsid w:val="069E1194"/>
    <w:rsid w:val="06A0112C"/>
    <w:rsid w:val="06AA1921"/>
    <w:rsid w:val="06AA54D1"/>
    <w:rsid w:val="06D575E9"/>
    <w:rsid w:val="06DA367D"/>
    <w:rsid w:val="06DB3C8E"/>
    <w:rsid w:val="06E25597"/>
    <w:rsid w:val="06E82C73"/>
    <w:rsid w:val="06E845D2"/>
    <w:rsid w:val="06EB3041"/>
    <w:rsid w:val="06EE2031"/>
    <w:rsid w:val="06F25D38"/>
    <w:rsid w:val="071F3727"/>
    <w:rsid w:val="07210BEB"/>
    <w:rsid w:val="07302A71"/>
    <w:rsid w:val="07391925"/>
    <w:rsid w:val="073A2587"/>
    <w:rsid w:val="074273EB"/>
    <w:rsid w:val="074A558B"/>
    <w:rsid w:val="075F6D7C"/>
    <w:rsid w:val="0770514B"/>
    <w:rsid w:val="078801B7"/>
    <w:rsid w:val="078D5769"/>
    <w:rsid w:val="079F3EE7"/>
    <w:rsid w:val="07B90CFA"/>
    <w:rsid w:val="07B95281"/>
    <w:rsid w:val="07DB1801"/>
    <w:rsid w:val="07DB7626"/>
    <w:rsid w:val="07DF5164"/>
    <w:rsid w:val="07E50580"/>
    <w:rsid w:val="07F77FC2"/>
    <w:rsid w:val="07F97A25"/>
    <w:rsid w:val="08006472"/>
    <w:rsid w:val="080373F6"/>
    <w:rsid w:val="080F2686"/>
    <w:rsid w:val="081403BB"/>
    <w:rsid w:val="08157CC6"/>
    <w:rsid w:val="08163A15"/>
    <w:rsid w:val="081717A6"/>
    <w:rsid w:val="08264AE8"/>
    <w:rsid w:val="083D2818"/>
    <w:rsid w:val="084D31AF"/>
    <w:rsid w:val="08514A4D"/>
    <w:rsid w:val="085C7B85"/>
    <w:rsid w:val="0861508A"/>
    <w:rsid w:val="08621939"/>
    <w:rsid w:val="08663338"/>
    <w:rsid w:val="08696EDC"/>
    <w:rsid w:val="087710DF"/>
    <w:rsid w:val="0884501D"/>
    <w:rsid w:val="088B40B8"/>
    <w:rsid w:val="088F7567"/>
    <w:rsid w:val="08904AFE"/>
    <w:rsid w:val="08915791"/>
    <w:rsid w:val="08920BA5"/>
    <w:rsid w:val="089B216C"/>
    <w:rsid w:val="08B9738C"/>
    <w:rsid w:val="08BD1ED9"/>
    <w:rsid w:val="08C96CD9"/>
    <w:rsid w:val="08CD1851"/>
    <w:rsid w:val="08DC3175"/>
    <w:rsid w:val="09173EE8"/>
    <w:rsid w:val="09175C96"/>
    <w:rsid w:val="091C0944"/>
    <w:rsid w:val="091D0117"/>
    <w:rsid w:val="093004CF"/>
    <w:rsid w:val="093F58A1"/>
    <w:rsid w:val="094A4ABC"/>
    <w:rsid w:val="09576477"/>
    <w:rsid w:val="096179BB"/>
    <w:rsid w:val="096D58B6"/>
    <w:rsid w:val="0972361B"/>
    <w:rsid w:val="0975564E"/>
    <w:rsid w:val="09756E61"/>
    <w:rsid w:val="098A2126"/>
    <w:rsid w:val="09960353"/>
    <w:rsid w:val="09BA00EB"/>
    <w:rsid w:val="09CE2CBD"/>
    <w:rsid w:val="09D576B0"/>
    <w:rsid w:val="09DB60EE"/>
    <w:rsid w:val="09E10052"/>
    <w:rsid w:val="09E70122"/>
    <w:rsid w:val="09E70A54"/>
    <w:rsid w:val="09E87633"/>
    <w:rsid w:val="09EA5159"/>
    <w:rsid w:val="0A014251"/>
    <w:rsid w:val="0A0B7A36"/>
    <w:rsid w:val="0A0E360D"/>
    <w:rsid w:val="0A1301D3"/>
    <w:rsid w:val="0A3B3C06"/>
    <w:rsid w:val="0A437E58"/>
    <w:rsid w:val="0A486323"/>
    <w:rsid w:val="0A4C5E14"/>
    <w:rsid w:val="0A5A7522"/>
    <w:rsid w:val="0A8528D5"/>
    <w:rsid w:val="0A862A0A"/>
    <w:rsid w:val="0A8A5B9F"/>
    <w:rsid w:val="0A8C398E"/>
    <w:rsid w:val="0A984BB5"/>
    <w:rsid w:val="0AB01ABA"/>
    <w:rsid w:val="0AB15109"/>
    <w:rsid w:val="0AC91212"/>
    <w:rsid w:val="0ACC7DC1"/>
    <w:rsid w:val="0ACD3F95"/>
    <w:rsid w:val="0AD06002"/>
    <w:rsid w:val="0AD56F1F"/>
    <w:rsid w:val="0AEA3C8C"/>
    <w:rsid w:val="0AF0130E"/>
    <w:rsid w:val="0B04224A"/>
    <w:rsid w:val="0B065FC2"/>
    <w:rsid w:val="0B100BEF"/>
    <w:rsid w:val="0B15565C"/>
    <w:rsid w:val="0B195FA1"/>
    <w:rsid w:val="0B1A6AEB"/>
    <w:rsid w:val="0B1E0CF0"/>
    <w:rsid w:val="0B1F0E32"/>
    <w:rsid w:val="0B266665"/>
    <w:rsid w:val="0B293A5F"/>
    <w:rsid w:val="0B336D25"/>
    <w:rsid w:val="0B472390"/>
    <w:rsid w:val="0B4C5010"/>
    <w:rsid w:val="0B506729"/>
    <w:rsid w:val="0B617F61"/>
    <w:rsid w:val="0B652473"/>
    <w:rsid w:val="0B662038"/>
    <w:rsid w:val="0B7B0A12"/>
    <w:rsid w:val="0B7C73B6"/>
    <w:rsid w:val="0B8A169D"/>
    <w:rsid w:val="0B8F7A05"/>
    <w:rsid w:val="0B9C78D4"/>
    <w:rsid w:val="0B9D52CE"/>
    <w:rsid w:val="0BC86665"/>
    <w:rsid w:val="0BCB55B0"/>
    <w:rsid w:val="0BE5207C"/>
    <w:rsid w:val="0BE83010"/>
    <w:rsid w:val="0C054CDF"/>
    <w:rsid w:val="0C1B7D09"/>
    <w:rsid w:val="0C2332B7"/>
    <w:rsid w:val="0C2506CA"/>
    <w:rsid w:val="0C3F55CB"/>
    <w:rsid w:val="0C4369A5"/>
    <w:rsid w:val="0C46431D"/>
    <w:rsid w:val="0C4A597A"/>
    <w:rsid w:val="0C4E558D"/>
    <w:rsid w:val="0C54313F"/>
    <w:rsid w:val="0C5B40EC"/>
    <w:rsid w:val="0C682B47"/>
    <w:rsid w:val="0C684A5B"/>
    <w:rsid w:val="0C765E64"/>
    <w:rsid w:val="0C7A59AB"/>
    <w:rsid w:val="0C7D4B50"/>
    <w:rsid w:val="0C7E2237"/>
    <w:rsid w:val="0C8773C6"/>
    <w:rsid w:val="0C8A3153"/>
    <w:rsid w:val="0CA041F5"/>
    <w:rsid w:val="0CA22A6C"/>
    <w:rsid w:val="0CB071CB"/>
    <w:rsid w:val="0CD24D60"/>
    <w:rsid w:val="0CD93263"/>
    <w:rsid w:val="0D093B63"/>
    <w:rsid w:val="0D192688"/>
    <w:rsid w:val="0D270472"/>
    <w:rsid w:val="0D2A4B38"/>
    <w:rsid w:val="0D2D5F16"/>
    <w:rsid w:val="0D3F7F2E"/>
    <w:rsid w:val="0D434E0F"/>
    <w:rsid w:val="0D472A42"/>
    <w:rsid w:val="0D576AF6"/>
    <w:rsid w:val="0D58687D"/>
    <w:rsid w:val="0D670027"/>
    <w:rsid w:val="0D682BA3"/>
    <w:rsid w:val="0D705EC6"/>
    <w:rsid w:val="0D7511DD"/>
    <w:rsid w:val="0D8E70B7"/>
    <w:rsid w:val="0D922074"/>
    <w:rsid w:val="0D9755F8"/>
    <w:rsid w:val="0DB55A7E"/>
    <w:rsid w:val="0DB757B9"/>
    <w:rsid w:val="0DBE2A42"/>
    <w:rsid w:val="0DE7555E"/>
    <w:rsid w:val="0E1C0BB0"/>
    <w:rsid w:val="0E280AF7"/>
    <w:rsid w:val="0E325320"/>
    <w:rsid w:val="0E3948C5"/>
    <w:rsid w:val="0E3E5A73"/>
    <w:rsid w:val="0E455054"/>
    <w:rsid w:val="0E580534"/>
    <w:rsid w:val="0E634E64"/>
    <w:rsid w:val="0E694DA4"/>
    <w:rsid w:val="0E886814"/>
    <w:rsid w:val="0E994BEF"/>
    <w:rsid w:val="0EAC6E81"/>
    <w:rsid w:val="0EB67D00"/>
    <w:rsid w:val="0EB74E09"/>
    <w:rsid w:val="0EBD6B10"/>
    <w:rsid w:val="0EED43B9"/>
    <w:rsid w:val="0EF21A59"/>
    <w:rsid w:val="0F0D7125"/>
    <w:rsid w:val="0F2122AB"/>
    <w:rsid w:val="0F43562D"/>
    <w:rsid w:val="0F4F162D"/>
    <w:rsid w:val="0F667602"/>
    <w:rsid w:val="0F707EAE"/>
    <w:rsid w:val="0F757C40"/>
    <w:rsid w:val="0F824086"/>
    <w:rsid w:val="0F827279"/>
    <w:rsid w:val="0F955B67"/>
    <w:rsid w:val="0F985657"/>
    <w:rsid w:val="0FAE3062"/>
    <w:rsid w:val="0FAF60F6"/>
    <w:rsid w:val="0FB473C5"/>
    <w:rsid w:val="0FC27645"/>
    <w:rsid w:val="0FC43949"/>
    <w:rsid w:val="0FD541B5"/>
    <w:rsid w:val="0FDE5312"/>
    <w:rsid w:val="0FE801DA"/>
    <w:rsid w:val="0FEE346A"/>
    <w:rsid w:val="0FF62C9E"/>
    <w:rsid w:val="100131FC"/>
    <w:rsid w:val="10053ABA"/>
    <w:rsid w:val="101C4755"/>
    <w:rsid w:val="101E06C5"/>
    <w:rsid w:val="103F6BC1"/>
    <w:rsid w:val="10436662"/>
    <w:rsid w:val="10787C99"/>
    <w:rsid w:val="107B27F5"/>
    <w:rsid w:val="10861954"/>
    <w:rsid w:val="108F0B0B"/>
    <w:rsid w:val="10914D04"/>
    <w:rsid w:val="109738D6"/>
    <w:rsid w:val="109B0A50"/>
    <w:rsid w:val="10AD6EE0"/>
    <w:rsid w:val="10BD4744"/>
    <w:rsid w:val="10BE1B05"/>
    <w:rsid w:val="10C06570"/>
    <w:rsid w:val="10E2302E"/>
    <w:rsid w:val="10EB4EA8"/>
    <w:rsid w:val="10F32882"/>
    <w:rsid w:val="110805BA"/>
    <w:rsid w:val="11217EB7"/>
    <w:rsid w:val="112600A1"/>
    <w:rsid w:val="11292B4D"/>
    <w:rsid w:val="113E3FDC"/>
    <w:rsid w:val="114152BE"/>
    <w:rsid w:val="1158509E"/>
    <w:rsid w:val="1161651C"/>
    <w:rsid w:val="11620605"/>
    <w:rsid w:val="1163049F"/>
    <w:rsid w:val="11634D9B"/>
    <w:rsid w:val="118A244C"/>
    <w:rsid w:val="118E546D"/>
    <w:rsid w:val="11A2124C"/>
    <w:rsid w:val="11AE2F10"/>
    <w:rsid w:val="11B113CA"/>
    <w:rsid w:val="11B35783"/>
    <w:rsid w:val="11B751CA"/>
    <w:rsid w:val="11BF2FF5"/>
    <w:rsid w:val="11C106B3"/>
    <w:rsid w:val="11C10E95"/>
    <w:rsid w:val="11C20C82"/>
    <w:rsid w:val="11C22BCD"/>
    <w:rsid w:val="11CB0E79"/>
    <w:rsid w:val="11CD2159"/>
    <w:rsid w:val="11D67AF3"/>
    <w:rsid w:val="11DB2733"/>
    <w:rsid w:val="11E53FE3"/>
    <w:rsid w:val="11E65F26"/>
    <w:rsid w:val="11E67F98"/>
    <w:rsid w:val="11E7249D"/>
    <w:rsid w:val="11E9219A"/>
    <w:rsid w:val="11EB2B56"/>
    <w:rsid w:val="11EC10FD"/>
    <w:rsid w:val="11F8786B"/>
    <w:rsid w:val="120D0381"/>
    <w:rsid w:val="12101447"/>
    <w:rsid w:val="121F04D7"/>
    <w:rsid w:val="12241424"/>
    <w:rsid w:val="12304C10"/>
    <w:rsid w:val="125137DB"/>
    <w:rsid w:val="125237DB"/>
    <w:rsid w:val="125A2E52"/>
    <w:rsid w:val="125C3F2F"/>
    <w:rsid w:val="125D4B05"/>
    <w:rsid w:val="125F1817"/>
    <w:rsid w:val="126264E7"/>
    <w:rsid w:val="12642E8C"/>
    <w:rsid w:val="12855B9F"/>
    <w:rsid w:val="128D521B"/>
    <w:rsid w:val="12992AFA"/>
    <w:rsid w:val="129C0FBA"/>
    <w:rsid w:val="129D6FDD"/>
    <w:rsid w:val="12A16193"/>
    <w:rsid w:val="12A37760"/>
    <w:rsid w:val="12C50511"/>
    <w:rsid w:val="12CC1A08"/>
    <w:rsid w:val="12CF5653"/>
    <w:rsid w:val="12D11F11"/>
    <w:rsid w:val="12DC6CC8"/>
    <w:rsid w:val="12E36BE9"/>
    <w:rsid w:val="12E75EE8"/>
    <w:rsid w:val="12FE1C75"/>
    <w:rsid w:val="13043918"/>
    <w:rsid w:val="13070B2A"/>
    <w:rsid w:val="131D659F"/>
    <w:rsid w:val="13224E16"/>
    <w:rsid w:val="13315BA7"/>
    <w:rsid w:val="133F57E3"/>
    <w:rsid w:val="134C77A5"/>
    <w:rsid w:val="1350173C"/>
    <w:rsid w:val="13533D6F"/>
    <w:rsid w:val="13551FB1"/>
    <w:rsid w:val="13694D8F"/>
    <w:rsid w:val="13731B39"/>
    <w:rsid w:val="137E2472"/>
    <w:rsid w:val="139573F9"/>
    <w:rsid w:val="1398179A"/>
    <w:rsid w:val="13B66672"/>
    <w:rsid w:val="13B9781D"/>
    <w:rsid w:val="13C06F2A"/>
    <w:rsid w:val="13C30E6E"/>
    <w:rsid w:val="13D21E1A"/>
    <w:rsid w:val="13DF4882"/>
    <w:rsid w:val="13E730A4"/>
    <w:rsid w:val="13E92EF0"/>
    <w:rsid w:val="13ED42AC"/>
    <w:rsid w:val="13F1041E"/>
    <w:rsid w:val="13F41B98"/>
    <w:rsid w:val="13F731BE"/>
    <w:rsid w:val="140B0571"/>
    <w:rsid w:val="140F0880"/>
    <w:rsid w:val="142A1D25"/>
    <w:rsid w:val="14321BD6"/>
    <w:rsid w:val="1441006B"/>
    <w:rsid w:val="14494298"/>
    <w:rsid w:val="144E27C8"/>
    <w:rsid w:val="145E2C77"/>
    <w:rsid w:val="1472260B"/>
    <w:rsid w:val="14747B8F"/>
    <w:rsid w:val="147C0BA2"/>
    <w:rsid w:val="14983F42"/>
    <w:rsid w:val="149D101A"/>
    <w:rsid w:val="149E726C"/>
    <w:rsid w:val="14A625C4"/>
    <w:rsid w:val="14CE60CB"/>
    <w:rsid w:val="14D023A6"/>
    <w:rsid w:val="14D7551A"/>
    <w:rsid w:val="14EA3450"/>
    <w:rsid w:val="14ED46B4"/>
    <w:rsid w:val="14F44399"/>
    <w:rsid w:val="14F735E4"/>
    <w:rsid w:val="14F767B6"/>
    <w:rsid w:val="15057FD2"/>
    <w:rsid w:val="1520048F"/>
    <w:rsid w:val="153068F2"/>
    <w:rsid w:val="15427C11"/>
    <w:rsid w:val="156B7B3E"/>
    <w:rsid w:val="15743F4C"/>
    <w:rsid w:val="157502EE"/>
    <w:rsid w:val="159810FE"/>
    <w:rsid w:val="15A47AE1"/>
    <w:rsid w:val="15AA5F3A"/>
    <w:rsid w:val="15AF0A7E"/>
    <w:rsid w:val="15B4151E"/>
    <w:rsid w:val="15B605E5"/>
    <w:rsid w:val="15B66837"/>
    <w:rsid w:val="15C671FA"/>
    <w:rsid w:val="15CC7E09"/>
    <w:rsid w:val="15D50D05"/>
    <w:rsid w:val="15EC2259"/>
    <w:rsid w:val="15EF08C1"/>
    <w:rsid w:val="16031113"/>
    <w:rsid w:val="162419F3"/>
    <w:rsid w:val="1628786A"/>
    <w:rsid w:val="1635641B"/>
    <w:rsid w:val="163B1F35"/>
    <w:rsid w:val="164F3493"/>
    <w:rsid w:val="16500A3A"/>
    <w:rsid w:val="165249F2"/>
    <w:rsid w:val="16725D01"/>
    <w:rsid w:val="16775FC6"/>
    <w:rsid w:val="167D1103"/>
    <w:rsid w:val="167E55A7"/>
    <w:rsid w:val="167F4E7B"/>
    <w:rsid w:val="1686012F"/>
    <w:rsid w:val="168F227C"/>
    <w:rsid w:val="169A7A48"/>
    <w:rsid w:val="16C242B2"/>
    <w:rsid w:val="16C532A1"/>
    <w:rsid w:val="16C56270"/>
    <w:rsid w:val="16D375DC"/>
    <w:rsid w:val="16D50F3F"/>
    <w:rsid w:val="16D74CB7"/>
    <w:rsid w:val="16D8458B"/>
    <w:rsid w:val="16E71981"/>
    <w:rsid w:val="16FC14B4"/>
    <w:rsid w:val="17017300"/>
    <w:rsid w:val="17054A4B"/>
    <w:rsid w:val="170A0BE8"/>
    <w:rsid w:val="171F0861"/>
    <w:rsid w:val="172101C5"/>
    <w:rsid w:val="17262088"/>
    <w:rsid w:val="17311B27"/>
    <w:rsid w:val="1732022B"/>
    <w:rsid w:val="17371249"/>
    <w:rsid w:val="173C0FBE"/>
    <w:rsid w:val="173D243C"/>
    <w:rsid w:val="174B41D2"/>
    <w:rsid w:val="17534ECF"/>
    <w:rsid w:val="17570993"/>
    <w:rsid w:val="17680D39"/>
    <w:rsid w:val="17705D8E"/>
    <w:rsid w:val="177276CE"/>
    <w:rsid w:val="1781047F"/>
    <w:rsid w:val="17881865"/>
    <w:rsid w:val="17920BDE"/>
    <w:rsid w:val="17991F6C"/>
    <w:rsid w:val="17A56B63"/>
    <w:rsid w:val="17B37D5D"/>
    <w:rsid w:val="17B44C4E"/>
    <w:rsid w:val="17C36FE9"/>
    <w:rsid w:val="17C65C49"/>
    <w:rsid w:val="17C90AA4"/>
    <w:rsid w:val="17CD6374"/>
    <w:rsid w:val="17E4768B"/>
    <w:rsid w:val="17E9202D"/>
    <w:rsid w:val="18034494"/>
    <w:rsid w:val="1804388A"/>
    <w:rsid w:val="180B07D7"/>
    <w:rsid w:val="181011F1"/>
    <w:rsid w:val="181D3EFA"/>
    <w:rsid w:val="1820517A"/>
    <w:rsid w:val="18253800"/>
    <w:rsid w:val="1827115F"/>
    <w:rsid w:val="18273A1C"/>
    <w:rsid w:val="182C2DE0"/>
    <w:rsid w:val="1833416F"/>
    <w:rsid w:val="184045DF"/>
    <w:rsid w:val="184A37A9"/>
    <w:rsid w:val="18567E5D"/>
    <w:rsid w:val="185A794E"/>
    <w:rsid w:val="186A4851"/>
    <w:rsid w:val="18772AF0"/>
    <w:rsid w:val="18816834"/>
    <w:rsid w:val="1888450B"/>
    <w:rsid w:val="189A4826"/>
    <w:rsid w:val="18B479EE"/>
    <w:rsid w:val="18BF5BFC"/>
    <w:rsid w:val="18C760B4"/>
    <w:rsid w:val="18DD40DB"/>
    <w:rsid w:val="18DF42F7"/>
    <w:rsid w:val="18EA4B9C"/>
    <w:rsid w:val="18ED25FE"/>
    <w:rsid w:val="18FC6C57"/>
    <w:rsid w:val="19004EC8"/>
    <w:rsid w:val="190A35A1"/>
    <w:rsid w:val="191915B7"/>
    <w:rsid w:val="19191CB5"/>
    <w:rsid w:val="1921193B"/>
    <w:rsid w:val="192A06DB"/>
    <w:rsid w:val="1934466C"/>
    <w:rsid w:val="193818C9"/>
    <w:rsid w:val="19410CE2"/>
    <w:rsid w:val="19461603"/>
    <w:rsid w:val="19522A1B"/>
    <w:rsid w:val="19533CC4"/>
    <w:rsid w:val="195425EF"/>
    <w:rsid w:val="19624D0D"/>
    <w:rsid w:val="196523FB"/>
    <w:rsid w:val="198218DD"/>
    <w:rsid w:val="199A1C66"/>
    <w:rsid w:val="199E41EB"/>
    <w:rsid w:val="19AD48EF"/>
    <w:rsid w:val="19AD7F51"/>
    <w:rsid w:val="19C06E4D"/>
    <w:rsid w:val="19EA58B8"/>
    <w:rsid w:val="19EE41FA"/>
    <w:rsid w:val="19FD2CFA"/>
    <w:rsid w:val="1A0631BA"/>
    <w:rsid w:val="1A240213"/>
    <w:rsid w:val="1A26732D"/>
    <w:rsid w:val="1A2975D8"/>
    <w:rsid w:val="1A353C7B"/>
    <w:rsid w:val="1A3F2690"/>
    <w:rsid w:val="1A516943"/>
    <w:rsid w:val="1A5522C3"/>
    <w:rsid w:val="1A5A6066"/>
    <w:rsid w:val="1A6F2E5D"/>
    <w:rsid w:val="1A777345"/>
    <w:rsid w:val="1A8418E0"/>
    <w:rsid w:val="1A9048AD"/>
    <w:rsid w:val="1A98010F"/>
    <w:rsid w:val="1A9A0929"/>
    <w:rsid w:val="1A9B49BA"/>
    <w:rsid w:val="1A9C424D"/>
    <w:rsid w:val="1AA557C5"/>
    <w:rsid w:val="1AB33C07"/>
    <w:rsid w:val="1AD1379B"/>
    <w:rsid w:val="1AEE25CF"/>
    <w:rsid w:val="1AF64600"/>
    <w:rsid w:val="1AFF3C05"/>
    <w:rsid w:val="1B020838"/>
    <w:rsid w:val="1B0371F6"/>
    <w:rsid w:val="1B097409"/>
    <w:rsid w:val="1B12147B"/>
    <w:rsid w:val="1B124510"/>
    <w:rsid w:val="1B1D5567"/>
    <w:rsid w:val="1B484158"/>
    <w:rsid w:val="1B64395B"/>
    <w:rsid w:val="1B6F1727"/>
    <w:rsid w:val="1B811695"/>
    <w:rsid w:val="1B8374EB"/>
    <w:rsid w:val="1B8C6B7B"/>
    <w:rsid w:val="1B952124"/>
    <w:rsid w:val="1B9E36ED"/>
    <w:rsid w:val="1BB66C98"/>
    <w:rsid w:val="1BB91038"/>
    <w:rsid w:val="1BBA0D00"/>
    <w:rsid w:val="1BBE1FA1"/>
    <w:rsid w:val="1BBF65FB"/>
    <w:rsid w:val="1BC31CAE"/>
    <w:rsid w:val="1BD17652"/>
    <w:rsid w:val="1BD57EC4"/>
    <w:rsid w:val="1BD71290"/>
    <w:rsid w:val="1BDA3D4E"/>
    <w:rsid w:val="1BDB6FF7"/>
    <w:rsid w:val="1BE7599C"/>
    <w:rsid w:val="1BF657FB"/>
    <w:rsid w:val="1C1A4633"/>
    <w:rsid w:val="1C2D0D45"/>
    <w:rsid w:val="1C3B283E"/>
    <w:rsid w:val="1C46619C"/>
    <w:rsid w:val="1C5B7206"/>
    <w:rsid w:val="1C6B7569"/>
    <w:rsid w:val="1C737230"/>
    <w:rsid w:val="1C752FA8"/>
    <w:rsid w:val="1C7B4488"/>
    <w:rsid w:val="1C821221"/>
    <w:rsid w:val="1C8F1E0A"/>
    <w:rsid w:val="1C901B90"/>
    <w:rsid w:val="1C926E9A"/>
    <w:rsid w:val="1CA246C5"/>
    <w:rsid w:val="1CA51B98"/>
    <w:rsid w:val="1CAB4C1C"/>
    <w:rsid w:val="1CC16E7D"/>
    <w:rsid w:val="1CDA2E0B"/>
    <w:rsid w:val="1CDA6B24"/>
    <w:rsid w:val="1CF00880"/>
    <w:rsid w:val="1CF36791"/>
    <w:rsid w:val="1CFA7EEF"/>
    <w:rsid w:val="1CFB1146"/>
    <w:rsid w:val="1CFB7432"/>
    <w:rsid w:val="1CFD19E5"/>
    <w:rsid w:val="1CFE6504"/>
    <w:rsid w:val="1D057D84"/>
    <w:rsid w:val="1D0D1432"/>
    <w:rsid w:val="1D1D444D"/>
    <w:rsid w:val="1D2012A4"/>
    <w:rsid w:val="1D2812E8"/>
    <w:rsid w:val="1D37062D"/>
    <w:rsid w:val="1D3D753B"/>
    <w:rsid w:val="1D403128"/>
    <w:rsid w:val="1D48246B"/>
    <w:rsid w:val="1D6A1F35"/>
    <w:rsid w:val="1D774AFE"/>
    <w:rsid w:val="1D7B69ED"/>
    <w:rsid w:val="1D8253C4"/>
    <w:rsid w:val="1D8B05A9"/>
    <w:rsid w:val="1D9B0B7A"/>
    <w:rsid w:val="1DA1344E"/>
    <w:rsid w:val="1DA67191"/>
    <w:rsid w:val="1DB74DEB"/>
    <w:rsid w:val="1DBD46D0"/>
    <w:rsid w:val="1DC53ABB"/>
    <w:rsid w:val="1DD515F9"/>
    <w:rsid w:val="1DE33F41"/>
    <w:rsid w:val="1DF12F0B"/>
    <w:rsid w:val="1E036392"/>
    <w:rsid w:val="1E331E3B"/>
    <w:rsid w:val="1E3C0E38"/>
    <w:rsid w:val="1E3E561C"/>
    <w:rsid w:val="1E5170FD"/>
    <w:rsid w:val="1E561B49"/>
    <w:rsid w:val="1E585711"/>
    <w:rsid w:val="1E5B5B74"/>
    <w:rsid w:val="1E630A0A"/>
    <w:rsid w:val="1E6C24FF"/>
    <w:rsid w:val="1E8667CE"/>
    <w:rsid w:val="1EC77F94"/>
    <w:rsid w:val="1ED36885"/>
    <w:rsid w:val="1EDB21B2"/>
    <w:rsid w:val="1EE21D29"/>
    <w:rsid w:val="1EE44AB3"/>
    <w:rsid w:val="1EEA6F41"/>
    <w:rsid w:val="1EF16F7F"/>
    <w:rsid w:val="1EF47719"/>
    <w:rsid w:val="1F1D0128"/>
    <w:rsid w:val="1F2E3506"/>
    <w:rsid w:val="1F3022FA"/>
    <w:rsid w:val="1F35157A"/>
    <w:rsid w:val="1F3553CF"/>
    <w:rsid w:val="1F3E1D5D"/>
    <w:rsid w:val="1F634978"/>
    <w:rsid w:val="1F6C007A"/>
    <w:rsid w:val="1F6E3177"/>
    <w:rsid w:val="1F6F04BA"/>
    <w:rsid w:val="1F745192"/>
    <w:rsid w:val="1F78690B"/>
    <w:rsid w:val="1F870ADE"/>
    <w:rsid w:val="1F8E296D"/>
    <w:rsid w:val="1FB41F12"/>
    <w:rsid w:val="1FB849F9"/>
    <w:rsid w:val="1FDF698A"/>
    <w:rsid w:val="1FF85926"/>
    <w:rsid w:val="1FFA426C"/>
    <w:rsid w:val="20027E74"/>
    <w:rsid w:val="20036B1D"/>
    <w:rsid w:val="200A7472"/>
    <w:rsid w:val="2018775E"/>
    <w:rsid w:val="20231134"/>
    <w:rsid w:val="2024650C"/>
    <w:rsid w:val="203F0AC0"/>
    <w:rsid w:val="204C1D29"/>
    <w:rsid w:val="204C5F5F"/>
    <w:rsid w:val="204F2120"/>
    <w:rsid w:val="20522D74"/>
    <w:rsid w:val="20694045"/>
    <w:rsid w:val="207F2647"/>
    <w:rsid w:val="207F26F9"/>
    <w:rsid w:val="20810E33"/>
    <w:rsid w:val="20835E3C"/>
    <w:rsid w:val="20A546FB"/>
    <w:rsid w:val="20AA734E"/>
    <w:rsid w:val="20BB2F53"/>
    <w:rsid w:val="20BD5154"/>
    <w:rsid w:val="20BF0C96"/>
    <w:rsid w:val="20CE3369"/>
    <w:rsid w:val="20E8137D"/>
    <w:rsid w:val="20E830A5"/>
    <w:rsid w:val="21110DC5"/>
    <w:rsid w:val="212703C6"/>
    <w:rsid w:val="21277874"/>
    <w:rsid w:val="212E01F5"/>
    <w:rsid w:val="21336F8E"/>
    <w:rsid w:val="2149596C"/>
    <w:rsid w:val="215C6880"/>
    <w:rsid w:val="216E4B1C"/>
    <w:rsid w:val="21845A3B"/>
    <w:rsid w:val="218C2939"/>
    <w:rsid w:val="218E7C39"/>
    <w:rsid w:val="218F0080"/>
    <w:rsid w:val="21AD5185"/>
    <w:rsid w:val="21BB6183"/>
    <w:rsid w:val="21C30DDB"/>
    <w:rsid w:val="21C55BE1"/>
    <w:rsid w:val="21CB11F3"/>
    <w:rsid w:val="21E17B80"/>
    <w:rsid w:val="21FA7AAB"/>
    <w:rsid w:val="21FC1A76"/>
    <w:rsid w:val="222608A0"/>
    <w:rsid w:val="22433200"/>
    <w:rsid w:val="22460F43"/>
    <w:rsid w:val="225B2C40"/>
    <w:rsid w:val="22701A6E"/>
    <w:rsid w:val="22734646"/>
    <w:rsid w:val="22804455"/>
    <w:rsid w:val="228E25F9"/>
    <w:rsid w:val="228F6446"/>
    <w:rsid w:val="22A51021"/>
    <w:rsid w:val="22C23296"/>
    <w:rsid w:val="22CC64E6"/>
    <w:rsid w:val="22D4475E"/>
    <w:rsid w:val="22D614C1"/>
    <w:rsid w:val="22FE2A3D"/>
    <w:rsid w:val="23146719"/>
    <w:rsid w:val="23666663"/>
    <w:rsid w:val="23693289"/>
    <w:rsid w:val="2386043E"/>
    <w:rsid w:val="238A7118"/>
    <w:rsid w:val="239147E1"/>
    <w:rsid w:val="23925DC8"/>
    <w:rsid w:val="23971A56"/>
    <w:rsid w:val="23B51EDC"/>
    <w:rsid w:val="23BB34F7"/>
    <w:rsid w:val="23C1671F"/>
    <w:rsid w:val="23CF4F44"/>
    <w:rsid w:val="23FB45AB"/>
    <w:rsid w:val="23FF2392"/>
    <w:rsid w:val="24050D58"/>
    <w:rsid w:val="241E2177"/>
    <w:rsid w:val="241F0D2F"/>
    <w:rsid w:val="242343DD"/>
    <w:rsid w:val="24294C71"/>
    <w:rsid w:val="24392B0D"/>
    <w:rsid w:val="243F3E9B"/>
    <w:rsid w:val="245310F2"/>
    <w:rsid w:val="245A2A83"/>
    <w:rsid w:val="2466767A"/>
    <w:rsid w:val="24690131"/>
    <w:rsid w:val="246B6A3F"/>
    <w:rsid w:val="24737EDF"/>
    <w:rsid w:val="2475588F"/>
    <w:rsid w:val="24867DDC"/>
    <w:rsid w:val="24885842"/>
    <w:rsid w:val="248C5782"/>
    <w:rsid w:val="24961D0D"/>
    <w:rsid w:val="249A7C51"/>
    <w:rsid w:val="24C80E83"/>
    <w:rsid w:val="24D97FEB"/>
    <w:rsid w:val="24F46A34"/>
    <w:rsid w:val="24FD6D07"/>
    <w:rsid w:val="24FE0E05"/>
    <w:rsid w:val="24FF1810"/>
    <w:rsid w:val="251274D8"/>
    <w:rsid w:val="252B17F6"/>
    <w:rsid w:val="25342B59"/>
    <w:rsid w:val="25351FBB"/>
    <w:rsid w:val="25407D21"/>
    <w:rsid w:val="2566591A"/>
    <w:rsid w:val="256815C2"/>
    <w:rsid w:val="256A55C2"/>
    <w:rsid w:val="257A33DD"/>
    <w:rsid w:val="258343C6"/>
    <w:rsid w:val="2584425C"/>
    <w:rsid w:val="258464A3"/>
    <w:rsid w:val="258E0C37"/>
    <w:rsid w:val="25A13DCB"/>
    <w:rsid w:val="25AC6401"/>
    <w:rsid w:val="25AF3989"/>
    <w:rsid w:val="25C73339"/>
    <w:rsid w:val="25CE57BA"/>
    <w:rsid w:val="25D62822"/>
    <w:rsid w:val="25DD571A"/>
    <w:rsid w:val="25E06FA5"/>
    <w:rsid w:val="25E26777"/>
    <w:rsid w:val="25F248AC"/>
    <w:rsid w:val="25F46702"/>
    <w:rsid w:val="25FA12B2"/>
    <w:rsid w:val="2606034A"/>
    <w:rsid w:val="261849A4"/>
    <w:rsid w:val="261D0218"/>
    <w:rsid w:val="26227891"/>
    <w:rsid w:val="26371DB0"/>
    <w:rsid w:val="263B02A5"/>
    <w:rsid w:val="26445799"/>
    <w:rsid w:val="265F4FFC"/>
    <w:rsid w:val="26663961"/>
    <w:rsid w:val="267C13D7"/>
    <w:rsid w:val="2681079B"/>
    <w:rsid w:val="26981F71"/>
    <w:rsid w:val="269B7AAF"/>
    <w:rsid w:val="26AE7CA4"/>
    <w:rsid w:val="26B424FB"/>
    <w:rsid w:val="26C24A7A"/>
    <w:rsid w:val="26C82F53"/>
    <w:rsid w:val="26CF6DC9"/>
    <w:rsid w:val="26F15921"/>
    <w:rsid w:val="26F34F82"/>
    <w:rsid w:val="26F45411"/>
    <w:rsid w:val="27022C82"/>
    <w:rsid w:val="271E71B5"/>
    <w:rsid w:val="2725740A"/>
    <w:rsid w:val="27324713"/>
    <w:rsid w:val="27395BE5"/>
    <w:rsid w:val="274852F5"/>
    <w:rsid w:val="275E0690"/>
    <w:rsid w:val="27642A67"/>
    <w:rsid w:val="276B56D3"/>
    <w:rsid w:val="27773377"/>
    <w:rsid w:val="27802801"/>
    <w:rsid w:val="2785182E"/>
    <w:rsid w:val="27910957"/>
    <w:rsid w:val="27985D9D"/>
    <w:rsid w:val="279F6BEE"/>
    <w:rsid w:val="27A9782B"/>
    <w:rsid w:val="27AF30E6"/>
    <w:rsid w:val="27C44DE4"/>
    <w:rsid w:val="27E72086"/>
    <w:rsid w:val="2803591A"/>
    <w:rsid w:val="280A3A9F"/>
    <w:rsid w:val="2818512F"/>
    <w:rsid w:val="281A2C55"/>
    <w:rsid w:val="281F6B95"/>
    <w:rsid w:val="28247630"/>
    <w:rsid w:val="28405796"/>
    <w:rsid w:val="28482C7C"/>
    <w:rsid w:val="284B72B3"/>
    <w:rsid w:val="28520F35"/>
    <w:rsid w:val="28533D96"/>
    <w:rsid w:val="285A0C1F"/>
    <w:rsid w:val="28773C04"/>
    <w:rsid w:val="288405A8"/>
    <w:rsid w:val="28891152"/>
    <w:rsid w:val="2895052E"/>
    <w:rsid w:val="289A255F"/>
    <w:rsid w:val="289D7603"/>
    <w:rsid w:val="28BA3DA7"/>
    <w:rsid w:val="28D86187"/>
    <w:rsid w:val="28D9203E"/>
    <w:rsid w:val="28E76FDC"/>
    <w:rsid w:val="28F44643"/>
    <w:rsid w:val="290E7CCD"/>
    <w:rsid w:val="291B6866"/>
    <w:rsid w:val="292E34B3"/>
    <w:rsid w:val="29435188"/>
    <w:rsid w:val="29451F54"/>
    <w:rsid w:val="29491A44"/>
    <w:rsid w:val="29514715"/>
    <w:rsid w:val="295669E1"/>
    <w:rsid w:val="29606A91"/>
    <w:rsid w:val="29633B05"/>
    <w:rsid w:val="296946FD"/>
    <w:rsid w:val="29790D4B"/>
    <w:rsid w:val="297A0EBD"/>
    <w:rsid w:val="297A4F09"/>
    <w:rsid w:val="298A2ADF"/>
    <w:rsid w:val="29A410E7"/>
    <w:rsid w:val="29B661A7"/>
    <w:rsid w:val="29C31217"/>
    <w:rsid w:val="29C56BF1"/>
    <w:rsid w:val="29C77D7E"/>
    <w:rsid w:val="29D11A3A"/>
    <w:rsid w:val="29D86924"/>
    <w:rsid w:val="29DD08B6"/>
    <w:rsid w:val="29F62B91"/>
    <w:rsid w:val="29FA460F"/>
    <w:rsid w:val="2A0C393A"/>
    <w:rsid w:val="2A0D0CC4"/>
    <w:rsid w:val="2A117D6D"/>
    <w:rsid w:val="2A1F4553"/>
    <w:rsid w:val="2A245200"/>
    <w:rsid w:val="2A3578B6"/>
    <w:rsid w:val="2A477A60"/>
    <w:rsid w:val="2A6744A6"/>
    <w:rsid w:val="2A7259E0"/>
    <w:rsid w:val="2A7A2CF2"/>
    <w:rsid w:val="2A7A79DB"/>
    <w:rsid w:val="2A9F4496"/>
    <w:rsid w:val="2AB7478C"/>
    <w:rsid w:val="2AC017A8"/>
    <w:rsid w:val="2AED4651"/>
    <w:rsid w:val="2B08148B"/>
    <w:rsid w:val="2B0F7802"/>
    <w:rsid w:val="2B120FC6"/>
    <w:rsid w:val="2B1335BC"/>
    <w:rsid w:val="2B195396"/>
    <w:rsid w:val="2B3C75A5"/>
    <w:rsid w:val="2B4D6E9E"/>
    <w:rsid w:val="2B504321"/>
    <w:rsid w:val="2B726F92"/>
    <w:rsid w:val="2B7333BA"/>
    <w:rsid w:val="2B880C7D"/>
    <w:rsid w:val="2B8B2184"/>
    <w:rsid w:val="2B8B460C"/>
    <w:rsid w:val="2B8D6D40"/>
    <w:rsid w:val="2B94100A"/>
    <w:rsid w:val="2B990335"/>
    <w:rsid w:val="2B9C78F2"/>
    <w:rsid w:val="2BB738F0"/>
    <w:rsid w:val="2BD47FA7"/>
    <w:rsid w:val="2BE401F3"/>
    <w:rsid w:val="2BF043F9"/>
    <w:rsid w:val="2C081FC1"/>
    <w:rsid w:val="2C155C30"/>
    <w:rsid w:val="2C1D4255"/>
    <w:rsid w:val="2C232160"/>
    <w:rsid w:val="2C351E0C"/>
    <w:rsid w:val="2C3A38C6"/>
    <w:rsid w:val="2C7101C8"/>
    <w:rsid w:val="2C8128F2"/>
    <w:rsid w:val="2C8139FE"/>
    <w:rsid w:val="2C970DD8"/>
    <w:rsid w:val="2C9B7506"/>
    <w:rsid w:val="2CA3146B"/>
    <w:rsid w:val="2CA642C4"/>
    <w:rsid w:val="2CA90A4C"/>
    <w:rsid w:val="2CAE7E10"/>
    <w:rsid w:val="2CC26815"/>
    <w:rsid w:val="2CC52F23"/>
    <w:rsid w:val="2CD73EC3"/>
    <w:rsid w:val="2CDB1B96"/>
    <w:rsid w:val="2CE01EE6"/>
    <w:rsid w:val="2D096521"/>
    <w:rsid w:val="2D157E8F"/>
    <w:rsid w:val="2D1A2E20"/>
    <w:rsid w:val="2D263E4A"/>
    <w:rsid w:val="2D281971"/>
    <w:rsid w:val="2D2A56E9"/>
    <w:rsid w:val="2D2B2D5E"/>
    <w:rsid w:val="2D384877"/>
    <w:rsid w:val="2D431C65"/>
    <w:rsid w:val="2D476A76"/>
    <w:rsid w:val="2D586B97"/>
    <w:rsid w:val="2D5A3F6F"/>
    <w:rsid w:val="2D5A7C68"/>
    <w:rsid w:val="2D6343DA"/>
    <w:rsid w:val="2D7B7B0E"/>
    <w:rsid w:val="2D804BC8"/>
    <w:rsid w:val="2DA439FE"/>
    <w:rsid w:val="2DA52DF2"/>
    <w:rsid w:val="2DAA1EEE"/>
    <w:rsid w:val="2DAB174B"/>
    <w:rsid w:val="2DAC3053"/>
    <w:rsid w:val="2DB651CE"/>
    <w:rsid w:val="2DBE22D5"/>
    <w:rsid w:val="2DCE723E"/>
    <w:rsid w:val="2DDE0C83"/>
    <w:rsid w:val="2DF0101B"/>
    <w:rsid w:val="2DFB56F7"/>
    <w:rsid w:val="2E007985"/>
    <w:rsid w:val="2E372235"/>
    <w:rsid w:val="2E4775A3"/>
    <w:rsid w:val="2E70537D"/>
    <w:rsid w:val="2EA61C1D"/>
    <w:rsid w:val="2EB362F4"/>
    <w:rsid w:val="2EB45084"/>
    <w:rsid w:val="2EBD038A"/>
    <w:rsid w:val="2EDF69A7"/>
    <w:rsid w:val="2EE45D6B"/>
    <w:rsid w:val="2EE83E65"/>
    <w:rsid w:val="2EFC5188"/>
    <w:rsid w:val="2F011E82"/>
    <w:rsid w:val="2F1F0B51"/>
    <w:rsid w:val="2F212B1B"/>
    <w:rsid w:val="2F3F159C"/>
    <w:rsid w:val="2F5D384C"/>
    <w:rsid w:val="2F6858EF"/>
    <w:rsid w:val="2F6A001E"/>
    <w:rsid w:val="2F735395"/>
    <w:rsid w:val="2F953172"/>
    <w:rsid w:val="2FA23C5C"/>
    <w:rsid w:val="2FA951DB"/>
    <w:rsid w:val="2FDC590E"/>
    <w:rsid w:val="2FF63FA8"/>
    <w:rsid w:val="3002428B"/>
    <w:rsid w:val="300E6D10"/>
    <w:rsid w:val="30112B90"/>
    <w:rsid w:val="301461DC"/>
    <w:rsid w:val="30226B4B"/>
    <w:rsid w:val="302E3742"/>
    <w:rsid w:val="303D1BD7"/>
    <w:rsid w:val="3046030C"/>
    <w:rsid w:val="305471AF"/>
    <w:rsid w:val="305807BF"/>
    <w:rsid w:val="30607673"/>
    <w:rsid w:val="3067782A"/>
    <w:rsid w:val="306C6018"/>
    <w:rsid w:val="307B120F"/>
    <w:rsid w:val="307E2483"/>
    <w:rsid w:val="308109CF"/>
    <w:rsid w:val="30923A9E"/>
    <w:rsid w:val="30A77050"/>
    <w:rsid w:val="30A9101A"/>
    <w:rsid w:val="30B11C7D"/>
    <w:rsid w:val="30B144B2"/>
    <w:rsid w:val="30B874AF"/>
    <w:rsid w:val="30BB10F6"/>
    <w:rsid w:val="30C03492"/>
    <w:rsid w:val="30D37E45"/>
    <w:rsid w:val="30DB24CD"/>
    <w:rsid w:val="30E049F8"/>
    <w:rsid w:val="30E06A1A"/>
    <w:rsid w:val="30E11701"/>
    <w:rsid w:val="30EB2FD6"/>
    <w:rsid w:val="31002769"/>
    <w:rsid w:val="311A5440"/>
    <w:rsid w:val="31295CB7"/>
    <w:rsid w:val="31297C63"/>
    <w:rsid w:val="312A0296"/>
    <w:rsid w:val="31365A5E"/>
    <w:rsid w:val="313A1B3A"/>
    <w:rsid w:val="313C389E"/>
    <w:rsid w:val="31442AF1"/>
    <w:rsid w:val="314D734D"/>
    <w:rsid w:val="31535D75"/>
    <w:rsid w:val="31585B86"/>
    <w:rsid w:val="315947EF"/>
    <w:rsid w:val="31682861"/>
    <w:rsid w:val="317311E7"/>
    <w:rsid w:val="31743681"/>
    <w:rsid w:val="31927D00"/>
    <w:rsid w:val="31A11A89"/>
    <w:rsid w:val="31AE1F4C"/>
    <w:rsid w:val="31B467A8"/>
    <w:rsid w:val="31BF4CA8"/>
    <w:rsid w:val="31C12394"/>
    <w:rsid w:val="31C727CD"/>
    <w:rsid w:val="31D307B5"/>
    <w:rsid w:val="31D71BB7"/>
    <w:rsid w:val="32146967"/>
    <w:rsid w:val="321C4841"/>
    <w:rsid w:val="322A6CA5"/>
    <w:rsid w:val="32326DEE"/>
    <w:rsid w:val="32364B30"/>
    <w:rsid w:val="323D1A1A"/>
    <w:rsid w:val="324C0B81"/>
    <w:rsid w:val="326D32D7"/>
    <w:rsid w:val="32700042"/>
    <w:rsid w:val="32764F2C"/>
    <w:rsid w:val="32803FFD"/>
    <w:rsid w:val="328E04C8"/>
    <w:rsid w:val="32A47CEB"/>
    <w:rsid w:val="32B83797"/>
    <w:rsid w:val="32BA34CE"/>
    <w:rsid w:val="32C5654E"/>
    <w:rsid w:val="32C83D55"/>
    <w:rsid w:val="32D85BE7"/>
    <w:rsid w:val="32F6606D"/>
    <w:rsid w:val="32FD6CBB"/>
    <w:rsid w:val="33091096"/>
    <w:rsid w:val="330C4261"/>
    <w:rsid w:val="33211F09"/>
    <w:rsid w:val="33232830"/>
    <w:rsid w:val="33400C7A"/>
    <w:rsid w:val="33423060"/>
    <w:rsid w:val="33427161"/>
    <w:rsid w:val="33462B51"/>
    <w:rsid w:val="33602BE2"/>
    <w:rsid w:val="33622144"/>
    <w:rsid w:val="33691A74"/>
    <w:rsid w:val="33721781"/>
    <w:rsid w:val="33816F02"/>
    <w:rsid w:val="33843CA1"/>
    <w:rsid w:val="338A2811"/>
    <w:rsid w:val="339E298D"/>
    <w:rsid w:val="33A80D81"/>
    <w:rsid w:val="33AB3AE4"/>
    <w:rsid w:val="33AD0E22"/>
    <w:rsid w:val="33BC627B"/>
    <w:rsid w:val="33E41108"/>
    <w:rsid w:val="33EA5BD2"/>
    <w:rsid w:val="33F94067"/>
    <w:rsid w:val="33FA723C"/>
    <w:rsid w:val="34056568"/>
    <w:rsid w:val="34080F71"/>
    <w:rsid w:val="341D240D"/>
    <w:rsid w:val="341E7629"/>
    <w:rsid w:val="34336359"/>
    <w:rsid w:val="343B467F"/>
    <w:rsid w:val="34504E4E"/>
    <w:rsid w:val="347038AC"/>
    <w:rsid w:val="34745AE7"/>
    <w:rsid w:val="34791640"/>
    <w:rsid w:val="347C4240"/>
    <w:rsid w:val="348770E3"/>
    <w:rsid w:val="349A43F0"/>
    <w:rsid w:val="349C6F30"/>
    <w:rsid w:val="34A71D15"/>
    <w:rsid w:val="34AE3DB4"/>
    <w:rsid w:val="34C91C8B"/>
    <w:rsid w:val="34D5363D"/>
    <w:rsid w:val="34FC2F1F"/>
    <w:rsid w:val="34FD36E3"/>
    <w:rsid w:val="34FD3CCE"/>
    <w:rsid w:val="350012D1"/>
    <w:rsid w:val="35013181"/>
    <w:rsid w:val="350D078A"/>
    <w:rsid w:val="351732AD"/>
    <w:rsid w:val="351A6043"/>
    <w:rsid w:val="351F2AC8"/>
    <w:rsid w:val="35202B10"/>
    <w:rsid w:val="352F4B34"/>
    <w:rsid w:val="353E5C02"/>
    <w:rsid w:val="35447C00"/>
    <w:rsid w:val="35452ACB"/>
    <w:rsid w:val="35460DED"/>
    <w:rsid w:val="354D74BF"/>
    <w:rsid w:val="3562042D"/>
    <w:rsid w:val="356B689E"/>
    <w:rsid w:val="35775243"/>
    <w:rsid w:val="35795E1D"/>
    <w:rsid w:val="35806225"/>
    <w:rsid w:val="35850AE6"/>
    <w:rsid w:val="358F6A4F"/>
    <w:rsid w:val="359A65E5"/>
    <w:rsid w:val="359D0A22"/>
    <w:rsid w:val="35BF4E3C"/>
    <w:rsid w:val="35CB1A33"/>
    <w:rsid w:val="35CB4DBD"/>
    <w:rsid w:val="35D97CAC"/>
    <w:rsid w:val="35DB26B5"/>
    <w:rsid w:val="35DE1818"/>
    <w:rsid w:val="35DE6131"/>
    <w:rsid w:val="360A4401"/>
    <w:rsid w:val="36213CEA"/>
    <w:rsid w:val="364315C9"/>
    <w:rsid w:val="36472039"/>
    <w:rsid w:val="365E4655"/>
    <w:rsid w:val="36647880"/>
    <w:rsid w:val="36787E34"/>
    <w:rsid w:val="36894D46"/>
    <w:rsid w:val="36AD3FE8"/>
    <w:rsid w:val="36C63E5E"/>
    <w:rsid w:val="36E23F6C"/>
    <w:rsid w:val="36E711B0"/>
    <w:rsid w:val="36EB02F8"/>
    <w:rsid w:val="36EE59D9"/>
    <w:rsid w:val="36F216B8"/>
    <w:rsid w:val="36F7526A"/>
    <w:rsid w:val="36FC06E4"/>
    <w:rsid w:val="370340E9"/>
    <w:rsid w:val="370B04AA"/>
    <w:rsid w:val="37133B39"/>
    <w:rsid w:val="372B05B1"/>
    <w:rsid w:val="372D27B8"/>
    <w:rsid w:val="3739373D"/>
    <w:rsid w:val="373D070E"/>
    <w:rsid w:val="37460D95"/>
    <w:rsid w:val="37533A9C"/>
    <w:rsid w:val="375E1904"/>
    <w:rsid w:val="375F68D9"/>
    <w:rsid w:val="3768368A"/>
    <w:rsid w:val="376C1C6B"/>
    <w:rsid w:val="377F2241"/>
    <w:rsid w:val="37887BDC"/>
    <w:rsid w:val="378D1CDD"/>
    <w:rsid w:val="378E3EFF"/>
    <w:rsid w:val="379E11AD"/>
    <w:rsid w:val="37A334E0"/>
    <w:rsid w:val="37B40E9A"/>
    <w:rsid w:val="37BC7885"/>
    <w:rsid w:val="37BE4122"/>
    <w:rsid w:val="37C4498C"/>
    <w:rsid w:val="37EA6823"/>
    <w:rsid w:val="37F3691D"/>
    <w:rsid w:val="37F77FE4"/>
    <w:rsid w:val="37FF5FE1"/>
    <w:rsid w:val="38053C44"/>
    <w:rsid w:val="38105B60"/>
    <w:rsid w:val="3816607D"/>
    <w:rsid w:val="38207AF4"/>
    <w:rsid w:val="3828316D"/>
    <w:rsid w:val="382A7217"/>
    <w:rsid w:val="382B67B9"/>
    <w:rsid w:val="38324C2E"/>
    <w:rsid w:val="383A7490"/>
    <w:rsid w:val="3842669F"/>
    <w:rsid w:val="38455ACD"/>
    <w:rsid w:val="38540DD6"/>
    <w:rsid w:val="38545D10"/>
    <w:rsid w:val="386D77BF"/>
    <w:rsid w:val="38795B0F"/>
    <w:rsid w:val="387B035B"/>
    <w:rsid w:val="387C17C3"/>
    <w:rsid w:val="387E2D8D"/>
    <w:rsid w:val="387E4B3B"/>
    <w:rsid w:val="388303A3"/>
    <w:rsid w:val="388A7983"/>
    <w:rsid w:val="38941765"/>
    <w:rsid w:val="38B451B6"/>
    <w:rsid w:val="38BE65D0"/>
    <w:rsid w:val="38F15F40"/>
    <w:rsid w:val="39150581"/>
    <w:rsid w:val="391F00CC"/>
    <w:rsid w:val="3920098D"/>
    <w:rsid w:val="392F5095"/>
    <w:rsid w:val="39446D1F"/>
    <w:rsid w:val="39465433"/>
    <w:rsid w:val="394C3930"/>
    <w:rsid w:val="395B6912"/>
    <w:rsid w:val="3962445C"/>
    <w:rsid w:val="397C168C"/>
    <w:rsid w:val="39873EC3"/>
    <w:rsid w:val="39A64596"/>
    <w:rsid w:val="39A93E39"/>
    <w:rsid w:val="39B84349"/>
    <w:rsid w:val="39CE243D"/>
    <w:rsid w:val="39E96965"/>
    <w:rsid w:val="39F72F5C"/>
    <w:rsid w:val="3A0102E5"/>
    <w:rsid w:val="3A0616CA"/>
    <w:rsid w:val="3A095AC6"/>
    <w:rsid w:val="3A0E1594"/>
    <w:rsid w:val="3A11234C"/>
    <w:rsid w:val="3A270325"/>
    <w:rsid w:val="3A2C4E1C"/>
    <w:rsid w:val="3A3F6C87"/>
    <w:rsid w:val="3A5749F1"/>
    <w:rsid w:val="3A6A3F34"/>
    <w:rsid w:val="3A731D7E"/>
    <w:rsid w:val="3A9E56E0"/>
    <w:rsid w:val="3AA60270"/>
    <w:rsid w:val="3AA815F4"/>
    <w:rsid w:val="3AAD6534"/>
    <w:rsid w:val="3AB71156"/>
    <w:rsid w:val="3ABB2076"/>
    <w:rsid w:val="3AC81E50"/>
    <w:rsid w:val="3AC97DA6"/>
    <w:rsid w:val="3ACC6031"/>
    <w:rsid w:val="3ACD2694"/>
    <w:rsid w:val="3AD450D9"/>
    <w:rsid w:val="3AD60C5E"/>
    <w:rsid w:val="3ADA6F0F"/>
    <w:rsid w:val="3AE83D6C"/>
    <w:rsid w:val="3AEC0481"/>
    <w:rsid w:val="3AF00157"/>
    <w:rsid w:val="3AF64E5C"/>
    <w:rsid w:val="3AFA5BC1"/>
    <w:rsid w:val="3AFE1C05"/>
    <w:rsid w:val="3B051543"/>
    <w:rsid w:val="3B150CDB"/>
    <w:rsid w:val="3B1815A3"/>
    <w:rsid w:val="3B1B48C3"/>
    <w:rsid w:val="3B1D063B"/>
    <w:rsid w:val="3B2933AC"/>
    <w:rsid w:val="3B2F2AA8"/>
    <w:rsid w:val="3B367620"/>
    <w:rsid w:val="3B3B6468"/>
    <w:rsid w:val="3B4756B8"/>
    <w:rsid w:val="3B516536"/>
    <w:rsid w:val="3BA1601A"/>
    <w:rsid w:val="3BA255ED"/>
    <w:rsid w:val="3BAA5C47"/>
    <w:rsid w:val="3BC12DA5"/>
    <w:rsid w:val="3BD5544C"/>
    <w:rsid w:val="3BDA30C9"/>
    <w:rsid w:val="3BE90506"/>
    <w:rsid w:val="3BEB6832"/>
    <w:rsid w:val="3BF36D1E"/>
    <w:rsid w:val="3C035CAA"/>
    <w:rsid w:val="3C0E06EB"/>
    <w:rsid w:val="3C123F18"/>
    <w:rsid w:val="3C28373B"/>
    <w:rsid w:val="3C2E0626"/>
    <w:rsid w:val="3C382EB9"/>
    <w:rsid w:val="3C40766B"/>
    <w:rsid w:val="3C575DCE"/>
    <w:rsid w:val="3C6718E5"/>
    <w:rsid w:val="3C692C22"/>
    <w:rsid w:val="3C7351B6"/>
    <w:rsid w:val="3C883520"/>
    <w:rsid w:val="3C8E5615"/>
    <w:rsid w:val="3CA555DA"/>
    <w:rsid w:val="3CB054DF"/>
    <w:rsid w:val="3CB2101F"/>
    <w:rsid w:val="3CBB5BE1"/>
    <w:rsid w:val="3CBD35C8"/>
    <w:rsid w:val="3CC95A26"/>
    <w:rsid w:val="3CEB7185"/>
    <w:rsid w:val="3CEE3FD3"/>
    <w:rsid w:val="3CF7775F"/>
    <w:rsid w:val="3D127F47"/>
    <w:rsid w:val="3D167888"/>
    <w:rsid w:val="3D17453A"/>
    <w:rsid w:val="3D1912D6"/>
    <w:rsid w:val="3D2F6909"/>
    <w:rsid w:val="3D392A58"/>
    <w:rsid w:val="3D3B749E"/>
    <w:rsid w:val="3D605157"/>
    <w:rsid w:val="3D6427E8"/>
    <w:rsid w:val="3D670480"/>
    <w:rsid w:val="3D6D0419"/>
    <w:rsid w:val="3D7D10B9"/>
    <w:rsid w:val="3D7F28B3"/>
    <w:rsid w:val="3D932D3B"/>
    <w:rsid w:val="3DBD00E4"/>
    <w:rsid w:val="3DC10CF3"/>
    <w:rsid w:val="3DC56D68"/>
    <w:rsid w:val="3DCD690D"/>
    <w:rsid w:val="3DD07BE6"/>
    <w:rsid w:val="3DE113F3"/>
    <w:rsid w:val="3DEC0798"/>
    <w:rsid w:val="3DF756F5"/>
    <w:rsid w:val="3E043841"/>
    <w:rsid w:val="3E1876AA"/>
    <w:rsid w:val="3E1B2F9A"/>
    <w:rsid w:val="3E2A5B04"/>
    <w:rsid w:val="3E2F7455"/>
    <w:rsid w:val="3E3004A5"/>
    <w:rsid w:val="3E460818"/>
    <w:rsid w:val="3E536039"/>
    <w:rsid w:val="3E570308"/>
    <w:rsid w:val="3E5C76CC"/>
    <w:rsid w:val="3E636184"/>
    <w:rsid w:val="3E68304D"/>
    <w:rsid w:val="3E703177"/>
    <w:rsid w:val="3E762FF7"/>
    <w:rsid w:val="3E8061D7"/>
    <w:rsid w:val="3E817133"/>
    <w:rsid w:val="3E952BDE"/>
    <w:rsid w:val="3EA64DEB"/>
    <w:rsid w:val="3EB40CEE"/>
    <w:rsid w:val="3EB61F57"/>
    <w:rsid w:val="3EBD28B3"/>
    <w:rsid w:val="3EC2641B"/>
    <w:rsid w:val="3ED26A13"/>
    <w:rsid w:val="3ED73FEB"/>
    <w:rsid w:val="3EE8697C"/>
    <w:rsid w:val="3EF340CC"/>
    <w:rsid w:val="3F13001A"/>
    <w:rsid w:val="3F25749A"/>
    <w:rsid w:val="3F2D73D8"/>
    <w:rsid w:val="3F3561B4"/>
    <w:rsid w:val="3F4237A1"/>
    <w:rsid w:val="3F424B14"/>
    <w:rsid w:val="3F437F9B"/>
    <w:rsid w:val="3F495220"/>
    <w:rsid w:val="3F506818"/>
    <w:rsid w:val="3F651C20"/>
    <w:rsid w:val="3F67457A"/>
    <w:rsid w:val="3F6C3F7D"/>
    <w:rsid w:val="3F8424FD"/>
    <w:rsid w:val="3F855ED9"/>
    <w:rsid w:val="3F9417C7"/>
    <w:rsid w:val="3FB53BB4"/>
    <w:rsid w:val="3FB928FC"/>
    <w:rsid w:val="3FBD1D06"/>
    <w:rsid w:val="3FE36C1C"/>
    <w:rsid w:val="3FE87C14"/>
    <w:rsid w:val="3FEB19D5"/>
    <w:rsid w:val="3FF04C8E"/>
    <w:rsid w:val="3FFE126A"/>
    <w:rsid w:val="3FFF6D40"/>
    <w:rsid w:val="4002756A"/>
    <w:rsid w:val="400C4E7A"/>
    <w:rsid w:val="40145621"/>
    <w:rsid w:val="40167D4F"/>
    <w:rsid w:val="401C6509"/>
    <w:rsid w:val="40377B4A"/>
    <w:rsid w:val="4053273B"/>
    <w:rsid w:val="40593466"/>
    <w:rsid w:val="406278B2"/>
    <w:rsid w:val="40646D0C"/>
    <w:rsid w:val="40672358"/>
    <w:rsid w:val="40694322"/>
    <w:rsid w:val="40772EDD"/>
    <w:rsid w:val="408251EC"/>
    <w:rsid w:val="40C83A3B"/>
    <w:rsid w:val="40C9486C"/>
    <w:rsid w:val="40D45C40"/>
    <w:rsid w:val="40D82F8A"/>
    <w:rsid w:val="40E1278D"/>
    <w:rsid w:val="40E252DA"/>
    <w:rsid w:val="40E701AA"/>
    <w:rsid w:val="410222CF"/>
    <w:rsid w:val="41054365"/>
    <w:rsid w:val="410E5148"/>
    <w:rsid w:val="411B561D"/>
    <w:rsid w:val="411C3143"/>
    <w:rsid w:val="412D5350"/>
    <w:rsid w:val="4139463B"/>
    <w:rsid w:val="414C1EFF"/>
    <w:rsid w:val="414C5289"/>
    <w:rsid w:val="41552CCE"/>
    <w:rsid w:val="41574128"/>
    <w:rsid w:val="417650A8"/>
    <w:rsid w:val="41790595"/>
    <w:rsid w:val="418B250C"/>
    <w:rsid w:val="41935E0A"/>
    <w:rsid w:val="419D4283"/>
    <w:rsid w:val="419E3E89"/>
    <w:rsid w:val="41AA074E"/>
    <w:rsid w:val="41B40DA6"/>
    <w:rsid w:val="41D23F76"/>
    <w:rsid w:val="41D84509"/>
    <w:rsid w:val="41D916D8"/>
    <w:rsid w:val="41ED3AA2"/>
    <w:rsid w:val="41EE2D31"/>
    <w:rsid w:val="41F10D50"/>
    <w:rsid w:val="41FA5565"/>
    <w:rsid w:val="42057EAF"/>
    <w:rsid w:val="42073C32"/>
    <w:rsid w:val="420F1D94"/>
    <w:rsid w:val="42170836"/>
    <w:rsid w:val="421B0D49"/>
    <w:rsid w:val="4231584B"/>
    <w:rsid w:val="423311D7"/>
    <w:rsid w:val="42334BE8"/>
    <w:rsid w:val="423A1733"/>
    <w:rsid w:val="423B41CE"/>
    <w:rsid w:val="4241243F"/>
    <w:rsid w:val="4241293C"/>
    <w:rsid w:val="424663B4"/>
    <w:rsid w:val="42470693"/>
    <w:rsid w:val="425132C0"/>
    <w:rsid w:val="42733236"/>
    <w:rsid w:val="427D5E63"/>
    <w:rsid w:val="42876CE2"/>
    <w:rsid w:val="42901A54"/>
    <w:rsid w:val="42CA5391"/>
    <w:rsid w:val="42CD45BA"/>
    <w:rsid w:val="42D31F27"/>
    <w:rsid w:val="42D865DE"/>
    <w:rsid w:val="42DE76B9"/>
    <w:rsid w:val="430975A7"/>
    <w:rsid w:val="430D4AC0"/>
    <w:rsid w:val="431E047F"/>
    <w:rsid w:val="431E65EF"/>
    <w:rsid w:val="43291B47"/>
    <w:rsid w:val="43372319"/>
    <w:rsid w:val="434314E3"/>
    <w:rsid w:val="43533B0E"/>
    <w:rsid w:val="43612CC4"/>
    <w:rsid w:val="439A5C94"/>
    <w:rsid w:val="439E1366"/>
    <w:rsid w:val="43CF2D34"/>
    <w:rsid w:val="43E323A3"/>
    <w:rsid w:val="43EA577A"/>
    <w:rsid w:val="43F81FAE"/>
    <w:rsid w:val="4400649E"/>
    <w:rsid w:val="44007A3E"/>
    <w:rsid w:val="44113AFA"/>
    <w:rsid w:val="443773EC"/>
    <w:rsid w:val="44393CD7"/>
    <w:rsid w:val="44471A64"/>
    <w:rsid w:val="44583765"/>
    <w:rsid w:val="446965EF"/>
    <w:rsid w:val="4478624B"/>
    <w:rsid w:val="4484172B"/>
    <w:rsid w:val="448A4F92"/>
    <w:rsid w:val="448B2AB9"/>
    <w:rsid w:val="4493367B"/>
    <w:rsid w:val="44A1360D"/>
    <w:rsid w:val="44A47158"/>
    <w:rsid w:val="44AB74B4"/>
    <w:rsid w:val="44BA6D1D"/>
    <w:rsid w:val="44BE6F00"/>
    <w:rsid w:val="44BF1BB1"/>
    <w:rsid w:val="44BF4F23"/>
    <w:rsid w:val="44D53D34"/>
    <w:rsid w:val="44DD6736"/>
    <w:rsid w:val="44DE708D"/>
    <w:rsid w:val="44E04496"/>
    <w:rsid w:val="44F06DC0"/>
    <w:rsid w:val="45132AAF"/>
    <w:rsid w:val="452905F3"/>
    <w:rsid w:val="45321187"/>
    <w:rsid w:val="45324925"/>
    <w:rsid w:val="453749EF"/>
    <w:rsid w:val="453C293E"/>
    <w:rsid w:val="453F27B7"/>
    <w:rsid w:val="45492371"/>
    <w:rsid w:val="4550160D"/>
    <w:rsid w:val="45544611"/>
    <w:rsid w:val="455E0543"/>
    <w:rsid w:val="45684BA8"/>
    <w:rsid w:val="456C79F9"/>
    <w:rsid w:val="457572C5"/>
    <w:rsid w:val="45784D87"/>
    <w:rsid w:val="4579070F"/>
    <w:rsid w:val="45792890"/>
    <w:rsid w:val="45796DB6"/>
    <w:rsid w:val="45814100"/>
    <w:rsid w:val="45A906C7"/>
    <w:rsid w:val="45BB117C"/>
    <w:rsid w:val="45CA192E"/>
    <w:rsid w:val="45D84426"/>
    <w:rsid w:val="45E50B5F"/>
    <w:rsid w:val="46067FA6"/>
    <w:rsid w:val="460E0337"/>
    <w:rsid w:val="462C207A"/>
    <w:rsid w:val="46333DFA"/>
    <w:rsid w:val="46344622"/>
    <w:rsid w:val="46367B3A"/>
    <w:rsid w:val="46386C71"/>
    <w:rsid w:val="463A4797"/>
    <w:rsid w:val="463D28A8"/>
    <w:rsid w:val="46450A2A"/>
    <w:rsid w:val="46535859"/>
    <w:rsid w:val="465366D4"/>
    <w:rsid w:val="465B56B4"/>
    <w:rsid w:val="46713303"/>
    <w:rsid w:val="467B6EDF"/>
    <w:rsid w:val="46835F2A"/>
    <w:rsid w:val="468477C0"/>
    <w:rsid w:val="4685016C"/>
    <w:rsid w:val="46977D08"/>
    <w:rsid w:val="469B0FAE"/>
    <w:rsid w:val="46AA2A55"/>
    <w:rsid w:val="46B710FE"/>
    <w:rsid w:val="46BC0687"/>
    <w:rsid w:val="46BC1650"/>
    <w:rsid w:val="46BD7176"/>
    <w:rsid w:val="46C74F03"/>
    <w:rsid w:val="46C86F17"/>
    <w:rsid w:val="46D16C55"/>
    <w:rsid w:val="46D21AC8"/>
    <w:rsid w:val="46D30747"/>
    <w:rsid w:val="46E11B7D"/>
    <w:rsid w:val="46ED1809"/>
    <w:rsid w:val="46F40267"/>
    <w:rsid w:val="46F6496D"/>
    <w:rsid w:val="46FE0310"/>
    <w:rsid w:val="470642E6"/>
    <w:rsid w:val="47167953"/>
    <w:rsid w:val="471A292F"/>
    <w:rsid w:val="471A5224"/>
    <w:rsid w:val="47223B98"/>
    <w:rsid w:val="4723522B"/>
    <w:rsid w:val="47247F0E"/>
    <w:rsid w:val="47267C1B"/>
    <w:rsid w:val="473E459A"/>
    <w:rsid w:val="47503547"/>
    <w:rsid w:val="4755124D"/>
    <w:rsid w:val="47572588"/>
    <w:rsid w:val="476A005D"/>
    <w:rsid w:val="476F12F3"/>
    <w:rsid w:val="47736E78"/>
    <w:rsid w:val="47796B36"/>
    <w:rsid w:val="478B77DC"/>
    <w:rsid w:val="47967E90"/>
    <w:rsid w:val="4797154C"/>
    <w:rsid w:val="479B74B7"/>
    <w:rsid w:val="47A9424D"/>
    <w:rsid w:val="47AE39B0"/>
    <w:rsid w:val="47B21214"/>
    <w:rsid w:val="47BB799F"/>
    <w:rsid w:val="47CA38F8"/>
    <w:rsid w:val="47CE0099"/>
    <w:rsid w:val="47DE0285"/>
    <w:rsid w:val="47E57940"/>
    <w:rsid w:val="47E72A39"/>
    <w:rsid w:val="47F77566"/>
    <w:rsid w:val="47FC782A"/>
    <w:rsid w:val="480D1013"/>
    <w:rsid w:val="481B4154"/>
    <w:rsid w:val="481C1F20"/>
    <w:rsid w:val="48284AC3"/>
    <w:rsid w:val="482A4F65"/>
    <w:rsid w:val="48480992"/>
    <w:rsid w:val="484963FE"/>
    <w:rsid w:val="485B547D"/>
    <w:rsid w:val="486D6458"/>
    <w:rsid w:val="486F6225"/>
    <w:rsid w:val="48801F0A"/>
    <w:rsid w:val="4885155F"/>
    <w:rsid w:val="488C6978"/>
    <w:rsid w:val="488D48CD"/>
    <w:rsid w:val="48944922"/>
    <w:rsid w:val="489A695D"/>
    <w:rsid w:val="489C7EA5"/>
    <w:rsid w:val="48B15A3D"/>
    <w:rsid w:val="48B3438D"/>
    <w:rsid w:val="48BA1F20"/>
    <w:rsid w:val="48C32662"/>
    <w:rsid w:val="48DC6DB3"/>
    <w:rsid w:val="48E4548A"/>
    <w:rsid w:val="48E54445"/>
    <w:rsid w:val="48E74810"/>
    <w:rsid w:val="48EF5297"/>
    <w:rsid w:val="48EF5944"/>
    <w:rsid w:val="48F21359"/>
    <w:rsid w:val="48FD678A"/>
    <w:rsid w:val="490902EF"/>
    <w:rsid w:val="491237A9"/>
    <w:rsid w:val="49154451"/>
    <w:rsid w:val="49185985"/>
    <w:rsid w:val="491F6F58"/>
    <w:rsid w:val="4924342C"/>
    <w:rsid w:val="4928049D"/>
    <w:rsid w:val="49283B2E"/>
    <w:rsid w:val="492A4BB1"/>
    <w:rsid w:val="493111B0"/>
    <w:rsid w:val="49401FE0"/>
    <w:rsid w:val="494616A5"/>
    <w:rsid w:val="495E0001"/>
    <w:rsid w:val="495F4514"/>
    <w:rsid w:val="49697141"/>
    <w:rsid w:val="49712C8E"/>
    <w:rsid w:val="4975017E"/>
    <w:rsid w:val="497C5511"/>
    <w:rsid w:val="497E7236"/>
    <w:rsid w:val="498378F5"/>
    <w:rsid w:val="49941F07"/>
    <w:rsid w:val="49975A5C"/>
    <w:rsid w:val="49B4701F"/>
    <w:rsid w:val="49B605D8"/>
    <w:rsid w:val="49B65DC9"/>
    <w:rsid w:val="49BE3781"/>
    <w:rsid w:val="49C443DF"/>
    <w:rsid w:val="49C70E69"/>
    <w:rsid w:val="49C93E8E"/>
    <w:rsid w:val="49D942C7"/>
    <w:rsid w:val="49D946BF"/>
    <w:rsid w:val="49DC090A"/>
    <w:rsid w:val="49E62540"/>
    <w:rsid w:val="49E82B6B"/>
    <w:rsid w:val="49EE01CE"/>
    <w:rsid w:val="49F11610"/>
    <w:rsid w:val="49FB4DA8"/>
    <w:rsid w:val="4A023127"/>
    <w:rsid w:val="4A0C033F"/>
    <w:rsid w:val="4A227A1C"/>
    <w:rsid w:val="4A305D79"/>
    <w:rsid w:val="4A413E43"/>
    <w:rsid w:val="4A4E7233"/>
    <w:rsid w:val="4A511DB0"/>
    <w:rsid w:val="4A5D5BF7"/>
    <w:rsid w:val="4A5E2A1E"/>
    <w:rsid w:val="4A66784F"/>
    <w:rsid w:val="4A736C2C"/>
    <w:rsid w:val="4A741A5F"/>
    <w:rsid w:val="4A8C1339"/>
    <w:rsid w:val="4AA26708"/>
    <w:rsid w:val="4AA30E3B"/>
    <w:rsid w:val="4AA537C5"/>
    <w:rsid w:val="4AB054CD"/>
    <w:rsid w:val="4AD30D16"/>
    <w:rsid w:val="4B036711"/>
    <w:rsid w:val="4B0A5933"/>
    <w:rsid w:val="4B117A90"/>
    <w:rsid w:val="4B1E14FF"/>
    <w:rsid w:val="4B1E57B9"/>
    <w:rsid w:val="4B2C6CED"/>
    <w:rsid w:val="4B425E9C"/>
    <w:rsid w:val="4B462466"/>
    <w:rsid w:val="4B475799"/>
    <w:rsid w:val="4B5F395F"/>
    <w:rsid w:val="4B886661"/>
    <w:rsid w:val="4B8B5936"/>
    <w:rsid w:val="4B8C32D1"/>
    <w:rsid w:val="4B8E12D6"/>
    <w:rsid w:val="4B971D44"/>
    <w:rsid w:val="4B986978"/>
    <w:rsid w:val="4BA95F1B"/>
    <w:rsid w:val="4BD175BE"/>
    <w:rsid w:val="4BF41951"/>
    <w:rsid w:val="4C0A6625"/>
    <w:rsid w:val="4C211F55"/>
    <w:rsid w:val="4C245534"/>
    <w:rsid w:val="4C2779CF"/>
    <w:rsid w:val="4C2C2930"/>
    <w:rsid w:val="4C46376A"/>
    <w:rsid w:val="4C4E70D5"/>
    <w:rsid w:val="4C632703"/>
    <w:rsid w:val="4C672128"/>
    <w:rsid w:val="4C681932"/>
    <w:rsid w:val="4C734F10"/>
    <w:rsid w:val="4C7621BE"/>
    <w:rsid w:val="4C7B3217"/>
    <w:rsid w:val="4C852AB6"/>
    <w:rsid w:val="4C9743B6"/>
    <w:rsid w:val="4CAA5AA7"/>
    <w:rsid w:val="4CE36FA1"/>
    <w:rsid w:val="4CEE4218"/>
    <w:rsid w:val="4CEF5BAF"/>
    <w:rsid w:val="4CF55ED7"/>
    <w:rsid w:val="4CF71082"/>
    <w:rsid w:val="4D273649"/>
    <w:rsid w:val="4D303277"/>
    <w:rsid w:val="4D3F276A"/>
    <w:rsid w:val="4D4F0BC0"/>
    <w:rsid w:val="4D510618"/>
    <w:rsid w:val="4D591114"/>
    <w:rsid w:val="4D670A85"/>
    <w:rsid w:val="4D6C0ACB"/>
    <w:rsid w:val="4D806473"/>
    <w:rsid w:val="4D8D78A2"/>
    <w:rsid w:val="4DAD774C"/>
    <w:rsid w:val="4DB87F6B"/>
    <w:rsid w:val="4DE84AD8"/>
    <w:rsid w:val="4DEE0130"/>
    <w:rsid w:val="4DF0398D"/>
    <w:rsid w:val="4DF3347D"/>
    <w:rsid w:val="4DF85FC0"/>
    <w:rsid w:val="4DFC5A16"/>
    <w:rsid w:val="4E025656"/>
    <w:rsid w:val="4E0307D0"/>
    <w:rsid w:val="4E3F3F23"/>
    <w:rsid w:val="4E437F61"/>
    <w:rsid w:val="4E476702"/>
    <w:rsid w:val="4E4C49ED"/>
    <w:rsid w:val="4E600A4F"/>
    <w:rsid w:val="4E6B1103"/>
    <w:rsid w:val="4E7153FF"/>
    <w:rsid w:val="4E7B029B"/>
    <w:rsid w:val="4E8171D2"/>
    <w:rsid w:val="4EA92ABB"/>
    <w:rsid w:val="4EB42C0C"/>
    <w:rsid w:val="4EB7239C"/>
    <w:rsid w:val="4EB80D5E"/>
    <w:rsid w:val="4EBB21ED"/>
    <w:rsid w:val="4EC372F3"/>
    <w:rsid w:val="4ED61833"/>
    <w:rsid w:val="4EDA18B9"/>
    <w:rsid w:val="4EEC366D"/>
    <w:rsid w:val="4EEE25C2"/>
    <w:rsid w:val="4EF925E5"/>
    <w:rsid w:val="4F09196C"/>
    <w:rsid w:val="4F0B4347"/>
    <w:rsid w:val="4F112FA7"/>
    <w:rsid w:val="4F291E38"/>
    <w:rsid w:val="4F573543"/>
    <w:rsid w:val="4F580F26"/>
    <w:rsid w:val="4F6F3053"/>
    <w:rsid w:val="4F9864B2"/>
    <w:rsid w:val="4FAE4C09"/>
    <w:rsid w:val="4FC05E61"/>
    <w:rsid w:val="4FC337C0"/>
    <w:rsid w:val="4FE3492E"/>
    <w:rsid w:val="4FFC7935"/>
    <w:rsid w:val="50050C1F"/>
    <w:rsid w:val="501C4E89"/>
    <w:rsid w:val="50243DC2"/>
    <w:rsid w:val="5030599B"/>
    <w:rsid w:val="50381FFE"/>
    <w:rsid w:val="504273C9"/>
    <w:rsid w:val="505D1D00"/>
    <w:rsid w:val="506E075B"/>
    <w:rsid w:val="50827466"/>
    <w:rsid w:val="50A849F3"/>
    <w:rsid w:val="50B415EA"/>
    <w:rsid w:val="50BF4DB1"/>
    <w:rsid w:val="50CA01DA"/>
    <w:rsid w:val="50CA4969"/>
    <w:rsid w:val="50CF1F9A"/>
    <w:rsid w:val="50DD3BA3"/>
    <w:rsid w:val="50DD3E3A"/>
    <w:rsid w:val="50E61CAB"/>
    <w:rsid w:val="50ED0658"/>
    <w:rsid w:val="51037E7B"/>
    <w:rsid w:val="510830D9"/>
    <w:rsid w:val="51142088"/>
    <w:rsid w:val="51165940"/>
    <w:rsid w:val="51294DD6"/>
    <w:rsid w:val="51597A9B"/>
    <w:rsid w:val="516C61A5"/>
    <w:rsid w:val="516F6379"/>
    <w:rsid w:val="51750D79"/>
    <w:rsid w:val="517C316A"/>
    <w:rsid w:val="51803658"/>
    <w:rsid w:val="5182074A"/>
    <w:rsid w:val="518A56C7"/>
    <w:rsid w:val="51A131B2"/>
    <w:rsid w:val="51A27694"/>
    <w:rsid w:val="51BF1AEA"/>
    <w:rsid w:val="51E7154B"/>
    <w:rsid w:val="51F021AD"/>
    <w:rsid w:val="51FD0B46"/>
    <w:rsid w:val="51FD2B1C"/>
    <w:rsid w:val="520B13BF"/>
    <w:rsid w:val="521D4F6D"/>
    <w:rsid w:val="52295D9F"/>
    <w:rsid w:val="523C1BE3"/>
    <w:rsid w:val="52563E33"/>
    <w:rsid w:val="52564E15"/>
    <w:rsid w:val="525E0416"/>
    <w:rsid w:val="5268268C"/>
    <w:rsid w:val="52701540"/>
    <w:rsid w:val="527B72D6"/>
    <w:rsid w:val="528E3797"/>
    <w:rsid w:val="52982371"/>
    <w:rsid w:val="52A97A4C"/>
    <w:rsid w:val="52AC1BCA"/>
    <w:rsid w:val="52AC6C64"/>
    <w:rsid w:val="52B416A7"/>
    <w:rsid w:val="52C13A04"/>
    <w:rsid w:val="52E83A51"/>
    <w:rsid w:val="52EC6844"/>
    <w:rsid w:val="52EE3667"/>
    <w:rsid w:val="530C3017"/>
    <w:rsid w:val="531F4F4F"/>
    <w:rsid w:val="532C5548"/>
    <w:rsid w:val="532E1689"/>
    <w:rsid w:val="53325FAA"/>
    <w:rsid w:val="53546749"/>
    <w:rsid w:val="53597329"/>
    <w:rsid w:val="535A424D"/>
    <w:rsid w:val="5369291D"/>
    <w:rsid w:val="537E3022"/>
    <w:rsid w:val="53882361"/>
    <w:rsid w:val="538E1256"/>
    <w:rsid w:val="53970983"/>
    <w:rsid w:val="539A30E1"/>
    <w:rsid w:val="539B439B"/>
    <w:rsid w:val="53A66520"/>
    <w:rsid w:val="53A914DA"/>
    <w:rsid w:val="53B316E5"/>
    <w:rsid w:val="53B772E2"/>
    <w:rsid w:val="53BC34C4"/>
    <w:rsid w:val="53CC6C4A"/>
    <w:rsid w:val="53CE29B7"/>
    <w:rsid w:val="53DE6783"/>
    <w:rsid w:val="53E75832"/>
    <w:rsid w:val="53EC4BF7"/>
    <w:rsid w:val="53FF3532"/>
    <w:rsid w:val="54005B2A"/>
    <w:rsid w:val="54065CB8"/>
    <w:rsid w:val="540C2117"/>
    <w:rsid w:val="542B4BB8"/>
    <w:rsid w:val="5435127D"/>
    <w:rsid w:val="54352A41"/>
    <w:rsid w:val="543D2033"/>
    <w:rsid w:val="543F0BFD"/>
    <w:rsid w:val="54433DE2"/>
    <w:rsid w:val="54451376"/>
    <w:rsid w:val="544861F2"/>
    <w:rsid w:val="546503F1"/>
    <w:rsid w:val="5480370F"/>
    <w:rsid w:val="5486504B"/>
    <w:rsid w:val="54902752"/>
    <w:rsid w:val="54AA3C33"/>
    <w:rsid w:val="54B12D9C"/>
    <w:rsid w:val="54BB1851"/>
    <w:rsid w:val="54C808F4"/>
    <w:rsid w:val="54C85664"/>
    <w:rsid w:val="54D45DB6"/>
    <w:rsid w:val="54DC7152"/>
    <w:rsid w:val="54DE257B"/>
    <w:rsid w:val="54DE6EBF"/>
    <w:rsid w:val="55052414"/>
    <w:rsid w:val="55237250"/>
    <w:rsid w:val="55286102"/>
    <w:rsid w:val="553805B0"/>
    <w:rsid w:val="553D5A1E"/>
    <w:rsid w:val="55434CEA"/>
    <w:rsid w:val="55582FF0"/>
    <w:rsid w:val="5559393E"/>
    <w:rsid w:val="556303E7"/>
    <w:rsid w:val="55670917"/>
    <w:rsid w:val="55721EDF"/>
    <w:rsid w:val="55776D00"/>
    <w:rsid w:val="55833339"/>
    <w:rsid w:val="55973C68"/>
    <w:rsid w:val="559D5F05"/>
    <w:rsid w:val="559E63C4"/>
    <w:rsid w:val="55A0704C"/>
    <w:rsid w:val="55A377E9"/>
    <w:rsid w:val="55A439DB"/>
    <w:rsid w:val="55AF0CE4"/>
    <w:rsid w:val="55B94FAC"/>
    <w:rsid w:val="55C47D86"/>
    <w:rsid w:val="55C8256A"/>
    <w:rsid w:val="55D32512"/>
    <w:rsid w:val="55D51D4E"/>
    <w:rsid w:val="55DD38ED"/>
    <w:rsid w:val="56066443"/>
    <w:rsid w:val="5609115F"/>
    <w:rsid w:val="56141CC7"/>
    <w:rsid w:val="561502F5"/>
    <w:rsid w:val="561E08B1"/>
    <w:rsid w:val="562D3205"/>
    <w:rsid w:val="5632389E"/>
    <w:rsid w:val="563C1E65"/>
    <w:rsid w:val="5664227F"/>
    <w:rsid w:val="56704578"/>
    <w:rsid w:val="56A668F4"/>
    <w:rsid w:val="56B67B93"/>
    <w:rsid w:val="56B82CD0"/>
    <w:rsid w:val="56BB7F10"/>
    <w:rsid w:val="56CF2CD9"/>
    <w:rsid w:val="56EA1F97"/>
    <w:rsid w:val="56FD2A8F"/>
    <w:rsid w:val="56FE536D"/>
    <w:rsid w:val="57185255"/>
    <w:rsid w:val="571934ED"/>
    <w:rsid w:val="572A7BF9"/>
    <w:rsid w:val="573F5E3C"/>
    <w:rsid w:val="57403161"/>
    <w:rsid w:val="574C432A"/>
    <w:rsid w:val="575E2CCB"/>
    <w:rsid w:val="575F02DD"/>
    <w:rsid w:val="57607DD5"/>
    <w:rsid w:val="576171EA"/>
    <w:rsid w:val="57671164"/>
    <w:rsid w:val="57732429"/>
    <w:rsid w:val="577F5F66"/>
    <w:rsid w:val="578202D2"/>
    <w:rsid w:val="57A1459F"/>
    <w:rsid w:val="57AA5D1A"/>
    <w:rsid w:val="57AB074C"/>
    <w:rsid w:val="57B10631"/>
    <w:rsid w:val="57B37537"/>
    <w:rsid w:val="57BF0914"/>
    <w:rsid w:val="57C0556F"/>
    <w:rsid w:val="57FD5624"/>
    <w:rsid w:val="58016AE1"/>
    <w:rsid w:val="581D4642"/>
    <w:rsid w:val="58363268"/>
    <w:rsid w:val="58372026"/>
    <w:rsid w:val="583E0664"/>
    <w:rsid w:val="58401151"/>
    <w:rsid w:val="58445001"/>
    <w:rsid w:val="58496ABB"/>
    <w:rsid w:val="585A3541"/>
    <w:rsid w:val="586274F7"/>
    <w:rsid w:val="587316C8"/>
    <w:rsid w:val="587908A8"/>
    <w:rsid w:val="587A1256"/>
    <w:rsid w:val="588B2420"/>
    <w:rsid w:val="5895337D"/>
    <w:rsid w:val="589A6E8D"/>
    <w:rsid w:val="58A60708"/>
    <w:rsid w:val="58C85DCF"/>
    <w:rsid w:val="58DD7EE3"/>
    <w:rsid w:val="58E97F2A"/>
    <w:rsid w:val="58ED12F5"/>
    <w:rsid w:val="58F92290"/>
    <w:rsid w:val="58F935D2"/>
    <w:rsid w:val="5900361E"/>
    <w:rsid w:val="59065EE0"/>
    <w:rsid w:val="590B3D71"/>
    <w:rsid w:val="592233B5"/>
    <w:rsid w:val="592C7E8A"/>
    <w:rsid w:val="59300FC8"/>
    <w:rsid w:val="593F31AE"/>
    <w:rsid w:val="595B6AA6"/>
    <w:rsid w:val="59716306"/>
    <w:rsid w:val="597E3F8E"/>
    <w:rsid w:val="59814033"/>
    <w:rsid w:val="598B4262"/>
    <w:rsid w:val="59A71618"/>
    <w:rsid w:val="59B203FE"/>
    <w:rsid w:val="59BE6A7E"/>
    <w:rsid w:val="59C65504"/>
    <w:rsid w:val="59C80E72"/>
    <w:rsid w:val="59C90ECD"/>
    <w:rsid w:val="59E720E8"/>
    <w:rsid w:val="59FA683F"/>
    <w:rsid w:val="59FE08FA"/>
    <w:rsid w:val="5A055363"/>
    <w:rsid w:val="5A07294F"/>
    <w:rsid w:val="5A0E3B19"/>
    <w:rsid w:val="5A1D4F8C"/>
    <w:rsid w:val="5A221332"/>
    <w:rsid w:val="5A236E98"/>
    <w:rsid w:val="5A355919"/>
    <w:rsid w:val="5A3952E3"/>
    <w:rsid w:val="5A6000EC"/>
    <w:rsid w:val="5A650F37"/>
    <w:rsid w:val="5A6A0612"/>
    <w:rsid w:val="5A6B6153"/>
    <w:rsid w:val="5A6F77E0"/>
    <w:rsid w:val="5A7631EB"/>
    <w:rsid w:val="5A9F200A"/>
    <w:rsid w:val="5AA5630F"/>
    <w:rsid w:val="5AAC6D46"/>
    <w:rsid w:val="5AC80B60"/>
    <w:rsid w:val="5AC83FB2"/>
    <w:rsid w:val="5ACD78C8"/>
    <w:rsid w:val="5ACF7403"/>
    <w:rsid w:val="5AD638F6"/>
    <w:rsid w:val="5AE778FB"/>
    <w:rsid w:val="5AFC21D1"/>
    <w:rsid w:val="5B0D3DD0"/>
    <w:rsid w:val="5B2829B8"/>
    <w:rsid w:val="5B294982"/>
    <w:rsid w:val="5B2B09B6"/>
    <w:rsid w:val="5B322B69"/>
    <w:rsid w:val="5B46719F"/>
    <w:rsid w:val="5B4929A8"/>
    <w:rsid w:val="5B5A4B3C"/>
    <w:rsid w:val="5B646ADA"/>
    <w:rsid w:val="5B667984"/>
    <w:rsid w:val="5B773940"/>
    <w:rsid w:val="5B7C0F56"/>
    <w:rsid w:val="5B7F1E17"/>
    <w:rsid w:val="5B8755EE"/>
    <w:rsid w:val="5B8F6FF6"/>
    <w:rsid w:val="5B9462A0"/>
    <w:rsid w:val="5B965E67"/>
    <w:rsid w:val="5B993931"/>
    <w:rsid w:val="5B9B636C"/>
    <w:rsid w:val="5BA42A14"/>
    <w:rsid w:val="5BA774FC"/>
    <w:rsid w:val="5BAA161F"/>
    <w:rsid w:val="5BC70423"/>
    <w:rsid w:val="5BE63556"/>
    <w:rsid w:val="5BF04571"/>
    <w:rsid w:val="5C1165B8"/>
    <w:rsid w:val="5C1269B5"/>
    <w:rsid w:val="5C284D38"/>
    <w:rsid w:val="5C3830CF"/>
    <w:rsid w:val="5C3D06E5"/>
    <w:rsid w:val="5C480E38"/>
    <w:rsid w:val="5C4B6C61"/>
    <w:rsid w:val="5C4D004A"/>
    <w:rsid w:val="5C527C59"/>
    <w:rsid w:val="5C5D3101"/>
    <w:rsid w:val="5C633253"/>
    <w:rsid w:val="5C6914DA"/>
    <w:rsid w:val="5C6E6E1D"/>
    <w:rsid w:val="5C7F0CFE"/>
    <w:rsid w:val="5C8C6F77"/>
    <w:rsid w:val="5C9B4505"/>
    <w:rsid w:val="5CA261CF"/>
    <w:rsid w:val="5CAC70BE"/>
    <w:rsid w:val="5CBF10FA"/>
    <w:rsid w:val="5CCB328D"/>
    <w:rsid w:val="5CCE57E1"/>
    <w:rsid w:val="5CCF4100"/>
    <w:rsid w:val="5CD1247D"/>
    <w:rsid w:val="5CD41A66"/>
    <w:rsid w:val="5CF17ECA"/>
    <w:rsid w:val="5CFF3BED"/>
    <w:rsid w:val="5D0B0214"/>
    <w:rsid w:val="5D0B2591"/>
    <w:rsid w:val="5D1A0A42"/>
    <w:rsid w:val="5D237B17"/>
    <w:rsid w:val="5D296EBB"/>
    <w:rsid w:val="5D2A5424"/>
    <w:rsid w:val="5D403E92"/>
    <w:rsid w:val="5D4F1710"/>
    <w:rsid w:val="5D601FF9"/>
    <w:rsid w:val="5D635F29"/>
    <w:rsid w:val="5D6972B8"/>
    <w:rsid w:val="5D6E7DA0"/>
    <w:rsid w:val="5D6F3737"/>
    <w:rsid w:val="5D71045F"/>
    <w:rsid w:val="5D7E0FB5"/>
    <w:rsid w:val="5D8D2FA6"/>
    <w:rsid w:val="5D975BEB"/>
    <w:rsid w:val="5DBC54F7"/>
    <w:rsid w:val="5DBE7842"/>
    <w:rsid w:val="5DCA0682"/>
    <w:rsid w:val="5DD50170"/>
    <w:rsid w:val="5DD60DF1"/>
    <w:rsid w:val="5DE1794B"/>
    <w:rsid w:val="5DEE54ED"/>
    <w:rsid w:val="5E017C06"/>
    <w:rsid w:val="5E0F6CAD"/>
    <w:rsid w:val="5E176D14"/>
    <w:rsid w:val="5E231C98"/>
    <w:rsid w:val="5E25510D"/>
    <w:rsid w:val="5E44324A"/>
    <w:rsid w:val="5E486B18"/>
    <w:rsid w:val="5E4A015A"/>
    <w:rsid w:val="5E596E18"/>
    <w:rsid w:val="5E5A5FDB"/>
    <w:rsid w:val="5E6E0D39"/>
    <w:rsid w:val="5E7F7EDD"/>
    <w:rsid w:val="5E803C1F"/>
    <w:rsid w:val="5E826883"/>
    <w:rsid w:val="5E8C7702"/>
    <w:rsid w:val="5EA41B31"/>
    <w:rsid w:val="5EA908DF"/>
    <w:rsid w:val="5EAE58CA"/>
    <w:rsid w:val="5ECC09BB"/>
    <w:rsid w:val="5ED14076"/>
    <w:rsid w:val="5F060893"/>
    <w:rsid w:val="5F0B355B"/>
    <w:rsid w:val="5F105C3D"/>
    <w:rsid w:val="5F196F65"/>
    <w:rsid w:val="5F1F205F"/>
    <w:rsid w:val="5F2D2E3D"/>
    <w:rsid w:val="5F315EF2"/>
    <w:rsid w:val="5F323E12"/>
    <w:rsid w:val="5F3F15BD"/>
    <w:rsid w:val="5F4F39A9"/>
    <w:rsid w:val="5F5F0972"/>
    <w:rsid w:val="5F7206A6"/>
    <w:rsid w:val="5F751F44"/>
    <w:rsid w:val="5F7614D6"/>
    <w:rsid w:val="5F831334"/>
    <w:rsid w:val="5FA865A9"/>
    <w:rsid w:val="5FB4618C"/>
    <w:rsid w:val="5FBD7FF4"/>
    <w:rsid w:val="5FDA399F"/>
    <w:rsid w:val="5FDB3684"/>
    <w:rsid w:val="5FDC0215"/>
    <w:rsid w:val="5FE73416"/>
    <w:rsid w:val="5FEB6673"/>
    <w:rsid w:val="5FFA79ED"/>
    <w:rsid w:val="60023913"/>
    <w:rsid w:val="6017124D"/>
    <w:rsid w:val="601A0A51"/>
    <w:rsid w:val="602D281F"/>
    <w:rsid w:val="602D6CC3"/>
    <w:rsid w:val="6032371E"/>
    <w:rsid w:val="60474BA6"/>
    <w:rsid w:val="604D6358"/>
    <w:rsid w:val="604E1695"/>
    <w:rsid w:val="606D0EF6"/>
    <w:rsid w:val="60762418"/>
    <w:rsid w:val="607A7859"/>
    <w:rsid w:val="608E7761"/>
    <w:rsid w:val="609805E0"/>
    <w:rsid w:val="60B20EB9"/>
    <w:rsid w:val="60E47941"/>
    <w:rsid w:val="60F82E2D"/>
    <w:rsid w:val="61013040"/>
    <w:rsid w:val="61187ED8"/>
    <w:rsid w:val="611C35B8"/>
    <w:rsid w:val="611F7A18"/>
    <w:rsid w:val="613A0401"/>
    <w:rsid w:val="61446CCB"/>
    <w:rsid w:val="61473ED7"/>
    <w:rsid w:val="61583944"/>
    <w:rsid w:val="6166248C"/>
    <w:rsid w:val="616F0A87"/>
    <w:rsid w:val="617230BA"/>
    <w:rsid w:val="61740511"/>
    <w:rsid w:val="6183303E"/>
    <w:rsid w:val="619C78FD"/>
    <w:rsid w:val="61AE7556"/>
    <w:rsid w:val="61B427CB"/>
    <w:rsid w:val="61CE3B8D"/>
    <w:rsid w:val="61D41854"/>
    <w:rsid w:val="61E33ADD"/>
    <w:rsid w:val="62037CDB"/>
    <w:rsid w:val="62051EB9"/>
    <w:rsid w:val="6206793E"/>
    <w:rsid w:val="620B6AD5"/>
    <w:rsid w:val="621F60BA"/>
    <w:rsid w:val="62282B27"/>
    <w:rsid w:val="622C1504"/>
    <w:rsid w:val="624C1682"/>
    <w:rsid w:val="624F63B5"/>
    <w:rsid w:val="625457B2"/>
    <w:rsid w:val="625A6442"/>
    <w:rsid w:val="628D245F"/>
    <w:rsid w:val="62BA360B"/>
    <w:rsid w:val="62BE29FD"/>
    <w:rsid w:val="62C173F4"/>
    <w:rsid w:val="62E53885"/>
    <w:rsid w:val="62E973CB"/>
    <w:rsid w:val="62F03D3C"/>
    <w:rsid w:val="62F51D1A"/>
    <w:rsid w:val="62FA00A7"/>
    <w:rsid w:val="63002653"/>
    <w:rsid w:val="63057A83"/>
    <w:rsid w:val="630E067E"/>
    <w:rsid w:val="630F7A4D"/>
    <w:rsid w:val="631B72A6"/>
    <w:rsid w:val="632048BD"/>
    <w:rsid w:val="63262B54"/>
    <w:rsid w:val="6330114D"/>
    <w:rsid w:val="63377DED"/>
    <w:rsid w:val="63600859"/>
    <w:rsid w:val="63715118"/>
    <w:rsid w:val="6375518E"/>
    <w:rsid w:val="637569B7"/>
    <w:rsid w:val="637D4093"/>
    <w:rsid w:val="638B4892"/>
    <w:rsid w:val="639279AF"/>
    <w:rsid w:val="639C24A4"/>
    <w:rsid w:val="63B35731"/>
    <w:rsid w:val="63CD374D"/>
    <w:rsid w:val="63DE6198"/>
    <w:rsid w:val="63EE02A4"/>
    <w:rsid w:val="63F2462E"/>
    <w:rsid w:val="641222ED"/>
    <w:rsid w:val="6417337A"/>
    <w:rsid w:val="642B5582"/>
    <w:rsid w:val="64363B96"/>
    <w:rsid w:val="64515368"/>
    <w:rsid w:val="645354A4"/>
    <w:rsid w:val="6463417F"/>
    <w:rsid w:val="64643953"/>
    <w:rsid w:val="64654D54"/>
    <w:rsid w:val="64794284"/>
    <w:rsid w:val="648F1CFA"/>
    <w:rsid w:val="64B81251"/>
    <w:rsid w:val="64DC03ED"/>
    <w:rsid w:val="64F41B5D"/>
    <w:rsid w:val="64FB2F8F"/>
    <w:rsid w:val="65102E3B"/>
    <w:rsid w:val="65144DE5"/>
    <w:rsid w:val="651924C2"/>
    <w:rsid w:val="651D2E62"/>
    <w:rsid w:val="651E2759"/>
    <w:rsid w:val="65271F32"/>
    <w:rsid w:val="6534021D"/>
    <w:rsid w:val="65384140"/>
    <w:rsid w:val="653C7DC4"/>
    <w:rsid w:val="65745242"/>
    <w:rsid w:val="65786BF9"/>
    <w:rsid w:val="658C66C4"/>
    <w:rsid w:val="659A3F39"/>
    <w:rsid w:val="659C290A"/>
    <w:rsid w:val="659C4499"/>
    <w:rsid w:val="65B8738C"/>
    <w:rsid w:val="65C664D3"/>
    <w:rsid w:val="65D21CDF"/>
    <w:rsid w:val="65DA2217"/>
    <w:rsid w:val="65FF30C2"/>
    <w:rsid w:val="66097698"/>
    <w:rsid w:val="660E6C4E"/>
    <w:rsid w:val="66384F33"/>
    <w:rsid w:val="663A2862"/>
    <w:rsid w:val="665314E1"/>
    <w:rsid w:val="66536C43"/>
    <w:rsid w:val="6656365D"/>
    <w:rsid w:val="66634171"/>
    <w:rsid w:val="66681907"/>
    <w:rsid w:val="667746FC"/>
    <w:rsid w:val="66795682"/>
    <w:rsid w:val="66813874"/>
    <w:rsid w:val="6685004E"/>
    <w:rsid w:val="668A4527"/>
    <w:rsid w:val="668D5944"/>
    <w:rsid w:val="668F4233"/>
    <w:rsid w:val="66D1730C"/>
    <w:rsid w:val="66E42854"/>
    <w:rsid w:val="66E55C01"/>
    <w:rsid w:val="66EF2B5F"/>
    <w:rsid w:val="66EF31C1"/>
    <w:rsid w:val="66F22774"/>
    <w:rsid w:val="670C6E93"/>
    <w:rsid w:val="670F2C7E"/>
    <w:rsid w:val="67186538"/>
    <w:rsid w:val="671E4223"/>
    <w:rsid w:val="67254250"/>
    <w:rsid w:val="67277DF4"/>
    <w:rsid w:val="67340A1D"/>
    <w:rsid w:val="67357E07"/>
    <w:rsid w:val="67380427"/>
    <w:rsid w:val="67391EFE"/>
    <w:rsid w:val="673B2AC0"/>
    <w:rsid w:val="674D5DCD"/>
    <w:rsid w:val="675E2F62"/>
    <w:rsid w:val="675E64C0"/>
    <w:rsid w:val="676254A4"/>
    <w:rsid w:val="676A497C"/>
    <w:rsid w:val="677D5E3A"/>
    <w:rsid w:val="678218BC"/>
    <w:rsid w:val="678C0773"/>
    <w:rsid w:val="67950EB3"/>
    <w:rsid w:val="67994DBC"/>
    <w:rsid w:val="679B09B6"/>
    <w:rsid w:val="67A21D44"/>
    <w:rsid w:val="67AB2839"/>
    <w:rsid w:val="67B30FB4"/>
    <w:rsid w:val="67BD4963"/>
    <w:rsid w:val="67E420E9"/>
    <w:rsid w:val="681A2DC6"/>
    <w:rsid w:val="681D0F71"/>
    <w:rsid w:val="6820035E"/>
    <w:rsid w:val="6822692F"/>
    <w:rsid w:val="682D717C"/>
    <w:rsid w:val="685F2B0C"/>
    <w:rsid w:val="686B7BE2"/>
    <w:rsid w:val="686E4CA0"/>
    <w:rsid w:val="68850646"/>
    <w:rsid w:val="6885450B"/>
    <w:rsid w:val="68862C9E"/>
    <w:rsid w:val="688D02FE"/>
    <w:rsid w:val="68953657"/>
    <w:rsid w:val="68AA0EB0"/>
    <w:rsid w:val="68B631F6"/>
    <w:rsid w:val="68B73E7B"/>
    <w:rsid w:val="68BA42B2"/>
    <w:rsid w:val="68C946CE"/>
    <w:rsid w:val="68CF272B"/>
    <w:rsid w:val="68DE0B5A"/>
    <w:rsid w:val="69000946"/>
    <w:rsid w:val="692A0243"/>
    <w:rsid w:val="692F1F37"/>
    <w:rsid w:val="69301A27"/>
    <w:rsid w:val="693B419A"/>
    <w:rsid w:val="694339DE"/>
    <w:rsid w:val="694E3F32"/>
    <w:rsid w:val="695452C0"/>
    <w:rsid w:val="695D5832"/>
    <w:rsid w:val="69656389"/>
    <w:rsid w:val="69732E6B"/>
    <w:rsid w:val="699D79FA"/>
    <w:rsid w:val="699E014D"/>
    <w:rsid w:val="69A578CA"/>
    <w:rsid w:val="69B31FE7"/>
    <w:rsid w:val="69B53FB1"/>
    <w:rsid w:val="69B55D5F"/>
    <w:rsid w:val="69B6772E"/>
    <w:rsid w:val="69B72806"/>
    <w:rsid w:val="69C21FC2"/>
    <w:rsid w:val="69CE797A"/>
    <w:rsid w:val="69D31B5E"/>
    <w:rsid w:val="69D32689"/>
    <w:rsid w:val="69D63F27"/>
    <w:rsid w:val="69E76134"/>
    <w:rsid w:val="69E817D1"/>
    <w:rsid w:val="69F431E5"/>
    <w:rsid w:val="69FA5867"/>
    <w:rsid w:val="69FE675E"/>
    <w:rsid w:val="6A026ACA"/>
    <w:rsid w:val="6A0C7949"/>
    <w:rsid w:val="6A1A2049"/>
    <w:rsid w:val="6A2125F5"/>
    <w:rsid w:val="6A214B73"/>
    <w:rsid w:val="6A2F2D68"/>
    <w:rsid w:val="6A366774"/>
    <w:rsid w:val="6A423BC4"/>
    <w:rsid w:val="6A45046C"/>
    <w:rsid w:val="6A5347AB"/>
    <w:rsid w:val="6A5C3F5E"/>
    <w:rsid w:val="6A771266"/>
    <w:rsid w:val="6A7774B8"/>
    <w:rsid w:val="6A7A5B8E"/>
    <w:rsid w:val="6A7E0847"/>
    <w:rsid w:val="6A837C0B"/>
    <w:rsid w:val="6A855EA5"/>
    <w:rsid w:val="6A91520C"/>
    <w:rsid w:val="6A995680"/>
    <w:rsid w:val="6AA10091"/>
    <w:rsid w:val="6AA44F93"/>
    <w:rsid w:val="6AB71D61"/>
    <w:rsid w:val="6AB92FAF"/>
    <w:rsid w:val="6AC65BC7"/>
    <w:rsid w:val="6ACF19E4"/>
    <w:rsid w:val="6AD5470C"/>
    <w:rsid w:val="6ADA78FC"/>
    <w:rsid w:val="6ADE1CAF"/>
    <w:rsid w:val="6B0C7821"/>
    <w:rsid w:val="6B1217F9"/>
    <w:rsid w:val="6B141672"/>
    <w:rsid w:val="6B1538B3"/>
    <w:rsid w:val="6B2F1B41"/>
    <w:rsid w:val="6B3666EE"/>
    <w:rsid w:val="6B3D4671"/>
    <w:rsid w:val="6B431148"/>
    <w:rsid w:val="6B4502B7"/>
    <w:rsid w:val="6B574BF4"/>
    <w:rsid w:val="6B6460AC"/>
    <w:rsid w:val="6B890A1C"/>
    <w:rsid w:val="6B8F5215"/>
    <w:rsid w:val="6BA77929"/>
    <w:rsid w:val="6BB43210"/>
    <w:rsid w:val="6BC36B51"/>
    <w:rsid w:val="6BC85C10"/>
    <w:rsid w:val="6BDC0DC0"/>
    <w:rsid w:val="6BE07F64"/>
    <w:rsid w:val="6BE1452D"/>
    <w:rsid w:val="6BFB7E42"/>
    <w:rsid w:val="6BFD579B"/>
    <w:rsid w:val="6C0C3140"/>
    <w:rsid w:val="6C193FBE"/>
    <w:rsid w:val="6C1D7BEB"/>
    <w:rsid w:val="6C2343EA"/>
    <w:rsid w:val="6C253A83"/>
    <w:rsid w:val="6C4C1DDE"/>
    <w:rsid w:val="6C4D060E"/>
    <w:rsid w:val="6C526267"/>
    <w:rsid w:val="6C663C13"/>
    <w:rsid w:val="6C6967AE"/>
    <w:rsid w:val="6C7672FB"/>
    <w:rsid w:val="6C7735C7"/>
    <w:rsid w:val="6C8528D2"/>
    <w:rsid w:val="6CB23065"/>
    <w:rsid w:val="6CC0444D"/>
    <w:rsid w:val="6D10365D"/>
    <w:rsid w:val="6D156B14"/>
    <w:rsid w:val="6D266D96"/>
    <w:rsid w:val="6D272E6C"/>
    <w:rsid w:val="6D3B47CD"/>
    <w:rsid w:val="6D66634B"/>
    <w:rsid w:val="6D6A3304"/>
    <w:rsid w:val="6D81258C"/>
    <w:rsid w:val="6D886D51"/>
    <w:rsid w:val="6D9C39D1"/>
    <w:rsid w:val="6D9D66D7"/>
    <w:rsid w:val="6D9F30F1"/>
    <w:rsid w:val="6DB940F2"/>
    <w:rsid w:val="6DBA6634"/>
    <w:rsid w:val="6DBD1686"/>
    <w:rsid w:val="6DBE71AC"/>
    <w:rsid w:val="6DCC4C0D"/>
    <w:rsid w:val="6DE2414D"/>
    <w:rsid w:val="6DFA089C"/>
    <w:rsid w:val="6E024E4B"/>
    <w:rsid w:val="6E1B57B2"/>
    <w:rsid w:val="6E1E6EDE"/>
    <w:rsid w:val="6E2039C3"/>
    <w:rsid w:val="6E24570D"/>
    <w:rsid w:val="6E265103"/>
    <w:rsid w:val="6E2F41BA"/>
    <w:rsid w:val="6E400400"/>
    <w:rsid w:val="6E4341AC"/>
    <w:rsid w:val="6E5813AF"/>
    <w:rsid w:val="6E681587"/>
    <w:rsid w:val="6E7B0441"/>
    <w:rsid w:val="6E7F227A"/>
    <w:rsid w:val="6EA91C0A"/>
    <w:rsid w:val="6EB07668"/>
    <w:rsid w:val="6EB21400"/>
    <w:rsid w:val="6EB316B7"/>
    <w:rsid w:val="6EBE4C9B"/>
    <w:rsid w:val="6EC45C23"/>
    <w:rsid w:val="6ED22568"/>
    <w:rsid w:val="6EF530A1"/>
    <w:rsid w:val="6EF94382"/>
    <w:rsid w:val="6F0005D2"/>
    <w:rsid w:val="6F103A37"/>
    <w:rsid w:val="6F143527"/>
    <w:rsid w:val="6F281E83"/>
    <w:rsid w:val="6F2A4225"/>
    <w:rsid w:val="6F3040D9"/>
    <w:rsid w:val="6F345CBA"/>
    <w:rsid w:val="6F3531D9"/>
    <w:rsid w:val="6F436F8F"/>
    <w:rsid w:val="6F4406CB"/>
    <w:rsid w:val="6F4B4A6F"/>
    <w:rsid w:val="6F4C1F34"/>
    <w:rsid w:val="6F5002D8"/>
    <w:rsid w:val="6F564FE8"/>
    <w:rsid w:val="6F6A10D8"/>
    <w:rsid w:val="6F6C661A"/>
    <w:rsid w:val="6F8A5598"/>
    <w:rsid w:val="6F8B7942"/>
    <w:rsid w:val="6F8D6E36"/>
    <w:rsid w:val="6F946416"/>
    <w:rsid w:val="6FAF4FFE"/>
    <w:rsid w:val="6FBC5B21"/>
    <w:rsid w:val="6FD35191"/>
    <w:rsid w:val="6FEC1DAE"/>
    <w:rsid w:val="701D06F2"/>
    <w:rsid w:val="70251764"/>
    <w:rsid w:val="703D1676"/>
    <w:rsid w:val="703F2689"/>
    <w:rsid w:val="70443C2F"/>
    <w:rsid w:val="705A140E"/>
    <w:rsid w:val="705C3DFF"/>
    <w:rsid w:val="70820DC4"/>
    <w:rsid w:val="70860455"/>
    <w:rsid w:val="708741CD"/>
    <w:rsid w:val="70976C9B"/>
    <w:rsid w:val="70B623BC"/>
    <w:rsid w:val="70D5301E"/>
    <w:rsid w:val="70F133F4"/>
    <w:rsid w:val="7100078F"/>
    <w:rsid w:val="71056E8C"/>
    <w:rsid w:val="710B44B6"/>
    <w:rsid w:val="71115BC0"/>
    <w:rsid w:val="71321C7C"/>
    <w:rsid w:val="71341C5F"/>
    <w:rsid w:val="71394D35"/>
    <w:rsid w:val="713F5E68"/>
    <w:rsid w:val="715D4400"/>
    <w:rsid w:val="716E7FA5"/>
    <w:rsid w:val="7170146E"/>
    <w:rsid w:val="717019F1"/>
    <w:rsid w:val="717268C8"/>
    <w:rsid w:val="71802D0E"/>
    <w:rsid w:val="718B5ADE"/>
    <w:rsid w:val="718D136F"/>
    <w:rsid w:val="718F5890"/>
    <w:rsid w:val="71A1306D"/>
    <w:rsid w:val="71B23002"/>
    <w:rsid w:val="71C54D64"/>
    <w:rsid w:val="71F3687B"/>
    <w:rsid w:val="720C3568"/>
    <w:rsid w:val="720E0978"/>
    <w:rsid w:val="72194110"/>
    <w:rsid w:val="72254A30"/>
    <w:rsid w:val="7231054C"/>
    <w:rsid w:val="7235573F"/>
    <w:rsid w:val="72361A07"/>
    <w:rsid w:val="723A07AA"/>
    <w:rsid w:val="723B526F"/>
    <w:rsid w:val="723B701D"/>
    <w:rsid w:val="723D63F5"/>
    <w:rsid w:val="72457E9C"/>
    <w:rsid w:val="72513158"/>
    <w:rsid w:val="72541E8D"/>
    <w:rsid w:val="725A1BEF"/>
    <w:rsid w:val="726C56B8"/>
    <w:rsid w:val="727012A6"/>
    <w:rsid w:val="72767CBE"/>
    <w:rsid w:val="727F789D"/>
    <w:rsid w:val="7288771C"/>
    <w:rsid w:val="7293062E"/>
    <w:rsid w:val="72930C07"/>
    <w:rsid w:val="72A458E1"/>
    <w:rsid w:val="72AF050D"/>
    <w:rsid w:val="72CB4274"/>
    <w:rsid w:val="72CE592F"/>
    <w:rsid w:val="72F1592E"/>
    <w:rsid w:val="72FD1AB3"/>
    <w:rsid w:val="72FE1BD1"/>
    <w:rsid w:val="7306587D"/>
    <w:rsid w:val="73090EC9"/>
    <w:rsid w:val="73173D68"/>
    <w:rsid w:val="73197AE0"/>
    <w:rsid w:val="73221860"/>
    <w:rsid w:val="73232117"/>
    <w:rsid w:val="73275E34"/>
    <w:rsid w:val="73280BCA"/>
    <w:rsid w:val="732C6F90"/>
    <w:rsid w:val="73313277"/>
    <w:rsid w:val="733352BE"/>
    <w:rsid w:val="733A4EF6"/>
    <w:rsid w:val="733A72D5"/>
    <w:rsid w:val="733D0234"/>
    <w:rsid w:val="733E269A"/>
    <w:rsid w:val="733E6DC5"/>
    <w:rsid w:val="7349576A"/>
    <w:rsid w:val="735559D3"/>
    <w:rsid w:val="735675A7"/>
    <w:rsid w:val="73727279"/>
    <w:rsid w:val="7374156A"/>
    <w:rsid w:val="73773239"/>
    <w:rsid w:val="739F6AE6"/>
    <w:rsid w:val="73A40BF2"/>
    <w:rsid w:val="73B201E3"/>
    <w:rsid w:val="73B40BD5"/>
    <w:rsid w:val="73CD1EF7"/>
    <w:rsid w:val="73D305C8"/>
    <w:rsid w:val="73D93EF1"/>
    <w:rsid w:val="73EF7F33"/>
    <w:rsid w:val="73F30440"/>
    <w:rsid w:val="73FA14E3"/>
    <w:rsid w:val="73FE2711"/>
    <w:rsid w:val="740A7F35"/>
    <w:rsid w:val="741C42CE"/>
    <w:rsid w:val="742B455C"/>
    <w:rsid w:val="74552A1E"/>
    <w:rsid w:val="747A59D3"/>
    <w:rsid w:val="748F26FC"/>
    <w:rsid w:val="74AC4202"/>
    <w:rsid w:val="74B00A68"/>
    <w:rsid w:val="74C00161"/>
    <w:rsid w:val="74C3662A"/>
    <w:rsid w:val="74CC21AE"/>
    <w:rsid w:val="74D30172"/>
    <w:rsid w:val="74DE41DC"/>
    <w:rsid w:val="74F2020E"/>
    <w:rsid w:val="74F45B71"/>
    <w:rsid w:val="74F57957"/>
    <w:rsid w:val="74F77605"/>
    <w:rsid w:val="750671EC"/>
    <w:rsid w:val="75153C4A"/>
    <w:rsid w:val="75175B20"/>
    <w:rsid w:val="75270466"/>
    <w:rsid w:val="75292F3F"/>
    <w:rsid w:val="753456F4"/>
    <w:rsid w:val="753A5D5C"/>
    <w:rsid w:val="755E6626"/>
    <w:rsid w:val="756920F3"/>
    <w:rsid w:val="757062FD"/>
    <w:rsid w:val="75841DF5"/>
    <w:rsid w:val="758D233C"/>
    <w:rsid w:val="758F1B5A"/>
    <w:rsid w:val="758F304E"/>
    <w:rsid w:val="75970A0E"/>
    <w:rsid w:val="75A40F6D"/>
    <w:rsid w:val="75A66EA3"/>
    <w:rsid w:val="75B14D54"/>
    <w:rsid w:val="75EE4E13"/>
    <w:rsid w:val="75F34718"/>
    <w:rsid w:val="760B0272"/>
    <w:rsid w:val="761348DE"/>
    <w:rsid w:val="76162ABE"/>
    <w:rsid w:val="76197675"/>
    <w:rsid w:val="761C7166"/>
    <w:rsid w:val="762B73A9"/>
    <w:rsid w:val="763C59C7"/>
    <w:rsid w:val="763E014D"/>
    <w:rsid w:val="76456A13"/>
    <w:rsid w:val="765612DA"/>
    <w:rsid w:val="765F732E"/>
    <w:rsid w:val="766528BB"/>
    <w:rsid w:val="76887988"/>
    <w:rsid w:val="76986891"/>
    <w:rsid w:val="769F3D71"/>
    <w:rsid w:val="76A21419"/>
    <w:rsid w:val="76A333E3"/>
    <w:rsid w:val="76B33626"/>
    <w:rsid w:val="76C515AB"/>
    <w:rsid w:val="76EC1ABC"/>
    <w:rsid w:val="76F51FB9"/>
    <w:rsid w:val="76FB601C"/>
    <w:rsid w:val="770B5CD6"/>
    <w:rsid w:val="7710200E"/>
    <w:rsid w:val="771C2422"/>
    <w:rsid w:val="771F194B"/>
    <w:rsid w:val="77316C41"/>
    <w:rsid w:val="776706D6"/>
    <w:rsid w:val="77700134"/>
    <w:rsid w:val="778413DC"/>
    <w:rsid w:val="77844C39"/>
    <w:rsid w:val="779D3EA8"/>
    <w:rsid w:val="77A65EF4"/>
    <w:rsid w:val="77AB57D7"/>
    <w:rsid w:val="77B0751C"/>
    <w:rsid w:val="77BF40E7"/>
    <w:rsid w:val="77C41863"/>
    <w:rsid w:val="77CC6EC1"/>
    <w:rsid w:val="77D4061C"/>
    <w:rsid w:val="77E03037"/>
    <w:rsid w:val="77E47B70"/>
    <w:rsid w:val="77F75794"/>
    <w:rsid w:val="780776F7"/>
    <w:rsid w:val="780A371A"/>
    <w:rsid w:val="78340B49"/>
    <w:rsid w:val="78574485"/>
    <w:rsid w:val="785F6726"/>
    <w:rsid w:val="7860333A"/>
    <w:rsid w:val="78867CFB"/>
    <w:rsid w:val="78976EF9"/>
    <w:rsid w:val="78992CEF"/>
    <w:rsid w:val="78A340A5"/>
    <w:rsid w:val="78A95614"/>
    <w:rsid w:val="78B65F6B"/>
    <w:rsid w:val="78B95E11"/>
    <w:rsid w:val="78E92D88"/>
    <w:rsid w:val="78EC2E1F"/>
    <w:rsid w:val="78F461C9"/>
    <w:rsid w:val="79011759"/>
    <w:rsid w:val="79124DB6"/>
    <w:rsid w:val="79125039"/>
    <w:rsid w:val="79204C41"/>
    <w:rsid w:val="79290342"/>
    <w:rsid w:val="79490272"/>
    <w:rsid w:val="795A4757"/>
    <w:rsid w:val="795F47C4"/>
    <w:rsid w:val="796141A4"/>
    <w:rsid w:val="79690914"/>
    <w:rsid w:val="79694470"/>
    <w:rsid w:val="796A125E"/>
    <w:rsid w:val="79894B12"/>
    <w:rsid w:val="79941644"/>
    <w:rsid w:val="799447B2"/>
    <w:rsid w:val="79993DEC"/>
    <w:rsid w:val="799D05BD"/>
    <w:rsid w:val="799D49BF"/>
    <w:rsid w:val="79A650E2"/>
    <w:rsid w:val="79CC2ADB"/>
    <w:rsid w:val="79CE2230"/>
    <w:rsid w:val="79D24B32"/>
    <w:rsid w:val="79DC579A"/>
    <w:rsid w:val="79E064A7"/>
    <w:rsid w:val="79E4695D"/>
    <w:rsid w:val="79E543D7"/>
    <w:rsid w:val="79F15FFB"/>
    <w:rsid w:val="79F16C5D"/>
    <w:rsid w:val="79F9227E"/>
    <w:rsid w:val="7A03141B"/>
    <w:rsid w:val="7A065A49"/>
    <w:rsid w:val="7A086377"/>
    <w:rsid w:val="7A0E36A1"/>
    <w:rsid w:val="7A242978"/>
    <w:rsid w:val="7A38580D"/>
    <w:rsid w:val="7A413B26"/>
    <w:rsid w:val="7A5B08C9"/>
    <w:rsid w:val="7A634A12"/>
    <w:rsid w:val="7A72104C"/>
    <w:rsid w:val="7A785221"/>
    <w:rsid w:val="7A7E6870"/>
    <w:rsid w:val="7A97500D"/>
    <w:rsid w:val="7A9C0875"/>
    <w:rsid w:val="7A9E603E"/>
    <w:rsid w:val="7AB17FC0"/>
    <w:rsid w:val="7AB931D5"/>
    <w:rsid w:val="7AC8051A"/>
    <w:rsid w:val="7AC908C2"/>
    <w:rsid w:val="7ACA385F"/>
    <w:rsid w:val="7AD44C27"/>
    <w:rsid w:val="7ADC4284"/>
    <w:rsid w:val="7AE77D42"/>
    <w:rsid w:val="7AEE2E82"/>
    <w:rsid w:val="7AF661D7"/>
    <w:rsid w:val="7B0C2233"/>
    <w:rsid w:val="7B1E1599"/>
    <w:rsid w:val="7B3960C4"/>
    <w:rsid w:val="7B4056A4"/>
    <w:rsid w:val="7B4A4326"/>
    <w:rsid w:val="7B587DD1"/>
    <w:rsid w:val="7B670E83"/>
    <w:rsid w:val="7B6C6A51"/>
    <w:rsid w:val="7B87132A"/>
    <w:rsid w:val="7B8F75C0"/>
    <w:rsid w:val="7B91553C"/>
    <w:rsid w:val="7BAE260E"/>
    <w:rsid w:val="7BBC0E6E"/>
    <w:rsid w:val="7BDD499F"/>
    <w:rsid w:val="7BDF2746"/>
    <w:rsid w:val="7BEC1E4B"/>
    <w:rsid w:val="7BF240AC"/>
    <w:rsid w:val="7BF76241"/>
    <w:rsid w:val="7C0357F7"/>
    <w:rsid w:val="7C175044"/>
    <w:rsid w:val="7C2A1D4B"/>
    <w:rsid w:val="7C2F6E3B"/>
    <w:rsid w:val="7C37099C"/>
    <w:rsid w:val="7C3C2310"/>
    <w:rsid w:val="7C42078B"/>
    <w:rsid w:val="7C440D7D"/>
    <w:rsid w:val="7C5331B5"/>
    <w:rsid w:val="7C576DCF"/>
    <w:rsid w:val="7C6B0968"/>
    <w:rsid w:val="7C6B27C2"/>
    <w:rsid w:val="7C6D4277"/>
    <w:rsid w:val="7C6F0A60"/>
    <w:rsid w:val="7C722082"/>
    <w:rsid w:val="7C7D2601"/>
    <w:rsid w:val="7C7E1515"/>
    <w:rsid w:val="7CA50B86"/>
    <w:rsid w:val="7CB246E4"/>
    <w:rsid w:val="7CBA2599"/>
    <w:rsid w:val="7CCF4F32"/>
    <w:rsid w:val="7CD254FF"/>
    <w:rsid w:val="7CD40CD3"/>
    <w:rsid w:val="7CD42C2B"/>
    <w:rsid w:val="7CD662C0"/>
    <w:rsid w:val="7CD97B5E"/>
    <w:rsid w:val="7D0A1541"/>
    <w:rsid w:val="7D142945"/>
    <w:rsid w:val="7D176503"/>
    <w:rsid w:val="7D3905FD"/>
    <w:rsid w:val="7D431EFA"/>
    <w:rsid w:val="7D5F4763"/>
    <w:rsid w:val="7D9348E3"/>
    <w:rsid w:val="7D950543"/>
    <w:rsid w:val="7D973B95"/>
    <w:rsid w:val="7DA73A86"/>
    <w:rsid w:val="7DAE4568"/>
    <w:rsid w:val="7DB419E2"/>
    <w:rsid w:val="7DBA7E63"/>
    <w:rsid w:val="7DC10D1E"/>
    <w:rsid w:val="7DC75FFF"/>
    <w:rsid w:val="7DC91CBB"/>
    <w:rsid w:val="7DE37223"/>
    <w:rsid w:val="7DEE10DE"/>
    <w:rsid w:val="7E01736D"/>
    <w:rsid w:val="7E046827"/>
    <w:rsid w:val="7E0562CD"/>
    <w:rsid w:val="7E12157A"/>
    <w:rsid w:val="7E1A1323"/>
    <w:rsid w:val="7E2123E3"/>
    <w:rsid w:val="7E292EE4"/>
    <w:rsid w:val="7E2D6640"/>
    <w:rsid w:val="7E3D377F"/>
    <w:rsid w:val="7E5E0885"/>
    <w:rsid w:val="7E5E656D"/>
    <w:rsid w:val="7E631DD5"/>
    <w:rsid w:val="7E6A451A"/>
    <w:rsid w:val="7E6E31E0"/>
    <w:rsid w:val="7E8A75CD"/>
    <w:rsid w:val="7E8C6D77"/>
    <w:rsid w:val="7E9A50CB"/>
    <w:rsid w:val="7E9D0E8E"/>
    <w:rsid w:val="7E9F0C7C"/>
    <w:rsid w:val="7EB377F4"/>
    <w:rsid w:val="7EBA5361"/>
    <w:rsid w:val="7EC54DD3"/>
    <w:rsid w:val="7EC65EC0"/>
    <w:rsid w:val="7EE60311"/>
    <w:rsid w:val="7EE626A2"/>
    <w:rsid w:val="7EF173E1"/>
    <w:rsid w:val="7F0950A3"/>
    <w:rsid w:val="7F0C5FC9"/>
    <w:rsid w:val="7F0D1D41"/>
    <w:rsid w:val="7F0D2695"/>
    <w:rsid w:val="7F1C1F84"/>
    <w:rsid w:val="7F21600F"/>
    <w:rsid w:val="7F2675B1"/>
    <w:rsid w:val="7F2826D7"/>
    <w:rsid w:val="7F475253"/>
    <w:rsid w:val="7F5316AD"/>
    <w:rsid w:val="7F547970"/>
    <w:rsid w:val="7F964C9A"/>
    <w:rsid w:val="7F9D0C84"/>
    <w:rsid w:val="7FA65507"/>
    <w:rsid w:val="7FAD0277"/>
    <w:rsid w:val="7FCA19E0"/>
    <w:rsid w:val="7FD04F19"/>
    <w:rsid w:val="7FEB39F1"/>
    <w:rsid w:val="7FF66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autoRedefine/>
    <w:unhideWhenUsed/>
    <w:qFormat/>
    <w:uiPriority w:val="0"/>
    <w:pPr>
      <w:keepNext/>
      <w:keepLines/>
      <w:tabs>
        <w:tab w:val="left" w:pos="8280"/>
      </w:tabs>
      <w:spacing w:before="260" w:after="260" w:line="416" w:lineRule="auto"/>
      <w:outlineLvl w:val="2"/>
    </w:pPr>
    <w:rPr>
      <w:bCs/>
      <w:szCs w:val="32"/>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pPr>
  </w:style>
  <w:style w:type="paragraph" w:styleId="3">
    <w:name w:val="Body Text Indent"/>
    <w:basedOn w:val="1"/>
    <w:next w:val="1"/>
    <w:autoRedefine/>
    <w:qFormat/>
    <w:uiPriority w:val="0"/>
    <w:pPr>
      <w:spacing w:after="120"/>
      <w:ind w:left="420" w:leftChars="200"/>
    </w:pPr>
  </w:style>
  <w:style w:type="paragraph" w:styleId="7">
    <w:name w:val="List Number"/>
    <w:basedOn w:val="1"/>
    <w:autoRedefine/>
    <w:qFormat/>
    <w:uiPriority w:val="0"/>
    <w:pPr>
      <w:numPr>
        <w:ilvl w:val="0"/>
        <w:numId w:val="2"/>
      </w:numPr>
    </w:pPr>
  </w:style>
  <w:style w:type="paragraph" w:styleId="8">
    <w:name w:val="Normal Indent"/>
    <w:basedOn w:val="1"/>
    <w:next w:val="9"/>
    <w:link w:val="59"/>
    <w:autoRedefine/>
    <w:qFormat/>
    <w:uiPriority w:val="0"/>
    <w:pPr>
      <w:ind w:firstLine="420"/>
    </w:pPr>
    <w:rPr>
      <w:szCs w:val="20"/>
    </w:rPr>
  </w:style>
  <w:style w:type="paragraph" w:styleId="9">
    <w:name w:val="Plain Text"/>
    <w:basedOn w:val="1"/>
    <w:next w:val="10"/>
    <w:link w:val="61"/>
    <w:autoRedefine/>
    <w:qFormat/>
    <w:uiPriority w:val="99"/>
    <w:rPr>
      <w:rFonts w:ascii="宋体" w:hAnsi="Courier New" w:cstheme="minorBidi"/>
    </w:rPr>
  </w:style>
  <w:style w:type="paragraph" w:styleId="10">
    <w:name w:val="Date"/>
    <w:basedOn w:val="1"/>
    <w:next w:val="1"/>
    <w:autoRedefine/>
    <w:qFormat/>
    <w:uiPriority w:val="0"/>
    <w:pPr>
      <w:ind w:left="2500" w:leftChars="2500"/>
    </w:pPr>
    <w:rPr>
      <w:rFonts w:eastAsia="楷体_GB2312" w:asciiTheme="minorHAnsi" w:hAnsiTheme="minorHAnsi" w:cstheme="minorBidi"/>
      <w:sz w:val="32"/>
      <w:szCs w:val="22"/>
    </w:rPr>
  </w:style>
  <w:style w:type="paragraph" w:styleId="11">
    <w:name w:val="annotation text"/>
    <w:basedOn w:val="1"/>
    <w:link w:val="60"/>
    <w:autoRedefine/>
    <w:qFormat/>
    <w:uiPriority w:val="0"/>
    <w:pPr>
      <w:jc w:val="left"/>
    </w:pPr>
  </w:style>
  <w:style w:type="paragraph" w:styleId="12">
    <w:name w:val="Body Text"/>
    <w:basedOn w:val="1"/>
    <w:next w:val="1"/>
    <w:autoRedefine/>
    <w:qFormat/>
    <w:uiPriority w:val="0"/>
    <w:pPr>
      <w:spacing w:line="360" w:lineRule="exact"/>
    </w:pPr>
    <w:rPr>
      <w:sz w:val="24"/>
    </w:rPr>
  </w:style>
  <w:style w:type="paragraph" w:styleId="13">
    <w:name w:val="Body Text Indent 2"/>
    <w:basedOn w:val="1"/>
    <w:autoRedefine/>
    <w:qFormat/>
    <w:uiPriority w:val="0"/>
    <w:pPr>
      <w:widowControl/>
      <w:spacing w:line="480" w:lineRule="atLeast"/>
      <w:ind w:firstLine="480"/>
    </w:pPr>
    <w:rPr>
      <w:rFonts w:ascii="宋体"/>
      <w:kern w:val="0"/>
      <w:sz w:val="24"/>
      <w:szCs w:val="20"/>
    </w:rPr>
  </w:style>
  <w:style w:type="paragraph" w:styleId="14">
    <w:name w:val="Balloon Text"/>
    <w:basedOn w:val="1"/>
    <w:link w:val="49"/>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autoRedefine/>
    <w:qFormat/>
    <w:uiPriority w:val="0"/>
    <w:pPr>
      <w:jc w:val="center"/>
    </w:pPr>
    <w:rPr>
      <w:rFonts w:ascii="仿宋_GB2312" w:eastAsia="仿宋_GB2312"/>
      <w:sz w:val="32"/>
    </w:rPr>
  </w:style>
  <w:style w:type="paragraph" w:styleId="18">
    <w:name w:val="toc 2"/>
    <w:basedOn w:val="1"/>
    <w:next w:val="1"/>
    <w:autoRedefine/>
    <w:qFormat/>
    <w:uiPriority w:val="0"/>
    <w:pPr>
      <w:spacing w:line="360" w:lineRule="auto"/>
      <w:ind w:left="210" w:leftChars="100" w:firstLine="472" w:firstLineChars="196"/>
      <w:jc w:val="left"/>
    </w:pPr>
    <w:rPr>
      <w:rFonts w:ascii="宋体" w:hAnsi="宋体"/>
      <w:b/>
      <w:sz w:val="24"/>
    </w:rPr>
  </w:style>
  <w:style w:type="paragraph" w:styleId="19">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20">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21">
    <w:name w:val="Body Text First Indent"/>
    <w:basedOn w:val="12"/>
    <w:next w:val="1"/>
    <w:autoRedefine/>
    <w:qFormat/>
    <w:uiPriority w:val="0"/>
    <w:pPr>
      <w:ind w:firstLine="200" w:firstLineChars="200"/>
    </w:pPr>
  </w:style>
  <w:style w:type="table" w:styleId="23">
    <w:name w:val="Table Grid"/>
    <w:basedOn w:val="22"/>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5">
    <w:name w:val="Hyperlink"/>
    <w:basedOn w:val="24"/>
    <w:autoRedefine/>
    <w:qFormat/>
    <w:uiPriority w:val="0"/>
    <w:rPr>
      <w:color w:val="0000FF"/>
      <w:u w:val="single"/>
    </w:rPr>
  </w:style>
  <w:style w:type="paragraph" w:customStyle="1" w:styleId="26">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customStyle="1" w:styleId="27">
    <w:name w:val="列表段落1"/>
    <w:basedOn w:val="1"/>
    <w:autoRedefine/>
    <w:qFormat/>
    <w:uiPriority w:val="34"/>
    <w:pPr>
      <w:ind w:firstLine="420" w:firstLineChars="200"/>
    </w:pPr>
    <w:rPr>
      <w:rFonts w:ascii="Calibri" w:hAnsi="Calibri"/>
      <w:szCs w:val="22"/>
    </w:rPr>
  </w:style>
  <w:style w:type="paragraph" w:customStyle="1" w:styleId="28">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29">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30">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1">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14"/>
    <w:autoRedefine/>
    <w:qFormat/>
    <w:uiPriority w:val="0"/>
    <w:rPr>
      <w:rFonts w:ascii="Times New Roman" w:hAnsi="Times New Roman" w:eastAsia="宋体" w:cs="Times New Roman"/>
      <w:sz w:val="21"/>
      <w:szCs w:val="22"/>
      <w:lang w:val="en-US" w:eastAsia="zh-CN" w:bidi="ar-SA"/>
    </w:rPr>
  </w:style>
  <w:style w:type="paragraph" w:customStyle="1" w:styleId="33">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纯文本_3"/>
    <w:basedOn w:val="35"/>
    <w:autoRedefine/>
    <w:qFormat/>
    <w:uiPriority w:val="0"/>
    <w:pPr>
      <w:widowControl/>
      <w:jc w:val="left"/>
    </w:pPr>
    <w:rPr>
      <w:rFonts w:ascii="宋体" w:hAnsi="Courier New" w:eastAsiaTheme="minorEastAsia" w:cstheme="minorBidi"/>
      <w:szCs w:val="21"/>
    </w:rPr>
  </w:style>
  <w:style w:type="paragraph" w:customStyle="1" w:styleId="37">
    <w:name w:val="纯文本_0_1"/>
    <w:basedOn w:val="1"/>
    <w:autoRedefine/>
    <w:qFormat/>
    <w:uiPriority w:val="0"/>
    <w:pPr>
      <w:widowControl/>
      <w:jc w:val="left"/>
    </w:pPr>
    <w:rPr>
      <w:rFonts w:ascii="宋体" w:hAnsi="Courier New" w:eastAsiaTheme="minorEastAsia" w:cstheme="minorBidi"/>
      <w:szCs w:val="21"/>
    </w:rPr>
  </w:style>
  <w:style w:type="paragraph" w:customStyle="1" w:styleId="38">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2">
    <w:name w:val="font21"/>
    <w:basedOn w:val="24"/>
    <w:autoRedefine/>
    <w:qFormat/>
    <w:uiPriority w:val="0"/>
    <w:rPr>
      <w:rFonts w:hint="default" w:ascii="Arial" w:hAnsi="Arial" w:cs="Arial"/>
      <w:color w:val="000000"/>
      <w:sz w:val="20"/>
      <w:szCs w:val="20"/>
      <w:u w:val="none"/>
    </w:rPr>
  </w:style>
  <w:style w:type="character" w:customStyle="1" w:styleId="43">
    <w:name w:val="font01"/>
    <w:basedOn w:val="24"/>
    <w:autoRedefine/>
    <w:qFormat/>
    <w:uiPriority w:val="0"/>
    <w:rPr>
      <w:rFonts w:hint="eastAsia" w:ascii="宋体" w:hAnsi="宋体" w:eastAsia="宋体" w:cs="宋体"/>
      <w:color w:val="000000"/>
      <w:sz w:val="20"/>
      <w:szCs w:val="20"/>
      <w:u w:val="none"/>
    </w:rPr>
  </w:style>
  <w:style w:type="paragraph" w:customStyle="1" w:styleId="44">
    <w:name w:val="纯文本1"/>
    <w:basedOn w:val="45"/>
    <w:autoRedefine/>
    <w:qFormat/>
    <w:uiPriority w:val="0"/>
    <w:pPr>
      <w:widowControl/>
      <w:jc w:val="left"/>
    </w:pPr>
    <w:rPr>
      <w:rFonts w:ascii="宋体" w:hAnsi="Courier New"/>
    </w:rPr>
  </w:style>
  <w:style w:type="paragraph" w:customStyle="1" w:styleId="45">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6">
    <w:name w:val="Table Paragraph"/>
    <w:basedOn w:val="1"/>
    <w:autoRedefine/>
    <w:qFormat/>
    <w:uiPriority w:val="1"/>
    <w:rPr>
      <w:rFonts w:ascii="宋体" w:hAnsi="宋体" w:cs="宋体"/>
    </w:rPr>
  </w:style>
  <w:style w:type="paragraph" w:customStyle="1" w:styleId="47">
    <w:name w:val="WPSOffice手动目录 1"/>
    <w:autoRedefine/>
    <w:qFormat/>
    <w:uiPriority w:val="0"/>
    <w:rPr>
      <w:rFonts w:ascii="Times New Roman" w:hAnsi="Times New Roman" w:eastAsia="宋体" w:cs="Times New Roman"/>
      <w:lang w:val="en-US" w:eastAsia="zh-CN" w:bidi="ar-SA"/>
    </w:rPr>
  </w:style>
  <w:style w:type="character" w:customStyle="1" w:styleId="48">
    <w:name w:val="标题 1 Char Char"/>
    <w:basedOn w:val="24"/>
    <w:autoRedefine/>
    <w:qFormat/>
    <w:uiPriority w:val="0"/>
    <w:rPr>
      <w:rFonts w:eastAsia="宋体"/>
      <w:b/>
      <w:spacing w:val="-2"/>
      <w:sz w:val="24"/>
      <w:lang w:val="en-US" w:eastAsia="zh-CN" w:bidi="ar-SA"/>
    </w:rPr>
  </w:style>
  <w:style w:type="character" w:customStyle="1" w:styleId="49">
    <w:name w:val="批注框文本 Char"/>
    <w:basedOn w:val="24"/>
    <w:link w:val="14"/>
    <w:autoRedefine/>
    <w:qFormat/>
    <w:uiPriority w:val="0"/>
    <w:rPr>
      <w:kern w:val="2"/>
      <w:sz w:val="18"/>
      <w:szCs w:val="18"/>
    </w:rPr>
  </w:style>
  <w:style w:type="paragraph" w:customStyle="1" w:styleId="50">
    <w:name w:val="样式1"/>
    <w:basedOn w:val="1"/>
    <w:autoRedefine/>
    <w:qFormat/>
    <w:uiPriority w:val="0"/>
    <w:pPr>
      <w:spacing w:line="360" w:lineRule="exact"/>
      <w:ind w:firstLine="200" w:firstLineChars="200"/>
    </w:pPr>
    <w:rPr>
      <w:rFonts w:ascii="Arial" w:hAnsi="Arial"/>
    </w:rPr>
  </w:style>
  <w:style w:type="paragraph" w:customStyle="1" w:styleId="51">
    <w:name w:val="样式 正文文本"/>
    <w:basedOn w:val="1"/>
    <w:autoRedefine/>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52">
    <w:name w:val="内文正文"/>
    <w:basedOn w:val="9"/>
    <w:autoRedefine/>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53">
    <w:name w:val="样式 表内正文 + 五号 行距: 单倍行距"/>
    <w:basedOn w:val="54"/>
    <w:autoRedefine/>
    <w:qFormat/>
    <w:uiPriority w:val="0"/>
    <w:pPr>
      <w:spacing w:line="240" w:lineRule="auto"/>
      <w:ind w:firstLine="0" w:firstLineChars="0"/>
    </w:pPr>
    <w:rPr>
      <w:rFonts w:ascii="Arial" w:hAnsi="Arial" w:cs="宋体"/>
      <w:sz w:val="21"/>
    </w:rPr>
  </w:style>
  <w:style w:type="paragraph" w:customStyle="1" w:styleId="54">
    <w:name w:val="表内正文"/>
    <w:basedOn w:val="1"/>
    <w:autoRedefine/>
    <w:qFormat/>
    <w:uiPriority w:val="0"/>
    <w:pPr>
      <w:adjustRightInd w:val="0"/>
      <w:snapToGrid w:val="0"/>
      <w:spacing w:line="288" w:lineRule="auto"/>
      <w:ind w:firstLine="200" w:firstLineChars="200"/>
    </w:pPr>
    <w:rPr>
      <w:rFonts w:ascii="宋体"/>
      <w:sz w:val="20"/>
      <w:szCs w:val="20"/>
    </w:rPr>
  </w:style>
  <w:style w:type="character" w:customStyle="1" w:styleId="55">
    <w:name w:val="NormalCharacter"/>
    <w:autoRedefine/>
    <w:semiHidden/>
    <w:qFormat/>
    <w:uiPriority w:val="0"/>
  </w:style>
  <w:style w:type="paragraph" w:customStyle="1" w:styleId="56">
    <w:name w:val="中等深浅列表 2 - 强调文字颜色 41"/>
    <w:basedOn w:val="1"/>
    <w:autoRedefine/>
    <w:qFormat/>
    <w:uiPriority w:val="34"/>
    <w:pPr>
      <w:ind w:firstLine="420" w:firstLineChars="200"/>
    </w:pPr>
    <w:rPr>
      <w:rFonts w:ascii="Calibri" w:hAnsi="Calibri"/>
      <w:szCs w:val="22"/>
    </w:rPr>
  </w:style>
  <w:style w:type="paragraph" w:customStyle="1" w:styleId="57">
    <w:name w:val="列出段落1"/>
    <w:basedOn w:val="1"/>
    <w:autoRedefine/>
    <w:qFormat/>
    <w:uiPriority w:val="0"/>
    <w:pPr>
      <w:ind w:firstLine="420" w:firstLineChars="200"/>
    </w:pPr>
    <w:rPr>
      <w:rFonts w:ascii="Calibri" w:hAnsi="Calibri"/>
      <w:kern w:val="0"/>
      <w:szCs w:val="20"/>
    </w:rPr>
  </w:style>
  <w:style w:type="paragraph" w:customStyle="1" w:styleId="58">
    <w:name w:val="首行缩进"/>
    <w:basedOn w:val="1"/>
    <w:autoRedefine/>
    <w:qFormat/>
    <w:uiPriority w:val="0"/>
    <w:pPr>
      <w:spacing w:line="360" w:lineRule="auto"/>
      <w:ind w:firstLine="720"/>
    </w:pPr>
    <w:rPr>
      <w:szCs w:val="21"/>
    </w:rPr>
  </w:style>
  <w:style w:type="character" w:customStyle="1" w:styleId="59">
    <w:name w:val="正文缩进 Char"/>
    <w:link w:val="8"/>
    <w:autoRedefine/>
    <w:qFormat/>
    <w:locked/>
    <w:uiPriority w:val="0"/>
    <w:rPr>
      <w:kern w:val="2"/>
      <w:sz w:val="21"/>
    </w:rPr>
  </w:style>
  <w:style w:type="character" w:customStyle="1" w:styleId="60">
    <w:name w:val="批注文字 Char"/>
    <w:basedOn w:val="24"/>
    <w:link w:val="11"/>
    <w:autoRedefine/>
    <w:qFormat/>
    <w:uiPriority w:val="0"/>
    <w:rPr>
      <w:kern w:val="2"/>
      <w:sz w:val="21"/>
      <w:szCs w:val="24"/>
    </w:rPr>
  </w:style>
  <w:style w:type="character" w:customStyle="1" w:styleId="61">
    <w:name w:val="纯文本 Char"/>
    <w:link w:val="9"/>
    <w:autoRedefine/>
    <w:qFormat/>
    <w:uiPriority w:val="99"/>
    <w:rPr>
      <w:rFonts w:ascii="宋体" w:hAnsi="Courier New" w:cstheme="minorBidi"/>
      <w:kern w:val="2"/>
      <w:sz w:val="21"/>
      <w:szCs w:val="24"/>
    </w:rPr>
  </w:style>
  <w:style w:type="paragraph" w:customStyle="1" w:styleId="62">
    <w:name w:val="paragraph"/>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82"/>
    <customShpInfo spid="_x0000_s3081"/>
    <customShpInfo spid="_x0000_s3074"/>
    <customShpInfo spid="_x0000_s3073"/>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28265</Words>
  <Characters>29571</Characters>
  <Lines>232</Lines>
  <Paragraphs>65</Paragraphs>
  <TotalTime>106</TotalTime>
  <ScaleCrop>false</ScaleCrop>
  <LinksUpToDate>false</LinksUpToDate>
  <CharactersWithSpaces>30851</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桃浪三</cp:lastModifiedBy>
  <cp:lastPrinted>2022-06-10T02:20:00Z</cp:lastPrinted>
  <dcterms:modified xsi:type="dcterms:W3CDTF">2024-08-28T02:03:30Z</dcterms:modified>
  <cp:revision>1944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C538D6B2EE8E459D821DF6F65CBD48CA</vt:lpwstr>
  </property>
</Properties>
</file>