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6693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7B1B595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64BCF8D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52"/>
          <w:szCs w:val="52"/>
          <w:highlight w:val="none"/>
        </w:rPr>
      </w:pPr>
      <w:r>
        <w:rPr>
          <w:rFonts w:hint="eastAsia" w:ascii="宋体"/>
          <w:b/>
          <w:color w:val="auto"/>
          <w:kern w:val="0"/>
          <w:sz w:val="52"/>
          <w:szCs w:val="52"/>
          <w:highlight w:val="none"/>
        </w:rPr>
        <w:t>台州市政府采购</w:t>
      </w:r>
    </w:p>
    <w:p w14:paraId="12B3309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公开招标</w:t>
      </w:r>
      <w:r>
        <w:rPr>
          <w:rFonts w:hint="eastAsia" w:ascii="宋体"/>
          <w:b/>
          <w:color w:val="auto"/>
          <w:kern w:val="0"/>
          <w:sz w:val="52"/>
          <w:szCs w:val="52"/>
          <w:highlight w:val="none"/>
        </w:rPr>
        <w:t>招标文件</w:t>
      </w:r>
    </w:p>
    <w:p w14:paraId="2CAD94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32"/>
          <w:highlight w:val="none"/>
        </w:rPr>
      </w:pPr>
      <w:r>
        <w:rPr>
          <w:rFonts w:ascii="宋体"/>
          <w:b/>
          <w:color w:val="auto"/>
          <w:kern w:val="0"/>
          <w:sz w:val="32"/>
          <w:highlight w:val="none"/>
        </w:rPr>
        <w:t>台财采确临[2025]21号</w:t>
      </w:r>
    </w:p>
    <w:p w14:paraId="063CF2D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444BC018">
      <w:pPr>
        <w:autoSpaceDE w:val="0"/>
        <w:autoSpaceDN w:val="0"/>
        <w:adjustRightInd w:val="0"/>
        <w:spacing w:line="360" w:lineRule="auto"/>
        <w:rPr>
          <w:rFonts w:ascii="宋体"/>
          <w:b/>
          <w:color w:val="auto"/>
          <w:kern w:val="0"/>
          <w:sz w:val="52"/>
          <w:szCs w:val="52"/>
          <w:highlight w:val="none"/>
        </w:rPr>
      </w:pPr>
    </w:p>
    <w:p w14:paraId="55AF8FE1">
      <w:pPr>
        <w:autoSpaceDE w:val="0"/>
        <w:autoSpaceDN w:val="0"/>
        <w:adjustRightInd w:val="0"/>
        <w:spacing w:line="360" w:lineRule="auto"/>
        <w:ind w:firstLine="1797" w:firstLineChars="642"/>
        <w:jc w:val="left"/>
        <w:rPr>
          <w:rFonts w:ascii="宋体"/>
          <w:color w:val="auto"/>
          <w:kern w:val="0"/>
          <w:sz w:val="28"/>
          <w:highlight w:val="none"/>
        </w:rPr>
      </w:pPr>
    </w:p>
    <w:p w14:paraId="3DB59EB5">
      <w:pPr>
        <w:autoSpaceDE w:val="0"/>
        <w:autoSpaceDN w:val="0"/>
        <w:adjustRightInd w:val="0"/>
        <w:spacing w:line="360" w:lineRule="auto"/>
        <w:ind w:firstLine="1797" w:firstLineChars="642"/>
        <w:jc w:val="left"/>
        <w:rPr>
          <w:rFonts w:ascii="宋体"/>
          <w:color w:val="auto"/>
          <w:kern w:val="0"/>
          <w:sz w:val="28"/>
          <w:highlight w:val="none"/>
        </w:rPr>
      </w:pPr>
    </w:p>
    <w:p w14:paraId="5B002D81">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采购项目：202</w:t>
      </w:r>
      <w:r>
        <w:rPr>
          <w:rFonts w:hint="eastAsia" w:ascii="宋体"/>
          <w:color w:val="auto"/>
          <w:kern w:val="0"/>
          <w:sz w:val="28"/>
          <w:highlight w:val="none"/>
          <w:lang w:val="en-US" w:eastAsia="zh-CN"/>
        </w:rPr>
        <w:t>5</w:t>
      </w:r>
      <w:r>
        <w:rPr>
          <w:rFonts w:hint="eastAsia" w:ascii="宋体"/>
          <w:color w:val="auto"/>
          <w:kern w:val="0"/>
          <w:sz w:val="28"/>
          <w:highlight w:val="none"/>
        </w:rPr>
        <w:t>年松材线虫病除治质量抽样检测项目</w:t>
      </w:r>
    </w:p>
    <w:p w14:paraId="4F3AA503">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台州市森林病虫防治检疫站（</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14:paraId="0706EF2B">
      <w:pPr>
        <w:autoSpaceDE w:val="0"/>
        <w:autoSpaceDN w:val="0"/>
        <w:adjustRightInd w:val="0"/>
        <w:spacing w:line="360" w:lineRule="auto"/>
        <w:rPr>
          <w:rFonts w:ascii="宋体"/>
          <w:color w:val="auto"/>
          <w:kern w:val="0"/>
          <w:sz w:val="28"/>
          <w:highlight w:val="none"/>
        </w:rPr>
      </w:pPr>
    </w:p>
    <w:p w14:paraId="241B306C">
      <w:pPr>
        <w:autoSpaceDE w:val="0"/>
        <w:autoSpaceDN w:val="0"/>
        <w:adjustRightInd w:val="0"/>
        <w:spacing w:line="360" w:lineRule="auto"/>
        <w:rPr>
          <w:rFonts w:ascii="宋体"/>
          <w:color w:val="auto"/>
          <w:kern w:val="0"/>
          <w:sz w:val="28"/>
          <w:highlight w:val="none"/>
        </w:rPr>
      </w:pPr>
    </w:p>
    <w:p w14:paraId="2C10351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60EA2D1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17FF07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3B39E0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8AF6A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台州市建设咨询有限公司</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盖章</w:t>
      </w:r>
      <w:r>
        <w:rPr>
          <w:rFonts w:hint="eastAsia" w:ascii="宋体" w:hAnsi="宋体" w:cs="宋体"/>
          <w:color w:val="auto"/>
          <w:kern w:val="0"/>
          <w:sz w:val="28"/>
          <w:szCs w:val="28"/>
          <w:highlight w:val="none"/>
          <w:lang w:eastAsia="zh-CN"/>
        </w:rPr>
        <w:t>）</w:t>
      </w:r>
    </w:p>
    <w:p w14:paraId="755E99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01</w:t>
      </w:r>
      <w:r>
        <w:rPr>
          <w:rFonts w:hint="eastAsia" w:ascii="宋体" w:hAnsi="宋体" w:cs="宋体"/>
          <w:color w:val="auto"/>
          <w:kern w:val="0"/>
          <w:sz w:val="28"/>
          <w:szCs w:val="28"/>
          <w:highlight w:val="none"/>
        </w:rPr>
        <w:t>月</w:t>
      </w:r>
    </w:p>
    <w:p w14:paraId="2BC57150">
      <w:pPr>
        <w:spacing w:line="360" w:lineRule="auto"/>
        <w:rPr>
          <w:color w:val="auto"/>
          <w:highlight w:val="none"/>
        </w:rPr>
      </w:pPr>
    </w:p>
    <w:p w14:paraId="0268ACF0">
      <w:pPr>
        <w:pStyle w:val="28"/>
        <w:rPr>
          <w:color w:val="auto"/>
          <w:highlight w:val="none"/>
        </w:rPr>
      </w:pPr>
    </w:p>
    <w:p w14:paraId="1D6DCDCC">
      <w:pPr>
        <w:pStyle w:val="28"/>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4EE40FA0">
          <w:pPr>
            <w:spacing w:line="480" w:lineRule="auto"/>
            <w:jc w:val="center"/>
            <w:rPr>
              <w:rFonts w:ascii="宋体" w:hAnsi="宋体"/>
              <w:color w:val="auto"/>
              <w:kern w:val="0"/>
              <w:sz w:val="28"/>
              <w:szCs w:val="28"/>
              <w:highlight w:val="none"/>
            </w:rPr>
          </w:pPr>
          <w:bookmarkStart w:id="0" w:name="_Toc25017_WPSOffice_Type1"/>
        </w:p>
        <w:p w14:paraId="0CC27135">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1DC54A72">
          <w:pPr>
            <w:pStyle w:val="16"/>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65BE9EC8">
          <w:pPr>
            <w:pStyle w:val="16"/>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 xml:space="preserve">第二章 </w:t>
          </w:r>
          <w:r>
            <w:rPr>
              <w:rFonts w:hint="eastAsia" w:eastAsiaTheme="minorEastAsia" w:cstheme="minorBidi"/>
              <w:color w:val="auto"/>
              <w:sz w:val="28"/>
              <w:szCs w:val="28"/>
              <w:highlight w:val="none"/>
              <w:lang w:eastAsia="zh-CN"/>
            </w:rPr>
            <w:t>供应商</w:t>
          </w:r>
          <w:r>
            <w:rPr>
              <w:rFonts w:hint="eastAsia" w:eastAsiaTheme="minorEastAsia" w:cstheme="minorBidi"/>
              <w:color w:val="auto"/>
              <w:sz w:val="28"/>
              <w:szCs w:val="28"/>
              <w:highlight w:val="none"/>
            </w:rPr>
            <w:t>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571DA2AA">
          <w:pPr>
            <w:pStyle w:val="16"/>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3EECD453">
          <w:pPr>
            <w:pStyle w:val="16"/>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76CBEC41">
          <w:pPr>
            <w:pStyle w:val="16"/>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4B56FBC5">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32C075C0">
      <w:pPr>
        <w:spacing w:line="480" w:lineRule="auto"/>
        <w:rPr>
          <w:color w:val="auto"/>
          <w:sz w:val="28"/>
          <w:szCs w:val="28"/>
          <w:highlight w:val="none"/>
        </w:rPr>
      </w:pPr>
    </w:p>
    <w:p w14:paraId="205B268F">
      <w:pPr>
        <w:spacing w:line="360" w:lineRule="auto"/>
        <w:rPr>
          <w:color w:val="auto"/>
          <w:highlight w:val="none"/>
        </w:rPr>
      </w:pPr>
    </w:p>
    <w:p w14:paraId="198094BB">
      <w:pPr>
        <w:spacing w:line="360" w:lineRule="auto"/>
        <w:rPr>
          <w:color w:val="auto"/>
          <w:highlight w:val="none"/>
        </w:rPr>
      </w:pPr>
    </w:p>
    <w:p w14:paraId="7968B841">
      <w:pPr>
        <w:spacing w:line="360" w:lineRule="auto"/>
        <w:rPr>
          <w:color w:val="auto"/>
          <w:highlight w:val="none"/>
        </w:rPr>
      </w:pPr>
    </w:p>
    <w:p w14:paraId="53D883F2">
      <w:pPr>
        <w:spacing w:line="360" w:lineRule="auto"/>
        <w:rPr>
          <w:color w:val="auto"/>
          <w:highlight w:val="none"/>
        </w:rPr>
      </w:pPr>
    </w:p>
    <w:p w14:paraId="144985F4">
      <w:pPr>
        <w:spacing w:line="360" w:lineRule="auto"/>
        <w:rPr>
          <w:color w:val="auto"/>
          <w:highlight w:val="none"/>
        </w:rPr>
      </w:pPr>
    </w:p>
    <w:p w14:paraId="042679DA">
      <w:pPr>
        <w:spacing w:line="360" w:lineRule="auto"/>
        <w:rPr>
          <w:color w:val="auto"/>
          <w:highlight w:val="none"/>
        </w:rPr>
      </w:pPr>
    </w:p>
    <w:p w14:paraId="3717CC1E">
      <w:pPr>
        <w:spacing w:line="360" w:lineRule="auto"/>
        <w:rPr>
          <w:color w:val="auto"/>
          <w:highlight w:val="none"/>
        </w:rPr>
      </w:pPr>
    </w:p>
    <w:p w14:paraId="46A07ED9">
      <w:pPr>
        <w:spacing w:line="360" w:lineRule="auto"/>
        <w:rPr>
          <w:color w:val="auto"/>
          <w:highlight w:val="none"/>
        </w:rPr>
      </w:pPr>
    </w:p>
    <w:p w14:paraId="1902636E">
      <w:pPr>
        <w:spacing w:line="360" w:lineRule="auto"/>
        <w:rPr>
          <w:color w:val="auto"/>
          <w:highlight w:val="none"/>
        </w:rPr>
      </w:pPr>
    </w:p>
    <w:p w14:paraId="1E41B67B">
      <w:pPr>
        <w:spacing w:line="360" w:lineRule="auto"/>
        <w:rPr>
          <w:color w:val="auto"/>
          <w:highlight w:val="none"/>
        </w:rPr>
      </w:pPr>
    </w:p>
    <w:p w14:paraId="7F213500">
      <w:pPr>
        <w:spacing w:line="360" w:lineRule="auto"/>
        <w:rPr>
          <w:color w:val="auto"/>
          <w:highlight w:val="none"/>
        </w:rPr>
      </w:pPr>
    </w:p>
    <w:p w14:paraId="46AC2514">
      <w:pPr>
        <w:spacing w:line="360" w:lineRule="auto"/>
        <w:rPr>
          <w:color w:val="auto"/>
          <w:highlight w:val="none"/>
        </w:rPr>
      </w:pPr>
    </w:p>
    <w:p w14:paraId="46D968CC">
      <w:pPr>
        <w:spacing w:line="360" w:lineRule="auto"/>
        <w:rPr>
          <w:color w:val="auto"/>
          <w:highlight w:val="none"/>
        </w:rPr>
      </w:pPr>
    </w:p>
    <w:p w14:paraId="6C3DFC08">
      <w:pPr>
        <w:spacing w:line="360" w:lineRule="auto"/>
        <w:rPr>
          <w:color w:val="auto"/>
          <w:highlight w:val="none"/>
        </w:rPr>
      </w:pPr>
    </w:p>
    <w:p w14:paraId="3EC8FD25">
      <w:pPr>
        <w:spacing w:line="360" w:lineRule="auto"/>
        <w:rPr>
          <w:color w:val="auto"/>
          <w:highlight w:val="none"/>
        </w:rPr>
      </w:pPr>
    </w:p>
    <w:p w14:paraId="6D32BADC">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1AB1714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5" w:name="_Toc4350_WPSOffice_Level1"/>
      <w:r>
        <w:rPr>
          <w:rFonts w:hint="eastAsia" w:ascii="宋体" w:hAnsi="宋体" w:cs="宋体"/>
          <w:b/>
          <w:color w:val="auto"/>
          <w:kern w:val="0"/>
          <w:sz w:val="36"/>
          <w:szCs w:val="36"/>
          <w:highlight w:val="none"/>
        </w:rPr>
        <w:t>投标邀请</w:t>
      </w:r>
      <w:bookmarkEnd w:id="5"/>
    </w:p>
    <w:p w14:paraId="0997DA24">
      <w:pPr>
        <w:pStyle w:val="5"/>
        <w:ind w:firstLine="480" w:firstLineChars="200"/>
        <w:rPr>
          <w:rFonts w:cs="宋体"/>
          <w:b w:val="0"/>
          <w:color w:val="auto"/>
          <w:sz w:val="24"/>
          <w:szCs w:val="24"/>
          <w:highlight w:val="none"/>
        </w:rPr>
      </w:pPr>
      <w:bookmarkStart w:id="6" w:name="_Toc35393790"/>
      <w:bookmarkStart w:id="7" w:name="_Toc28359002"/>
      <w:bookmarkStart w:id="8" w:name="_Toc28359079"/>
      <w:bookmarkStart w:id="9" w:name="_Toc35393621"/>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台州市森林病虫防治检疫站</w:t>
      </w:r>
      <w:r>
        <w:rPr>
          <w:rFonts w:hint="eastAsia" w:cs="宋体"/>
          <w:b w:val="0"/>
          <w:color w:val="auto"/>
          <w:sz w:val="24"/>
          <w:szCs w:val="24"/>
          <w:highlight w:val="none"/>
        </w:rPr>
        <w:t>委托，就</w:t>
      </w:r>
      <w:r>
        <w:rPr>
          <w:rFonts w:hint="eastAsia" w:cs="宋体"/>
          <w:b w:val="0"/>
          <w:color w:val="auto"/>
          <w:sz w:val="24"/>
          <w:szCs w:val="24"/>
          <w:highlight w:val="none"/>
          <w:u w:val="single"/>
        </w:rPr>
        <w:t>202</w:t>
      </w:r>
      <w:r>
        <w:rPr>
          <w:rFonts w:hint="eastAsia" w:cs="宋体"/>
          <w:b w:val="0"/>
          <w:color w:val="auto"/>
          <w:sz w:val="24"/>
          <w:szCs w:val="24"/>
          <w:highlight w:val="none"/>
          <w:u w:val="single"/>
          <w:lang w:val="en-US" w:eastAsia="zh-CN"/>
        </w:rPr>
        <w:t>5</w:t>
      </w:r>
      <w:r>
        <w:rPr>
          <w:rFonts w:hint="eastAsia" w:cs="宋体"/>
          <w:b w:val="0"/>
          <w:color w:val="auto"/>
          <w:sz w:val="24"/>
          <w:szCs w:val="24"/>
          <w:highlight w:val="none"/>
          <w:u w:val="single"/>
        </w:rPr>
        <w:t>年松材线虫病除治质量抽样检测项目</w:t>
      </w:r>
      <w:r>
        <w:rPr>
          <w:rFonts w:hint="eastAsia" w:cs="宋体"/>
          <w:b w:val="0"/>
          <w:color w:val="auto"/>
          <w:sz w:val="24"/>
          <w:szCs w:val="24"/>
          <w:highlight w:val="none"/>
        </w:rPr>
        <w:t>进行公开招标，欢迎符合资格条件的国内</w:t>
      </w:r>
      <w:r>
        <w:rPr>
          <w:rFonts w:hint="eastAsia" w:cs="宋体"/>
          <w:b w:val="0"/>
          <w:color w:val="auto"/>
          <w:sz w:val="24"/>
          <w:szCs w:val="24"/>
          <w:highlight w:val="none"/>
          <w:lang w:eastAsia="zh-CN"/>
        </w:rPr>
        <w:t>供应商</w:t>
      </w:r>
      <w:r>
        <w:rPr>
          <w:rFonts w:hint="eastAsia" w:cs="宋体"/>
          <w:b w:val="0"/>
          <w:color w:val="auto"/>
          <w:sz w:val="24"/>
          <w:szCs w:val="24"/>
          <w:highlight w:val="none"/>
        </w:rPr>
        <w:t>参加投标。</w:t>
      </w:r>
    </w:p>
    <w:p w14:paraId="2D05D088">
      <w:pPr>
        <w:pStyle w:val="5"/>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14:paraId="15D391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项目编号：台财采确临[2025]21号</w:t>
      </w:r>
    </w:p>
    <w:bookmarkEnd w:id="10"/>
    <w:p w14:paraId="605249E0">
      <w:pPr>
        <w:spacing w:line="360" w:lineRule="auto"/>
        <w:ind w:firstLine="480" w:firstLineChars="200"/>
        <w:rPr>
          <w:color w:val="auto"/>
          <w:highlight w:val="none"/>
        </w:rPr>
      </w:pPr>
      <w:r>
        <w:rPr>
          <w:rFonts w:hint="eastAsia" w:ascii="宋体" w:hAnsi="宋体" w:cs="宋体"/>
          <w:color w:val="auto"/>
          <w:sz w:val="24"/>
          <w:highlight w:val="none"/>
        </w:rPr>
        <w:t>项目名称：202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年松材线虫病除治质量抽样检测项目</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750"/>
        <w:gridCol w:w="585"/>
        <w:gridCol w:w="634"/>
        <w:gridCol w:w="1303"/>
        <w:gridCol w:w="1585"/>
      </w:tblGrid>
      <w:tr w14:paraId="0F6A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83" w:type="dxa"/>
            <w:vAlign w:val="center"/>
          </w:tcPr>
          <w:p w14:paraId="7C116F7D">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3750" w:type="dxa"/>
            <w:vAlign w:val="center"/>
          </w:tcPr>
          <w:p w14:paraId="312A4BA0">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585" w:type="dxa"/>
            <w:vAlign w:val="center"/>
          </w:tcPr>
          <w:p w14:paraId="22E5D0EB">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634" w:type="dxa"/>
            <w:vAlign w:val="center"/>
          </w:tcPr>
          <w:p w14:paraId="454AF39C">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303" w:type="dxa"/>
            <w:vAlign w:val="center"/>
          </w:tcPr>
          <w:p w14:paraId="3770426A">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44BF8DE">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585" w:type="dxa"/>
            <w:vAlign w:val="center"/>
          </w:tcPr>
          <w:p w14:paraId="423AD70E">
            <w:pPr>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2FEB6DD8">
            <w:pPr>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540F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3" w:type="dxa"/>
            <w:vAlign w:val="center"/>
          </w:tcPr>
          <w:p w14:paraId="19F7CF48">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3750" w:type="dxa"/>
            <w:vAlign w:val="center"/>
          </w:tcPr>
          <w:p w14:paraId="7AFEF4EA">
            <w:pPr>
              <w:tabs>
                <w:tab w:val="left" w:pos="8280"/>
              </w:tabs>
              <w:autoSpaceDE w:val="0"/>
              <w:autoSpaceDN w:val="0"/>
              <w:adjustRightInd w:val="0"/>
              <w:rPr>
                <w:rFonts w:ascii="宋体" w:hAnsi="宋体" w:cs="宋体"/>
                <w:b/>
                <w:color w:val="auto"/>
                <w:szCs w:val="21"/>
                <w:highlight w:val="none"/>
              </w:rPr>
            </w:pP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年松材线虫病除治质量抽样检测项目</w:t>
            </w:r>
          </w:p>
        </w:tc>
        <w:tc>
          <w:tcPr>
            <w:tcW w:w="585" w:type="dxa"/>
            <w:vAlign w:val="center"/>
          </w:tcPr>
          <w:p w14:paraId="47674750">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634" w:type="dxa"/>
            <w:vAlign w:val="center"/>
          </w:tcPr>
          <w:p w14:paraId="6B052107">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303" w:type="dxa"/>
            <w:vAlign w:val="center"/>
          </w:tcPr>
          <w:p w14:paraId="406C1DC5">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60</w:t>
            </w:r>
          </w:p>
        </w:tc>
        <w:tc>
          <w:tcPr>
            <w:tcW w:w="1585" w:type="dxa"/>
            <w:vAlign w:val="center"/>
          </w:tcPr>
          <w:p w14:paraId="021F117A">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Cs/>
                <w:color w:val="auto"/>
                <w:szCs w:val="21"/>
                <w:highlight w:val="none"/>
              </w:rPr>
              <w:t>60</w:t>
            </w:r>
          </w:p>
        </w:tc>
      </w:tr>
    </w:tbl>
    <w:p w14:paraId="01A72372">
      <w:pPr>
        <w:pStyle w:val="5"/>
        <w:tabs>
          <w:tab w:val="left" w:pos="9660"/>
          <w:tab w:val="clear" w:pos="8280"/>
        </w:tabs>
        <w:ind w:right="23" w:firstLine="482" w:firstLineChars="200"/>
        <w:jc w:val="left"/>
        <w:rPr>
          <w:rFonts w:cs="宋体"/>
          <w:bCs/>
          <w:color w:val="auto"/>
          <w:sz w:val="24"/>
          <w:szCs w:val="24"/>
          <w:highlight w:val="none"/>
        </w:rPr>
      </w:pPr>
      <w:bookmarkStart w:id="11" w:name="_Toc28359003"/>
      <w:bookmarkStart w:id="12" w:name="_Toc35393791"/>
      <w:bookmarkStart w:id="13" w:name="_Toc35393622"/>
      <w:bookmarkStart w:id="14" w:name="_Toc28359080"/>
      <w:r>
        <w:rPr>
          <w:rFonts w:hint="eastAsia" w:cs="宋体"/>
          <w:bCs/>
          <w:color w:val="auto"/>
          <w:sz w:val="24"/>
          <w:szCs w:val="24"/>
          <w:highlight w:val="none"/>
        </w:rPr>
        <w:t>二、</w:t>
      </w:r>
      <w:r>
        <w:rPr>
          <w:rFonts w:hint="eastAsia" w:cs="宋体"/>
          <w:bCs/>
          <w:color w:val="auto"/>
          <w:sz w:val="24"/>
          <w:szCs w:val="24"/>
          <w:highlight w:val="none"/>
          <w:lang w:eastAsia="zh-CN"/>
        </w:rPr>
        <w:t>供应商</w:t>
      </w:r>
      <w:r>
        <w:rPr>
          <w:rFonts w:hint="eastAsia" w:cs="宋体"/>
          <w:bCs/>
          <w:color w:val="auto"/>
          <w:sz w:val="24"/>
          <w:szCs w:val="24"/>
          <w:highlight w:val="none"/>
        </w:rPr>
        <w:t>的资格要求</w:t>
      </w:r>
      <w:bookmarkEnd w:id="11"/>
      <w:bookmarkEnd w:id="12"/>
      <w:bookmarkEnd w:id="13"/>
      <w:bookmarkEnd w:id="14"/>
    </w:p>
    <w:p w14:paraId="4CC638B6">
      <w:pPr>
        <w:spacing w:line="360" w:lineRule="auto"/>
        <w:ind w:left="12" w:firstLine="480" w:firstLineChars="200"/>
        <w:jc w:val="left"/>
        <w:rPr>
          <w:rFonts w:ascii="宋体" w:hAnsi="宋体" w:cs="宋体"/>
          <w:color w:val="auto"/>
          <w:sz w:val="24"/>
          <w:highlight w:val="none"/>
        </w:rPr>
      </w:pPr>
      <w:bookmarkStart w:id="15" w:name="_Toc35393623"/>
      <w:bookmarkStart w:id="16" w:name="_Toc28359081"/>
      <w:bookmarkStart w:id="17" w:name="_Toc35393792"/>
      <w:bookmarkStart w:id="18" w:name="_Toc28359004"/>
      <w:r>
        <w:rPr>
          <w:rFonts w:hint="eastAsia" w:ascii="宋体" w:hAnsi="宋体" w:cs="宋体"/>
          <w:color w:val="auto"/>
          <w:sz w:val="24"/>
          <w:highlight w:val="none"/>
        </w:rPr>
        <w:t>（一）满足《中华人民共和国政府采购法》第二十二条规定。</w:t>
      </w:r>
    </w:p>
    <w:p w14:paraId="24B7871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（二）本项目的特定资格要求：</w:t>
      </w:r>
      <w:r>
        <w:rPr>
          <w:rFonts w:hint="eastAsia" w:ascii="宋体" w:hAnsi="宋体" w:cs="宋体"/>
          <w:b w:val="0"/>
          <w:bCs w:val="0"/>
          <w:color w:val="auto"/>
          <w:sz w:val="24"/>
          <w:highlight w:val="none"/>
          <w:lang w:val="en-US" w:eastAsia="zh-CN"/>
        </w:rPr>
        <w:t>无</w:t>
      </w:r>
      <w:r>
        <w:rPr>
          <w:rFonts w:hint="eastAsia" w:ascii="宋体" w:hAnsi="宋体" w:cs="宋体"/>
          <w:b w:val="0"/>
          <w:bCs w:val="0"/>
          <w:color w:val="auto"/>
          <w:sz w:val="24"/>
          <w:highlight w:val="none"/>
        </w:rPr>
        <w:t>。</w:t>
      </w:r>
    </w:p>
    <w:p w14:paraId="38D74FF3">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25F9BF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（四）本项目为</w:t>
      </w:r>
      <w:r>
        <w:rPr>
          <w:rFonts w:hint="eastAsia" w:ascii="宋体" w:hAnsi="宋体" w:cs="宋体"/>
          <w:b w:val="0"/>
          <w:bCs w:val="0"/>
          <w:color w:val="auto"/>
          <w:sz w:val="24"/>
          <w:highlight w:val="none"/>
        </w:rPr>
        <w:t>专门面向中小企业采购项目。</w:t>
      </w:r>
    </w:p>
    <w:p w14:paraId="026A13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52901949">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2E99A6C">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29ED8BB6">
      <w:pPr>
        <w:pStyle w:val="5"/>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14:paraId="1D34B6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（一）时间：发布之日起至投标截止时间</w:t>
      </w:r>
      <w:r>
        <w:rPr>
          <w:rFonts w:hint="eastAsia" w:ascii="宋体" w:hAnsi="宋体" w:cs="宋体"/>
          <w:color w:val="auto"/>
          <w:sz w:val="24"/>
          <w:highlight w:val="none"/>
          <w:lang w:eastAsia="zh-CN"/>
        </w:rPr>
        <w:t>。</w:t>
      </w:r>
    </w:p>
    <w:p w14:paraId="023670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ascii="宋体" w:hAnsi="宋体" w:cs="宋体"/>
          <w:color w:val="auto"/>
          <w:sz w:val="24"/>
          <w:highlight w:val="none"/>
        </w:rPr>
        <w:t>https://zfcg.czt.zj.gov.cn</w:t>
      </w:r>
      <w:r>
        <w:rPr>
          <w:rFonts w:hint="eastAsia" w:ascii="宋体" w:hAnsi="宋体" w:cs="宋体"/>
          <w:color w:val="auto"/>
          <w:sz w:val="24"/>
          <w:highlight w:val="none"/>
        </w:rPr>
        <w:t>）免费下载</w:t>
      </w:r>
    </w:p>
    <w:p w14:paraId="36CE5895">
      <w:pPr>
        <w:pStyle w:val="5"/>
        <w:ind w:right="0" w:firstLine="482" w:firstLineChars="200"/>
        <w:rPr>
          <w:rFonts w:cs="宋体"/>
          <w:bCs/>
          <w:color w:val="auto"/>
          <w:sz w:val="24"/>
          <w:szCs w:val="24"/>
          <w:highlight w:val="none"/>
        </w:rPr>
      </w:pPr>
      <w:bookmarkStart w:id="19" w:name="_Toc28359082"/>
      <w:bookmarkStart w:id="20" w:name="_Toc35393624"/>
      <w:bookmarkStart w:id="21" w:name="_Toc28359005"/>
      <w:bookmarkStart w:id="22" w:name="_Toc35393793"/>
      <w:r>
        <w:rPr>
          <w:rFonts w:hint="eastAsia" w:cs="宋体"/>
          <w:bCs/>
          <w:color w:val="auto"/>
          <w:sz w:val="24"/>
          <w:szCs w:val="24"/>
          <w:highlight w:val="none"/>
        </w:rPr>
        <w:t>四、提交投标文件</w:t>
      </w:r>
      <w:bookmarkEnd w:id="19"/>
      <w:bookmarkEnd w:id="20"/>
      <w:bookmarkEnd w:id="21"/>
      <w:bookmarkEnd w:id="22"/>
    </w:p>
    <w:p w14:paraId="7825B1A3">
      <w:pPr>
        <w:spacing w:line="360" w:lineRule="auto"/>
        <w:ind w:firstLine="480" w:firstLineChars="200"/>
        <w:jc w:val="left"/>
        <w:rPr>
          <w:rFonts w:ascii="宋体" w:hAnsi="宋体" w:cs="宋体"/>
          <w:color w:val="auto"/>
          <w:sz w:val="24"/>
          <w:highlight w:val="none"/>
        </w:rPr>
      </w:pPr>
      <w:bookmarkStart w:id="23" w:name="_Toc28359007"/>
      <w:bookmarkStart w:id="24" w:name="_Toc28359084"/>
      <w:bookmarkStart w:id="25" w:name="_Toc35393625"/>
      <w:bookmarkStart w:id="26"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18</w:t>
      </w:r>
      <w:r>
        <w:rPr>
          <w:rFonts w:hint="eastAsia" w:ascii="宋体" w:hAnsi="宋体" w:cs="宋体"/>
          <w:bCs/>
          <w:color w:val="auto"/>
          <w:sz w:val="24"/>
          <w:highlight w:val="none"/>
          <w:u w:val="single"/>
        </w:rPr>
        <w:t>日09点00分</w:t>
      </w:r>
      <w:r>
        <w:rPr>
          <w:rFonts w:hint="eastAsia" w:ascii="宋体" w:hAnsi="宋体" w:cs="宋体"/>
          <w:color w:val="auto"/>
          <w:sz w:val="24"/>
          <w:highlight w:val="none"/>
        </w:rPr>
        <w:t>（北京时间）</w:t>
      </w:r>
    </w:p>
    <w:p w14:paraId="0D800D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（二）投标网址：浙江政府采购云平台（http://www.zcygov.cn）</w:t>
      </w:r>
    </w:p>
    <w:bookmarkEnd w:id="23"/>
    <w:bookmarkEnd w:id="24"/>
    <w:bookmarkEnd w:id="25"/>
    <w:bookmarkEnd w:id="26"/>
    <w:p w14:paraId="10175FFE">
      <w:pPr>
        <w:pStyle w:val="1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6F8997F">
      <w:pPr>
        <w:pStyle w:val="19"/>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）、台州市公共资源交易网（https://tzztb.zjtz.gov.cn）</w:t>
      </w:r>
    </w:p>
    <w:p w14:paraId="711603F7">
      <w:pPr>
        <w:pStyle w:val="19"/>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4188A5A7">
      <w:pPr>
        <w:pStyle w:val="5"/>
        <w:ind w:right="0" w:firstLine="482" w:firstLineChars="200"/>
        <w:rPr>
          <w:rFonts w:cs="宋体"/>
          <w:bCs/>
          <w:color w:val="auto"/>
          <w:sz w:val="24"/>
          <w:szCs w:val="24"/>
          <w:highlight w:val="none"/>
        </w:rPr>
      </w:pPr>
      <w:bookmarkStart w:id="27" w:name="_Toc35393626"/>
      <w:bookmarkStart w:id="28" w:name="_Toc35393795"/>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14:paraId="1060D0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需登录浙江省政府采购网（https://zfcg.czt.zj.gov.cn/）进行注册后报名。</w:t>
      </w:r>
    </w:p>
    <w:p w14:paraId="249243F9">
      <w:pPr>
        <w:pStyle w:val="5"/>
        <w:ind w:right="0" w:firstLine="482" w:firstLineChars="200"/>
        <w:rPr>
          <w:rFonts w:cs="宋体"/>
          <w:bCs/>
          <w:color w:val="auto"/>
          <w:sz w:val="24"/>
          <w:szCs w:val="24"/>
          <w:highlight w:val="none"/>
        </w:rPr>
      </w:pPr>
      <w:bookmarkStart w:id="29" w:name="_Toc35393627"/>
      <w:bookmarkStart w:id="30" w:name="_Toc35393796"/>
      <w:bookmarkStart w:id="31" w:name="_Toc28359085"/>
      <w:bookmarkStart w:id="32" w:name="_Toc28359008"/>
      <w:r>
        <w:rPr>
          <w:rFonts w:hint="eastAsia" w:cs="宋体"/>
          <w:bCs/>
          <w:color w:val="auto"/>
          <w:sz w:val="24"/>
          <w:szCs w:val="24"/>
          <w:highlight w:val="none"/>
        </w:rPr>
        <w:t>七、</w:t>
      </w:r>
      <w:bookmarkEnd w:id="29"/>
      <w:bookmarkEnd w:id="30"/>
      <w:bookmarkEnd w:id="31"/>
      <w:bookmarkEnd w:id="32"/>
      <w:r>
        <w:rPr>
          <w:rFonts w:hint="eastAsia" w:cs="宋体"/>
          <w:bCs/>
          <w:color w:val="auto"/>
          <w:sz w:val="24"/>
          <w:szCs w:val="24"/>
          <w:highlight w:val="none"/>
        </w:rPr>
        <w:t>联系方式</w:t>
      </w:r>
    </w:p>
    <w:p w14:paraId="448A542F">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01FA00E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u w:val="single"/>
          <w:lang w:eastAsia="zh-CN"/>
        </w:rPr>
        <w:t>台州市森林病虫防治检疫站</w:t>
      </w:r>
    </w:p>
    <w:p w14:paraId="001F01D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台州市椒江区</w:t>
      </w:r>
      <w:r>
        <w:rPr>
          <w:rFonts w:hint="eastAsia" w:ascii="宋体" w:hAnsi="宋体" w:cs="宋体"/>
          <w:color w:val="auto"/>
          <w:sz w:val="24"/>
          <w:highlight w:val="none"/>
          <w:u w:val="single"/>
          <w:lang w:eastAsia="zh-CN"/>
        </w:rPr>
        <w:t>白云山西路</w:t>
      </w:r>
      <w:r>
        <w:rPr>
          <w:rFonts w:hint="eastAsia" w:ascii="宋体" w:hAnsi="宋体" w:cs="宋体"/>
          <w:color w:val="auto"/>
          <w:sz w:val="24"/>
          <w:highlight w:val="none"/>
          <w:u w:val="single"/>
          <w:lang w:val="en-US" w:eastAsia="zh-CN"/>
        </w:rPr>
        <w:t>300</w:t>
      </w:r>
      <w:r>
        <w:rPr>
          <w:rFonts w:hint="eastAsia" w:ascii="宋体" w:hAnsi="宋体" w:cs="宋体"/>
          <w:color w:val="auto"/>
          <w:sz w:val="24"/>
          <w:highlight w:val="none"/>
          <w:u w:val="single"/>
        </w:rPr>
        <w:t>号</w:t>
      </w:r>
    </w:p>
    <w:p w14:paraId="3FD6BB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bookmarkStart w:id="33" w:name="_Toc28359086"/>
      <w:bookmarkStart w:id="34" w:name="_Toc28359009"/>
      <w:r>
        <w:rPr>
          <w:rFonts w:hint="eastAsia" w:ascii="宋体" w:hAnsi="宋体" w:cs="宋体"/>
          <w:color w:val="auto"/>
          <w:sz w:val="24"/>
          <w:highlight w:val="none"/>
          <w:u w:val="single"/>
        </w:rPr>
        <w:t>王松</w:t>
      </w:r>
    </w:p>
    <w:p w14:paraId="5AC1D06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0576-88819723</w:t>
      </w:r>
    </w:p>
    <w:bookmarkEnd w:id="33"/>
    <w:bookmarkEnd w:id="34"/>
    <w:p w14:paraId="2E92F537">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6E480CF7">
      <w:pPr>
        <w:spacing w:line="360" w:lineRule="auto"/>
        <w:ind w:firstLine="480" w:firstLineChars="200"/>
        <w:rPr>
          <w:rFonts w:ascii="宋体" w:hAnsi="宋体" w:cs="宋体"/>
          <w:color w:val="auto"/>
          <w:sz w:val="24"/>
          <w:highlight w:val="none"/>
          <w:u w:val="single"/>
        </w:rPr>
      </w:pPr>
      <w:bookmarkStart w:id="35" w:name="_Toc28359010"/>
      <w:bookmarkStart w:id="36"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1ABF0833">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浙江省台州市市府大道507号台州国际商务广场1幢(北门)11楼</w:t>
      </w:r>
    </w:p>
    <w:p w14:paraId="283CA0B2">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6628E80C">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82</w:t>
      </w:r>
    </w:p>
    <w:p w14:paraId="5119D56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14:paraId="4C5946C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04EDF61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2B9891A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台州市财政局采监</w:t>
      </w:r>
      <w:r>
        <w:rPr>
          <w:rFonts w:hint="eastAsia" w:ascii="宋体" w:hAnsi="宋体" w:cs="宋体"/>
          <w:color w:val="auto"/>
          <w:sz w:val="24"/>
          <w:highlight w:val="none"/>
          <w:u w:val="single"/>
          <w:lang w:val="en-US" w:eastAsia="zh-CN"/>
        </w:rPr>
        <w:t>处</w:t>
      </w:r>
    </w:p>
    <w:p w14:paraId="5DD2F93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浙江省台州市台州湾新区纬一路66号天元大厦 </w:t>
      </w:r>
    </w:p>
    <w:p w14:paraId="266B067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陈女士、李女士</w:t>
      </w:r>
    </w:p>
    <w:p w14:paraId="49BC00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0576-88206705、</w:t>
      </w:r>
      <w:r>
        <w:rPr>
          <w:rFonts w:hint="eastAsia" w:asciiTheme="minorEastAsia" w:hAnsiTheme="minorEastAsia" w:eastAsiaTheme="minorEastAsia" w:cstheme="minorEastAsia"/>
          <w:color w:val="auto"/>
          <w:sz w:val="24"/>
          <w:highlight w:val="none"/>
          <w:u w:val="single"/>
        </w:rPr>
        <w:t>0576-88206731</w:t>
      </w:r>
    </w:p>
    <w:p w14:paraId="731AD40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（四）政采云平台</w:t>
      </w:r>
    </w:p>
    <w:p w14:paraId="13815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95763</w:t>
      </w:r>
    </w:p>
    <w:p w14:paraId="3F779C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p>
    <w:p w14:paraId="1917147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4F0ED15B">
      <w:pPr>
        <w:widowControl/>
        <w:spacing w:line="360" w:lineRule="auto"/>
        <w:ind w:firstLine="200"/>
        <w:jc w:val="right"/>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01</w:t>
      </w:r>
      <w:r>
        <w:rPr>
          <w:rFonts w:hint="eastAsia" w:asciiTheme="minorEastAsia" w:hAnsiTheme="minorEastAsia" w:eastAsiaTheme="minorEastAsia" w:cstheme="minorEastAsia"/>
          <w:color w:val="auto"/>
          <w:kern w:val="0"/>
          <w:sz w:val="24"/>
          <w:highlight w:val="none"/>
        </w:rPr>
        <w:t>月</w:t>
      </w:r>
    </w:p>
    <w:p w14:paraId="47BB7F1E">
      <w:pPr>
        <w:pStyle w:val="19"/>
        <w:rPr>
          <w:rFonts w:asciiTheme="minorEastAsia" w:hAnsiTheme="minorEastAsia" w:eastAsiaTheme="minorEastAsia" w:cstheme="minorEastAsia"/>
          <w:color w:val="auto"/>
          <w:kern w:val="0"/>
          <w:sz w:val="24"/>
          <w:highlight w:val="none"/>
        </w:rPr>
      </w:pPr>
    </w:p>
    <w:p w14:paraId="7E2BAEBF">
      <w:pPr>
        <w:pStyle w:val="19"/>
        <w:rPr>
          <w:rFonts w:asciiTheme="minorEastAsia" w:hAnsiTheme="minorEastAsia" w:eastAsiaTheme="minorEastAsia" w:cstheme="minorEastAsia"/>
          <w:color w:val="auto"/>
          <w:kern w:val="0"/>
          <w:sz w:val="24"/>
          <w:highlight w:val="none"/>
        </w:rPr>
      </w:pPr>
    </w:p>
    <w:p w14:paraId="2BAF3CC2">
      <w:pPr>
        <w:pStyle w:val="19"/>
        <w:rPr>
          <w:rFonts w:asciiTheme="minorEastAsia" w:hAnsiTheme="minorEastAsia" w:eastAsiaTheme="minorEastAsia" w:cstheme="minorEastAsia"/>
          <w:color w:val="auto"/>
          <w:kern w:val="0"/>
          <w:sz w:val="24"/>
          <w:highlight w:val="none"/>
        </w:rPr>
      </w:pPr>
    </w:p>
    <w:bookmarkEnd w:id="35"/>
    <w:bookmarkEnd w:id="36"/>
    <w:p w14:paraId="466A462F">
      <w:pPr>
        <w:numPr>
          <w:ilvl w:val="0"/>
          <w:numId w:val="4"/>
        </w:numPr>
        <w:spacing w:line="360" w:lineRule="auto"/>
        <w:jc w:val="center"/>
        <w:rPr>
          <w:rFonts w:asciiTheme="minorEastAsia" w:hAnsiTheme="minorEastAsia" w:eastAsiaTheme="minorEastAsia"/>
          <w:b/>
          <w:color w:val="auto"/>
          <w:sz w:val="36"/>
          <w:szCs w:val="36"/>
          <w:highlight w:val="none"/>
        </w:rPr>
      </w:pPr>
      <w:bookmarkStart w:id="37" w:name="_Toc25017_WPSOffice_Level1"/>
      <w:r>
        <w:rPr>
          <w:rFonts w:hint="eastAsia" w:asciiTheme="minorEastAsia" w:hAnsiTheme="minorEastAsia" w:eastAsiaTheme="minorEastAsia"/>
          <w:b/>
          <w:color w:val="auto"/>
          <w:sz w:val="36"/>
          <w:szCs w:val="36"/>
          <w:highlight w:val="none"/>
          <w:lang w:eastAsia="zh-CN"/>
        </w:rPr>
        <w:t>供应商</w:t>
      </w:r>
      <w:r>
        <w:rPr>
          <w:rFonts w:hint="eastAsia" w:asciiTheme="minorEastAsia" w:hAnsiTheme="minorEastAsia" w:eastAsiaTheme="minorEastAsia"/>
          <w:b/>
          <w:color w:val="auto"/>
          <w:sz w:val="36"/>
          <w:szCs w:val="36"/>
          <w:highlight w:val="none"/>
        </w:rPr>
        <w:t>须知</w:t>
      </w:r>
      <w:bookmarkEnd w:id="37"/>
    </w:p>
    <w:p w14:paraId="0991179E">
      <w:pPr>
        <w:numPr>
          <w:ilvl w:val="0"/>
          <w:numId w:val="5"/>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A82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6A7E28">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CC6A0E">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671BC1">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B01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A0B7B3">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8C2078">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C3FBD9">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14:paraId="52B7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619834">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2650C9">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E6FE5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14:paraId="202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B0E3B7">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E8EC93">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55784697">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C7EC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2A77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10114B">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3B7CFB">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907C2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w:t>
            </w:r>
            <w:r>
              <w:rPr>
                <w:rFonts w:hint="eastAsia" w:ascii="宋体" w:hAnsi="宋体" w:cs="宋体"/>
                <w:color w:val="auto"/>
                <w:highlight w:val="none"/>
                <w:lang w:eastAsia="zh-CN"/>
              </w:rPr>
              <w:t>供应商</w:t>
            </w:r>
            <w:r>
              <w:rPr>
                <w:rFonts w:hint="eastAsia" w:ascii="宋体" w:hAnsi="宋体" w:cs="宋体"/>
                <w:color w:val="auto"/>
                <w:highlight w:val="none"/>
              </w:rPr>
              <w:t>在投标前仔细阅读《政府采购项目电子交易操作指南》。</w:t>
            </w:r>
          </w:p>
          <w:p w14:paraId="6EA0874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w:t>
            </w:r>
            <w:r>
              <w:rPr>
                <w:rFonts w:hint="eastAsia" w:ascii="宋体" w:hAnsi="宋体" w:cs="宋体"/>
                <w:color w:val="auto"/>
                <w:highlight w:val="none"/>
                <w:lang w:eastAsia="zh-CN"/>
              </w:rPr>
              <w:t>供应商</w:t>
            </w:r>
            <w:r>
              <w:rPr>
                <w:rFonts w:hint="eastAsia" w:ascii="宋体" w:hAnsi="宋体" w:cs="宋体"/>
                <w:color w:val="auto"/>
                <w:highlight w:val="none"/>
              </w:rPr>
              <w:t>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526E1EC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2.投标：</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应当在投标截止时间前（开标当天北京时间</w:t>
            </w:r>
            <w:r>
              <w:rPr>
                <w:rFonts w:hint="eastAsia" w:ascii="宋体" w:hAnsi="宋体" w:cs="宋体"/>
                <w:color w:val="auto"/>
                <w:highlight w:val="none"/>
                <w:u w:val="single"/>
              </w:rPr>
              <w:t>09:00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0C26B67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3.投标文件解密：解密开启后30分钟内完成解密。</w:t>
            </w:r>
          </w:p>
        </w:tc>
      </w:tr>
      <w:tr w14:paraId="5AF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21ADC8">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0FBB5A">
            <w:pPr>
              <w:spacing w:line="300" w:lineRule="auto"/>
              <w:jc w:val="center"/>
              <w:rPr>
                <w:rFonts w:ascii="宋体" w:hAnsi="宋体" w:cs="宋体"/>
                <w:color w:val="auto"/>
                <w:highlight w:val="none"/>
              </w:rPr>
            </w:pPr>
            <w:r>
              <w:rPr>
                <w:rFonts w:hint="eastAsia" w:ascii="宋体" w:hAnsi="宋体" w:cs="宋体"/>
                <w:color w:val="auto"/>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0FF17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w:t>
            </w:r>
            <w:r>
              <w:rPr>
                <w:rFonts w:hint="eastAsia" w:ascii="宋体" w:hAnsi="宋体" w:cs="宋体"/>
                <w:color w:val="auto"/>
                <w:highlight w:val="none"/>
                <w:lang w:eastAsia="zh-CN"/>
              </w:rPr>
              <w:t>供应商</w:t>
            </w:r>
            <w:r>
              <w:rPr>
                <w:rFonts w:hint="eastAsia" w:ascii="宋体" w:hAnsi="宋体" w:cs="宋体"/>
                <w:color w:val="auto"/>
                <w:highlight w:val="none"/>
              </w:rPr>
              <w:t>自行妥善保管。</w:t>
            </w:r>
          </w:p>
          <w:p w14:paraId="4F6F4AE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w:t>
            </w:r>
            <w:r>
              <w:rPr>
                <w:rFonts w:hint="eastAsia" w:ascii="宋体" w:hAnsi="宋体" w:cs="宋体"/>
                <w:color w:val="auto"/>
                <w:highlight w:val="none"/>
                <w:lang w:eastAsia="zh-CN"/>
              </w:rPr>
              <w:t>供应商</w:t>
            </w:r>
            <w:r>
              <w:rPr>
                <w:rFonts w:hint="eastAsia" w:ascii="宋体" w:hAnsi="宋体" w:cs="宋体"/>
                <w:color w:val="auto"/>
                <w:highlight w:val="none"/>
              </w:rPr>
              <w:t>自行在线解密操作失败，又未能及时联系技术人员帮助解密，或者</w:t>
            </w:r>
            <w:r>
              <w:rPr>
                <w:rFonts w:hint="eastAsia" w:ascii="宋体" w:hAnsi="宋体" w:cs="宋体"/>
                <w:color w:val="auto"/>
                <w:highlight w:val="none"/>
                <w:lang w:eastAsia="zh-CN"/>
              </w:rPr>
              <w:t>供应商</w:t>
            </w:r>
            <w:r>
              <w:rPr>
                <w:rFonts w:hint="eastAsia" w:ascii="宋体" w:hAnsi="宋体" w:cs="宋体"/>
                <w:color w:val="auto"/>
                <w:highlight w:val="none"/>
              </w:rPr>
              <w:t>寻求技术人员帮助仍无法完成解密。</w:t>
            </w:r>
          </w:p>
          <w:p w14:paraId="2167E8E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rPr>
              <w:t>09:00</w:t>
            </w:r>
            <w:r>
              <w:rPr>
                <w:rFonts w:hint="eastAsia" w:ascii="宋体" w:hAnsi="宋体" w:cs="宋体"/>
                <w:color w:val="auto"/>
                <w:highlight w:val="none"/>
              </w:rPr>
              <w:t>（北京时间）。</w:t>
            </w:r>
          </w:p>
          <w:p w14:paraId="74CB6E9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highlight w:val="none"/>
                <w:u w:val="single"/>
                <w:lang w:val="en-US" w:eastAsia="zh-CN"/>
              </w:rPr>
              <w:t>592518046</w:t>
            </w:r>
            <w:r>
              <w:rPr>
                <w:rFonts w:hint="eastAsia" w:ascii="宋体" w:hAnsi="宋体" w:cs="宋体"/>
                <w:color w:val="auto"/>
                <w:highlight w:val="none"/>
                <w:u w:val="single"/>
              </w:rPr>
              <w:t>@qq.com</w:t>
            </w:r>
          </w:p>
          <w:p w14:paraId="6D01F14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2702B3A9">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eastAsia="zh-CN"/>
              </w:rPr>
              <w:t>供应商</w:t>
            </w:r>
            <w:r>
              <w:rPr>
                <w:rFonts w:hint="eastAsia" w:ascii="宋体" w:hAnsi="宋体" w:cs="宋体"/>
                <w:color w:val="auto"/>
                <w:highlight w:val="none"/>
              </w:rPr>
              <w:t>未按时完成解密的，并符合备份投标文件使用前提的，</w:t>
            </w:r>
            <w:r>
              <w:rPr>
                <w:rFonts w:hint="eastAsia" w:ascii="宋体" w:hAnsi="宋体" w:cs="宋体"/>
                <w:color w:val="auto"/>
                <w:highlight w:val="none"/>
                <w:lang w:eastAsia="zh-CN"/>
              </w:rPr>
              <w:t>供应商</w:t>
            </w:r>
            <w:r>
              <w:rPr>
                <w:rFonts w:hint="eastAsia" w:ascii="宋体" w:hAnsi="宋体" w:cs="宋体"/>
                <w:color w:val="auto"/>
                <w:highlight w:val="none"/>
              </w:rPr>
              <w:t>应提供备份投标文件，否则视为放弃投标。</w:t>
            </w:r>
          </w:p>
        </w:tc>
      </w:tr>
      <w:tr w14:paraId="007F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420456">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BCBCE">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14:paraId="05BEBBA8">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ABE04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w:t>
            </w:r>
            <w:r>
              <w:rPr>
                <w:rFonts w:hint="eastAsia" w:ascii="宋体" w:hAnsi="宋体" w:cs="宋体"/>
                <w:color w:val="auto"/>
                <w:highlight w:val="none"/>
                <w:lang w:eastAsia="zh-CN"/>
              </w:rPr>
              <w:t>供应商</w:t>
            </w:r>
            <w:r>
              <w:rPr>
                <w:rFonts w:hint="eastAsia" w:ascii="宋体" w:hAnsi="宋体" w:cs="宋体"/>
                <w:color w:val="auto"/>
                <w:highlight w:val="none"/>
              </w:rPr>
              <w:t>自行承担投标一切费用。</w:t>
            </w:r>
          </w:p>
          <w:p w14:paraId="7572099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w:t>
            </w:r>
            <w:r>
              <w:rPr>
                <w:rFonts w:hint="eastAsia" w:ascii="宋体" w:hAnsi="宋体" w:cs="宋体"/>
                <w:color w:val="auto"/>
                <w:highlight w:val="none"/>
                <w:lang w:eastAsia="zh-CN"/>
              </w:rPr>
              <w:t>供应商</w:t>
            </w:r>
            <w:r>
              <w:rPr>
                <w:rFonts w:hint="eastAsia" w:ascii="宋体" w:hAnsi="宋体" w:cs="宋体"/>
                <w:color w:val="auto"/>
                <w:highlight w:val="none"/>
              </w:rPr>
              <w:t>在开标前确保成为浙江省政府采购网正式注册用户，并完成CA数字证书办理（办理流程详见本招标公告附件：政采云CA签章申领操作流程）。因未注册入库、未办理CA数字证书等原因造成无法投标或投标失败等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tc>
      </w:tr>
      <w:tr w14:paraId="54AA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EBF927">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FC3618">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14:paraId="3617B89D">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3E5E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14:paraId="37124A2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14:paraId="062F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7B160E">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BD0B2F">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53124137">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2BA77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rPr>
              <w:sym w:font="Wingdings 2" w:char="00A3"/>
            </w:r>
            <w:r>
              <w:rPr>
                <w:rFonts w:hint="eastAsia" w:ascii="宋体" w:hAnsi="宋体" w:cs="宋体"/>
                <w:color w:val="auto"/>
                <w:highlight w:val="none"/>
              </w:rPr>
              <w:t xml:space="preserve"> 否)属于专门面向中小企业采购的项目。</w:t>
            </w:r>
          </w:p>
        </w:tc>
      </w:tr>
      <w:tr w14:paraId="32E5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04CF09">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3151CE">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5D21CB17">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6E4FF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服务类 </w:t>
            </w:r>
            <w:r>
              <w:rPr>
                <w:rFonts w:hint="eastAsia" w:ascii="宋体" w:hAnsi="宋体" w:cs="宋体"/>
                <w:color w:val="auto"/>
                <w:highlight w:val="none"/>
              </w:rPr>
              <w:t>。</w:t>
            </w:r>
          </w:p>
          <w:p w14:paraId="4AE8004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04CF3275">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cs="宋体"/>
                <w:color w:val="auto"/>
                <w:szCs w:val="21"/>
                <w:highlight w:val="none"/>
                <w:u w:val="single"/>
              </w:rPr>
              <w:t>202</w:t>
            </w:r>
            <w:r>
              <w:rPr>
                <w:rFonts w:hint="eastAsia" w:cs="宋体"/>
                <w:color w:val="auto"/>
                <w:szCs w:val="21"/>
                <w:highlight w:val="none"/>
                <w:u w:val="single"/>
                <w:lang w:val="en-US" w:eastAsia="zh-CN"/>
              </w:rPr>
              <w:t>5</w:t>
            </w:r>
            <w:r>
              <w:rPr>
                <w:rFonts w:hint="eastAsia" w:cs="宋体"/>
                <w:color w:val="auto"/>
                <w:szCs w:val="21"/>
                <w:highlight w:val="none"/>
                <w:u w:val="single"/>
              </w:rPr>
              <w:t>年松材线虫病除治质量抽样检测项目</w:t>
            </w:r>
            <w:r>
              <w:rPr>
                <w:rFonts w:hint="eastAsia" w:ascii="宋体" w:hAnsi="宋体" w:cs="宋体"/>
                <w:color w:val="auto"/>
                <w:szCs w:val="21"/>
                <w:highlight w:val="none"/>
              </w:rPr>
              <w:t>，</w:t>
            </w:r>
          </w:p>
          <w:p w14:paraId="24B9481B">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所属行业：</w:t>
            </w:r>
            <w:r>
              <w:rPr>
                <w:rFonts w:hint="eastAsia" w:ascii="宋体" w:hAnsi="宋体" w:cs="宋体"/>
                <w:color w:val="auto"/>
                <w:szCs w:val="21"/>
                <w:highlight w:val="none"/>
                <w:u w:val="single"/>
              </w:rPr>
              <w:t>（十六）其他未列明行业</w:t>
            </w:r>
            <w:r>
              <w:rPr>
                <w:rFonts w:hint="eastAsia" w:ascii="宋体" w:hAnsi="宋体" w:cs="宋体"/>
                <w:color w:val="auto"/>
                <w:szCs w:val="21"/>
                <w:highlight w:val="none"/>
              </w:rPr>
              <w:t>。</w:t>
            </w:r>
          </w:p>
          <w:p w14:paraId="38670A1A">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68A40C3A">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05395C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（注：未提供以上材料的，均不给予</w:t>
            </w:r>
            <w:r>
              <w:rPr>
                <w:rFonts w:hint="eastAsia" w:ascii="宋体" w:hAnsi="宋体" w:cs="宋体"/>
                <w:color w:val="auto"/>
                <w:highlight w:val="none"/>
                <w:lang w:val="en-US" w:eastAsia="zh-CN"/>
              </w:rPr>
              <w:t>认可</w:t>
            </w:r>
            <w:r>
              <w:rPr>
                <w:rFonts w:hint="eastAsia" w:ascii="宋体" w:hAnsi="宋体" w:cs="宋体"/>
                <w:color w:val="auto"/>
                <w:highlight w:val="none"/>
              </w:rPr>
              <w:t>）</w:t>
            </w:r>
          </w:p>
        </w:tc>
      </w:tr>
      <w:tr w14:paraId="2CCE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1941D6">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748B59">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BC6CE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政采云平台网上质疑系统。</w:t>
            </w:r>
          </w:p>
        </w:tc>
      </w:tr>
      <w:tr w14:paraId="090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DF753">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E7C4AE">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BB5492">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4E43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172AC9">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1E2D68">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34C90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3242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7123F5">
            <w:pPr>
              <w:spacing w:line="30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87A0FC">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A204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6FA4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74424E">
            <w:pPr>
              <w:spacing w:line="300" w:lineRule="auto"/>
              <w:jc w:val="center"/>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6A0BBD">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FBF67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14:paraId="35D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F49575">
            <w:pPr>
              <w:spacing w:line="300" w:lineRule="auto"/>
              <w:jc w:val="center"/>
              <w:rPr>
                <w:rFonts w:ascii="宋体" w:hAnsi="宋体" w:cs="宋体"/>
                <w:color w:val="auto"/>
                <w:highlight w:val="none"/>
              </w:rPr>
            </w:pPr>
            <w:r>
              <w:rPr>
                <w:rFonts w:hint="eastAsia" w:ascii="宋体" w:hAnsi="宋体" w:cs="宋体"/>
                <w:color w:val="auto"/>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C5D89">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563833">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14:paraId="25D331BB">
            <w:pPr>
              <w:spacing w:line="360" w:lineRule="auto"/>
              <w:rPr>
                <w:rFonts w:hint="eastAsia" w:ascii="宋体" w:hAnsi="宋体" w:cs="宋体"/>
                <w:szCs w:val="21"/>
              </w:rPr>
            </w:pPr>
            <w:r>
              <w:rPr>
                <w:rFonts w:hint="eastAsia" w:ascii="宋体" w:hAnsi="宋体" w:cs="宋体"/>
                <w:szCs w:val="21"/>
              </w:rPr>
              <w:t>不论投标结果如何，供应商均应自行承担所有与投标有关的全部费用；</w:t>
            </w:r>
          </w:p>
          <w:p w14:paraId="063AC3CA">
            <w:pPr>
              <w:spacing w:line="300" w:lineRule="auto"/>
              <w:rPr>
                <w:rFonts w:ascii="宋体" w:hAnsi="宋体" w:cs="宋体"/>
                <w:color w:val="auto"/>
                <w:highlight w:val="none"/>
              </w:rPr>
            </w:pPr>
            <w:r>
              <w:rPr>
                <w:rFonts w:hint="eastAsia" w:ascii="宋体" w:hAnsi="宋体" w:cs="宋体"/>
                <w:szCs w:val="21"/>
              </w:rPr>
              <w:t>本项目招标代理服务费</w:t>
            </w:r>
            <w:r>
              <w:rPr>
                <w:rFonts w:hint="eastAsia" w:ascii="宋体" w:hAnsi="宋体" w:cs="宋体"/>
                <w:szCs w:val="21"/>
                <w:lang w:val="en-US" w:eastAsia="zh-CN"/>
              </w:rPr>
              <w:t>4500</w:t>
            </w:r>
            <w:r>
              <w:rPr>
                <w:rFonts w:hint="eastAsia" w:ascii="宋体" w:hAnsi="宋体" w:cs="宋体"/>
                <w:szCs w:val="21"/>
              </w:rPr>
              <w:t>元由中标</w:t>
            </w:r>
            <w:r>
              <w:rPr>
                <w:rFonts w:hint="eastAsia" w:ascii="宋体" w:hAnsi="宋体" w:cs="宋体"/>
                <w:szCs w:val="21"/>
                <w:lang w:val="en-US" w:eastAsia="zh-CN"/>
              </w:rPr>
              <w:t>供应商</w:t>
            </w:r>
            <w:r>
              <w:rPr>
                <w:rFonts w:hint="eastAsia" w:ascii="宋体" w:hAnsi="宋体" w:cs="宋体"/>
                <w:szCs w:val="21"/>
              </w:rPr>
              <w:t>支付，请各供应商报价时综合考虑。</w:t>
            </w:r>
          </w:p>
        </w:tc>
      </w:tr>
    </w:tbl>
    <w:p w14:paraId="711AF495">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6FB650CE">
      <w:pPr>
        <w:pStyle w:val="12"/>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19960ADE">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63F07FE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lang w:eastAsia="zh-CN"/>
        </w:rPr>
        <w:t>供应商</w:t>
      </w:r>
      <w:r>
        <w:rPr>
          <w:rFonts w:hint="eastAsia"/>
          <w:color w:val="auto"/>
          <w:sz w:val="24"/>
          <w:highlight w:val="none"/>
        </w:rPr>
        <w:t>承担。</w:t>
      </w:r>
    </w:p>
    <w:p w14:paraId="37036DBE">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0FD2653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1450241">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77E7CDEC">
      <w:pPr>
        <w:snapToGrid w:val="0"/>
        <w:spacing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29EA6424">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063285D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2A301BC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047187D6">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r>
        <w:rPr>
          <w:rFonts w:hint="eastAsia" w:ascii="宋体" w:hAnsi="宋体"/>
          <w:color w:val="auto"/>
          <w:sz w:val="24"/>
          <w:highlight w:val="none"/>
        </w:rPr>
        <w:t>；</w:t>
      </w:r>
    </w:p>
    <w:p w14:paraId="106ACD46">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w:t>
      </w:r>
      <w:r>
        <w:rPr>
          <w:rFonts w:hint="eastAsia"/>
          <w:color w:val="auto"/>
          <w:sz w:val="24"/>
          <w:highlight w:val="none"/>
          <w:lang w:eastAsia="zh-CN"/>
        </w:rPr>
        <w:t>供应商</w:t>
      </w:r>
      <w:r>
        <w:rPr>
          <w:rFonts w:hint="eastAsia"/>
          <w:color w:val="auto"/>
          <w:sz w:val="24"/>
          <w:highlight w:val="none"/>
        </w:rPr>
        <w:t>的身份共同投标。</w:t>
      </w:r>
    </w:p>
    <w:p w14:paraId="2C9B4FEF">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6A5E622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31CAFD0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66CE826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7F3820D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组成的联合体，应当按照资质等级较低的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确定联合体资质等级；</w:t>
      </w:r>
    </w:p>
    <w:p w14:paraId="5C23B43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17FFB72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34B62A6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E0C9D98">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011C988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与</w:t>
      </w:r>
      <w:r>
        <w:rPr>
          <w:rFonts w:hint="eastAsia" w:ascii="宋体" w:hAnsi="宋体" w:cs="宋体" w:eastAsiaTheme="minorEastAsia"/>
          <w:color w:val="auto"/>
          <w:kern w:val="0"/>
          <w:sz w:val="24"/>
          <w:highlight w:val="none"/>
        </w:rPr>
        <w:t>台州市建设咨询有限公司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937421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2339614">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397F45EB">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DE9039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踏勘项目现场。</w:t>
      </w:r>
    </w:p>
    <w:p w14:paraId="4210C85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自行承担踏勘现场发生的责任、风险和自身费用。</w:t>
      </w:r>
    </w:p>
    <w:p w14:paraId="0F9287C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lang w:eastAsia="zh-CN"/>
        </w:rPr>
        <w:t>供应商</w:t>
      </w:r>
      <w:r>
        <w:rPr>
          <w:color w:val="auto"/>
          <w:sz w:val="24"/>
          <w:highlight w:val="none"/>
        </w:rPr>
        <w:t>编制投标文件的依据。</w:t>
      </w:r>
    </w:p>
    <w:p w14:paraId="3D2943BD">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1A9C2358">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投标所使用的采购项目实施人员必须为本法人员工。</w:t>
      </w:r>
    </w:p>
    <w:p w14:paraId="1825E16C">
      <w:pPr>
        <w:pStyle w:val="29"/>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本招标文件中关于电子招投标的内容、流程，如与政采云系统中最新的内容、操作不一致的，以政采云系统中的要求为准。</w:t>
      </w:r>
    </w:p>
    <w:p w14:paraId="45A8E1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6A446550">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E931187">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在规定的时间内未对招标文件提出疑问、质疑或要求澄清的，将视其为无异议。</w:t>
      </w:r>
    </w:p>
    <w:p w14:paraId="25BF2C1E">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w:t>
      </w:r>
    </w:p>
    <w:p w14:paraId="6A0A94C1">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；不足15日的，采购组织机构应当顺延提交投标文件的截止时间。</w:t>
      </w:r>
    </w:p>
    <w:p w14:paraId="0C7DC325">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1410294B">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57BA1B38">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7E3CCB1">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70DFB722">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64FA5E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01738E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EE60C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0EF246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4DCAA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42328675">
      <w:pPr>
        <w:snapToGrid w:val="0"/>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）中小企业、</w:t>
      </w:r>
      <w:r>
        <w:rPr>
          <w:rFonts w:hint="eastAsia" w:ascii="宋体" w:hAnsi="宋体" w:cs="宋体"/>
          <w:b w:val="0"/>
          <w:bCs w:val="0"/>
          <w:color w:val="auto"/>
          <w:sz w:val="24"/>
          <w:highlight w:val="none"/>
          <w:lang w:val="en-GB" w:eastAsia="zh-CN"/>
        </w:rPr>
        <w:t>残疾人福利性单位、监狱企业</w:t>
      </w:r>
      <w:r>
        <w:rPr>
          <w:rFonts w:hint="eastAsia" w:ascii="宋体" w:hAnsi="宋体" w:cs="宋体"/>
          <w:b w:val="0"/>
          <w:bCs w:val="0"/>
          <w:color w:val="auto"/>
          <w:sz w:val="24"/>
          <w:highlight w:val="none"/>
          <w:lang w:eastAsia="zh-CN"/>
        </w:rPr>
        <w:t>等声明函（附件</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lang w:eastAsia="zh-CN"/>
        </w:rPr>
        <w:t>）；</w:t>
      </w:r>
    </w:p>
    <w:p w14:paraId="1A216E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14:paraId="2E833184">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1637101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2E19787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（2）技术方案（由供应商根据采购文件和评标办法自行拟定）；</w:t>
      </w:r>
    </w:p>
    <w:p w14:paraId="0754B5E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236BCF4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32232EAE">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10</w:t>
      </w:r>
      <w:r>
        <w:rPr>
          <w:rFonts w:hint="eastAsia" w:ascii="Calibri" w:hAnsi="Calibri" w:cs="Calibri"/>
          <w:color w:val="auto"/>
          <w:sz w:val="24"/>
          <w:highlight w:val="none"/>
        </w:rPr>
        <w:t>）；</w:t>
      </w:r>
    </w:p>
    <w:p w14:paraId="6CC543B6">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0F962090">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12</w:t>
      </w:r>
      <w:r>
        <w:rPr>
          <w:rFonts w:hint="eastAsia" w:ascii="宋体" w:hAnsi="宋体"/>
          <w:bCs/>
          <w:color w:val="auto"/>
          <w:sz w:val="24"/>
          <w:highlight w:val="none"/>
        </w:rPr>
        <w:t>）；</w:t>
      </w:r>
    </w:p>
    <w:p w14:paraId="501EEE06">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14:paraId="71696B6D">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w:t>
      </w:r>
      <w:r>
        <w:rPr>
          <w:rFonts w:hint="eastAsia" w:asciiTheme="minorEastAsia" w:hAnsiTheme="minorEastAsia" w:eastAsiaTheme="minorEastAsia"/>
          <w:b/>
          <w:color w:val="auto"/>
          <w:kern w:val="0"/>
          <w:sz w:val="24"/>
          <w:highlight w:val="none"/>
          <w:lang w:val="en-US" w:eastAsia="zh-CN"/>
        </w:rPr>
        <w:t>文件</w:t>
      </w:r>
      <w:r>
        <w:rPr>
          <w:rFonts w:hint="eastAsia" w:asciiTheme="minorEastAsia" w:hAnsiTheme="minorEastAsia" w:eastAsiaTheme="minorEastAsia"/>
          <w:b/>
          <w:color w:val="auto"/>
          <w:kern w:val="0"/>
          <w:sz w:val="24"/>
          <w:highlight w:val="none"/>
        </w:rPr>
        <w:t>的组成</w:t>
      </w:r>
    </w:p>
    <w:p w14:paraId="6FB992F1">
      <w:pPr>
        <w:numPr>
          <w:ilvl w:val="0"/>
          <w:numId w:val="7"/>
        </w:num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开标一览表（附件</w:t>
      </w:r>
      <w:r>
        <w:rPr>
          <w:rFonts w:hint="eastAsia" w:asciiTheme="minorEastAsia" w:hAnsiTheme="minorEastAsia" w:eastAsiaTheme="minorEastAsia"/>
          <w:color w:val="auto"/>
          <w:kern w:val="0"/>
          <w:sz w:val="24"/>
          <w:highlight w:val="none"/>
          <w:lang w:val="en-US" w:eastAsia="zh-CN"/>
        </w:rPr>
        <w:t>13</w:t>
      </w:r>
      <w:r>
        <w:rPr>
          <w:rFonts w:hint="eastAsia" w:asciiTheme="minorEastAsia" w:hAnsiTheme="minorEastAsia" w:eastAsiaTheme="minorEastAsia"/>
          <w:color w:val="auto"/>
          <w:kern w:val="0"/>
          <w:sz w:val="24"/>
          <w:highlight w:val="none"/>
        </w:rPr>
        <w:t>）；</w:t>
      </w:r>
    </w:p>
    <w:p w14:paraId="4C7757C2">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（2）报价明细表（附件1</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w:t>
      </w:r>
    </w:p>
    <w:p w14:paraId="76A59EFD">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认为其他需要说明的。</w:t>
      </w:r>
    </w:p>
    <w:p w14:paraId="17C26897">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559C571D">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应按照招标需求内容、责任范围以及合同条款进行报价。并按“开标一览表”和“报价明细表”规定的格式报出总价和分项价格。投标总价中不得包含招标文件要求以外的内容，否则，在评标时不予核减。</w:t>
      </w:r>
    </w:p>
    <w:p w14:paraId="62BFC821">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人工、服务、材料费、管理费、利润、规费、保险、税金及完成本项目所涉及的所有费用及采购代理服务费。各投标人应根据招标人提供的招标需求，以及本项目实际情况和自身的综合实力，竞报投标报价。总报价以人民币元计。投标人在投标报价时综合考虑，以后不作任何调整。</w:t>
      </w:r>
    </w:p>
    <w:p w14:paraId="335531E1">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5E1C71B0">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15248CB2">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32A61C2">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协商延长投标文件的有效期。</w:t>
      </w:r>
    </w:p>
    <w:p w14:paraId="39DFC56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65CDEE42">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33103D5F">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是联合体的，联合体牵头单位应盖章，并签署联合体牵头单位法定代表人或经其正式授权的代表的全名）。授权代表须出具书面授权证明，其《法定代表人授权书》应附在投标文件中。</w:t>
      </w:r>
    </w:p>
    <w:p w14:paraId="44F199EC">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63770999">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69DC56DA">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68A486D3">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的权利和义务将受到新的截止时间和开标时间的约束。</w:t>
      </w:r>
    </w:p>
    <w:p w14:paraId="34166293">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6806B297">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18304F9">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0866EB67">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394E69B2">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登录政采云平台，用“项目采购-开标评标”功能对投标文件进行在线解密，在线解密时间为开标时间起半个小时内；</w:t>
      </w:r>
    </w:p>
    <w:p w14:paraId="46D1ADC3">
      <w:pPr>
        <w:pStyle w:val="8"/>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w:t>
      </w:r>
      <w:r>
        <w:rPr>
          <w:rFonts w:hint="eastAsia"/>
          <w:color w:val="auto"/>
          <w:sz w:val="24"/>
          <w:szCs w:val="22"/>
          <w:highlight w:val="none"/>
          <w:lang w:eastAsia="zh-CN"/>
        </w:rPr>
        <w:t>供应商</w:t>
      </w:r>
      <w:r>
        <w:rPr>
          <w:rFonts w:hint="eastAsia"/>
          <w:color w:val="auto"/>
          <w:sz w:val="24"/>
          <w:szCs w:val="22"/>
          <w:highlight w:val="none"/>
        </w:rPr>
        <w:t>名称、投标价格和招标文件规定的需要宣布的其他内容（以开标一览表要求为准）；</w:t>
      </w:r>
    </w:p>
    <w:p w14:paraId="23A6EA6B">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7DD78723">
      <w:pPr>
        <w:pStyle w:val="8"/>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023CEF87">
      <w:pPr>
        <w:pStyle w:val="8"/>
        <w:spacing w:line="360" w:lineRule="auto"/>
        <w:ind w:firstLine="480" w:firstLineChars="200"/>
        <w:rPr>
          <w:color w:val="auto"/>
          <w:sz w:val="24"/>
          <w:szCs w:val="22"/>
          <w:highlight w:val="none"/>
        </w:rPr>
      </w:pPr>
      <w:r>
        <w:rPr>
          <w:rFonts w:hint="eastAsia"/>
          <w:color w:val="auto"/>
          <w:sz w:val="24"/>
          <w:szCs w:val="22"/>
          <w:highlight w:val="none"/>
          <w:lang w:eastAsia="zh-CN"/>
        </w:rPr>
        <w:t>供应商</w:t>
      </w:r>
      <w:r>
        <w:rPr>
          <w:rFonts w:hint="eastAsia"/>
          <w:color w:val="auto"/>
          <w:sz w:val="24"/>
          <w:szCs w:val="22"/>
          <w:highlight w:val="none"/>
        </w:rPr>
        <w:t>代表对开标过程和开标记录有疑义，以及认为采购人、采购组织机构相关工作人员有需要回避的情形的，应当场提出询问或者回避申请，开标会议结束后不再接受相关询问、质疑或者回避申请。</w:t>
      </w:r>
    </w:p>
    <w:p w14:paraId="6DBFB614">
      <w:pPr>
        <w:pStyle w:val="8"/>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lang w:eastAsia="zh-CN"/>
        </w:rPr>
        <w:t>供应商</w:t>
      </w:r>
      <w:r>
        <w:rPr>
          <w:rFonts w:hint="eastAsia"/>
          <w:color w:val="auto"/>
          <w:sz w:val="24"/>
          <w:szCs w:val="22"/>
          <w:highlight w:val="none"/>
        </w:rPr>
        <w:t>不足三家，不得开标。</w:t>
      </w:r>
    </w:p>
    <w:p w14:paraId="76DF6987">
      <w:pPr>
        <w:pStyle w:val="11"/>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12876CF9">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67BC8AD1">
      <w:pPr>
        <w:pStyle w:val="17"/>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58046325">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8B1CBB8">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3741FD54">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60298D0B">
      <w:pPr>
        <w:pStyle w:val="9"/>
        <w:numPr>
          <w:ilvl w:val="0"/>
          <w:numId w:val="6"/>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279ADB5B">
      <w:pPr>
        <w:pStyle w:val="9"/>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442B1FB8">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6E9B406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65677F94">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5481F075">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72E8CDC4">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5282AC3E">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4B1D8EB">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53044359">
      <w:pPr>
        <w:pStyle w:val="17"/>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02FDDA44">
      <w:pPr>
        <w:pStyle w:val="10"/>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33AF618C">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51C55BCC">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7B79DA53">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3BD7DF22">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B66BADB">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6555700B">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w:t>
      </w:r>
      <w:r>
        <w:rPr>
          <w:rFonts w:hint="eastAsia" w:ascii="宋体" w:hAnsi="宋体"/>
          <w:color w:val="auto"/>
          <w:sz w:val="24"/>
          <w:highlight w:val="none"/>
          <w:lang w:eastAsia="zh-CN"/>
        </w:rPr>
        <w:t>供应商</w:t>
      </w:r>
      <w:r>
        <w:rPr>
          <w:rFonts w:hint="eastAsia" w:ascii="宋体" w:hAnsi="宋体"/>
          <w:color w:val="auto"/>
          <w:sz w:val="24"/>
          <w:highlight w:val="none"/>
        </w:rPr>
        <w:t>认为招标文件、采购过程和中标结果使自己的权益受到损害的，通过政采云平台的质疑系统一次性向采购人或采购组织机构提出质疑：</w:t>
      </w:r>
    </w:p>
    <w:p w14:paraId="6BB84AEA">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认为招标文件的内容损害其权益的，应当自获取之日起（获取截止日之后收到招标文件的，以获取截止日为准）7个工作日内提出质疑；</w:t>
      </w:r>
    </w:p>
    <w:p w14:paraId="02F905D3">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对采购过程提出质疑的，应当在各采购程序环节结束之日起7个工作日内提出质疑；</w:t>
      </w:r>
    </w:p>
    <w:p w14:paraId="4B853A8F">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对中标结果提出质疑的，应当在中标结果公告期限届满之日起7个工作日内提出质疑。</w:t>
      </w:r>
    </w:p>
    <w:p w14:paraId="0B6D7AFE">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w:t>
      </w:r>
      <w:r>
        <w:rPr>
          <w:rFonts w:hint="eastAsia" w:ascii="宋体" w:hAnsi="宋体"/>
          <w:color w:val="auto"/>
          <w:sz w:val="24"/>
          <w:highlight w:val="none"/>
          <w:lang w:eastAsia="zh-CN"/>
        </w:rPr>
        <w:t>供应商</w:t>
      </w:r>
      <w:r>
        <w:rPr>
          <w:rFonts w:hint="eastAsia" w:ascii="宋体" w:hAnsi="宋体"/>
          <w:color w:val="auto"/>
          <w:sz w:val="24"/>
          <w:highlight w:val="none"/>
        </w:rPr>
        <w:t>的书面质疑后7个工作日内作出答复，并以书面形式或政采云平台回复质疑</w:t>
      </w:r>
      <w:r>
        <w:rPr>
          <w:rFonts w:hint="eastAsia" w:ascii="宋体" w:hAnsi="宋体"/>
          <w:color w:val="auto"/>
          <w:sz w:val="24"/>
          <w:highlight w:val="none"/>
          <w:lang w:eastAsia="zh-CN"/>
        </w:rPr>
        <w:t>供应商</w:t>
      </w:r>
      <w:r>
        <w:rPr>
          <w:rFonts w:hint="eastAsia" w:ascii="宋体" w:hAnsi="宋体"/>
          <w:color w:val="auto"/>
          <w:sz w:val="24"/>
          <w:highlight w:val="none"/>
        </w:rPr>
        <w:t>和其他有关</w:t>
      </w:r>
      <w:r>
        <w:rPr>
          <w:rFonts w:hint="eastAsia" w:ascii="宋体" w:hAnsi="宋体"/>
          <w:color w:val="auto"/>
          <w:sz w:val="24"/>
          <w:highlight w:val="none"/>
          <w:lang w:eastAsia="zh-CN"/>
        </w:rPr>
        <w:t>供应商</w:t>
      </w:r>
      <w:r>
        <w:rPr>
          <w:rFonts w:hint="eastAsia" w:ascii="宋体" w:hAnsi="宋体"/>
          <w:color w:val="auto"/>
          <w:sz w:val="24"/>
          <w:highlight w:val="none"/>
        </w:rPr>
        <w:t>，但答复内容不涉及商业秘密。</w:t>
      </w:r>
    </w:p>
    <w:p w14:paraId="46083FF0">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786368C">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6BC35B50">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对采购人或采购组织机构的质疑答复不满意或在规定时间内未得到答复的，可以在答复期满后15个工作日内，向同级政府采购监督管理机构投诉。</w:t>
      </w:r>
    </w:p>
    <w:p w14:paraId="23FA6B10">
      <w:pPr>
        <w:pStyle w:val="9"/>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7ED00B6E">
      <w:pPr>
        <w:numPr>
          <w:ilvl w:val="0"/>
          <w:numId w:val="4"/>
        </w:numPr>
        <w:spacing w:line="360" w:lineRule="auto"/>
        <w:jc w:val="center"/>
        <w:rPr>
          <w:rFonts w:asciiTheme="minorEastAsia" w:hAnsiTheme="minorEastAsia" w:eastAsiaTheme="minorEastAsia"/>
          <w:b/>
          <w:color w:val="auto"/>
          <w:sz w:val="36"/>
          <w:szCs w:val="36"/>
          <w:highlight w:val="none"/>
        </w:rPr>
      </w:pPr>
      <w:bookmarkStart w:id="38" w:name="_Toc13072_WPSOffice_Level1"/>
      <w:r>
        <w:rPr>
          <w:rFonts w:hint="eastAsia" w:asciiTheme="minorEastAsia" w:hAnsiTheme="minorEastAsia" w:eastAsiaTheme="minorEastAsia"/>
          <w:b/>
          <w:color w:val="auto"/>
          <w:sz w:val="36"/>
          <w:szCs w:val="36"/>
          <w:highlight w:val="none"/>
        </w:rPr>
        <w:t>招标需求</w:t>
      </w:r>
      <w:bookmarkEnd w:id="38"/>
    </w:p>
    <w:p w14:paraId="3899175D">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招标项目一览表</w:t>
      </w:r>
    </w:p>
    <w:p w14:paraId="691B2708">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个标项，具体内容如下表：</w:t>
      </w:r>
    </w:p>
    <w:tbl>
      <w:tblPr>
        <w:tblStyle w:val="20"/>
        <w:tblpPr w:leftFromText="181" w:rightFromText="181" w:bottomFromText="170" w:vertAnchor="text" w:tblpXSpec="center" w:tblpY="1"/>
        <w:tblOverlap w:val="never"/>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00"/>
        <w:gridCol w:w="1605"/>
        <w:gridCol w:w="660"/>
        <w:gridCol w:w="720"/>
        <w:gridCol w:w="1005"/>
        <w:gridCol w:w="1105"/>
        <w:gridCol w:w="1105"/>
      </w:tblGrid>
      <w:tr w14:paraId="6AEE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1DEC5F57">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标项号</w:t>
            </w:r>
          </w:p>
        </w:tc>
        <w:tc>
          <w:tcPr>
            <w:tcW w:w="2700" w:type="dxa"/>
            <w:vAlign w:val="center"/>
          </w:tcPr>
          <w:p w14:paraId="586CA960">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项目名称</w:t>
            </w:r>
          </w:p>
        </w:tc>
        <w:tc>
          <w:tcPr>
            <w:tcW w:w="1605" w:type="dxa"/>
            <w:vAlign w:val="center"/>
          </w:tcPr>
          <w:p w14:paraId="29DA9545">
            <w:pPr>
              <w:tabs>
                <w:tab w:val="left" w:pos="8280"/>
              </w:tabs>
              <w:autoSpaceDE w:val="0"/>
              <w:autoSpaceDN w:val="0"/>
              <w:adjustRightInd w:val="0"/>
              <w:jc w:val="center"/>
              <w:rPr>
                <w:rFonts w:ascii="宋体"/>
                <w:b/>
                <w:color w:val="auto"/>
                <w:szCs w:val="21"/>
                <w:highlight w:val="none"/>
              </w:rPr>
            </w:pPr>
            <w:r>
              <w:rPr>
                <w:rFonts w:hint="eastAsia" w:ascii="宋体" w:hAnsi="宋体" w:cs="宋体"/>
                <w:b/>
                <w:color w:val="auto"/>
                <w:kern w:val="0"/>
                <w:szCs w:val="21"/>
                <w:highlight w:val="none"/>
              </w:rPr>
              <w:t>简要技术要求</w:t>
            </w:r>
          </w:p>
        </w:tc>
        <w:tc>
          <w:tcPr>
            <w:tcW w:w="660" w:type="dxa"/>
            <w:vAlign w:val="center"/>
          </w:tcPr>
          <w:p w14:paraId="11DE40DD">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数量</w:t>
            </w:r>
          </w:p>
        </w:tc>
        <w:tc>
          <w:tcPr>
            <w:tcW w:w="720" w:type="dxa"/>
            <w:vAlign w:val="center"/>
          </w:tcPr>
          <w:p w14:paraId="219A0D9E">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单位</w:t>
            </w:r>
          </w:p>
        </w:tc>
        <w:tc>
          <w:tcPr>
            <w:tcW w:w="1005" w:type="dxa"/>
            <w:vAlign w:val="center"/>
          </w:tcPr>
          <w:p w14:paraId="715CF472">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总预算（万元）</w:t>
            </w:r>
          </w:p>
        </w:tc>
        <w:tc>
          <w:tcPr>
            <w:tcW w:w="1105" w:type="dxa"/>
            <w:vAlign w:val="center"/>
          </w:tcPr>
          <w:p w14:paraId="183BD82C">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最高限价（万元）</w:t>
            </w:r>
          </w:p>
        </w:tc>
        <w:tc>
          <w:tcPr>
            <w:tcW w:w="1105" w:type="dxa"/>
            <w:vAlign w:val="center"/>
          </w:tcPr>
          <w:p w14:paraId="029B1889">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备注</w:t>
            </w:r>
          </w:p>
        </w:tc>
      </w:tr>
      <w:tr w14:paraId="0390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51" w:type="dxa"/>
            <w:vAlign w:val="center"/>
          </w:tcPr>
          <w:p w14:paraId="7D184AAE">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b/>
                <w:color w:val="auto"/>
                <w:szCs w:val="21"/>
                <w:highlight w:val="none"/>
              </w:rPr>
              <w:t>1</w:t>
            </w:r>
          </w:p>
        </w:tc>
        <w:tc>
          <w:tcPr>
            <w:tcW w:w="2700" w:type="dxa"/>
            <w:vAlign w:val="center"/>
          </w:tcPr>
          <w:p w14:paraId="3C783173">
            <w:pPr>
              <w:tabs>
                <w:tab w:val="left" w:pos="8280"/>
              </w:tabs>
              <w:autoSpaceDE w:val="0"/>
              <w:autoSpaceDN w:val="0"/>
              <w:adjustRightInd w:val="0"/>
              <w:rPr>
                <w:rFonts w:ascii="宋体" w:hAnsi="宋体" w:cs="宋体"/>
                <w:b/>
                <w:color w:val="auto"/>
                <w:szCs w:val="21"/>
                <w:highlight w:val="none"/>
              </w:rPr>
            </w:pP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年松材线虫病除治质量抽样检测项目</w:t>
            </w:r>
          </w:p>
        </w:tc>
        <w:tc>
          <w:tcPr>
            <w:tcW w:w="1605" w:type="dxa"/>
            <w:vAlign w:val="center"/>
          </w:tcPr>
          <w:p w14:paraId="2CBA9138">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color w:val="auto"/>
                <w:szCs w:val="21"/>
                <w:highlight w:val="none"/>
              </w:rPr>
              <w:t>详见技术需求</w:t>
            </w:r>
          </w:p>
        </w:tc>
        <w:tc>
          <w:tcPr>
            <w:tcW w:w="660" w:type="dxa"/>
            <w:vAlign w:val="center"/>
          </w:tcPr>
          <w:p w14:paraId="6C0F5BF7">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20" w:type="dxa"/>
            <w:vAlign w:val="center"/>
          </w:tcPr>
          <w:p w14:paraId="697C03F6">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005" w:type="dxa"/>
            <w:vAlign w:val="center"/>
          </w:tcPr>
          <w:p w14:paraId="46ECDB77">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60</w:t>
            </w:r>
          </w:p>
        </w:tc>
        <w:tc>
          <w:tcPr>
            <w:tcW w:w="1105" w:type="dxa"/>
            <w:vAlign w:val="center"/>
          </w:tcPr>
          <w:p w14:paraId="154B1BFF">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bCs/>
                <w:color w:val="auto"/>
                <w:szCs w:val="21"/>
                <w:highlight w:val="none"/>
              </w:rPr>
              <w:t>60</w:t>
            </w:r>
          </w:p>
        </w:tc>
        <w:tc>
          <w:tcPr>
            <w:tcW w:w="1105" w:type="dxa"/>
            <w:vAlign w:val="center"/>
          </w:tcPr>
          <w:p w14:paraId="73E1A3D3">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w:t>
            </w:r>
          </w:p>
        </w:tc>
      </w:tr>
    </w:tbl>
    <w:p w14:paraId="4FBD6BEE">
      <w:pPr>
        <w:widowControl/>
        <w:adjustRightInd w:val="0"/>
        <w:spacing w:line="360" w:lineRule="auto"/>
        <w:ind w:firstLine="422" w:firstLineChars="200"/>
        <w:rPr>
          <w:rFonts w:ascii="宋体" w:hAnsi="宋体"/>
          <w:b/>
          <w:color w:val="auto"/>
          <w:kern w:val="0"/>
          <w:szCs w:val="21"/>
          <w:highlight w:val="none"/>
        </w:rPr>
      </w:pPr>
      <w:bookmarkStart w:id="39" w:name="_Toc24474"/>
      <w:r>
        <w:rPr>
          <w:rFonts w:hint="eastAsia" w:cs="黑体" w:asciiTheme="minorEastAsia" w:hAnsiTheme="minorEastAsia" w:eastAsiaTheme="minorEastAsia"/>
          <w:b/>
          <w:color w:val="auto"/>
          <w:szCs w:val="21"/>
          <w:highlight w:val="none"/>
        </w:rPr>
        <w:t>一、项目概况</w:t>
      </w:r>
    </w:p>
    <w:p w14:paraId="33E959A1">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w:t>
      </w:r>
      <w:r>
        <w:rPr>
          <w:rFonts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4</w:t>
      </w:r>
      <w:r>
        <w:rPr>
          <w:rFonts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rPr>
        <w:t>疫情</w:t>
      </w:r>
      <w:r>
        <w:rPr>
          <w:rFonts w:asciiTheme="minorEastAsia" w:hAnsiTheme="minorEastAsia" w:eastAsiaTheme="minorEastAsia"/>
          <w:color w:val="auto"/>
          <w:szCs w:val="21"/>
          <w:highlight w:val="none"/>
        </w:rPr>
        <w:t>秋季</w:t>
      </w:r>
      <w:r>
        <w:rPr>
          <w:rFonts w:hint="eastAsia" w:asciiTheme="minorEastAsia" w:hAnsiTheme="minorEastAsia" w:eastAsiaTheme="minorEastAsia"/>
          <w:color w:val="auto"/>
          <w:szCs w:val="21"/>
          <w:highlight w:val="none"/>
        </w:rPr>
        <w:t>普查</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台州市</w:t>
      </w:r>
      <w:r>
        <w:rPr>
          <w:rFonts w:asciiTheme="minorEastAsia" w:hAnsiTheme="minorEastAsia" w:eastAsiaTheme="minorEastAsia"/>
          <w:color w:val="auto"/>
          <w:szCs w:val="21"/>
          <w:highlight w:val="none"/>
        </w:rPr>
        <w:t>松材线虫病疫情发生</w:t>
      </w:r>
      <w:r>
        <w:rPr>
          <w:rFonts w:asciiTheme="minorEastAsia" w:hAnsiTheme="minorEastAsia" w:eastAsiaTheme="minorEastAsia"/>
          <w:b w:val="0"/>
          <w:bCs w:val="0"/>
          <w:color w:val="auto"/>
          <w:szCs w:val="21"/>
          <w:highlight w:val="none"/>
        </w:rPr>
        <w:t>面积</w:t>
      </w:r>
      <w:r>
        <w:rPr>
          <w:rFonts w:hint="eastAsia" w:asciiTheme="minorEastAsia" w:hAnsiTheme="minorEastAsia" w:eastAsiaTheme="minorEastAsia"/>
          <w:b w:val="0"/>
          <w:bCs w:val="0"/>
          <w:color w:val="auto"/>
          <w:szCs w:val="21"/>
          <w:highlight w:val="none"/>
          <w:lang w:val="en-US" w:eastAsia="zh-CN"/>
        </w:rPr>
        <w:t>66.8</w:t>
      </w:r>
      <w:r>
        <w:rPr>
          <w:rFonts w:asciiTheme="minorEastAsia" w:hAnsiTheme="minorEastAsia" w:eastAsiaTheme="minorEastAsia"/>
          <w:b w:val="0"/>
          <w:bCs w:val="0"/>
          <w:color w:val="auto"/>
          <w:szCs w:val="21"/>
          <w:highlight w:val="none"/>
        </w:rPr>
        <w:t>万亩，</w:t>
      </w:r>
      <w:r>
        <w:rPr>
          <w:rFonts w:hint="eastAsia" w:asciiTheme="minorEastAsia" w:hAnsiTheme="minorEastAsia" w:eastAsiaTheme="minorEastAsia"/>
          <w:b w:val="0"/>
          <w:bCs w:val="0"/>
          <w:color w:val="auto"/>
          <w:szCs w:val="21"/>
          <w:highlight w:val="none"/>
          <w:lang w:val="en-US" w:eastAsia="zh-CN"/>
        </w:rPr>
        <w:t>病死树26.4万株</w:t>
      </w:r>
      <w:r>
        <w:rPr>
          <w:rFonts w:hint="eastAsia" w:asciiTheme="minorEastAsia" w:hAnsiTheme="minorEastAsia" w:eastAsiaTheme="minorEastAsia"/>
          <w:b w:val="0"/>
          <w:bCs w:val="0"/>
          <w:color w:val="auto"/>
          <w:szCs w:val="21"/>
          <w:highlight w:val="none"/>
        </w:rPr>
        <w:t>。根据《松材线虫病防治技术方案（2022年版）》，202</w:t>
      </w:r>
      <w:r>
        <w:rPr>
          <w:rFonts w:hint="eastAsia" w:asciiTheme="minorEastAsia" w:hAnsiTheme="minorEastAsia" w:eastAsiaTheme="minorEastAsia"/>
          <w:b w:val="0"/>
          <w:bCs w:val="0"/>
          <w:color w:val="auto"/>
          <w:szCs w:val="21"/>
          <w:highlight w:val="none"/>
          <w:lang w:val="en-US" w:eastAsia="zh-CN"/>
        </w:rPr>
        <w:t>5</w:t>
      </w:r>
      <w:r>
        <w:rPr>
          <w:rFonts w:hint="eastAsia" w:asciiTheme="minorEastAsia" w:hAnsiTheme="minorEastAsia" w:eastAsiaTheme="minorEastAsia"/>
          <w:b w:val="0"/>
          <w:bCs w:val="0"/>
          <w:color w:val="auto"/>
          <w:szCs w:val="21"/>
          <w:highlight w:val="none"/>
        </w:rPr>
        <w:t>年3月底之前必须全面完成</w:t>
      </w:r>
      <w:r>
        <w:rPr>
          <w:rFonts w:hint="eastAsia" w:asciiTheme="minorEastAsia" w:hAnsiTheme="minorEastAsia" w:eastAsiaTheme="minorEastAsia"/>
          <w:b w:val="0"/>
          <w:bCs w:val="0"/>
          <w:color w:val="auto"/>
          <w:szCs w:val="21"/>
          <w:highlight w:val="none"/>
          <w:lang w:val="en-US" w:eastAsia="zh-CN"/>
        </w:rPr>
        <w:t>66.8万亩、26.4万株</w:t>
      </w:r>
      <w:r>
        <w:rPr>
          <w:rFonts w:hint="eastAsia" w:asciiTheme="minorEastAsia" w:hAnsiTheme="minorEastAsia" w:eastAsiaTheme="minorEastAsia"/>
          <w:b w:val="0"/>
          <w:bCs w:val="0"/>
          <w:color w:val="auto"/>
          <w:szCs w:val="21"/>
          <w:highlight w:val="none"/>
        </w:rPr>
        <w:t>年度除治任务，5-9月期间，对所有发生区域开展“即现即</w:t>
      </w:r>
      <w:r>
        <w:rPr>
          <w:rFonts w:hint="eastAsia" w:asciiTheme="minorEastAsia" w:hAnsiTheme="minorEastAsia" w:eastAsiaTheme="minorEastAsia"/>
          <w:color w:val="auto"/>
          <w:szCs w:val="21"/>
          <w:highlight w:val="none"/>
        </w:rPr>
        <w:t>清”，</w:t>
      </w:r>
      <w:r>
        <w:rPr>
          <w:rFonts w:asciiTheme="minorEastAsia" w:hAnsiTheme="minorEastAsia" w:eastAsiaTheme="minorEastAsia"/>
          <w:color w:val="auto"/>
          <w:szCs w:val="21"/>
          <w:highlight w:val="none"/>
        </w:rPr>
        <w:t>防治任务时间紧、任务重。目前，</w:t>
      </w:r>
      <w:r>
        <w:rPr>
          <w:rFonts w:hint="eastAsia" w:asciiTheme="minorEastAsia" w:hAnsiTheme="minorEastAsia" w:eastAsiaTheme="minorEastAsia"/>
          <w:color w:val="auto"/>
          <w:szCs w:val="21"/>
          <w:highlight w:val="none"/>
        </w:rPr>
        <w:t>各疫情县（市、区）</w:t>
      </w:r>
      <w:r>
        <w:rPr>
          <w:rFonts w:asciiTheme="minorEastAsia" w:hAnsiTheme="minorEastAsia" w:eastAsiaTheme="minorEastAsia"/>
          <w:color w:val="auto"/>
          <w:szCs w:val="21"/>
          <w:highlight w:val="none"/>
        </w:rPr>
        <w:t>松材线虫病除治工作已</w:t>
      </w:r>
      <w:r>
        <w:rPr>
          <w:rFonts w:hint="eastAsia" w:asciiTheme="minorEastAsia" w:hAnsiTheme="minorEastAsia" w:eastAsiaTheme="minorEastAsia"/>
          <w:color w:val="auto"/>
          <w:szCs w:val="21"/>
          <w:highlight w:val="none"/>
        </w:rPr>
        <w:t>全面开展。</w:t>
      </w:r>
      <w:r>
        <w:rPr>
          <w:rFonts w:asciiTheme="minorEastAsia" w:hAnsiTheme="minorEastAsia" w:eastAsiaTheme="minorEastAsia"/>
          <w:color w:val="auto"/>
          <w:szCs w:val="21"/>
          <w:highlight w:val="none"/>
        </w:rPr>
        <w:t>为加强对各地除治进度、除治质量和</w:t>
      </w:r>
      <w:r>
        <w:rPr>
          <w:rFonts w:hint="eastAsia" w:asciiTheme="minorEastAsia" w:hAnsiTheme="minorEastAsia" w:eastAsiaTheme="minorEastAsia"/>
          <w:color w:val="auto"/>
          <w:szCs w:val="21"/>
          <w:highlight w:val="none"/>
        </w:rPr>
        <w:t>疫木处置的监察，确保除治成效，拟开展除治质量抽样检测项目。</w:t>
      </w:r>
    </w:p>
    <w:p w14:paraId="42F97C95">
      <w:pPr>
        <w:spacing w:line="440" w:lineRule="exact"/>
        <w:ind w:firstLine="422" w:firstLineChars="200"/>
        <w:rPr>
          <w:rFonts w:cs="黑体" w:asciiTheme="minorEastAsia" w:hAnsiTheme="minorEastAsia" w:eastAsiaTheme="minorEastAsia"/>
          <w:b/>
          <w:color w:val="auto"/>
          <w:szCs w:val="21"/>
          <w:highlight w:val="none"/>
        </w:rPr>
      </w:pPr>
      <w:r>
        <w:rPr>
          <w:rFonts w:hint="eastAsia" w:cs="黑体" w:asciiTheme="minorEastAsia" w:hAnsiTheme="minorEastAsia" w:eastAsiaTheme="minorEastAsia"/>
          <w:b/>
          <w:color w:val="auto"/>
          <w:szCs w:val="21"/>
          <w:highlight w:val="none"/>
        </w:rPr>
        <w:t>二、服务内容及抽样检测项目实施要求</w:t>
      </w:r>
    </w:p>
    <w:p w14:paraId="0197ACAC">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对全市8</w:t>
      </w:r>
      <w:r>
        <w:rPr>
          <w:rFonts w:cs="黑体" w:asciiTheme="minorEastAsia" w:hAnsiTheme="minorEastAsia" w:eastAsiaTheme="minorEastAsia"/>
          <w:color w:val="auto"/>
          <w:szCs w:val="21"/>
          <w:highlight w:val="none"/>
        </w:rPr>
        <w:t>个松材线虫病疫区的</w:t>
      </w:r>
      <w:r>
        <w:rPr>
          <w:rFonts w:hint="eastAsia" w:cs="黑体" w:asciiTheme="minorEastAsia" w:hAnsiTheme="minorEastAsia" w:eastAsiaTheme="minorEastAsia"/>
          <w:color w:val="auto"/>
          <w:szCs w:val="21"/>
          <w:highlight w:val="none"/>
        </w:rPr>
        <w:t>疫木集中除治和</w:t>
      </w:r>
      <w:r>
        <w:rPr>
          <w:rFonts w:hint="eastAsia" w:asciiTheme="minorEastAsia" w:hAnsiTheme="minorEastAsia" w:eastAsiaTheme="minorEastAsia"/>
          <w:color w:val="auto"/>
          <w:szCs w:val="21"/>
          <w:highlight w:val="none"/>
        </w:rPr>
        <w:t>即现即清</w:t>
      </w:r>
      <w:r>
        <w:rPr>
          <w:rFonts w:hint="eastAsia" w:cs="黑体" w:asciiTheme="minorEastAsia" w:hAnsiTheme="minorEastAsia" w:eastAsiaTheme="minorEastAsia"/>
          <w:color w:val="auto"/>
          <w:szCs w:val="21"/>
          <w:highlight w:val="none"/>
        </w:rPr>
        <w:t>过程开展抽样检测，包括内业抽样检测和外业抽样检测两部分内容。</w:t>
      </w:r>
    </w:p>
    <w:p w14:paraId="4E90D15B">
      <w:pPr>
        <w:spacing w:line="440" w:lineRule="exact"/>
        <w:ind w:firstLine="422" w:firstLineChars="200"/>
        <w:rPr>
          <w:rFonts w:cs="黑体" w:asciiTheme="minorEastAsia" w:hAnsiTheme="minorEastAsia" w:eastAsiaTheme="minorEastAsia"/>
          <w:b/>
          <w:color w:val="auto"/>
          <w:szCs w:val="21"/>
          <w:highlight w:val="none"/>
        </w:rPr>
      </w:pP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1）内</w:t>
      </w:r>
      <w:r>
        <w:rPr>
          <w:rFonts w:hint="eastAsia" w:cs="黑体" w:asciiTheme="minorEastAsia" w:hAnsiTheme="minorEastAsia" w:eastAsiaTheme="minorEastAsia"/>
          <w:b/>
          <w:color w:val="auto"/>
          <w:szCs w:val="21"/>
          <w:highlight w:val="none"/>
        </w:rPr>
        <w:t>业抽检内容</w:t>
      </w:r>
    </w:p>
    <w:p w14:paraId="3715326F">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按照《浙江“数字森防”应用场景管理办法（试行）》要求，抽检疫区和疫情乡镇上传防治数据情况；除治进度安排等情况；防治作业合同是否落实防治保证金制度；防治作业面积范围是否包含全部疫情发生范围；采取的防治技术、管理措施、采购文件等是否符合松材线虫病防治工作要求等。</w:t>
      </w:r>
    </w:p>
    <w:p w14:paraId="11200D48">
      <w:pPr>
        <w:spacing w:line="440" w:lineRule="exact"/>
        <w:ind w:firstLine="420" w:firstLineChars="200"/>
        <w:rPr>
          <w:rFonts w:cs="黑体" w:asciiTheme="minorEastAsia" w:hAnsiTheme="minorEastAsia" w:eastAsiaTheme="minorEastAsia"/>
          <w:b/>
          <w:color w:val="auto"/>
          <w:szCs w:val="21"/>
          <w:highlight w:val="none"/>
        </w:rPr>
      </w:pPr>
      <w:r>
        <w:rPr>
          <w:rFonts w:hint="eastAsia" w:ascii="宋体" w:hAnsi="宋体" w:cs="宋体"/>
          <w:color w:val="auto"/>
          <w:szCs w:val="21"/>
          <w:highlight w:val="none"/>
        </w:rPr>
        <w:t>▲</w:t>
      </w: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2）外业抽样检测内容和要求</w:t>
      </w:r>
    </w:p>
    <w:p w14:paraId="296C320C">
      <w:pPr>
        <w:spacing w:line="440" w:lineRule="exact"/>
        <w:ind w:firstLine="422" w:firstLineChars="200"/>
        <w:rPr>
          <w:rFonts w:cs="黑体" w:asciiTheme="minorEastAsia" w:hAnsiTheme="minorEastAsia" w:eastAsiaTheme="minorEastAsia"/>
          <w:b/>
          <w:color w:val="auto"/>
          <w:szCs w:val="21"/>
          <w:highlight w:val="none"/>
        </w:rPr>
      </w:pPr>
      <w:r>
        <w:rPr>
          <w:rFonts w:cs="黑体" w:asciiTheme="minorEastAsia" w:hAnsiTheme="minorEastAsia" w:eastAsiaTheme="minorEastAsia"/>
          <w:b/>
          <w:color w:val="auto"/>
          <w:szCs w:val="21"/>
          <w:highlight w:val="none"/>
        </w:rPr>
        <w:t>1）</w:t>
      </w:r>
      <w:r>
        <w:rPr>
          <w:rFonts w:hint="eastAsia" w:cs="黑体" w:asciiTheme="minorEastAsia" w:hAnsiTheme="minorEastAsia" w:eastAsiaTheme="minorEastAsia"/>
          <w:b/>
          <w:color w:val="auto"/>
          <w:szCs w:val="21"/>
          <w:highlight w:val="none"/>
        </w:rPr>
        <w:t>抽检</w:t>
      </w:r>
      <w:r>
        <w:rPr>
          <w:rFonts w:cs="黑体" w:asciiTheme="minorEastAsia" w:hAnsiTheme="minorEastAsia" w:eastAsiaTheme="minorEastAsia"/>
          <w:b/>
          <w:color w:val="auto"/>
          <w:szCs w:val="21"/>
          <w:highlight w:val="none"/>
        </w:rPr>
        <w:t>内容：</w:t>
      </w:r>
    </w:p>
    <w:p w14:paraId="402B2185">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①利用“数字森防”和手机APP，抽检目标乡镇的除治作业，包括除治山场的除治质量和标准、伐桩及周围山场是否清理干净、枝桠是否连同松材全部清理下山。集中除治结束后，配合使用无人机监测等手段，抽检乡镇境内是否有未除治的松材线虫病发生山场。</w:t>
      </w:r>
    </w:p>
    <w:p w14:paraId="18846732">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②抽检乡镇落实除治工作要求情况，</w:t>
      </w:r>
      <w:r>
        <w:rPr>
          <w:rFonts w:hint="eastAsia" w:ascii="宋体" w:hAnsi="宋体" w:cs="方正仿宋_GB2312"/>
          <w:color w:val="auto"/>
          <w:szCs w:val="21"/>
          <w:highlight w:val="none"/>
        </w:rPr>
        <w:t>对乡镇除治验收资料进行抽检</w:t>
      </w:r>
      <w:r>
        <w:rPr>
          <w:rFonts w:hint="eastAsia" w:cs="黑体" w:asciiTheme="minorEastAsia" w:hAnsiTheme="minorEastAsia" w:eastAsiaTheme="minorEastAsia"/>
          <w:color w:val="auto"/>
          <w:szCs w:val="21"/>
          <w:highlight w:val="none"/>
        </w:rPr>
        <w:t>。</w:t>
      </w:r>
    </w:p>
    <w:p w14:paraId="52DF10C6">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③抽检清理下山的疫木去向和除害处理，抽检该县的疫木定点加工企业是否按要求进行除害。</w:t>
      </w:r>
    </w:p>
    <w:p w14:paraId="6F780C6E">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④</w:t>
      </w:r>
      <w:r>
        <w:rPr>
          <w:rFonts w:hint="eastAsia" w:ascii="宋体" w:hAnsi="宋体" w:cs="方正仿宋_GB2312"/>
          <w:color w:val="auto"/>
          <w:szCs w:val="21"/>
          <w:highlight w:val="none"/>
        </w:rPr>
        <w:t>集中除治期结束后，抽检过程中，凡是在抽检的区域</w:t>
      </w:r>
      <w:r>
        <w:rPr>
          <w:rFonts w:ascii="宋体" w:hAnsi="宋体" w:cs="方正仿宋_GB2312"/>
          <w:color w:val="auto"/>
          <w:szCs w:val="21"/>
          <w:highlight w:val="none"/>
        </w:rPr>
        <w:t>境内尤其是“四边”区域</w:t>
      </w:r>
      <w:r>
        <w:rPr>
          <w:rFonts w:hint="eastAsia" w:ascii="宋体" w:hAnsi="宋体" w:cs="方正仿宋_GB2312"/>
          <w:color w:val="auto"/>
          <w:szCs w:val="21"/>
          <w:highlight w:val="none"/>
        </w:rPr>
        <w:t>发现有病枯死树的，都应记录上报。</w:t>
      </w:r>
    </w:p>
    <w:p w14:paraId="7203FE72">
      <w:pPr>
        <w:spacing w:line="440" w:lineRule="exact"/>
        <w:ind w:firstLine="422" w:firstLineChars="200"/>
        <w:rPr>
          <w:rFonts w:cs="黑体" w:asciiTheme="minorEastAsia" w:hAnsiTheme="minorEastAsia" w:eastAsiaTheme="minorEastAsia"/>
          <w:b/>
          <w:color w:val="auto"/>
          <w:szCs w:val="21"/>
          <w:highlight w:val="none"/>
        </w:rPr>
      </w:pPr>
      <w:r>
        <w:rPr>
          <w:rFonts w:cs="黑体" w:asciiTheme="minorEastAsia" w:hAnsiTheme="minorEastAsia" w:eastAsiaTheme="minorEastAsia"/>
          <w:b/>
          <w:color w:val="auto"/>
          <w:szCs w:val="21"/>
          <w:highlight w:val="none"/>
        </w:rPr>
        <w:t>2）抽检要求：</w:t>
      </w:r>
    </w:p>
    <w:p w14:paraId="247A84FB">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①除治进度：通过踏查和无人机航拍数据采集相结合的方式对抽样检测区域的行政乡镇除治开工、进展和完成情况进行抽样检测，同时做好抽样检测日志记录。</w:t>
      </w:r>
    </w:p>
    <w:p w14:paraId="7342141D">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②除治质量：使用浙江省“数字森防”平台随机抽取疫区范围内部分除治小班，对已经完工的除治现场进行抽样检测。每个小班至少检查1</w:t>
      </w:r>
      <w:r>
        <w:rPr>
          <w:rFonts w:cs="黑体" w:asciiTheme="minorEastAsia" w:hAnsiTheme="minorEastAsia" w:eastAsiaTheme="minorEastAsia"/>
          <w:color w:val="auto"/>
          <w:szCs w:val="21"/>
          <w:highlight w:val="none"/>
        </w:rPr>
        <w:t>0个伐桩，如小班内伐桩数不足</w:t>
      </w:r>
      <w:r>
        <w:rPr>
          <w:rFonts w:hint="eastAsia" w:cs="黑体" w:asciiTheme="minorEastAsia" w:hAnsiTheme="minorEastAsia" w:eastAsiaTheme="minorEastAsia"/>
          <w:color w:val="auto"/>
          <w:szCs w:val="21"/>
          <w:highlight w:val="none"/>
        </w:rPr>
        <w:t>1</w:t>
      </w:r>
      <w:r>
        <w:rPr>
          <w:rFonts w:cs="黑体" w:asciiTheme="minorEastAsia" w:hAnsiTheme="minorEastAsia" w:eastAsiaTheme="minorEastAsia"/>
          <w:color w:val="auto"/>
          <w:szCs w:val="21"/>
          <w:highlight w:val="none"/>
        </w:rPr>
        <w:t>0个，则该小班内全部伐桩均需检查。对每个伐桩用钢卷尺进行高度测量，用“数字森防”APP拍照记录，同时记录伐桩周边是否留有枝桠情况，该小班范围内是否留有未伐枯死木，并做好抽样检测地块、伐桩位置、抽样检测小班信息等的记录。要求伐桩的高度离地面不超出5 cm，小班内直径1cm以上的枝桠均需随</w:t>
      </w:r>
      <w:r>
        <w:rPr>
          <w:rFonts w:hint="eastAsia" w:cs="黑体" w:asciiTheme="minorEastAsia" w:hAnsiTheme="minorEastAsia" w:eastAsiaTheme="minorEastAsia"/>
          <w:color w:val="auto"/>
          <w:szCs w:val="21"/>
          <w:highlight w:val="none"/>
        </w:rPr>
        <w:t>疫木同时下山。</w:t>
      </w:r>
    </w:p>
    <w:p w14:paraId="68F6BCBB">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③疫木管理：抽检疫木加工企业台账及处置现场，通过“数字森防”</w:t>
      </w:r>
      <w:r>
        <w:rPr>
          <w:rFonts w:cs="黑体" w:asciiTheme="minorEastAsia" w:hAnsiTheme="minorEastAsia" w:eastAsiaTheme="minorEastAsia"/>
          <w:color w:val="auto"/>
          <w:szCs w:val="21"/>
          <w:highlight w:val="none"/>
        </w:rPr>
        <w:t>APP拍照取证，并做好相关抽样检测记录。在除治质量抽样检测的同时对房前屋后</w:t>
      </w:r>
      <w:r>
        <w:rPr>
          <w:rFonts w:hint="eastAsia" w:cs="黑体" w:asciiTheme="minorEastAsia" w:hAnsiTheme="minorEastAsia" w:eastAsiaTheme="minorEastAsia"/>
          <w:color w:val="auto"/>
          <w:szCs w:val="21"/>
          <w:highlight w:val="none"/>
        </w:rPr>
        <w:t>疫木情况进行调查，</w:t>
      </w:r>
      <w:r>
        <w:rPr>
          <w:rFonts w:hint="eastAsia" w:ascii="宋体" w:hAnsi="宋体" w:cs="方正仿宋_GB2312"/>
          <w:color w:val="auto"/>
          <w:szCs w:val="21"/>
          <w:highlight w:val="none"/>
        </w:rPr>
        <w:t>对距离抽检小班最近的一个或多个行政村房前屋后疫木情况进行抽检并上传问题照片。</w:t>
      </w:r>
    </w:p>
    <w:p w14:paraId="736B13D1">
      <w:pPr>
        <w:spacing w:line="440" w:lineRule="exact"/>
        <w:ind w:firstLine="422" w:firstLineChars="200"/>
        <w:rPr>
          <w:rFonts w:cs="黑体" w:asciiTheme="minorEastAsia" w:hAnsiTheme="minorEastAsia" w:eastAsiaTheme="minorEastAsia"/>
          <w:b/>
          <w:color w:val="auto"/>
          <w:szCs w:val="21"/>
          <w:highlight w:val="none"/>
        </w:rPr>
      </w:pP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3）抽样检测工作依据</w:t>
      </w:r>
    </w:p>
    <w:p w14:paraId="027DDDA5">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国家林业和草原局《松材线虫病疫区和疫木管理办法》《全国松材线虫病疫情防控五年攻坚行动计划（2021—2025年）》《关于科学防控松材线虫病疫情的指导意见》以及《浙江省松材线虫病防治条例》《浙江省松材线虫病疫情防控五年攻坚行动计划（2021—2025年）》《浙江“数字森防”应用场景管理办法（试行）》等。</w:t>
      </w:r>
    </w:p>
    <w:p w14:paraId="3BF77F7C">
      <w:pPr>
        <w:spacing w:line="440" w:lineRule="exact"/>
        <w:ind w:firstLine="422" w:firstLineChars="200"/>
        <w:rPr>
          <w:rFonts w:cs="黑体" w:asciiTheme="minorEastAsia" w:hAnsiTheme="minorEastAsia" w:eastAsiaTheme="minorEastAsia"/>
          <w:b/>
          <w:color w:val="auto"/>
          <w:szCs w:val="21"/>
          <w:highlight w:val="none"/>
        </w:rPr>
      </w:pP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4）抽样检测工作质量标准</w:t>
      </w:r>
    </w:p>
    <w:p w14:paraId="03E240EA">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国家林业和草原局关于印发《松材线虫病防治技术方案（2022年版）》</w:t>
      </w:r>
      <w:r>
        <w:rPr>
          <w:rFonts w:cs="黑体" w:asciiTheme="minorEastAsia" w:hAnsiTheme="minorEastAsia" w:eastAsiaTheme="minorEastAsia"/>
          <w:color w:val="auto"/>
          <w:szCs w:val="21"/>
          <w:highlight w:val="none"/>
        </w:rPr>
        <w:t>的通知（林生发〔202</w:t>
      </w:r>
      <w:r>
        <w:rPr>
          <w:rFonts w:hint="eastAsia" w:cs="黑体" w:asciiTheme="minorEastAsia" w:hAnsiTheme="minorEastAsia" w:eastAsiaTheme="minorEastAsia"/>
          <w:color w:val="auto"/>
          <w:szCs w:val="21"/>
          <w:highlight w:val="none"/>
        </w:rPr>
        <w:t>2</w:t>
      </w:r>
      <w:r>
        <w:rPr>
          <w:rFonts w:cs="黑体" w:asciiTheme="minorEastAsia" w:hAnsiTheme="minorEastAsia" w:eastAsiaTheme="minorEastAsia"/>
          <w:color w:val="auto"/>
          <w:szCs w:val="21"/>
          <w:highlight w:val="none"/>
        </w:rPr>
        <w:t>〕9</w:t>
      </w:r>
      <w:r>
        <w:rPr>
          <w:rFonts w:hint="eastAsia" w:cs="黑体" w:asciiTheme="minorEastAsia" w:hAnsiTheme="minorEastAsia" w:eastAsiaTheme="minorEastAsia"/>
          <w:color w:val="auto"/>
          <w:szCs w:val="21"/>
          <w:highlight w:val="none"/>
        </w:rPr>
        <w:t>4</w:t>
      </w:r>
      <w:r>
        <w:rPr>
          <w:rFonts w:cs="黑体" w:asciiTheme="minorEastAsia" w:hAnsiTheme="minorEastAsia" w:eastAsiaTheme="minorEastAsia"/>
          <w:color w:val="auto"/>
          <w:szCs w:val="21"/>
          <w:highlight w:val="none"/>
        </w:rPr>
        <w:t>号）。</w:t>
      </w:r>
    </w:p>
    <w:p w14:paraId="2145FEB3">
      <w:pPr>
        <w:spacing w:line="440" w:lineRule="exact"/>
        <w:ind w:firstLine="420" w:firstLineChars="200"/>
        <w:rPr>
          <w:rFonts w:cs="黑体" w:asciiTheme="minorEastAsia" w:hAnsiTheme="minorEastAsia" w:eastAsiaTheme="minorEastAsia"/>
          <w:b/>
          <w:color w:val="auto"/>
          <w:szCs w:val="21"/>
          <w:highlight w:val="none"/>
        </w:rPr>
      </w:pPr>
      <w:r>
        <w:rPr>
          <w:rFonts w:hint="eastAsia" w:ascii="宋体" w:hAnsi="宋体" w:cs="宋体"/>
          <w:color w:val="auto"/>
          <w:szCs w:val="21"/>
          <w:highlight w:val="none"/>
        </w:rPr>
        <w:t>▲</w:t>
      </w: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5）服务期</w:t>
      </w:r>
    </w:p>
    <w:p w14:paraId="18F63933">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合同签订后</w:t>
      </w:r>
      <w:r>
        <w:rPr>
          <w:rFonts w:cs="黑体" w:asciiTheme="minorEastAsia" w:hAnsiTheme="minorEastAsia" w:eastAsiaTheme="minorEastAsia"/>
          <w:color w:val="auto"/>
          <w:szCs w:val="21"/>
          <w:highlight w:val="none"/>
        </w:rPr>
        <w:t>3日内开展抽样检测工作，</w:t>
      </w:r>
      <w:r>
        <w:rPr>
          <w:rFonts w:hint="eastAsia" w:cs="黑体" w:asciiTheme="minorEastAsia" w:hAnsiTheme="minorEastAsia" w:eastAsiaTheme="minorEastAsia"/>
          <w:color w:val="auto"/>
          <w:szCs w:val="21"/>
          <w:highlight w:val="none"/>
        </w:rPr>
        <w:t>共分7轮，每轮抽检，轻型疫区和中型疫区抽检1-2个乡镇街道</w:t>
      </w:r>
      <w:r>
        <w:rPr>
          <w:rFonts w:hint="eastAsia" w:cs="黑体" w:asciiTheme="minorEastAsia" w:hAnsiTheme="minorEastAsia" w:eastAsiaTheme="minorEastAsia"/>
          <w:color w:val="auto"/>
          <w:szCs w:val="21"/>
          <w:highlight w:val="none"/>
          <w:lang w:eastAsia="zh-CN"/>
        </w:rPr>
        <w:t>以上</w:t>
      </w:r>
      <w:r>
        <w:rPr>
          <w:rFonts w:hint="eastAsia" w:cs="黑体" w:asciiTheme="minorEastAsia" w:hAnsiTheme="minorEastAsia" w:eastAsiaTheme="minorEastAsia"/>
          <w:color w:val="auto"/>
          <w:szCs w:val="21"/>
          <w:highlight w:val="none"/>
        </w:rPr>
        <w:t>，重型疫区抽检3个乡镇街道</w:t>
      </w:r>
      <w:r>
        <w:rPr>
          <w:rFonts w:hint="eastAsia" w:cs="黑体" w:asciiTheme="minorEastAsia" w:hAnsiTheme="minorEastAsia" w:eastAsiaTheme="minorEastAsia"/>
          <w:color w:val="auto"/>
          <w:szCs w:val="21"/>
          <w:highlight w:val="none"/>
          <w:lang w:eastAsia="zh-CN"/>
        </w:rPr>
        <w:t>以上</w:t>
      </w:r>
      <w:r>
        <w:rPr>
          <w:rFonts w:hint="eastAsia" w:cs="黑体" w:asciiTheme="minorEastAsia" w:hAnsiTheme="minorEastAsia" w:eastAsiaTheme="minorEastAsia"/>
          <w:color w:val="auto"/>
          <w:szCs w:val="21"/>
          <w:highlight w:val="none"/>
        </w:rPr>
        <w:t>，每个乡镇分别抽取2个典型作业区，每轮完成后3日内提交抽样检测报告，</w:t>
      </w:r>
      <w:r>
        <w:rPr>
          <w:rFonts w:cs="黑体" w:asciiTheme="minorEastAsia" w:hAnsiTheme="minorEastAsia" w:eastAsiaTheme="minorEastAsia"/>
          <w:color w:val="auto"/>
          <w:szCs w:val="21"/>
          <w:highlight w:val="none"/>
        </w:rPr>
        <w:t>202</w:t>
      </w:r>
      <w:r>
        <w:rPr>
          <w:rFonts w:hint="eastAsia" w:cs="黑体" w:asciiTheme="minorEastAsia" w:hAnsiTheme="minorEastAsia" w:eastAsiaTheme="minorEastAsia"/>
          <w:color w:val="auto"/>
          <w:szCs w:val="21"/>
          <w:highlight w:val="none"/>
          <w:lang w:val="en-US" w:eastAsia="zh-CN"/>
        </w:rPr>
        <w:t>5</w:t>
      </w:r>
      <w:r>
        <w:rPr>
          <w:rFonts w:cs="黑体" w:asciiTheme="minorEastAsia" w:hAnsiTheme="minorEastAsia" w:eastAsiaTheme="minorEastAsia"/>
          <w:color w:val="auto"/>
          <w:szCs w:val="21"/>
          <w:highlight w:val="none"/>
        </w:rPr>
        <w:t>年</w:t>
      </w:r>
      <w:r>
        <w:rPr>
          <w:rFonts w:hint="eastAsia" w:cs="黑体" w:asciiTheme="minorEastAsia" w:hAnsiTheme="minorEastAsia" w:eastAsiaTheme="minorEastAsia"/>
          <w:color w:val="auto"/>
          <w:szCs w:val="21"/>
          <w:highlight w:val="none"/>
        </w:rPr>
        <w:t>12</w:t>
      </w:r>
      <w:r>
        <w:rPr>
          <w:rFonts w:cs="黑体" w:asciiTheme="minorEastAsia" w:hAnsiTheme="minorEastAsia" w:eastAsiaTheme="minorEastAsia"/>
          <w:color w:val="auto"/>
          <w:szCs w:val="21"/>
          <w:highlight w:val="none"/>
        </w:rPr>
        <w:t>月</w:t>
      </w:r>
      <w:r>
        <w:rPr>
          <w:rFonts w:hint="eastAsia" w:cs="黑体" w:asciiTheme="minorEastAsia" w:hAnsiTheme="minorEastAsia" w:eastAsiaTheme="minorEastAsia"/>
          <w:color w:val="auto"/>
          <w:szCs w:val="21"/>
          <w:highlight w:val="none"/>
        </w:rPr>
        <w:t>10</w:t>
      </w:r>
      <w:r>
        <w:rPr>
          <w:rFonts w:cs="黑体" w:asciiTheme="minorEastAsia" w:hAnsiTheme="minorEastAsia" w:eastAsiaTheme="minorEastAsia"/>
          <w:color w:val="auto"/>
          <w:szCs w:val="21"/>
          <w:highlight w:val="none"/>
        </w:rPr>
        <w:t>日前提交总报告。</w:t>
      </w:r>
    </w:p>
    <w:p w14:paraId="53EFF6A6">
      <w:pPr>
        <w:spacing w:line="440" w:lineRule="exact"/>
        <w:ind w:firstLine="422" w:firstLineChars="200"/>
        <w:rPr>
          <w:rFonts w:cs="黑体" w:asciiTheme="minorEastAsia" w:hAnsiTheme="minorEastAsia" w:eastAsiaTheme="minorEastAsia"/>
          <w:b/>
          <w:color w:val="auto"/>
          <w:szCs w:val="21"/>
          <w:highlight w:val="none"/>
        </w:rPr>
      </w:pPr>
      <w:r>
        <w:rPr>
          <w:rFonts w:hint="eastAsia" w:cs="黑体" w:asciiTheme="minorEastAsia" w:hAnsiTheme="minorEastAsia" w:eastAsiaTheme="minorEastAsia"/>
          <w:b/>
          <w:color w:val="auto"/>
          <w:szCs w:val="21"/>
          <w:highlight w:val="none"/>
        </w:rPr>
        <w:t>（</w:t>
      </w:r>
      <w:r>
        <w:rPr>
          <w:rFonts w:cs="黑体" w:asciiTheme="minorEastAsia" w:hAnsiTheme="minorEastAsia" w:eastAsiaTheme="minorEastAsia"/>
          <w:b/>
          <w:color w:val="auto"/>
          <w:szCs w:val="21"/>
          <w:highlight w:val="none"/>
        </w:rPr>
        <w:t>6）抽样检测流程</w:t>
      </w:r>
    </w:p>
    <w:p w14:paraId="4A375729">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1）资料收集、整理</w:t>
      </w:r>
    </w:p>
    <w:p w14:paraId="429DAAAE">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在提供的已有资料基础上，通过实地踏查，进一步收集项目所需资料。所有资料由抽样检测服务单位资料保密员统一整理、管理和归档。</w:t>
      </w:r>
    </w:p>
    <w:p w14:paraId="6784B446">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2）抽样检测方案制定</w:t>
      </w:r>
    </w:p>
    <w:p w14:paraId="49F6749C">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在签订委托抽样检测合同后，根据工程的施工合同和抽样检测合同书的基本要求，结合已搜集、整理的相关资料，在全面踏查抽样检测区的基础上，编制抽样检测方案，明确工作目标，确定具体的抽样检测工作制度、程序、方法和措施，并具有可操作性。</w:t>
      </w:r>
    </w:p>
    <w:p w14:paraId="6C2EBAA1">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3）人员安排</w:t>
      </w:r>
    </w:p>
    <w:p w14:paraId="0DB0CAC2">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根据项目情况，安排相应人员，每个乡镇每轮检查人员不得少于2</w:t>
      </w:r>
      <w:r>
        <w:rPr>
          <w:rFonts w:cs="黑体" w:asciiTheme="minorEastAsia" w:hAnsiTheme="minorEastAsia" w:eastAsiaTheme="minorEastAsia"/>
          <w:color w:val="auto"/>
          <w:szCs w:val="21"/>
          <w:highlight w:val="none"/>
        </w:rPr>
        <w:t>人，项目负责人根据项目实际进行人员的增加与调剂。</w:t>
      </w:r>
    </w:p>
    <w:p w14:paraId="17AF5CE0">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4）技术及安全培训</w:t>
      </w:r>
    </w:p>
    <w:p w14:paraId="2054F9E9">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项目开展前，由项目负责人统一组织项目成员对水印相机使用方法和拍照要求等进行技术交底和培训，由公司相关部门开展安全培训；项目开展过程中，项目负责人定期总结项目问题并组织研讨，定期汇报项目进展状况和安全质量问题。项目完成后，项目负责人向公司提交抽样检测报告书。</w:t>
      </w:r>
    </w:p>
    <w:p w14:paraId="7B0CA054">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5）</w:t>
      </w:r>
      <w:r>
        <w:rPr>
          <w:rFonts w:hint="eastAsia" w:cs="黑体" w:asciiTheme="minorEastAsia" w:hAnsiTheme="minorEastAsia" w:eastAsiaTheme="minorEastAsia"/>
          <w:color w:val="auto"/>
          <w:szCs w:val="21"/>
          <w:highlight w:val="none"/>
        </w:rPr>
        <w:t>“</w:t>
      </w:r>
      <w:r>
        <w:rPr>
          <w:rFonts w:cs="黑体" w:asciiTheme="minorEastAsia" w:hAnsiTheme="minorEastAsia" w:eastAsiaTheme="minorEastAsia"/>
          <w:color w:val="auto"/>
          <w:szCs w:val="21"/>
          <w:highlight w:val="none"/>
        </w:rPr>
        <w:t>数字森防</w:t>
      </w:r>
      <w:r>
        <w:rPr>
          <w:rFonts w:hint="eastAsia" w:cs="黑体" w:asciiTheme="minorEastAsia" w:hAnsiTheme="minorEastAsia" w:eastAsiaTheme="minorEastAsia"/>
          <w:color w:val="auto"/>
          <w:szCs w:val="21"/>
          <w:highlight w:val="none"/>
        </w:rPr>
        <w:t>”</w:t>
      </w:r>
      <w:r>
        <w:rPr>
          <w:rFonts w:cs="黑体" w:asciiTheme="minorEastAsia" w:hAnsiTheme="minorEastAsia" w:eastAsiaTheme="minorEastAsia"/>
          <w:color w:val="auto"/>
          <w:szCs w:val="21"/>
          <w:highlight w:val="none"/>
        </w:rPr>
        <w:t>平台使用</w:t>
      </w:r>
    </w:p>
    <w:p w14:paraId="0B1FBAA5">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根据</w:t>
      </w:r>
      <w:r>
        <w:rPr>
          <w:rFonts w:cs="黑体" w:asciiTheme="minorEastAsia" w:hAnsiTheme="minorEastAsia" w:eastAsiaTheme="minorEastAsia"/>
          <w:color w:val="auto"/>
          <w:szCs w:val="21"/>
          <w:highlight w:val="none"/>
        </w:rPr>
        <w:t>APP需求记录时间、地点、海拔、经纬度等，如有其他数据需求，可以根据提示自行添加。必须按要求使用app对伐桩、除治山场、</w:t>
      </w:r>
      <w:r>
        <w:rPr>
          <w:rFonts w:hint="eastAsia" w:cs="黑体" w:asciiTheme="minorEastAsia" w:hAnsiTheme="minorEastAsia" w:eastAsiaTheme="minorEastAsia"/>
          <w:color w:val="auto"/>
          <w:szCs w:val="21"/>
          <w:highlight w:val="none"/>
        </w:rPr>
        <w:t>疫木定点加工企业抽检过程进行拍照、定点记录。</w:t>
      </w:r>
    </w:p>
    <w:p w14:paraId="56A457CE">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6</w:t>
      </w:r>
      <w:r>
        <w:rPr>
          <w:rFonts w:cs="黑体" w:asciiTheme="minorEastAsia" w:hAnsiTheme="minorEastAsia" w:eastAsiaTheme="minorEastAsia"/>
          <w:color w:val="auto"/>
          <w:szCs w:val="21"/>
          <w:highlight w:val="none"/>
        </w:rPr>
        <w:t>）</w:t>
      </w:r>
      <w:r>
        <w:rPr>
          <w:rFonts w:hint="eastAsia" w:cs="黑体" w:asciiTheme="minorEastAsia" w:hAnsiTheme="minorEastAsia" w:eastAsiaTheme="minorEastAsia"/>
          <w:color w:val="auto"/>
          <w:szCs w:val="21"/>
          <w:highlight w:val="none"/>
        </w:rPr>
        <w:t>形成抽检报告</w:t>
      </w:r>
    </w:p>
    <w:p w14:paraId="50A28E18">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建立记录抽检地块位置和小班等信息的抽检工作台账；发现存在问题的除治山场，要通过“数字森防”手机APP按规定要求上传问题点位、图片和危害情况等信息，收集相应的影像资料，并以抽检报告的形式，及时向采购单位反馈。</w:t>
      </w:r>
      <w:r>
        <w:rPr>
          <w:rFonts w:cs="黑体" w:asciiTheme="minorEastAsia" w:hAnsiTheme="minorEastAsia" w:eastAsiaTheme="minorEastAsia"/>
          <w:color w:val="auto"/>
          <w:szCs w:val="21"/>
          <w:highlight w:val="none"/>
        </w:rPr>
        <w:t>根据采购人通知要求</w:t>
      </w:r>
      <w:r>
        <w:rPr>
          <w:rFonts w:hint="eastAsia" w:cs="黑体" w:asciiTheme="minorEastAsia" w:hAnsiTheme="minorEastAsia" w:eastAsiaTheme="minorEastAsia"/>
          <w:color w:val="auto"/>
          <w:szCs w:val="21"/>
          <w:highlight w:val="none"/>
        </w:rPr>
        <w:t>，</w:t>
      </w:r>
      <w:r>
        <w:rPr>
          <w:rFonts w:cs="黑体" w:asciiTheme="minorEastAsia" w:hAnsiTheme="minorEastAsia" w:eastAsiaTheme="minorEastAsia"/>
          <w:color w:val="auto"/>
          <w:szCs w:val="21"/>
          <w:highlight w:val="none"/>
        </w:rPr>
        <w:t>制作抽检情况视频通报</w:t>
      </w:r>
      <w:r>
        <w:rPr>
          <w:rFonts w:hint="eastAsia" w:cs="黑体" w:asciiTheme="minorEastAsia" w:hAnsiTheme="minorEastAsia" w:eastAsiaTheme="minorEastAsia"/>
          <w:color w:val="auto"/>
          <w:szCs w:val="21"/>
          <w:highlight w:val="none"/>
        </w:rPr>
        <w:t>。</w:t>
      </w:r>
    </w:p>
    <w:p w14:paraId="68F0D726">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7</w:t>
      </w:r>
      <w:r>
        <w:rPr>
          <w:rFonts w:cs="黑体" w:asciiTheme="minorEastAsia" w:hAnsiTheme="minorEastAsia" w:eastAsiaTheme="minorEastAsia"/>
          <w:color w:val="auto"/>
          <w:szCs w:val="21"/>
          <w:highlight w:val="none"/>
        </w:rPr>
        <w:t>）成果递交</w:t>
      </w:r>
    </w:p>
    <w:p w14:paraId="7DE05F14">
      <w:pPr>
        <w:spacing w:line="440" w:lineRule="exact"/>
        <w:ind w:firstLine="420" w:firstLineChars="200"/>
        <w:rPr>
          <w:rFonts w:cs="黑体" w:asciiTheme="minorEastAsia" w:hAnsiTheme="minorEastAsia" w:eastAsiaTheme="minorEastAsia"/>
          <w:color w:val="auto"/>
          <w:szCs w:val="21"/>
          <w:highlight w:val="none"/>
        </w:rPr>
      </w:pPr>
      <w:r>
        <w:rPr>
          <w:rFonts w:cs="黑体" w:asciiTheme="minorEastAsia" w:hAnsiTheme="minorEastAsia" w:eastAsiaTheme="minorEastAsia"/>
          <w:color w:val="auto"/>
          <w:szCs w:val="21"/>
          <w:highlight w:val="none"/>
        </w:rPr>
        <w:t>每轮完成后</w:t>
      </w:r>
      <w:r>
        <w:rPr>
          <w:rFonts w:hint="eastAsia" w:cs="黑体" w:asciiTheme="minorEastAsia" w:hAnsiTheme="minorEastAsia" w:eastAsiaTheme="minorEastAsia"/>
          <w:color w:val="auto"/>
          <w:szCs w:val="21"/>
          <w:highlight w:val="none"/>
        </w:rPr>
        <w:t>3日内</w:t>
      </w:r>
      <w:r>
        <w:rPr>
          <w:rFonts w:cs="黑体" w:asciiTheme="minorEastAsia" w:hAnsiTheme="minorEastAsia" w:eastAsiaTheme="minorEastAsia"/>
          <w:color w:val="auto"/>
          <w:szCs w:val="21"/>
          <w:highlight w:val="none"/>
        </w:rPr>
        <w:t>提交</w:t>
      </w:r>
      <w:r>
        <w:rPr>
          <w:rFonts w:hint="eastAsia" w:cs="黑体" w:asciiTheme="minorEastAsia" w:hAnsiTheme="minorEastAsia" w:eastAsiaTheme="minorEastAsia"/>
          <w:color w:val="auto"/>
          <w:szCs w:val="21"/>
          <w:highlight w:val="none"/>
        </w:rPr>
        <w:t>抽样检测报告，</w:t>
      </w:r>
      <w:r>
        <w:rPr>
          <w:rFonts w:cs="黑体" w:asciiTheme="minorEastAsia" w:hAnsiTheme="minorEastAsia" w:eastAsiaTheme="minorEastAsia"/>
          <w:color w:val="auto"/>
          <w:szCs w:val="21"/>
          <w:highlight w:val="none"/>
        </w:rPr>
        <w:t>202</w:t>
      </w:r>
      <w:r>
        <w:rPr>
          <w:rFonts w:hint="eastAsia" w:cs="黑体" w:asciiTheme="minorEastAsia" w:hAnsiTheme="minorEastAsia" w:eastAsiaTheme="minorEastAsia"/>
          <w:color w:val="auto"/>
          <w:szCs w:val="21"/>
          <w:highlight w:val="none"/>
          <w:lang w:val="en-US" w:eastAsia="zh-CN"/>
        </w:rPr>
        <w:t>5</w:t>
      </w:r>
      <w:r>
        <w:rPr>
          <w:rFonts w:cs="黑体" w:asciiTheme="minorEastAsia" w:hAnsiTheme="minorEastAsia" w:eastAsiaTheme="minorEastAsia"/>
          <w:color w:val="auto"/>
          <w:szCs w:val="21"/>
          <w:highlight w:val="none"/>
        </w:rPr>
        <w:t>年</w:t>
      </w:r>
      <w:r>
        <w:rPr>
          <w:rFonts w:hint="eastAsia" w:cs="黑体" w:asciiTheme="minorEastAsia" w:hAnsiTheme="minorEastAsia" w:eastAsiaTheme="minorEastAsia"/>
          <w:color w:val="auto"/>
          <w:szCs w:val="21"/>
          <w:highlight w:val="none"/>
        </w:rPr>
        <w:t>12</w:t>
      </w:r>
      <w:r>
        <w:rPr>
          <w:rFonts w:cs="黑体" w:asciiTheme="minorEastAsia" w:hAnsiTheme="minorEastAsia" w:eastAsiaTheme="minorEastAsia"/>
          <w:color w:val="auto"/>
          <w:szCs w:val="21"/>
          <w:highlight w:val="none"/>
        </w:rPr>
        <w:t>月</w:t>
      </w:r>
      <w:r>
        <w:rPr>
          <w:rFonts w:hint="eastAsia" w:cs="黑体" w:asciiTheme="minorEastAsia" w:hAnsiTheme="minorEastAsia" w:eastAsiaTheme="minorEastAsia"/>
          <w:color w:val="auto"/>
          <w:szCs w:val="21"/>
          <w:highlight w:val="none"/>
        </w:rPr>
        <w:t>10</w:t>
      </w:r>
      <w:r>
        <w:rPr>
          <w:rFonts w:cs="黑体" w:asciiTheme="minorEastAsia" w:hAnsiTheme="minorEastAsia" w:eastAsiaTheme="minorEastAsia"/>
          <w:color w:val="auto"/>
          <w:szCs w:val="21"/>
          <w:highlight w:val="none"/>
        </w:rPr>
        <w:t>日前提交总报告。</w:t>
      </w:r>
    </w:p>
    <w:p w14:paraId="21A82B7C">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8</w:t>
      </w:r>
      <w:r>
        <w:rPr>
          <w:rFonts w:cs="黑体" w:asciiTheme="minorEastAsia" w:hAnsiTheme="minorEastAsia" w:eastAsiaTheme="minorEastAsia"/>
          <w:color w:val="auto"/>
          <w:szCs w:val="21"/>
          <w:highlight w:val="none"/>
        </w:rPr>
        <w:t>）项目资料整理存档</w:t>
      </w:r>
    </w:p>
    <w:p w14:paraId="627AF8BF">
      <w:pPr>
        <w:spacing w:line="440" w:lineRule="exact"/>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项目验收合格后，对项目中涉及到的所有影像、技术文档等资料进行整理，并提交采购人保管存档。</w:t>
      </w:r>
    </w:p>
    <w:p w14:paraId="041258F5">
      <w:pPr>
        <w:tabs>
          <w:tab w:val="left" w:pos="312"/>
        </w:tabs>
        <w:spacing w:line="44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▲三、款项支付</w:t>
      </w:r>
    </w:p>
    <w:p w14:paraId="084B977F">
      <w:pPr>
        <w:widowControl/>
        <w:adjustRightInd w:val="0"/>
        <w:spacing w:line="440" w:lineRule="exact"/>
        <w:ind w:firstLine="420" w:firstLineChars="200"/>
        <w:rPr>
          <w:rFonts w:hint="eastAsia" w:ascii="宋体" w:hAnsi="宋体" w:eastAsia="宋体"/>
          <w:b/>
          <w:bCs/>
          <w:color w:val="auto"/>
          <w:kern w:val="0"/>
          <w:szCs w:val="21"/>
          <w:highlight w:val="none"/>
          <w:lang w:eastAsia="zh-CN"/>
        </w:rPr>
      </w:pPr>
      <w:r>
        <w:rPr>
          <w:rFonts w:ascii="宋体" w:hAnsi="宋体"/>
          <w:color w:val="auto"/>
          <w:kern w:val="0"/>
          <w:szCs w:val="21"/>
          <w:highlight w:val="none"/>
        </w:rPr>
        <w:t>1、</w:t>
      </w:r>
      <w:r>
        <w:rPr>
          <w:rFonts w:hint="eastAsia" w:ascii="宋体" w:hAnsi="宋体"/>
          <w:color w:val="auto"/>
          <w:kern w:val="0"/>
          <w:szCs w:val="21"/>
          <w:highlight w:val="none"/>
        </w:rPr>
        <w:t>合同签订并具备实施条件后，</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w:t>
      </w:r>
      <w:r>
        <w:rPr>
          <w:rFonts w:ascii="宋体" w:hAnsi="宋体"/>
          <w:color w:val="auto"/>
          <w:kern w:val="0"/>
          <w:szCs w:val="21"/>
          <w:highlight w:val="none"/>
        </w:rPr>
        <w:t>日内</w:t>
      </w:r>
      <w:r>
        <w:rPr>
          <w:rFonts w:hint="eastAsia" w:ascii="宋体" w:hAnsi="宋体"/>
          <w:color w:val="auto"/>
          <w:kern w:val="0"/>
          <w:szCs w:val="21"/>
          <w:highlight w:val="none"/>
          <w:lang w:eastAsia="zh-CN"/>
        </w:rPr>
        <w:t>向财政部门申报</w:t>
      </w:r>
      <w:r>
        <w:rPr>
          <w:rFonts w:hint="eastAsia" w:ascii="宋体" w:hAnsi="宋体"/>
          <w:color w:val="auto"/>
          <w:kern w:val="0"/>
          <w:szCs w:val="21"/>
          <w:highlight w:val="none"/>
          <w:lang w:val="en-US" w:eastAsia="zh-CN"/>
        </w:rPr>
        <w:t>后</w:t>
      </w:r>
      <w:r>
        <w:rPr>
          <w:rFonts w:ascii="宋体" w:hAnsi="宋体"/>
          <w:color w:val="auto"/>
          <w:kern w:val="0"/>
          <w:szCs w:val="21"/>
          <w:highlight w:val="none"/>
        </w:rPr>
        <w:t>支付合同总价的</w:t>
      </w:r>
      <w:r>
        <w:rPr>
          <w:rFonts w:hint="eastAsia" w:ascii="宋体" w:hAnsi="宋体"/>
          <w:color w:val="auto"/>
          <w:kern w:val="0"/>
          <w:szCs w:val="21"/>
          <w:highlight w:val="none"/>
          <w:lang w:val="en-US" w:eastAsia="zh-CN"/>
        </w:rPr>
        <w:t>40</w:t>
      </w:r>
      <w:r>
        <w:rPr>
          <w:rFonts w:ascii="宋体" w:hAnsi="宋体"/>
          <w:color w:val="auto"/>
          <w:kern w:val="0"/>
          <w:szCs w:val="21"/>
          <w:highlight w:val="none"/>
        </w:rPr>
        <w:t>%</w:t>
      </w:r>
      <w:r>
        <w:rPr>
          <w:rFonts w:hint="eastAsia" w:ascii="Arial" w:hAnsi="Arial" w:cs="Arial"/>
          <w:color w:val="auto"/>
          <w:highlight w:val="none"/>
        </w:rPr>
        <w:t>作为预付款；</w:t>
      </w:r>
      <w:r>
        <w:rPr>
          <w:rFonts w:hint="eastAsia" w:asciiTheme="minorEastAsia" w:hAnsiTheme="minorEastAsia" w:eastAsiaTheme="minorEastAsia"/>
          <w:color w:val="auto"/>
          <w:szCs w:val="21"/>
          <w:highlight w:val="none"/>
        </w:rPr>
        <w:t>提交抽样检测总报告且</w:t>
      </w:r>
      <w:r>
        <w:rPr>
          <w:rFonts w:hint="eastAsia" w:ascii="宋体" w:hAnsi="宋体"/>
          <w:color w:val="auto"/>
          <w:kern w:val="0"/>
          <w:szCs w:val="21"/>
          <w:highlight w:val="none"/>
        </w:rPr>
        <w:t>项目验收合格后，</w:t>
      </w:r>
      <w:r>
        <w:rPr>
          <w:rFonts w:ascii="宋体" w:hAnsi="宋体"/>
          <w:color w:val="auto"/>
          <w:kern w:val="0"/>
          <w:szCs w:val="21"/>
          <w:highlight w:val="none"/>
        </w:rPr>
        <w:t>15日内</w:t>
      </w:r>
      <w:r>
        <w:rPr>
          <w:rFonts w:hint="eastAsia" w:ascii="宋体" w:hAnsi="宋体"/>
          <w:color w:val="auto"/>
          <w:kern w:val="0"/>
          <w:szCs w:val="21"/>
          <w:highlight w:val="none"/>
          <w:lang w:eastAsia="zh-CN"/>
        </w:rPr>
        <w:t>财政部门申报</w:t>
      </w:r>
      <w:r>
        <w:rPr>
          <w:rFonts w:hint="eastAsia" w:ascii="宋体" w:hAnsi="宋体"/>
          <w:color w:val="auto"/>
          <w:kern w:val="0"/>
          <w:szCs w:val="21"/>
          <w:highlight w:val="none"/>
          <w:lang w:val="en-US" w:eastAsia="zh-CN"/>
        </w:rPr>
        <w:t>后</w:t>
      </w:r>
      <w:r>
        <w:rPr>
          <w:rFonts w:ascii="宋体" w:hAnsi="宋体"/>
          <w:color w:val="auto"/>
          <w:kern w:val="0"/>
          <w:szCs w:val="21"/>
          <w:highlight w:val="none"/>
        </w:rPr>
        <w:t>支付合同</w:t>
      </w:r>
      <w:r>
        <w:rPr>
          <w:rFonts w:hint="eastAsia" w:ascii="宋体" w:hAnsi="宋体"/>
          <w:color w:val="auto"/>
          <w:kern w:val="0"/>
          <w:szCs w:val="21"/>
          <w:highlight w:val="none"/>
        </w:rPr>
        <w:t>剩余价款</w:t>
      </w:r>
      <w:r>
        <w:rPr>
          <w:rFonts w:hint="eastAsia" w:ascii="宋体" w:hAnsi="宋体" w:cs="宋体"/>
          <w:color w:val="auto"/>
          <w:szCs w:val="21"/>
          <w:highlight w:val="none"/>
        </w:rPr>
        <w:t>。</w:t>
      </w:r>
      <w:r>
        <w:rPr>
          <w:rFonts w:hint="eastAsia" w:ascii="宋体" w:hAnsi="宋体" w:cs="宋体"/>
          <w:b/>
          <w:bCs/>
          <w:color w:val="auto"/>
          <w:szCs w:val="21"/>
          <w:highlight w:val="none"/>
        </w:rPr>
        <w:t>本次招标采用绩效考核，合同总额包含七轮抽样检测费用和发现问题绩效两部分，其中发现问题数量需不少于3000个，3000个以内按实结算，超过3000个，按照3000个结算</w:t>
      </w:r>
      <w:r>
        <w:rPr>
          <w:rFonts w:hint="eastAsia" w:ascii="宋体" w:hAnsi="宋体" w:cs="宋体"/>
          <w:b/>
          <w:bCs/>
          <w:color w:val="auto"/>
          <w:szCs w:val="21"/>
          <w:highlight w:val="none"/>
          <w:lang w:eastAsia="zh-CN"/>
        </w:rPr>
        <w:t>。</w:t>
      </w:r>
    </w:p>
    <w:bookmarkEnd w:id="39"/>
    <w:p w14:paraId="134C5F2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14:paraId="0F7ED012">
      <w:pPr>
        <w:numPr>
          <w:ilvl w:val="0"/>
          <w:numId w:val="4"/>
        </w:numPr>
        <w:spacing w:line="360" w:lineRule="auto"/>
        <w:jc w:val="center"/>
        <w:rPr>
          <w:rFonts w:asciiTheme="minorEastAsia" w:hAnsiTheme="minorEastAsia" w:eastAsiaTheme="minorEastAsia"/>
          <w:b/>
          <w:color w:val="auto"/>
          <w:sz w:val="36"/>
          <w:szCs w:val="36"/>
          <w:highlight w:val="none"/>
        </w:rPr>
      </w:pPr>
      <w:bookmarkStart w:id="40" w:name="_Toc31173_WPSOffice_Level1"/>
      <w:r>
        <w:rPr>
          <w:rFonts w:hint="eastAsia" w:asciiTheme="minorEastAsia" w:hAnsiTheme="minorEastAsia" w:eastAsiaTheme="minorEastAsia"/>
          <w:b/>
          <w:color w:val="auto"/>
          <w:sz w:val="36"/>
          <w:szCs w:val="36"/>
          <w:highlight w:val="none"/>
        </w:rPr>
        <w:t>评标</w:t>
      </w:r>
      <w:bookmarkEnd w:id="40"/>
    </w:p>
    <w:p w14:paraId="12D0FF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E474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07CD0B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接触。</w:t>
      </w:r>
    </w:p>
    <w:p w14:paraId="019B508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1FDA74FE">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为中标候选人的评标方法。</w:t>
      </w:r>
    </w:p>
    <w:p w14:paraId="52B5C7A0">
      <w:pPr>
        <w:pStyle w:val="19"/>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37420AC">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78383997">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430F9B41">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5F339F42">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70388E44">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3D11A5F2">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23E38EAE">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05E12248">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45CA1258">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693EB26F">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6F32E367">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对投标文件有关事项作出澄清或者说明；</w:t>
      </w:r>
    </w:p>
    <w:p w14:paraId="28A18C1B">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1C27FC39">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5FC7F456">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2C3ECF25">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5179DE1E">
      <w:pPr>
        <w:pStyle w:val="1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31C0A1B8">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12721543">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38B52643">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498C1F71">
      <w:pPr>
        <w:pStyle w:val="9"/>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的报价明显低于其他通过符合性审查</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的报价，有可能影响服务质量或者不能诚信履约的，</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在限定的时间内不能证明其报价合理性的，评标委员会应当将其作为无效投标处理；</w:t>
      </w:r>
    </w:p>
    <w:p w14:paraId="2FB1DEDA">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4CB1742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4BB97A3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00986CC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lang w:eastAsia="zh-CN"/>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4F71F6C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的投标文件由同一单位或者个人编制；</w:t>
      </w:r>
    </w:p>
    <w:p w14:paraId="46D87EB7">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委托同一单位或者个人办理投标事宜；</w:t>
      </w:r>
    </w:p>
    <w:p w14:paraId="4B8E3284">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的投标文件载明的项目管理成员或者联系人员为同一人；</w:t>
      </w:r>
    </w:p>
    <w:p w14:paraId="2EA8B30D">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的投标文件异常一致或者投标报价呈规律性差异；</w:t>
      </w:r>
    </w:p>
    <w:p w14:paraId="3A1702CD">
      <w:pPr>
        <w:pStyle w:val="1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的投标文件相互混装。</w:t>
      </w:r>
    </w:p>
    <w:p w14:paraId="4F330DD8">
      <w:pPr>
        <w:pStyle w:val="17"/>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52ED133E">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4E9AFED0">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7773CCC1">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75F68A8C">
      <w:pPr>
        <w:pStyle w:val="8"/>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7DF13629">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63214749">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394069D2">
      <w:pPr>
        <w:pStyle w:val="17"/>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59894520">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5115158B">
      <w:pPr>
        <w:pStyle w:val="1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779745B6">
      <w:pPr>
        <w:pStyle w:val="11"/>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4A800D73">
      <w:pPr>
        <w:pStyle w:val="17"/>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w:t>
      </w:r>
      <w:r>
        <w:rPr>
          <w:rFonts w:hint="eastAsia" w:cs="宋体"/>
          <w:color w:val="auto"/>
          <w:highlight w:val="none"/>
          <w:lang w:eastAsia="zh-CN"/>
        </w:rPr>
        <w:t>供应商</w:t>
      </w:r>
      <w:r>
        <w:rPr>
          <w:rFonts w:cs="宋体"/>
          <w:color w:val="auto"/>
          <w:highlight w:val="none"/>
        </w:rPr>
        <w:t>在评标过程中所进行的试图影响评标结果的不公正活动，可能导致其投标被拒绝。</w:t>
      </w:r>
    </w:p>
    <w:p w14:paraId="5A0F2B3B">
      <w:pPr>
        <w:pStyle w:val="11"/>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21306163">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DBB7237">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en-US" w:eastAsia="zh-CN"/>
        </w:rPr>
        <w:t>6</w:t>
      </w:r>
      <w:r>
        <w:rPr>
          <w:rFonts w:hint="eastAsia" w:ascii="宋体"/>
          <w:color w:val="auto"/>
          <w:sz w:val="24"/>
          <w:highlight w:val="none"/>
          <w:lang w:val="zh-CN"/>
        </w:rPr>
        <w:t>），</w:t>
      </w:r>
      <w:r>
        <w:rPr>
          <w:rFonts w:hint="eastAsia" w:ascii="宋体"/>
          <w:color w:val="auto"/>
          <w:sz w:val="24"/>
          <w:highlight w:val="none"/>
          <w:lang w:eastAsia="zh-CN"/>
        </w:rPr>
        <w:t>供应商</w:t>
      </w:r>
      <w:r>
        <w:rPr>
          <w:rFonts w:hint="eastAsia" w:ascii="宋体"/>
          <w:color w:val="auto"/>
          <w:sz w:val="24"/>
          <w:highlight w:val="none"/>
        </w:rPr>
        <w:t>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33C4F081">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FE626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lang w:val="en-US" w:eastAsia="zh-CN"/>
        </w:rPr>
        <w:t>6</w:t>
      </w:r>
      <w:r>
        <w:rPr>
          <w:rFonts w:hint="eastAsia" w:ascii="宋体"/>
          <w:color w:val="auto"/>
          <w:sz w:val="24"/>
          <w:highlight w:val="none"/>
          <w:lang w:val="zh-CN"/>
        </w:rPr>
        <w:t>），视同小型、微型企业，享受小微企业政府采购优惠政策。</w:t>
      </w:r>
    </w:p>
    <w:p w14:paraId="47CB482D">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53E80DD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w:t>
      </w:r>
      <w:r>
        <w:rPr>
          <w:rFonts w:hint="eastAsia" w:ascii="宋体"/>
          <w:color w:val="auto"/>
          <w:sz w:val="24"/>
          <w:highlight w:val="none"/>
        </w:rPr>
        <w:t>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w:t>
      </w:r>
      <w:r>
        <w:rPr>
          <w:rFonts w:hint="eastAsia" w:ascii="宋体"/>
          <w:color w:val="auto"/>
          <w:sz w:val="24"/>
          <w:highlight w:val="none"/>
        </w:rPr>
        <w:t>0</w:t>
      </w:r>
      <w:r>
        <w:rPr>
          <w:rFonts w:hint="eastAsia" w:ascii="宋体"/>
          <w:color w:val="auto"/>
          <w:sz w:val="24"/>
          <w:highlight w:val="none"/>
          <w:lang w:val="zh-CN"/>
        </w:rPr>
        <w:t>%的扣除；联合协议或者分包意向协议约定小微企业的合同份额占到合同总金额</w:t>
      </w:r>
      <w:r>
        <w:rPr>
          <w:rFonts w:hint="eastAsia" w:ascii="宋体"/>
          <w:color w:val="auto"/>
          <w:sz w:val="24"/>
          <w:highlight w:val="none"/>
          <w:lang w:val="en-US" w:eastAsia="zh-CN"/>
        </w:rPr>
        <w:t>3</w:t>
      </w:r>
      <w:r>
        <w:rPr>
          <w:rFonts w:hint="eastAsia" w:ascii="宋体"/>
          <w:color w:val="auto"/>
          <w:sz w:val="24"/>
          <w:highlight w:val="none"/>
        </w:rPr>
        <w:t>0</w:t>
      </w:r>
      <w:r>
        <w:rPr>
          <w:rFonts w:hint="eastAsia" w:ascii="宋体"/>
          <w:color w:val="auto"/>
          <w:sz w:val="24"/>
          <w:highlight w:val="none"/>
          <w:lang w:val="zh-CN"/>
        </w:rPr>
        <w:t>%以上的，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44B35731">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6C4BD549">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7DA089E8">
      <w:pPr>
        <w:pStyle w:val="9"/>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名单、投标无效的原因。</w:t>
      </w: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CD6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A08A383">
            <w:pPr>
              <w:pStyle w:val="48"/>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6C1B65D1">
            <w:pPr>
              <w:pStyle w:val="48"/>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146F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98C8686">
            <w:pPr>
              <w:pStyle w:val="48"/>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78D822CD">
            <w:pPr>
              <w:pStyle w:val="48"/>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14:paraId="2E25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28D7B1D">
            <w:pPr>
              <w:pStyle w:val="48"/>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4BF08F05">
            <w:pPr>
              <w:pStyle w:val="48"/>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17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5D176CD">
            <w:pPr>
              <w:pStyle w:val="48"/>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2BEC9CAE">
            <w:pPr>
              <w:pStyle w:val="48"/>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006B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A9FAA57">
            <w:pPr>
              <w:pStyle w:val="48"/>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54D133DC">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w:t>
            </w:r>
            <w:r>
              <w:rPr>
                <w:rFonts w:hint="eastAsia"/>
                <w:color w:val="auto"/>
                <w:szCs w:val="21"/>
                <w:highlight w:val="none"/>
                <w:lang w:eastAsia="zh-CN"/>
              </w:rPr>
              <w:t>供应商</w:t>
            </w:r>
            <w:r>
              <w:rPr>
                <w:rFonts w:hint="eastAsia"/>
                <w:color w:val="auto"/>
                <w:szCs w:val="21"/>
                <w:highlight w:val="none"/>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27AB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7BD77377">
            <w:pPr>
              <w:pStyle w:val="48"/>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45F706E7">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6BC710F2">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r>
              <w:rPr>
                <w:rFonts w:hint="eastAsia" w:ascii="宋体" w:hAnsi="宋体" w:cs="宋体"/>
                <w:color w:val="auto"/>
                <w:highlight w:val="none"/>
              </w:rPr>
              <w:br w:type="textWrapping"/>
            </w:r>
            <w:r>
              <w:rPr>
                <w:rFonts w:hint="eastAsia" w:ascii="宋体" w:hAnsi="宋体" w:cs="宋体"/>
                <w:color w:val="auto"/>
                <w:highlight w:val="none"/>
              </w:rPr>
              <w:t xml:space="preserve">    3.使用规则：</w:t>
            </w:r>
            <w:r>
              <w:rPr>
                <w:rFonts w:hint="eastAsia" w:ascii="宋体" w:hAnsi="宋体" w:cs="宋体"/>
                <w:color w:val="auto"/>
                <w:highlight w:val="none"/>
                <w:lang w:eastAsia="zh-CN"/>
              </w:rPr>
              <w:t>供应商</w:t>
            </w:r>
            <w:r>
              <w:rPr>
                <w:rFonts w:hint="eastAsia" w:ascii="宋体" w:hAnsi="宋体" w:cs="宋体"/>
                <w:color w:val="auto"/>
                <w:highlight w:val="none"/>
              </w:rPr>
              <w:t>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58D2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29A67DA">
            <w:pPr>
              <w:pStyle w:val="48"/>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422F1D25">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741C4E7F">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499F3621">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469A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7DA47F32">
            <w:pPr>
              <w:pStyle w:val="48"/>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54A6AD93">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14:paraId="574F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B7341C4">
            <w:pPr>
              <w:pStyle w:val="48"/>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41BE7E64">
            <w:pPr>
              <w:pStyle w:val="48"/>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r w14:paraId="241E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F31C091">
            <w:pPr>
              <w:pStyle w:val="48"/>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tcMar>
              <w:top w:w="57" w:type="dxa"/>
              <w:left w:w="108" w:type="dxa"/>
              <w:bottom w:w="0" w:type="dxa"/>
              <w:right w:w="108" w:type="dxa"/>
            </w:tcMar>
            <w:vAlign w:val="center"/>
          </w:tcPr>
          <w:p w14:paraId="3A1D85EC">
            <w:pPr>
              <w:pStyle w:val="9"/>
              <w:spacing w:line="300" w:lineRule="auto"/>
              <w:ind w:left="15" w:leftChars="7" w:right="-17" w:rightChars="-8" w:firstLine="403" w:firstLineChars="192"/>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供应商须为中、小、微企业，监狱企业、残疾人福利性单位视同为小微企业。</w:t>
            </w:r>
          </w:p>
        </w:tc>
      </w:tr>
    </w:tbl>
    <w:p w14:paraId="2EE1A5B2">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6383E45F">
      <w:pPr>
        <w:pStyle w:val="9"/>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名单、投标无效的原因</w:t>
      </w:r>
      <w:r>
        <w:rPr>
          <w:rFonts w:hint="eastAsia" w:asciiTheme="minorEastAsia" w:hAnsiTheme="minorEastAsia" w:eastAsiaTheme="minorEastAsia"/>
          <w:color w:val="auto"/>
          <w:sz w:val="24"/>
          <w:highlight w:val="none"/>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D4C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C33005D">
            <w:pPr>
              <w:pStyle w:val="48"/>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547A4B69">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3BA0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6C9264BC">
            <w:pPr>
              <w:pStyle w:val="48"/>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4B0D964C">
            <w:pPr>
              <w:pStyle w:val="9"/>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0890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4C9764C">
            <w:pPr>
              <w:pStyle w:val="48"/>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265CEE14">
            <w:pPr>
              <w:pStyle w:val="9"/>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5A61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52BAC403">
            <w:pPr>
              <w:pStyle w:val="48"/>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2296829">
            <w:pPr>
              <w:pStyle w:val="9"/>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625C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2E4BF1D">
            <w:pPr>
              <w:pStyle w:val="48"/>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4681AC18">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7703C1D0">
      <w:pPr>
        <w:pStyle w:val="17"/>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32D088BB">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项目评标方法为综合评分法，总计100分，评标按以下标准及要求进行：评标委员会应当按照招标文件中规定的评标方法和标准，对符合性审查合格的投标文件的商务部分和技术部分进行综合比较与评价，其中</w:t>
      </w:r>
      <w:r>
        <w:rPr>
          <w:rFonts w:hint="eastAsia" w:asciiTheme="minorEastAsia" w:hAnsiTheme="minorEastAsia" w:eastAsiaTheme="minorEastAsia"/>
          <w:color w:val="auto"/>
          <w:kern w:val="0"/>
          <w:sz w:val="24"/>
          <w:highlight w:val="none"/>
          <w:lang w:val="zh-CN"/>
        </w:rPr>
        <w:t>客观</w:t>
      </w:r>
      <w:r>
        <w:rPr>
          <w:rFonts w:hint="eastAsia" w:asciiTheme="minorEastAsia" w:hAnsiTheme="minorEastAsia" w:eastAsiaTheme="minorEastAsia"/>
          <w:color w:val="auto"/>
          <w:kern w:val="0"/>
          <w:sz w:val="24"/>
          <w:highlight w:val="none"/>
        </w:rPr>
        <w:t>评分项的分值</w:t>
      </w:r>
      <w:r>
        <w:rPr>
          <w:rFonts w:hint="eastAsia" w:asciiTheme="minorEastAsia" w:hAnsiTheme="minorEastAsia" w:eastAsiaTheme="minorEastAsia"/>
          <w:color w:val="auto"/>
          <w:kern w:val="0"/>
          <w:sz w:val="24"/>
          <w:highlight w:val="none"/>
          <w:lang w:val="zh-CN"/>
        </w:rPr>
        <w:t>应当一致。</w:t>
      </w:r>
    </w:p>
    <w:p w14:paraId="7DC7C30D">
      <w:pPr>
        <w:numPr>
          <w:ilvl w:val="0"/>
          <w:numId w:val="8"/>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61"/>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29"/>
        <w:gridCol w:w="261"/>
        <w:gridCol w:w="645"/>
        <w:gridCol w:w="6427"/>
        <w:gridCol w:w="789"/>
      </w:tblGrid>
      <w:tr w14:paraId="3769B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53" w:type="dxa"/>
            <w:vAlign w:val="center"/>
          </w:tcPr>
          <w:p w14:paraId="4322CDD5">
            <w:pPr>
              <w:keepNext w:val="0"/>
              <w:keepLines w:val="0"/>
              <w:pageBreakBefore w:val="0"/>
              <w:kinsoku/>
              <w:wordWrap/>
              <w:overflowPunct/>
              <w:topLinePunct w:val="0"/>
              <w:bidi w:val="0"/>
              <w:spacing w:line="26" w:lineRule="atLeast"/>
              <w:jc w:val="center"/>
              <w:rPr>
                <w:rFonts w:cs="宋体"/>
                <w:color w:val="auto"/>
                <w:szCs w:val="21"/>
                <w:highlight w:val="none"/>
              </w:rPr>
            </w:pPr>
            <w:r>
              <w:rPr>
                <w:rFonts w:cs="宋体"/>
                <w:color w:val="auto"/>
                <w:szCs w:val="21"/>
                <w:highlight w:val="none"/>
              </w:rPr>
              <w:t>序号</w:t>
            </w:r>
          </w:p>
        </w:tc>
        <w:tc>
          <w:tcPr>
            <w:tcW w:w="1635" w:type="dxa"/>
            <w:gridSpan w:val="3"/>
            <w:vAlign w:val="center"/>
          </w:tcPr>
          <w:p w14:paraId="24BC31AD">
            <w:pPr>
              <w:keepNext w:val="0"/>
              <w:keepLines w:val="0"/>
              <w:pageBreakBefore w:val="0"/>
              <w:kinsoku/>
              <w:wordWrap/>
              <w:overflowPunct/>
              <w:topLinePunct w:val="0"/>
              <w:bidi w:val="0"/>
              <w:spacing w:before="69" w:line="26" w:lineRule="atLeast"/>
              <w:jc w:val="center"/>
              <w:rPr>
                <w:rFonts w:cs="宋体"/>
                <w:color w:val="auto"/>
                <w:szCs w:val="21"/>
                <w:highlight w:val="none"/>
              </w:rPr>
            </w:pPr>
            <w:r>
              <w:rPr>
                <w:rFonts w:cs="宋体"/>
                <w:color w:val="auto"/>
                <w:spacing w:val="-2"/>
                <w:szCs w:val="21"/>
                <w:highlight w:val="none"/>
              </w:rPr>
              <w:t>评</w:t>
            </w:r>
            <w:r>
              <w:rPr>
                <w:rFonts w:cs="宋体"/>
                <w:color w:val="auto"/>
                <w:spacing w:val="-1"/>
                <w:szCs w:val="21"/>
                <w:highlight w:val="none"/>
              </w:rPr>
              <w:t>分因素</w:t>
            </w:r>
          </w:p>
        </w:tc>
        <w:tc>
          <w:tcPr>
            <w:tcW w:w="6427" w:type="dxa"/>
            <w:vAlign w:val="center"/>
          </w:tcPr>
          <w:p w14:paraId="47745072">
            <w:pPr>
              <w:keepNext w:val="0"/>
              <w:keepLines w:val="0"/>
              <w:pageBreakBefore w:val="0"/>
              <w:kinsoku/>
              <w:wordWrap/>
              <w:overflowPunct/>
              <w:topLinePunct w:val="0"/>
              <w:bidi w:val="0"/>
              <w:spacing w:before="37" w:line="26" w:lineRule="atLeast"/>
              <w:ind w:left="2689"/>
              <w:rPr>
                <w:rFonts w:cs="宋体"/>
                <w:color w:val="auto"/>
                <w:szCs w:val="21"/>
                <w:highlight w:val="none"/>
              </w:rPr>
            </w:pPr>
            <w:r>
              <w:rPr>
                <w:rFonts w:cs="宋体"/>
                <w:color w:val="auto"/>
                <w:spacing w:val="-1"/>
                <w:szCs w:val="21"/>
                <w:highlight w:val="none"/>
              </w:rPr>
              <w:t>评分细则</w:t>
            </w:r>
          </w:p>
        </w:tc>
        <w:tc>
          <w:tcPr>
            <w:tcW w:w="789" w:type="dxa"/>
            <w:vAlign w:val="center"/>
          </w:tcPr>
          <w:p w14:paraId="5A604A18">
            <w:pPr>
              <w:keepNext w:val="0"/>
              <w:keepLines w:val="0"/>
              <w:pageBreakBefore w:val="0"/>
              <w:kinsoku/>
              <w:wordWrap/>
              <w:overflowPunct/>
              <w:topLinePunct w:val="0"/>
              <w:bidi w:val="0"/>
              <w:spacing w:before="206" w:line="26" w:lineRule="atLeast"/>
              <w:ind w:right="59"/>
              <w:jc w:val="center"/>
              <w:rPr>
                <w:rFonts w:cs="宋体"/>
                <w:color w:val="auto"/>
                <w:szCs w:val="21"/>
                <w:highlight w:val="none"/>
              </w:rPr>
            </w:pPr>
            <w:r>
              <w:rPr>
                <w:rFonts w:hint="eastAsia" w:cs="宋体"/>
                <w:color w:val="auto"/>
                <w:spacing w:val="-4"/>
                <w:szCs w:val="21"/>
                <w:highlight w:val="none"/>
              </w:rPr>
              <w:t>分值</w:t>
            </w:r>
            <w:r>
              <w:rPr>
                <w:rFonts w:cs="宋体"/>
                <w:color w:val="auto"/>
                <w:spacing w:val="27"/>
                <w:szCs w:val="21"/>
                <w:highlight w:val="none"/>
              </w:rPr>
              <w:t>(</w:t>
            </w:r>
            <w:r>
              <w:rPr>
                <w:rFonts w:cs="宋体"/>
                <w:color w:val="auto"/>
                <w:spacing w:val="25"/>
                <w:szCs w:val="21"/>
                <w:highlight w:val="none"/>
              </w:rPr>
              <w:t>分)</w:t>
            </w:r>
          </w:p>
        </w:tc>
      </w:tr>
      <w:tr w14:paraId="3D2CA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53" w:type="dxa"/>
            <w:vAlign w:val="center"/>
          </w:tcPr>
          <w:p w14:paraId="5F3E8CDB">
            <w:pPr>
              <w:keepNext w:val="0"/>
              <w:keepLines w:val="0"/>
              <w:pageBreakBefore w:val="0"/>
              <w:kinsoku/>
              <w:wordWrap/>
              <w:overflowPunct/>
              <w:topLinePunct w:val="0"/>
              <w:bidi w:val="0"/>
              <w:spacing w:line="26" w:lineRule="atLeast"/>
              <w:jc w:val="center"/>
              <w:rPr>
                <w:rFonts w:cs="宋体"/>
                <w:color w:val="auto"/>
                <w:szCs w:val="21"/>
                <w:highlight w:val="none"/>
              </w:rPr>
            </w:pPr>
            <w:r>
              <w:rPr>
                <w:rFonts w:hint="eastAsia" w:cs="宋体"/>
                <w:color w:val="auto"/>
                <w:szCs w:val="21"/>
                <w:highlight w:val="none"/>
              </w:rPr>
              <w:t>一</w:t>
            </w:r>
          </w:p>
        </w:tc>
        <w:tc>
          <w:tcPr>
            <w:tcW w:w="1635" w:type="dxa"/>
            <w:gridSpan w:val="3"/>
            <w:vAlign w:val="center"/>
          </w:tcPr>
          <w:p w14:paraId="6A4D539B">
            <w:pPr>
              <w:keepNext w:val="0"/>
              <w:keepLines w:val="0"/>
              <w:pageBreakBefore w:val="0"/>
              <w:kinsoku/>
              <w:wordWrap/>
              <w:overflowPunct/>
              <w:topLinePunct w:val="0"/>
              <w:bidi w:val="0"/>
              <w:spacing w:before="91" w:line="26" w:lineRule="atLeast"/>
              <w:jc w:val="center"/>
              <w:rPr>
                <w:rFonts w:cs="宋体"/>
                <w:color w:val="auto"/>
                <w:szCs w:val="21"/>
                <w:highlight w:val="none"/>
              </w:rPr>
            </w:pPr>
            <w:r>
              <w:rPr>
                <w:rFonts w:cs="宋体"/>
                <w:color w:val="auto"/>
                <w:spacing w:val="-3"/>
                <w:szCs w:val="21"/>
                <w:highlight w:val="none"/>
              </w:rPr>
              <w:t>履</w:t>
            </w:r>
            <w:r>
              <w:rPr>
                <w:rFonts w:cs="宋体"/>
                <w:color w:val="auto"/>
                <w:spacing w:val="-2"/>
                <w:szCs w:val="21"/>
                <w:highlight w:val="none"/>
              </w:rPr>
              <w:t>约能力</w:t>
            </w:r>
          </w:p>
        </w:tc>
        <w:tc>
          <w:tcPr>
            <w:tcW w:w="6427" w:type="dxa"/>
            <w:vAlign w:val="center"/>
          </w:tcPr>
          <w:p w14:paraId="3F048A92">
            <w:pPr>
              <w:keepNext w:val="0"/>
              <w:keepLines w:val="0"/>
              <w:pageBreakBefore w:val="0"/>
              <w:kinsoku/>
              <w:wordWrap/>
              <w:overflowPunct/>
              <w:topLinePunct w:val="0"/>
              <w:bidi w:val="0"/>
              <w:spacing w:line="26" w:lineRule="atLeast"/>
              <w:rPr>
                <w:color w:val="auto"/>
                <w:highlight w:val="none"/>
              </w:rPr>
            </w:pPr>
          </w:p>
        </w:tc>
        <w:tc>
          <w:tcPr>
            <w:tcW w:w="789" w:type="dxa"/>
            <w:vAlign w:val="center"/>
          </w:tcPr>
          <w:p w14:paraId="5C41706A">
            <w:pPr>
              <w:keepNext w:val="0"/>
              <w:keepLines w:val="0"/>
              <w:pageBreakBefore w:val="0"/>
              <w:kinsoku/>
              <w:wordWrap/>
              <w:overflowPunct/>
              <w:topLinePunct w:val="0"/>
              <w:bidi w:val="0"/>
              <w:spacing w:line="26" w:lineRule="atLeast"/>
              <w:rPr>
                <w:color w:val="auto"/>
                <w:highlight w:val="none"/>
              </w:rPr>
            </w:pPr>
          </w:p>
        </w:tc>
      </w:tr>
      <w:tr w14:paraId="169E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6" w:hRule="atLeast"/>
        </w:trPr>
        <w:tc>
          <w:tcPr>
            <w:tcW w:w="453" w:type="dxa"/>
            <w:vAlign w:val="center"/>
          </w:tcPr>
          <w:p w14:paraId="2A920C0F">
            <w:pPr>
              <w:keepNext w:val="0"/>
              <w:keepLines w:val="0"/>
              <w:pageBreakBefore w:val="0"/>
              <w:kinsoku/>
              <w:wordWrap/>
              <w:overflowPunct/>
              <w:topLinePunct w:val="0"/>
              <w:bidi w:val="0"/>
              <w:spacing w:line="26" w:lineRule="atLeast"/>
              <w:jc w:val="center"/>
              <w:rPr>
                <w:rFonts w:eastAsia="Arial" w:cs="Arial"/>
                <w:color w:val="auto"/>
                <w:szCs w:val="21"/>
                <w:highlight w:val="none"/>
              </w:rPr>
            </w:pPr>
            <w:r>
              <w:rPr>
                <w:rFonts w:eastAsia="Arial" w:cs="Arial"/>
                <w:color w:val="auto"/>
                <w:spacing w:val="-8"/>
                <w:szCs w:val="21"/>
                <w:highlight w:val="none"/>
              </w:rPr>
              <w:t>1</w:t>
            </w:r>
            <w:r>
              <w:rPr>
                <w:rFonts w:eastAsia="Arial" w:cs="Arial"/>
                <w:color w:val="auto"/>
                <w:spacing w:val="-7"/>
                <w:szCs w:val="21"/>
                <w:highlight w:val="none"/>
              </w:rPr>
              <w:t>.</w:t>
            </w:r>
          </w:p>
        </w:tc>
        <w:tc>
          <w:tcPr>
            <w:tcW w:w="1635" w:type="dxa"/>
            <w:gridSpan w:val="3"/>
            <w:vAlign w:val="center"/>
          </w:tcPr>
          <w:p w14:paraId="754B348E">
            <w:pPr>
              <w:keepNext w:val="0"/>
              <w:keepLines w:val="0"/>
              <w:pageBreakBefore w:val="0"/>
              <w:kinsoku/>
              <w:wordWrap/>
              <w:overflowPunct/>
              <w:topLinePunct w:val="0"/>
              <w:bidi w:val="0"/>
              <w:spacing w:before="35" w:line="26" w:lineRule="atLeast"/>
              <w:ind w:right="193"/>
              <w:jc w:val="center"/>
              <w:rPr>
                <w:rFonts w:cs="宋体"/>
                <w:color w:val="auto"/>
                <w:spacing w:val="-1"/>
                <w:szCs w:val="21"/>
                <w:highlight w:val="none"/>
              </w:rPr>
            </w:pPr>
            <w:r>
              <w:rPr>
                <w:rFonts w:hint="eastAsia" w:cs="宋体"/>
                <w:color w:val="auto"/>
                <w:spacing w:val="-2"/>
                <w:szCs w:val="21"/>
                <w:highlight w:val="none"/>
                <w:lang w:eastAsia="zh-CN"/>
              </w:rPr>
              <w:t>供应商</w:t>
            </w:r>
            <w:r>
              <w:rPr>
                <w:rFonts w:cs="宋体"/>
                <w:color w:val="auto"/>
                <w:spacing w:val="-1"/>
                <w:szCs w:val="21"/>
                <w:highlight w:val="none"/>
              </w:rPr>
              <w:t>的管理</w:t>
            </w:r>
          </w:p>
          <w:p w14:paraId="30009A28">
            <w:pPr>
              <w:keepNext w:val="0"/>
              <w:keepLines w:val="0"/>
              <w:pageBreakBefore w:val="0"/>
              <w:kinsoku/>
              <w:wordWrap/>
              <w:overflowPunct/>
              <w:topLinePunct w:val="0"/>
              <w:bidi w:val="0"/>
              <w:spacing w:before="35" w:line="26" w:lineRule="atLeast"/>
              <w:ind w:right="193"/>
              <w:jc w:val="center"/>
              <w:rPr>
                <w:rFonts w:cs="宋体"/>
                <w:color w:val="auto"/>
                <w:szCs w:val="21"/>
                <w:highlight w:val="none"/>
              </w:rPr>
            </w:pPr>
            <w:r>
              <w:rPr>
                <w:rFonts w:cs="宋体"/>
                <w:color w:val="auto"/>
                <w:spacing w:val="-2"/>
                <w:szCs w:val="21"/>
                <w:highlight w:val="none"/>
              </w:rPr>
              <w:t>体</w:t>
            </w:r>
            <w:r>
              <w:rPr>
                <w:rFonts w:cs="宋体"/>
                <w:color w:val="auto"/>
                <w:spacing w:val="-1"/>
                <w:szCs w:val="21"/>
                <w:highlight w:val="none"/>
              </w:rPr>
              <w:t>系认证</w:t>
            </w:r>
          </w:p>
        </w:tc>
        <w:tc>
          <w:tcPr>
            <w:tcW w:w="6427" w:type="dxa"/>
            <w:vAlign w:val="center"/>
          </w:tcPr>
          <w:p w14:paraId="092F8634">
            <w:pPr>
              <w:keepNext w:val="0"/>
              <w:keepLines w:val="0"/>
              <w:pageBreakBefore w:val="0"/>
              <w:kinsoku/>
              <w:wordWrap/>
              <w:overflowPunct/>
              <w:topLinePunct w:val="0"/>
              <w:bidi w:val="0"/>
              <w:spacing w:before="35" w:line="26" w:lineRule="atLeast"/>
              <w:ind w:left="117"/>
              <w:rPr>
                <w:rFonts w:cs="宋体"/>
                <w:color w:val="auto"/>
                <w:szCs w:val="21"/>
                <w:highlight w:val="none"/>
              </w:rPr>
            </w:pPr>
            <w:r>
              <w:rPr>
                <w:rFonts w:hint="eastAsia" w:cs="宋体"/>
                <w:color w:val="auto"/>
                <w:spacing w:val="10"/>
                <w:szCs w:val="21"/>
                <w:highlight w:val="none"/>
                <w:lang w:eastAsia="zh-CN"/>
              </w:rPr>
              <w:t>供应商</w:t>
            </w:r>
            <w:r>
              <w:rPr>
                <w:rFonts w:cs="宋体"/>
                <w:color w:val="auto"/>
                <w:spacing w:val="5"/>
                <w:szCs w:val="21"/>
                <w:highlight w:val="none"/>
              </w:rPr>
              <w:t>的管理体系认证</w:t>
            </w:r>
          </w:p>
          <w:p w14:paraId="178EDB5C">
            <w:pPr>
              <w:keepNext w:val="0"/>
              <w:keepLines w:val="0"/>
              <w:pageBreakBefore w:val="0"/>
              <w:kinsoku/>
              <w:wordWrap/>
              <w:overflowPunct/>
              <w:topLinePunct w:val="0"/>
              <w:bidi w:val="0"/>
              <w:spacing w:before="36" w:line="26" w:lineRule="atLeast"/>
              <w:ind w:left="114" w:right="29"/>
              <w:rPr>
                <w:rFonts w:cs="宋体"/>
                <w:color w:val="auto"/>
                <w:szCs w:val="21"/>
                <w:highlight w:val="none"/>
              </w:rPr>
            </w:pPr>
            <w:r>
              <w:rPr>
                <w:rFonts w:hint="eastAsia" w:cs="宋体"/>
                <w:color w:val="auto"/>
                <w:spacing w:val="-6"/>
                <w:szCs w:val="21"/>
                <w:highlight w:val="none"/>
                <w:lang w:eastAsia="zh-CN"/>
              </w:rPr>
              <w:t>供应商</w:t>
            </w:r>
            <w:r>
              <w:rPr>
                <w:rFonts w:hint="eastAsia" w:cs="宋体"/>
                <w:color w:val="auto"/>
                <w:spacing w:val="-6"/>
                <w:szCs w:val="21"/>
                <w:highlight w:val="none"/>
                <w:lang w:val="en-US" w:eastAsia="zh-CN"/>
              </w:rPr>
              <w:t>具备有效期内的</w:t>
            </w:r>
            <w:r>
              <w:rPr>
                <w:rFonts w:cs="宋体"/>
                <w:color w:val="auto"/>
                <w:spacing w:val="-5"/>
                <w:szCs w:val="21"/>
                <w:highlight w:val="none"/>
              </w:rPr>
              <w:t>质</w:t>
            </w:r>
            <w:r>
              <w:rPr>
                <w:rFonts w:cs="宋体"/>
                <w:color w:val="auto"/>
                <w:spacing w:val="-3"/>
                <w:szCs w:val="21"/>
                <w:highlight w:val="none"/>
              </w:rPr>
              <w:t>量管理体系认证、职业健康管理体系认证、环境管理</w:t>
            </w:r>
            <w:r>
              <w:rPr>
                <w:rFonts w:cs="宋体"/>
                <w:color w:val="auto"/>
                <w:spacing w:val="-2"/>
                <w:szCs w:val="21"/>
                <w:highlight w:val="none"/>
              </w:rPr>
              <w:t>体系认证</w:t>
            </w:r>
            <w:r>
              <w:rPr>
                <w:rFonts w:cs="宋体"/>
                <w:color w:val="auto"/>
                <w:spacing w:val="-5"/>
                <w:szCs w:val="21"/>
                <w:highlight w:val="none"/>
              </w:rPr>
              <w:t xml:space="preserve">，具备一个得 </w:t>
            </w:r>
            <w:r>
              <w:rPr>
                <w:rFonts w:hint="eastAsia" w:cs="Arial"/>
                <w:color w:val="auto"/>
                <w:spacing w:val="-5"/>
                <w:szCs w:val="21"/>
                <w:highlight w:val="none"/>
              </w:rPr>
              <w:t>2</w:t>
            </w:r>
            <w:r>
              <w:rPr>
                <w:rFonts w:eastAsia="Arial" w:cs="Arial"/>
                <w:color w:val="auto"/>
                <w:spacing w:val="-5"/>
                <w:szCs w:val="21"/>
                <w:highlight w:val="none"/>
              </w:rPr>
              <w:t xml:space="preserve"> </w:t>
            </w:r>
            <w:r>
              <w:rPr>
                <w:rFonts w:cs="宋体"/>
                <w:color w:val="auto"/>
                <w:spacing w:val="-5"/>
                <w:szCs w:val="21"/>
                <w:highlight w:val="none"/>
              </w:rPr>
              <w:t xml:space="preserve">分，最高得 </w:t>
            </w:r>
            <w:r>
              <w:rPr>
                <w:rFonts w:eastAsia="Arial" w:cs="Arial"/>
                <w:color w:val="auto"/>
                <w:spacing w:val="-5"/>
                <w:szCs w:val="21"/>
                <w:highlight w:val="none"/>
              </w:rPr>
              <w:t xml:space="preserve">6 </w:t>
            </w:r>
            <w:r>
              <w:rPr>
                <w:rFonts w:cs="宋体"/>
                <w:color w:val="auto"/>
                <w:spacing w:val="-5"/>
                <w:szCs w:val="21"/>
                <w:highlight w:val="none"/>
              </w:rPr>
              <w:t>分。</w:t>
            </w:r>
          </w:p>
          <w:p w14:paraId="7A8A1483">
            <w:pPr>
              <w:keepNext w:val="0"/>
              <w:keepLines w:val="0"/>
              <w:pageBreakBefore w:val="0"/>
              <w:tabs>
                <w:tab w:val="left" w:pos="226"/>
              </w:tabs>
              <w:kinsoku/>
              <w:wordWrap/>
              <w:overflowPunct/>
              <w:topLinePunct w:val="0"/>
              <w:bidi w:val="0"/>
              <w:spacing w:before="3" w:line="26" w:lineRule="atLeast"/>
              <w:ind w:left="115" w:right="99" w:firstLine="1"/>
              <w:rPr>
                <w:rFonts w:cs="宋体"/>
                <w:color w:val="auto"/>
                <w:szCs w:val="21"/>
                <w:highlight w:val="none"/>
              </w:rPr>
            </w:pPr>
            <w:r>
              <w:rPr>
                <w:rFonts w:hint="eastAsia" w:cs="宋体"/>
                <w:color w:val="auto"/>
                <w:spacing w:val="-6"/>
                <w:szCs w:val="21"/>
                <w:highlight w:val="none"/>
                <w:lang w:val="en-US" w:eastAsia="zh-CN"/>
              </w:rPr>
              <w:t>注：提供相关认证证书清晰扫描件，无法提供或不满足的不得分</w:t>
            </w:r>
            <w:r>
              <w:rPr>
                <w:rFonts w:cs="宋体"/>
                <w:color w:val="auto"/>
                <w:spacing w:val="-3"/>
                <w:szCs w:val="21"/>
                <w:highlight w:val="none"/>
              </w:rPr>
              <w:t>。</w:t>
            </w:r>
          </w:p>
        </w:tc>
        <w:tc>
          <w:tcPr>
            <w:tcW w:w="789" w:type="dxa"/>
            <w:vAlign w:val="center"/>
          </w:tcPr>
          <w:p w14:paraId="16E9971C">
            <w:pPr>
              <w:keepNext w:val="0"/>
              <w:keepLines w:val="0"/>
              <w:pageBreakBefore w:val="0"/>
              <w:kinsoku/>
              <w:wordWrap/>
              <w:overflowPunct/>
              <w:topLinePunct w:val="0"/>
              <w:bidi w:val="0"/>
              <w:spacing w:before="238" w:line="26" w:lineRule="atLeast"/>
              <w:ind w:left="341"/>
              <w:rPr>
                <w:rFonts w:eastAsia="Arial" w:cs="Arial"/>
                <w:color w:val="auto"/>
                <w:szCs w:val="21"/>
                <w:highlight w:val="none"/>
              </w:rPr>
            </w:pPr>
            <w:r>
              <w:rPr>
                <w:rFonts w:eastAsia="Arial" w:cs="Arial"/>
                <w:color w:val="auto"/>
                <w:szCs w:val="21"/>
                <w:highlight w:val="none"/>
              </w:rPr>
              <w:t>6</w:t>
            </w:r>
          </w:p>
        </w:tc>
      </w:tr>
      <w:tr w14:paraId="09CBC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3" w:hRule="atLeast"/>
        </w:trPr>
        <w:tc>
          <w:tcPr>
            <w:tcW w:w="453" w:type="dxa"/>
            <w:vAlign w:val="center"/>
          </w:tcPr>
          <w:p w14:paraId="4E054815">
            <w:pPr>
              <w:keepNext w:val="0"/>
              <w:keepLines w:val="0"/>
              <w:pageBreakBefore w:val="0"/>
              <w:kinsoku/>
              <w:wordWrap/>
              <w:overflowPunct/>
              <w:topLinePunct w:val="0"/>
              <w:bidi w:val="0"/>
              <w:spacing w:line="26" w:lineRule="atLeast"/>
              <w:jc w:val="center"/>
              <w:rPr>
                <w:rFonts w:eastAsia="Arial" w:cs="Arial"/>
                <w:color w:val="auto"/>
                <w:szCs w:val="21"/>
                <w:highlight w:val="none"/>
              </w:rPr>
            </w:pPr>
            <w:r>
              <w:rPr>
                <w:rFonts w:eastAsia="Arial" w:cs="Arial"/>
                <w:color w:val="auto"/>
                <w:spacing w:val="-2"/>
                <w:szCs w:val="21"/>
                <w:highlight w:val="none"/>
              </w:rPr>
              <w:t>2.</w:t>
            </w:r>
          </w:p>
        </w:tc>
        <w:tc>
          <w:tcPr>
            <w:tcW w:w="1635" w:type="dxa"/>
            <w:gridSpan w:val="3"/>
            <w:vAlign w:val="center"/>
          </w:tcPr>
          <w:p w14:paraId="1BD15F62">
            <w:pPr>
              <w:keepNext w:val="0"/>
              <w:keepLines w:val="0"/>
              <w:pageBreakBefore w:val="0"/>
              <w:kinsoku/>
              <w:wordWrap/>
              <w:overflowPunct/>
              <w:topLinePunct w:val="0"/>
              <w:bidi w:val="0"/>
              <w:spacing w:before="68" w:line="26" w:lineRule="atLeast"/>
              <w:ind w:right="193"/>
              <w:jc w:val="center"/>
              <w:rPr>
                <w:rFonts w:cs="宋体"/>
                <w:color w:val="auto"/>
                <w:spacing w:val="-1"/>
                <w:szCs w:val="21"/>
                <w:highlight w:val="none"/>
              </w:rPr>
            </w:pPr>
            <w:r>
              <w:rPr>
                <w:rFonts w:hint="eastAsia" w:cs="宋体"/>
                <w:color w:val="auto"/>
                <w:spacing w:val="-2"/>
                <w:szCs w:val="21"/>
                <w:highlight w:val="none"/>
                <w:lang w:eastAsia="zh-CN"/>
              </w:rPr>
              <w:t>供应商</w:t>
            </w:r>
            <w:r>
              <w:rPr>
                <w:rFonts w:cs="宋体"/>
                <w:color w:val="auto"/>
                <w:spacing w:val="-1"/>
                <w:szCs w:val="21"/>
                <w:highlight w:val="none"/>
              </w:rPr>
              <w:t>类似</w:t>
            </w:r>
          </w:p>
          <w:p w14:paraId="0C32EEA7">
            <w:pPr>
              <w:keepNext w:val="0"/>
              <w:keepLines w:val="0"/>
              <w:pageBreakBefore w:val="0"/>
              <w:kinsoku/>
              <w:wordWrap/>
              <w:overflowPunct/>
              <w:topLinePunct w:val="0"/>
              <w:bidi w:val="0"/>
              <w:spacing w:before="68" w:line="26" w:lineRule="atLeast"/>
              <w:ind w:right="193"/>
              <w:jc w:val="center"/>
              <w:rPr>
                <w:rFonts w:cs="宋体"/>
                <w:color w:val="auto"/>
                <w:szCs w:val="21"/>
                <w:highlight w:val="none"/>
              </w:rPr>
            </w:pPr>
            <w:r>
              <w:rPr>
                <w:rFonts w:cs="宋体"/>
                <w:color w:val="auto"/>
                <w:spacing w:val="-1"/>
                <w:szCs w:val="21"/>
                <w:highlight w:val="none"/>
              </w:rPr>
              <w:t>项</w:t>
            </w:r>
            <w:r>
              <w:rPr>
                <w:rFonts w:cs="宋体"/>
                <w:color w:val="auto"/>
                <w:spacing w:val="-10"/>
                <w:szCs w:val="21"/>
                <w:highlight w:val="none"/>
              </w:rPr>
              <w:t>目业绩</w:t>
            </w:r>
          </w:p>
        </w:tc>
        <w:tc>
          <w:tcPr>
            <w:tcW w:w="6427" w:type="dxa"/>
            <w:vAlign w:val="center"/>
          </w:tcPr>
          <w:p w14:paraId="7D922AF9">
            <w:pPr>
              <w:keepNext w:val="0"/>
              <w:keepLines w:val="0"/>
              <w:pageBreakBefore w:val="0"/>
              <w:kinsoku/>
              <w:wordWrap/>
              <w:overflowPunct/>
              <w:topLinePunct w:val="0"/>
              <w:bidi w:val="0"/>
              <w:spacing w:before="32" w:line="26" w:lineRule="atLeast"/>
              <w:ind w:left="117"/>
              <w:rPr>
                <w:rFonts w:cs="宋体"/>
                <w:color w:val="auto"/>
                <w:szCs w:val="21"/>
                <w:highlight w:val="none"/>
              </w:rPr>
            </w:pPr>
            <w:r>
              <w:rPr>
                <w:rFonts w:hint="eastAsia" w:cs="宋体"/>
                <w:color w:val="auto"/>
                <w:spacing w:val="16"/>
                <w:szCs w:val="21"/>
                <w:highlight w:val="none"/>
                <w:lang w:eastAsia="zh-CN"/>
              </w:rPr>
              <w:t>供应商</w:t>
            </w:r>
            <w:r>
              <w:rPr>
                <w:rFonts w:cs="宋体"/>
                <w:color w:val="auto"/>
                <w:spacing w:val="10"/>
                <w:szCs w:val="21"/>
                <w:highlight w:val="none"/>
              </w:rPr>
              <w:t>类似项目业绩</w:t>
            </w:r>
          </w:p>
          <w:p w14:paraId="4CDCEB20">
            <w:pPr>
              <w:keepNext w:val="0"/>
              <w:keepLines w:val="0"/>
              <w:pageBreakBefore w:val="0"/>
              <w:kinsoku/>
              <w:wordWrap/>
              <w:overflowPunct/>
              <w:topLinePunct w:val="0"/>
              <w:bidi w:val="0"/>
              <w:spacing w:before="92" w:line="26" w:lineRule="atLeast"/>
              <w:ind w:left="114" w:right="144" w:firstLine="9"/>
              <w:rPr>
                <w:rFonts w:cs="宋体"/>
                <w:color w:val="auto"/>
                <w:szCs w:val="21"/>
                <w:highlight w:val="none"/>
              </w:rPr>
            </w:pPr>
            <w:r>
              <w:rPr>
                <w:rFonts w:hint="eastAsia" w:cs="宋体"/>
                <w:color w:val="auto"/>
                <w:spacing w:val="-5"/>
                <w:szCs w:val="21"/>
                <w:highlight w:val="none"/>
              </w:rPr>
              <w:t>自2019年1月1日以来（以合同签订时间为准）</w:t>
            </w:r>
            <w:r>
              <w:rPr>
                <w:rFonts w:cs="宋体"/>
                <w:color w:val="auto"/>
                <w:spacing w:val="-5"/>
                <w:szCs w:val="21"/>
                <w:highlight w:val="none"/>
              </w:rPr>
              <w:t>，</w:t>
            </w:r>
            <w:r>
              <w:rPr>
                <w:rFonts w:hint="eastAsia" w:cs="宋体"/>
                <w:color w:val="auto"/>
                <w:spacing w:val="-5"/>
                <w:szCs w:val="21"/>
                <w:highlight w:val="none"/>
                <w:lang w:eastAsia="zh-CN"/>
              </w:rPr>
              <w:t>供应商</w:t>
            </w:r>
            <w:r>
              <w:rPr>
                <w:rFonts w:hint="eastAsia" w:cs="宋体"/>
                <w:color w:val="auto"/>
                <w:spacing w:val="-12"/>
                <w:szCs w:val="21"/>
                <w:highlight w:val="none"/>
                <w:lang w:eastAsia="zh-CN"/>
              </w:rPr>
              <w:t>承担过松材线虫病除治质量抽样检测类项目的，每个业绩得</w:t>
            </w:r>
            <w:r>
              <w:rPr>
                <w:rFonts w:hint="eastAsia" w:cs="宋体"/>
                <w:color w:val="auto"/>
                <w:spacing w:val="-12"/>
                <w:szCs w:val="21"/>
                <w:highlight w:val="none"/>
                <w:lang w:val="en-US" w:eastAsia="zh-CN"/>
              </w:rPr>
              <w:t>1分。</w:t>
            </w:r>
            <w:r>
              <w:rPr>
                <w:rFonts w:cs="宋体"/>
                <w:color w:val="auto"/>
                <w:spacing w:val="-12"/>
                <w:szCs w:val="21"/>
                <w:highlight w:val="none"/>
              </w:rPr>
              <w:t xml:space="preserve"> 最高得</w:t>
            </w:r>
            <w:r>
              <w:rPr>
                <w:rFonts w:hint="eastAsia" w:cs="宋体"/>
                <w:color w:val="auto"/>
                <w:spacing w:val="-12"/>
                <w:szCs w:val="21"/>
                <w:highlight w:val="none"/>
                <w:lang w:val="en-US" w:eastAsia="zh-CN"/>
              </w:rPr>
              <w:t>1</w:t>
            </w:r>
            <w:r>
              <w:rPr>
                <w:rFonts w:cs="宋体"/>
                <w:color w:val="auto"/>
                <w:spacing w:val="-12"/>
                <w:szCs w:val="21"/>
                <w:highlight w:val="none"/>
              </w:rPr>
              <w:t>分。</w:t>
            </w:r>
          </w:p>
          <w:p w14:paraId="5B7DD3E3">
            <w:pPr>
              <w:keepNext w:val="0"/>
              <w:keepLines w:val="0"/>
              <w:pageBreakBefore w:val="0"/>
              <w:kinsoku/>
              <w:wordWrap/>
              <w:overflowPunct/>
              <w:topLinePunct w:val="0"/>
              <w:bidi w:val="0"/>
              <w:spacing w:line="26" w:lineRule="atLeast"/>
              <w:ind w:left="114" w:right="46" w:firstLine="2"/>
              <w:rPr>
                <w:rFonts w:cs="宋体"/>
                <w:color w:val="auto"/>
                <w:szCs w:val="21"/>
                <w:highlight w:val="none"/>
              </w:rPr>
            </w:pPr>
            <w:r>
              <w:rPr>
                <w:rFonts w:hint="eastAsia" w:cs="宋体"/>
                <w:color w:val="auto"/>
                <w:spacing w:val="-6"/>
                <w:szCs w:val="21"/>
                <w:highlight w:val="none"/>
                <w:lang w:val="en-US" w:eastAsia="zh-CN"/>
              </w:rPr>
              <w:t>注</w:t>
            </w:r>
            <w:r>
              <w:rPr>
                <w:rFonts w:cs="宋体"/>
                <w:color w:val="auto"/>
                <w:spacing w:val="-6"/>
                <w:szCs w:val="21"/>
                <w:highlight w:val="none"/>
              </w:rPr>
              <w:t>：提供合</w:t>
            </w:r>
            <w:r>
              <w:rPr>
                <w:rFonts w:cs="宋体"/>
                <w:color w:val="auto"/>
                <w:spacing w:val="-3"/>
                <w:szCs w:val="21"/>
                <w:highlight w:val="none"/>
              </w:rPr>
              <w:t>同</w:t>
            </w:r>
            <w:r>
              <w:rPr>
                <w:rFonts w:hint="eastAsia" w:cs="宋体"/>
                <w:color w:val="auto"/>
                <w:spacing w:val="-3"/>
                <w:szCs w:val="21"/>
                <w:highlight w:val="none"/>
              </w:rPr>
              <w:t>扫描件</w:t>
            </w:r>
            <w:r>
              <w:rPr>
                <w:rFonts w:cs="宋体"/>
                <w:color w:val="auto"/>
                <w:spacing w:val="-3"/>
                <w:szCs w:val="21"/>
                <w:highlight w:val="none"/>
              </w:rPr>
              <w:t>作为证明材料，未提供或未完全提供证明材</w:t>
            </w:r>
            <w:r>
              <w:rPr>
                <w:rFonts w:cs="宋体"/>
                <w:color w:val="auto"/>
                <w:spacing w:val="-10"/>
                <w:szCs w:val="21"/>
                <w:highlight w:val="none"/>
              </w:rPr>
              <w:t>料</w:t>
            </w:r>
            <w:r>
              <w:rPr>
                <w:rFonts w:cs="宋体"/>
                <w:color w:val="auto"/>
                <w:spacing w:val="-5"/>
                <w:szCs w:val="21"/>
                <w:highlight w:val="none"/>
              </w:rPr>
              <w:t>的或无法认定为类似项目业绩的，不得分。</w:t>
            </w:r>
          </w:p>
        </w:tc>
        <w:tc>
          <w:tcPr>
            <w:tcW w:w="789" w:type="dxa"/>
            <w:vAlign w:val="center"/>
          </w:tcPr>
          <w:p w14:paraId="490777D0">
            <w:pPr>
              <w:keepNext w:val="0"/>
              <w:keepLines w:val="0"/>
              <w:pageBreakBefore w:val="0"/>
              <w:kinsoku/>
              <w:wordWrap/>
              <w:overflowPunct/>
              <w:topLinePunct w:val="0"/>
              <w:bidi w:val="0"/>
              <w:spacing w:before="61" w:line="26" w:lineRule="atLeast"/>
              <w:ind w:left="356"/>
              <w:rPr>
                <w:rFonts w:hint="eastAsia" w:eastAsia="宋体" w:cs="Arial"/>
                <w:color w:val="auto"/>
                <w:szCs w:val="21"/>
                <w:highlight w:val="none"/>
                <w:lang w:eastAsia="zh-CN"/>
              </w:rPr>
            </w:pPr>
            <w:r>
              <w:rPr>
                <w:rFonts w:hint="eastAsia" w:cs="Arial"/>
                <w:color w:val="auto"/>
                <w:szCs w:val="21"/>
                <w:highlight w:val="none"/>
                <w:lang w:val="en-US" w:eastAsia="zh-CN"/>
              </w:rPr>
              <w:t>1</w:t>
            </w:r>
          </w:p>
        </w:tc>
      </w:tr>
      <w:tr w14:paraId="55A0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53" w:type="dxa"/>
            <w:vAlign w:val="center"/>
          </w:tcPr>
          <w:p w14:paraId="3A562FEF">
            <w:pPr>
              <w:keepNext w:val="0"/>
              <w:keepLines w:val="0"/>
              <w:pageBreakBefore w:val="0"/>
              <w:kinsoku/>
              <w:wordWrap/>
              <w:overflowPunct/>
              <w:topLinePunct w:val="0"/>
              <w:bidi w:val="0"/>
              <w:spacing w:line="26" w:lineRule="atLeast"/>
              <w:jc w:val="center"/>
              <w:rPr>
                <w:rFonts w:cs="宋体"/>
                <w:color w:val="auto"/>
                <w:szCs w:val="21"/>
                <w:highlight w:val="none"/>
              </w:rPr>
            </w:pPr>
            <w:r>
              <w:rPr>
                <w:rFonts w:cs="宋体"/>
                <w:color w:val="auto"/>
                <w:szCs w:val="21"/>
                <w:highlight w:val="none"/>
              </w:rPr>
              <w:t>二</w:t>
            </w:r>
          </w:p>
        </w:tc>
        <w:tc>
          <w:tcPr>
            <w:tcW w:w="1635" w:type="dxa"/>
            <w:gridSpan w:val="3"/>
            <w:vAlign w:val="center"/>
          </w:tcPr>
          <w:p w14:paraId="4A1F7EA3">
            <w:pPr>
              <w:keepNext w:val="0"/>
              <w:keepLines w:val="0"/>
              <w:pageBreakBefore w:val="0"/>
              <w:kinsoku/>
              <w:wordWrap/>
              <w:overflowPunct/>
              <w:topLinePunct w:val="0"/>
              <w:bidi w:val="0"/>
              <w:spacing w:before="91" w:line="26" w:lineRule="atLeast"/>
              <w:jc w:val="center"/>
              <w:rPr>
                <w:rFonts w:cs="宋体"/>
                <w:color w:val="auto"/>
                <w:szCs w:val="21"/>
                <w:highlight w:val="none"/>
              </w:rPr>
            </w:pPr>
            <w:r>
              <w:rPr>
                <w:rFonts w:cs="宋体"/>
                <w:color w:val="auto"/>
                <w:spacing w:val="-2"/>
                <w:szCs w:val="21"/>
                <w:highlight w:val="none"/>
              </w:rPr>
              <w:t>服</w:t>
            </w:r>
            <w:r>
              <w:rPr>
                <w:rFonts w:cs="宋体"/>
                <w:color w:val="auto"/>
                <w:spacing w:val="-1"/>
                <w:szCs w:val="21"/>
                <w:highlight w:val="none"/>
              </w:rPr>
              <w:t>务水平</w:t>
            </w:r>
          </w:p>
        </w:tc>
        <w:tc>
          <w:tcPr>
            <w:tcW w:w="6427" w:type="dxa"/>
            <w:vAlign w:val="center"/>
          </w:tcPr>
          <w:p w14:paraId="16957591">
            <w:pPr>
              <w:keepNext w:val="0"/>
              <w:keepLines w:val="0"/>
              <w:pageBreakBefore w:val="0"/>
              <w:kinsoku/>
              <w:wordWrap/>
              <w:overflowPunct/>
              <w:topLinePunct w:val="0"/>
              <w:bidi w:val="0"/>
              <w:spacing w:line="26" w:lineRule="atLeast"/>
              <w:rPr>
                <w:color w:val="auto"/>
                <w:highlight w:val="none"/>
              </w:rPr>
            </w:pPr>
          </w:p>
        </w:tc>
        <w:tc>
          <w:tcPr>
            <w:tcW w:w="789" w:type="dxa"/>
            <w:vAlign w:val="center"/>
          </w:tcPr>
          <w:p w14:paraId="4FE0DCB0">
            <w:pPr>
              <w:keepNext w:val="0"/>
              <w:keepLines w:val="0"/>
              <w:pageBreakBefore w:val="0"/>
              <w:kinsoku/>
              <w:wordWrap/>
              <w:overflowPunct/>
              <w:topLinePunct w:val="0"/>
              <w:bidi w:val="0"/>
              <w:spacing w:line="26" w:lineRule="atLeast"/>
              <w:rPr>
                <w:color w:val="auto"/>
                <w:highlight w:val="none"/>
              </w:rPr>
            </w:pPr>
          </w:p>
        </w:tc>
      </w:tr>
      <w:tr w14:paraId="5ED81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453" w:type="dxa"/>
            <w:vAlign w:val="center"/>
          </w:tcPr>
          <w:p w14:paraId="28554D43">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3</w:t>
            </w:r>
            <w:r>
              <w:rPr>
                <w:color w:val="auto"/>
                <w:sz w:val="21"/>
                <w:szCs w:val="21"/>
                <w:highlight w:val="none"/>
              </w:rPr>
              <w:t>.</w:t>
            </w:r>
          </w:p>
        </w:tc>
        <w:tc>
          <w:tcPr>
            <w:tcW w:w="1635" w:type="dxa"/>
            <w:gridSpan w:val="3"/>
            <w:vAlign w:val="center"/>
          </w:tcPr>
          <w:p w14:paraId="6D6552BE">
            <w:pPr>
              <w:pStyle w:val="2"/>
              <w:keepNext w:val="0"/>
              <w:keepLines w:val="0"/>
              <w:pageBreakBefore w:val="0"/>
              <w:kinsoku/>
              <w:wordWrap/>
              <w:overflowPunct/>
              <w:topLinePunct w:val="0"/>
              <w:bidi w:val="0"/>
              <w:spacing w:line="26" w:lineRule="atLeast"/>
              <w:jc w:val="center"/>
              <w:rPr>
                <w:color w:val="auto"/>
                <w:sz w:val="21"/>
                <w:szCs w:val="21"/>
                <w:highlight w:val="none"/>
              </w:rPr>
            </w:pPr>
            <w:r>
              <w:rPr>
                <w:color w:val="auto"/>
                <w:sz w:val="21"/>
                <w:szCs w:val="21"/>
                <w:highlight w:val="none"/>
              </w:rPr>
              <w:t>项目需求分析</w:t>
            </w:r>
          </w:p>
        </w:tc>
        <w:tc>
          <w:tcPr>
            <w:tcW w:w="6427" w:type="dxa"/>
            <w:vAlign w:val="center"/>
          </w:tcPr>
          <w:p w14:paraId="40621FDA">
            <w:pPr>
              <w:pStyle w:val="2"/>
              <w:keepNext w:val="0"/>
              <w:keepLines w:val="0"/>
              <w:pageBreakBefore w:val="0"/>
              <w:kinsoku/>
              <w:wordWrap/>
              <w:overflowPunct/>
              <w:topLinePunct w:val="0"/>
              <w:bidi w:val="0"/>
              <w:spacing w:line="26" w:lineRule="atLeast"/>
              <w:rPr>
                <w:color w:val="auto"/>
                <w:sz w:val="21"/>
                <w:szCs w:val="21"/>
                <w:highlight w:val="none"/>
              </w:rPr>
            </w:pPr>
            <w:r>
              <w:rPr>
                <w:color w:val="auto"/>
                <w:sz w:val="21"/>
                <w:szCs w:val="21"/>
                <w:highlight w:val="none"/>
              </w:rPr>
              <w:t>针对本项目的需求分析是否明确、合理、有针对性</w:t>
            </w:r>
            <w:r>
              <w:rPr>
                <w:rFonts w:hint="eastAsia"/>
                <w:color w:val="auto"/>
                <w:sz w:val="21"/>
                <w:szCs w:val="21"/>
                <w:highlight w:val="none"/>
              </w:rPr>
              <w:t>：</w:t>
            </w:r>
          </w:p>
          <w:p w14:paraId="11C50613">
            <w:pPr>
              <w:pStyle w:val="2"/>
              <w:keepNext w:val="0"/>
              <w:keepLines w:val="0"/>
              <w:pageBreakBefore w:val="0"/>
              <w:kinsoku/>
              <w:wordWrap/>
              <w:overflowPunct/>
              <w:topLinePunct w:val="0"/>
              <w:bidi w:val="0"/>
              <w:spacing w:line="26" w:lineRule="atLeast"/>
              <w:rPr>
                <w:color w:val="auto"/>
                <w:sz w:val="21"/>
                <w:szCs w:val="21"/>
                <w:highlight w:val="none"/>
              </w:rPr>
            </w:pPr>
            <w:r>
              <w:rPr>
                <w:color w:val="auto"/>
                <w:sz w:val="21"/>
                <w:szCs w:val="21"/>
                <w:highlight w:val="none"/>
              </w:rPr>
              <w:t>分析详尽、</w:t>
            </w:r>
            <w:r>
              <w:rPr>
                <w:rFonts w:hint="eastAsia"/>
                <w:color w:val="auto"/>
                <w:sz w:val="21"/>
                <w:szCs w:val="21"/>
                <w:highlight w:val="none"/>
              </w:rPr>
              <w:t>合理</w:t>
            </w:r>
            <w:r>
              <w:rPr>
                <w:color w:val="auto"/>
                <w:sz w:val="21"/>
                <w:szCs w:val="21"/>
                <w:highlight w:val="none"/>
              </w:rPr>
              <w:t>、</w:t>
            </w:r>
            <w:r>
              <w:rPr>
                <w:rFonts w:hint="eastAsia"/>
                <w:color w:val="auto"/>
                <w:sz w:val="21"/>
                <w:szCs w:val="21"/>
                <w:highlight w:val="none"/>
              </w:rPr>
              <w:t>有</w:t>
            </w:r>
            <w:r>
              <w:rPr>
                <w:color w:val="auto"/>
                <w:sz w:val="21"/>
                <w:szCs w:val="21"/>
                <w:highlight w:val="none"/>
              </w:rPr>
              <w:t>针对性</w:t>
            </w:r>
            <w:r>
              <w:rPr>
                <w:rFonts w:hint="eastAsia"/>
                <w:color w:val="auto"/>
                <w:sz w:val="21"/>
                <w:szCs w:val="21"/>
                <w:highlight w:val="none"/>
              </w:rPr>
              <w:t>的得</w:t>
            </w:r>
            <w:r>
              <w:rPr>
                <w:rFonts w:hint="eastAsia"/>
                <w:color w:val="auto"/>
                <w:sz w:val="21"/>
                <w:szCs w:val="21"/>
                <w:highlight w:val="none"/>
                <w:lang w:val="en-US" w:eastAsia="zh-CN"/>
              </w:rPr>
              <w:t>7</w:t>
            </w:r>
            <w:r>
              <w:rPr>
                <w:rFonts w:hint="eastAsia"/>
                <w:color w:val="auto"/>
                <w:sz w:val="21"/>
                <w:szCs w:val="21"/>
                <w:highlight w:val="none"/>
              </w:rPr>
              <w:t>分；</w:t>
            </w:r>
          </w:p>
          <w:p w14:paraId="7DA967D4">
            <w:pPr>
              <w:pStyle w:val="2"/>
              <w:keepNext w:val="0"/>
              <w:keepLines w:val="0"/>
              <w:pageBreakBefore w:val="0"/>
              <w:kinsoku/>
              <w:wordWrap/>
              <w:overflowPunct/>
              <w:topLinePunct w:val="0"/>
              <w:bidi w:val="0"/>
              <w:spacing w:line="26" w:lineRule="atLeast"/>
              <w:rPr>
                <w:color w:val="auto"/>
                <w:sz w:val="21"/>
                <w:szCs w:val="21"/>
                <w:highlight w:val="none"/>
              </w:rPr>
            </w:pPr>
            <w:r>
              <w:rPr>
                <w:color w:val="auto"/>
                <w:sz w:val="21"/>
                <w:szCs w:val="21"/>
                <w:highlight w:val="none"/>
              </w:rPr>
              <w:t>分析</w:t>
            </w:r>
            <w:r>
              <w:rPr>
                <w:rFonts w:hint="eastAsia"/>
                <w:color w:val="auto"/>
                <w:sz w:val="21"/>
                <w:szCs w:val="21"/>
                <w:highlight w:val="none"/>
              </w:rPr>
              <w:t>较</w:t>
            </w:r>
            <w:r>
              <w:rPr>
                <w:color w:val="auto"/>
                <w:sz w:val="21"/>
                <w:szCs w:val="21"/>
                <w:highlight w:val="none"/>
              </w:rPr>
              <w:t>详尽、</w:t>
            </w:r>
            <w:r>
              <w:rPr>
                <w:rFonts w:hint="eastAsia"/>
                <w:color w:val="auto"/>
                <w:sz w:val="21"/>
                <w:szCs w:val="21"/>
                <w:highlight w:val="none"/>
              </w:rPr>
              <w:t>较合理</w:t>
            </w:r>
            <w:r>
              <w:rPr>
                <w:color w:val="auto"/>
                <w:sz w:val="21"/>
                <w:szCs w:val="21"/>
                <w:highlight w:val="none"/>
              </w:rPr>
              <w:t>、</w:t>
            </w:r>
            <w:r>
              <w:rPr>
                <w:rFonts w:hint="eastAsia"/>
                <w:color w:val="auto"/>
                <w:sz w:val="21"/>
                <w:szCs w:val="21"/>
                <w:highlight w:val="none"/>
              </w:rPr>
              <w:t>较有</w:t>
            </w:r>
            <w:r>
              <w:rPr>
                <w:color w:val="auto"/>
                <w:sz w:val="21"/>
                <w:szCs w:val="21"/>
                <w:highlight w:val="none"/>
              </w:rPr>
              <w:t>针对性</w:t>
            </w:r>
            <w:r>
              <w:rPr>
                <w:rFonts w:hint="eastAsia"/>
                <w:color w:val="auto"/>
                <w:sz w:val="21"/>
                <w:szCs w:val="21"/>
                <w:highlight w:val="none"/>
              </w:rPr>
              <w:t>的得</w:t>
            </w:r>
            <w:r>
              <w:rPr>
                <w:rFonts w:hint="eastAsia"/>
                <w:color w:val="auto"/>
                <w:sz w:val="21"/>
                <w:szCs w:val="21"/>
                <w:highlight w:val="none"/>
                <w:lang w:val="en-US" w:eastAsia="zh-CN"/>
              </w:rPr>
              <w:t>6</w:t>
            </w:r>
            <w:r>
              <w:rPr>
                <w:rFonts w:hint="eastAsia"/>
                <w:color w:val="auto"/>
                <w:sz w:val="21"/>
                <w:szCs w:val="21"/>
                <w:highlight w:val="none"/>
              </w:rPr>
              <w:t>分；</w:t>
            </w:r>
          </w:p>
          <w:p w14:paraId="14296252">
            <w:pPr>
              <w:pStyle w:val="2"/>
              <w:keepNext w:val="0"/>
              <w:keepLines w:val="0"/>
              <w:pageBreakBefore w:val="0"/>
              <w:kinsoku/>
              <w:wordWrap/>
              <w:overflowPunct/>
              <w:topLinePunct w:val="0"/>
              <w:bidi w:val="0"/>
              <w:spacing w:line="26" w:lineRule="atLeast"/>
              <w:rPr>
                <w:color w:val="auto"/>
                <w:sz w:val="21"/>
                <w:szCs w:val="21"/>
                <w:highlight w:val="none"/>
              </w:rPr>
            </w:pPr>
            <w:r>
              <w:rPr>
                <w:color w:val="auto"/>
                <w:sz w:val="21"/>
                <w:szCs w:val="21"/>
                <w:highlight w:val="none"/>
              </w:rPr>
              <w:t>分析</w:t>
            </w:r>
            <w:r>
              <w:rPr>
                <w:rFonts w:hint="eastAsia"/>
                <w:color w:val="auto"/>
                <w:sz w:val="21"/>
                <w:szCs w:val="21"/>
                <w:highlight w:val="none"/>
              </w:rPr>
              <w:t>欠</w:t>
            </w:r>
            <w:r>
              <w:rPr>
                <w:color w:val="auto"/>
                <w:sz w:val="21"/>
                <w:szCs w:val="21"/>
                <w:highlight w:val="none"/>
              </w:rPr>
              <w:t>详尽、</w:t>
            </w:r>
            <w:r>
              <w:rPr>
                <w:rFonts w:hint="eastAsia"/>
                <w:color w:val="auto"/>
                <w:sz w:val="21"/>
                <w:szCs w:val="21"/>
                <w:highlight w:val="none"/>
              </w:rPr>
              <w:t>欠合理</w:t>
            </w:r>
            <w:r>
              <w:rPr>
                <w:color w:val="auto"/>
                <w:sz w:val="21"/>
                <w:szCs w:val="21"/>
                <w:highlight w:val="none"/>
              </w:rPr>
              <w:t>、</w:t>
            </w:r>
            <w:r>
              <w:rPr>
                <w:rFonts w:hint="eastAsia"/>
                <w:color w:val="auto"/>
                <w:sz w:val="21"/>
                <w:szCs w:val="21"/>
                <w:highlight w:val="none"/>
              </w:rPr>
              <w:t>欠有</w:t>
            </w:r>
            <w:r>
              <w:rPr>
                <w:color w:val="auto"/>
                <w:sz w:val="21"/>
                <w:szCs w:val="21"/>
                <w:highlight w:val="none"/>
              </w:rPr>
              <w:t>针对性</w:t>
            </w:r>
            <w:r>
              <w:rPr>
                <w:rFonts w:hint="eastAsia"/>
                <w:color w:val="auto"/>
                <w:sz w:val="21"/>
                <w:szCs w:val="21"/>
                <w:highlight w:val="none"/>
              </w:rPr>
              <w:t>的得</w:t>
            </w:r>
            <w:r>
              <w:rPr>
                <w:rFonts w:hint="eastAsia"/>
                <w:color w:val="auto"/>
                <w:sz w:val="21"/>
                <w:szCs w:val="21"/>
                <w:highlight w:val="none"/>
                <w:lang w:val="en-US" w:eastAsia="zh-CN"/>
              </w:rPr>
              <w:t>5</w:t>
            </w:r>
            <w:r>
              <w:rPr>
                <w:rFonts w:hint="eastAsia"/>
                <w:color w:val="auto"/>
                <w:sz w:val="21"/>
                <w:szCs w:val="21"/>
                <w:highlight w:val="none"/>
              </w:rPr>
              <w:t>分；</w:t>
            </w:r>
          </w:p>
          <w:p w14:paraId="36D66458">
            <w:pPr>
              <w:pStyle w:val="2"/>
              <w:keepNext w:val="0"/>
              <w:keepLines w:val="0"/>
              <w:pageBreakBefore w:val="0"/>
              <w:kinsoku/>
              <w:wordWrap/>
              <w:overflowPunct/>
              <w:topLinePunct w:val="0"/>
              <w:bidi w:val="0"/>
              <w:spacing w:line="26" w:lineRule="atLeast"/>
              <w:rPr>
                <w:color w:val="auto"/>
                <w:sz w:val="21"/>
                <w:szCs w:val="21"/>
                <w:highlight w:val="none"/>
              </w:rPr>
            </w:pPr>
            <w:r>
              <w:rPr>
                <w:rFonts w:hint="eastAsia"/>
                <w:color w:val="auto"/>
                <w:sz w:val="21"/>
                <w:szCs w:val="21"/>
                <w:highlight w:val="none"/>
              </w:rPr>
              <w:t>缺项不得分。</w:t>
            </w:r>
          </w:p>
        </w:tc>
        <w:tc>
          <w:tcPr>
            <w:tcW w:w="789" w:type="dxa"/>
            <w:vAlign w:val="center"/>
          </w:tcPr>
          <w:p w14:paraId="14F0488A">
            <w:pPr>
              <w:keepNext w:val="0"/>
              <w:keepLines w:val="0"/>
              <w:pageBreakBefore w:val="0"/>
              <w:kinsoku/>
              <w:wordWrap/>
              <w:overflowPunct/>
              <w:topLinePunct w:val="0"/>
              <w:bidi w:val="0"/>
              <w:spacing w:before="61" w:line="26" w:lineRule="atLeast"/>
              <w:ind w:left="341"/>
              <w:rPr>
                <w:rFonts w:hint="eastAsia" w:eastAsia="宋体" w:cs="Arial"/>
                <w:color w:val="auto"/>
                <w:szCs w:val="21"/>
                <w:highlight w:val="none"/>
                <w:lang w:eastAsia="zh-CN"/>
              </w:rPr>
            </w:pPr>
            <w:r>
              <w:rPr>
                <w:rFonts w:hint="eastAsia" w:eastAsia="宋体" w:cs="Arial"/>
                <w:color w:val="auto"/>
                <w:szCs w:val="21"/>
                <w:highlight w:val="none"/>
                <w:lang w:val="en-US" w:eastAsia="zh-CN"/>
              </w:rPr>
              <w:t>7</w:t>
            </w:r>
          </w:p>
        </w:tc>
      </w:tr>
      <w:tr w14:paraId="66BE6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453" w:type="dxa"/>
            <w:vMerge w:val="restart"/>
            <w:vAlign w:val="center"/>
          </w:tcPr>
          <w:p w14:paraId="484BF239">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4.</w:t>
            </w:r>
          </w:p>
        </w:tc>
        <w:tc>
          <w:tcPr>
            <w:tcW w:w="990" w:type="dxa"/>
            <w:gridSpan w:val="2"/>
            <w:vMerge w:val="restart"/>
            <w:vAlign w:val="center"/>
          </w:tcPr>
          <w:p w14:paraId="4D8B87F9">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技术方案</w:t>
            </w:r>
          </w:p>
        </w:tc>
        <w:tc>
          <w:tcPr>
            <w:tcW w:w="645" w:type="dxa"/>
            <w:vAlign w:val="center"/>
          </w:tcPr>
          <w:p w14:paraId="3E3A8CB2">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设备投入</w:t>
            </w:r>
          </w:p>
        </w:tc>
        <w:tc>
          <w:tcPr>
            <w:tcW w:w="6427" w:type="dxa"/>
            <w:tcBorders>
              <w:bottom w:val="single" w:color="auto" w:sz="4" w:space="0"/>
            </w:tcBorders>
            <w:vAlign w:val="center"/>
          </w:tcPr>
          <w:p w14:paraId="23F151E8">
            <w:pPr>
              <w:pStyle w:val="2"/>
              <w:keepNext w:val="0"/>
              <w:keepLines w:val="0"/>
              <w:pageBreakBefore w:val="0"/>
              <w:kinsoku/>
              <w:wordWrap/>
              <w:overflowPunct/>
              <w:topLinePunct w:val="0"/>
              <w:bidi w:val="0"/>
              <w:spacing w:line="26" w:lineRule="atLeast"/>
              <w:rPr>
                <w:color w:val="auto"/>
                <w:sz w:val="21"/>
                <w:szCs w:val="21"/>
                <w:highlight w:val="none"/>
              </w:rPr>
            </w:pPr>
            <w:r>
              <w:rPr>
                <w:rFonts w:hint="eastAsia"/>
                <w:color w:val="auto"/>
                <w:sz w:val="21"/>
                <w:szCs w:val="21"/>
                <w:highlight w:val="none"/>
              </w:rPr>
              <w:t>设备投入数量、参数满足工作需求程度：</w:t>
            </w:r>
          </w:p>
          <w:p w14:paraId="3E9FBF08">
            <w:pPr>
              <w:pStyle w:val="2"/>
              <w:keepNext w:val="0"/>
              <w:keepLines w:val="0"/>
              <w:pageBreakBefore w:val="0"/>
              <w:kinsoku/>
              <w:wordWrap/>
              <w:overflowPunct/>
              <w:topLinePunct w:val="0"/>
              <w:bidi w:val="0"/>
              <w:spacing w:line="26" w:lineRule="atLeast"/>
              <w:rPr>
                <w:color w:val="auto"/>
                <w:sz w:val="21"/>
                <w:szCs w:val="21"/>
                <w:highlight w:val="none"/>
              </w:rPr>
            </w:pPr>
            <w:r>
              <w:rPr>
                <w:rFonts w:hint="eastAsia"/>
                <w:color w:val="auto"/>
                <w:sz w:val="21"/>
                <w:szCs w:val="21"/>
                <w:highlight w:val="none"/>
              </w:rPr>
              <w:t>满足工作需求的得</w:t>
            </w:r>
            <w:r>
              <w:rPr>
                <w:rFonts w:hint="eastAsia"/>
                <w:color w:val="auto"/>
                <w:sz w:val="21"/>
                <w:szCs w:val="21"/>
                <w:highlight w:val="none"/>
                <w:lang w:val="en-US" w:eastAsia="zh-CN"/>
              </w:rPr>
              <w:t>7</w:t>
            </w:r>
            <w:r>
              <w:rPr>
                <w:rFonts w:hint="eastAsia"/>
                <w:color w:val="auto"/>
                <w:sz w:val="21"/>
                <w:szCs w:val="21"/>
                <w:highlight w:val="none"/>
              </w:rPr>
              <w:t>分；</w:t>
            </w:r>
          </w:p>
          <w:p w14:paraId="54157806">
            <w:pPr>
              <w:pStyle w:val="2"/>
              <w:keepNext w:val="0"/>
              <w:keepLines w:val="0"/>
              <w:pageBreakBefore w:val="0"/>
              <w:kinsoku/>
              <w:wordWrap/>
              <w:overflowPunct/>
              <w:topLinePunct w:val="0"/>
              <w:bidi w:val="0"/>
              <w:spacing w:line="26" w:lineRule="atLeast"/>
              <w:rPr>
                <w:color w:val="auto"/>
                <w:sz w:val="21"/>
                <w:szCs w:val="21"/>
                <w:highlight w:val="none"/>
              </w:rPr>
            </w:pPr>
            <w:r>
              <w:rPr>
                <w:rFonts w:hint="eastAsia"/>
                <w:color w:val="auto"/>
                <w:sz w:val="21"/>
                <w:szCs w:val="21"/>
                <w:highlight w:val="none"/>
              </w:rPr>
              <w:t>较满足工作需求的得</w:t>
            </w:r>
            <w:r>
              <w:rPr>
                <w:rFonts w:hint="eastAsia"/>
                <w:color w:val="auto"/>
                <w:sz w:val="21"/>
                <w:szCs w:val="21"/>
                <w:highlight w:val="none"/>
                <w:lang w:val="en-US" w:eastAsia="zh-CN"/>
              </w:rPr>
              <w:t>6</w:t>
            </w:r>
            <w:r>
              <w:rPr>
                <w:rFonts w:hint="eastAsia"/>
                <w:color w:val="auto"/>
                <w:sz w:val="21"/>
                <w:szCs w:val="21"/>
                <w:highlight w:val="none"/>
              </w:rPr>
              <w:t>分；</w:t>
            </w:r>
          </w:p>
          <w:p w14:paraId="5AAEC2C1">
            <w:pPr>
              <w:pStyle w:val="2"/>
              <w:keepNext w:val="0"/>
              <w:keepLines w:val="0"/>
              <w:pageBreakBefore w:val="0"/>
              <w:kinsoku/>
              <w:wordWrap/>
              <w:overflowPunct/>
              <w:topLinePunct w:val="0"/>
              <w:bidi w:val="0"/>
              <w:spacing w:line="26" w:lineRule="atLeast"/>
              <w:rPr>
                <w:color w:val="auto"/>
                <w:sz w:val="21"/>
                <w:szCs w:val="21"/>
                <w:highlight w:val="none"/>
              </w:rPr>
            </w:pPr>
            <w:r>
              <w:rPr>
                <w:rFonts w:hint="eastAsia"/>
                <w:color w:val="auto"/>
                <w:sz w:val="21"/>
                <w:szCs w:val="21"/>
                <w:highlight w:val="none"/>
              </w:rPr>
              <w:t>欠满足工作需求的得</w:t>
            </w:r>
            <w:r>
              <w:rPr>
                <w:rFonts w:hint="eastAsia"/>
                <w:color w:val="auto"/>
                <w:sz w:val="21"/>
                <w:szCs w:val="21"/>
                <w:highlight w:val="none"/>
                <w:lang w:val="en-US" w:eastAsia="zh-CN"/>
              </w:rPr>
              <w:t>5</w:t>
            </w:r>
            <w:r>
              <w:rPr>
                <w:rFonts w:hint="eastAsia"/>
                <w:color w:val="auto"/>
                <w:sz w:val="21"/>
                <w:szCs w:val="21"/>
                <w:highlight w:val="none"/>
              </w:rPr>
              <w:t>分；</w:t>
            </w:r>
          </w:p>
          <w:p w14:paraId="2888558C">
            <w:pPr>
              <w:pStyle w:val="2"/>
              <w:keepNext w:val="0"/>
              <w:keepLines w:val="0"/>
              <w:pageBreakBefore w:val="0"/>
              <w:kinsoku/>
              <w:wordWrap/>
              <w:overflowPunct/>
              <w:topLinePunct w:val="0"/>
              <w:bidi w:val="0"/>
              <w:spacing w:line="26" w:lineRule="atLeast"/>
            </w:pPr>
            <w:r>
              <w:rPr>
                <w:rFonts w:hint="eastAsia"/>
                <w:color w:val="auto"/>
                <w:sz w:val="21"/>
                <w:szCs w:val="21"/>
                <w:highlight w:val="none"/>
              </w:rPr>
              <w:t>缺项不得分。</w:t>
            </w:r>
          </w:p>
        </w:tc>
        <w:tc>
          <w:tcPr>
            <w:tcW w:w="789" w:type="dxa"/>
            <w:tcBorders>
              <w:bottom w:val="single" w:color="auto" w:sz="4" w:space="0"/>
            </w:tcBorders>
            <w:vAlign w:val="center"/>
          </w:tcPr>
          <w:p w14:paraId="3FA47716">
            <w:pPr>
              <w:keepNext w:val="0"/>
              <w:keepLines w:val="0"/>
              <w:pageBreakBefore w:val="0"/>
              <w:kinsoku/>
              <w:wordWrap/>
              <w:overflowPunct/>
              <w:topLinePunct w:val="0"/>
              <w:bidi w:val="0"/>
              <w:spacing w:line="26" w:lineRule="atLeast"/>
              <w:rPr>
                <w:color w:val="auto"/>
                <w:highlight w:val="none"/>
              </w:rPr>
            </w:pPr>
          </w:p>
          <w:p w14:paraId="5793D537">
            <w:pPr>
              <w:keepNext w:val="0"/>
              <w:keepLines w:val="0"/>
              <w:pageBreakBefore w:val="0"/>
              <w:kinsoku/>
              <w:wordWrap/>
              <w:overflowPunct/>
              <w:topLinePunct w:val="0"/>
              <w:bidi w:val="0"/>
              <w:spacing w:before="61" w:line="26" w:lineRule="atLeast"/>
              <w:ind w:left="281"/>
              <w:rPr>
                <w:rFonts w:hint="default" w:eastAsia="宋体" w:cs="Arial"/>
                <w:color w:val="auto"/>
                <w:szCs w:val="21"/>
                <w:highlight w:val="none"/>
                <w:lang w:val="en-US" w:eastAsia="zh-CN"/>
              </w:rPr>
            </w:pPr>
            <w:r>
              <w:rPr>
                <w:rFonts w:hint="eastAsia" w:cs="Arial"/>
                <w:color w:val="auto"/>
                <w:spacing w:val="-3"/>
                <w:sz w:val="22"/>
                <w:szCs w:val="22"/>
                <w:highlight w:val="none"/>
                <w:lang w:val="en-US" w:eastAsia="zh-CN"/>
              </w:rPr>
              <w:t>7</w:t>
            </w:r>
          </w:p>
        </w:tc>
      </w:tr>
      <w:tr w14:paraId="216E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453" w:type="dxa"/>
            <w:vMerge w:val="continue"/>
            <w:vAlign w:val="center"/>
          </w:tcPr>
          <w:p w14:paraId="75C0F0BC">
            <w:pPr>
              <w:pStyle w:val="2"/>
              <w:keepNext w:val="0"/>
              <w:keepLines w:val="0"/>
              <w:pageBreakBefore w:val="0"/>
              <w:kinsoku/>
              <w:wordWrap/>
              <w:overflowPunct/>
              <w:topLinePunct w:val="0"/>
              <w:bidi w:val="0"/>
              <w:spacing w:line="26" w:lineRule="atLeast"/>
              <w:jc w:val="center"/>
              <w:rPr>
                <w:color w:val="auto"/>
                <w:sz w:val="21"/>
                <w:szCs w:val="21"/>
                <w:highlight w:val="none"/>
              </w:rPr>
            </w:pPr>
          </w:p>
        </w:tc>
        <w:tc>
          <w:tcPr>
            <w:tcW w:w="990" w:type="dxa"/>
            <w:gridSpan w:val="2"/>
            <w:vMerge w:val="continue"/>
            <w:vAlign w:val="center"/>
          </w:tcPr>
          <w:p w14:paraId="0AC548FA">
            <w:pPr>
              <w:pStyle w:val="2"/>
              <w:keepNext w:val="0"/>
              <w:keepLines w:val="0"/>
              <w:pageBreakBefore w:val="0"/>
              <w:kinsoku/>
              <w:wordWrap/>
              <w:overflowPunct/>
              <w:topLinePunct w:val="0"/>
              <w:bidi w:val="0"/>
              <w:spacing w:line="26" w:lineRule="atLeast"/>
              <w:jc w:val="center"/>
              <w:rPr>
                <w:color w:val="auto"/>
                <w:sz w:val="21"/>
                <w:szCs w:val="21"/>
                <w:highlight w:val="none"/>
              </w:rPr>
            </w:pPr>
          </w:p>
        </w:tc>
        <w:tc>
          <w:tcPr>
            <w:tcW w:w="645" w:type="dxa"/>
            <w:vAlign w:val="center"/>
          </w:tcPr>
          <w:p w14:paraId="727AD161">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技术流程</w:t>
            </w:r>
          </w:p>
        </w:tc>
        <w:tc>
          <w:tcPr>
            <w:tcW w:w="6427" w:type="dxa"/>
            <w:tcBorders>
              <w:top w:val="single" w:color="auto" w:sz="4" w:space="0"/>
            </w:tcBorders>
            <w:vAlign w:val="center"/>
          </w:tcPr>
          <w:p w14:paraId="721F14D1">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项目技术流程</w:t>
            </w:r>
            <w:r>
              <w:rPr>
                <w:rFonts w:cs="宋体"/>
                <w:color w:val="auto"/>
                <w:spacing w:val="-4"/>
                <w:szCs w:val="21"/>
                <w:highlight w:val="none"/>
              </w:rPr>
              <w:t>合理可行且针对性强</w:t>
            </w:r>
            <w:r>
              <w:rPr>
                <w:rFonts w:hint="eastAsia" w:cs="宋体"/>
                <w:color w:val="auto"/>
                <w:spacing w:val="-4"/>
                <w:szCs w:val="21"/>
                <w:highlight w:val="none"/>
              </w:rPr>
              <w:t>：</w:t>
            </w:r>
          </w:p>
          <w:p w14:paraId="58229535">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cs="宋体"/>
                <w:color w:val="auto"/>
                <w:spacing w:val="-4"/>
                <w:szCs w:val="21"/>
                <w:highlight w:val="none"/>
              </w:rPr>
              <w:t>准确、</w:t>
            </w:r>
            <w:r>
              <w:rPr>
                <w:rFonts w:hint="eastAsia" w:cs="宋体"/>
                <w:color w:val="auto"/>
                <w:spacing w:val="-4"/>
                <w:szCs w:val="21"/>
                <w:highlight w:val="none"/>
              </w:rPr>
              <w:t>有</w:t>
            </w:r>
            <w:r>
              <w:rPr>
                <w:rFonts w:cs="宋体"/>
                <w:color w:val="auto"/>
                <w:spacing w:val="-4"/>
                <w:szCs w:val="21"/>
                <w:highlight w:val="none"/>
              </w:rPr>
              <w:t>针对性且合理可行的</w:t>
            </w:r>
            <w:r>
              <w:rPr>
                <w:rFonts w:hint="eastAsia" w:cs="宋体"/>
                <w:color w:val="auto"/>
                <w:spacing w:val="-4"/>
                <w:szCs w:val="21"/>
                <w:highlight w:val="none"/>
                <w:lang w:val="en-US" w:eastAsia="zh-CN"/>
              </w:rPr>
              <w:t>7</w:t>
            </w:r>
            <w:r>
              <w:rPr>
                <w:rFonts w:hint="eastAsia" w:cs="宋体"/>
                <w:color w:val="auto"/>
                <w:spacing w:val="-4"/>
                <w:szCs w:val="21"/>
                <w:highlight w:val="none"/>
              </w:rPr>
              <w:t>分；</w:t>
            </w:r>
            <w:r>
              <w:rPr>
                <w:rFonts w:cs="宋体"/>
                <w:color w:val="auto"/>
                <w:spacing w:val="-4"/>
                <w:szCs w:val="21"/>
                <w:highlight w:val="none"/>
              </w:rPr>
              <w:t xml:space="preserve"> </w:t>
            </w:r>
          </w:p>
          <w:p w14:paraId="3D7E5ED2">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较</w:t>
            </w:r>
            <w:r>
              <w:rPr>
                <w:rFonts w:cs="宋体"/>
                <w:color w:val="auto"/>
                <w:spacing w:val="-4"/>
                <w:szCs w:val="21"/>
                <w:highlight w:val="none"/>
              </w:rPr>
              <w:t>准确、</w:t>
            </w:r>
            <w:r>
              <w:rPr>
                <w:rFonts w:hint="eastAsia" w:cs="宋体"/>
                <w:color w:val="auto"/>
                <w:spacing w:val="-4"/>
                <w:szCs w:val="21"/>
                <w:highlight w:val="none"/>
              </w:rPr>
              <w:t>较有</w:t>
            </w:r>
            <w:r>
              <w:rPr>
                <w:rFonts w:cs="宋体"/>
                <w:color w:val="auto"/>
                <w:spacing w:val="-4"/>
                <w:szCs w:val="21"/>
                <w:highlight w:val="none"/>
              </w:rPr>
              <w:t>针对性且</w:t>
            </w:r>
            <w:r>
              <w:rPr>
                <w:rFonts w:hint="eastAsia" w:cs="宋体"/>
                <w:color w:val="auto"/>
                <w:spacing w:val="-4"/>
                <w:szCs w:val="21"/>
                <w:highlight w:val="none"/>
              </w:rPr>
              <w:t>较</w:t>
            </w:r>
            <w:r>
              <w:rPr>
                <w:rFonts w:cs="宋体"/>
                <w:color w:val="auto"/>
                <w:spacing w:val="-4"/>
                <w:szCs w:val="21"/>
                <w:highlight w:val="none"/>
              </w:rPr>
              <w:t>合理可行的</w:t>
            </w:r>
            <w:r>
              <w:rPr>
                <w:rFonts w:hint="eastAsia" w:cs="宋体"/>
                <w:color w:val="auto"/>
                <w:spacing w:val="-4"/>
                <w:szCs w:val="21"/>
                <w:highlight w:val="none"/>
                <w:lang w:val="en-US" w:eastAsia="zh-CN"/>
              </w:rPr>
              <w:t>6</w:t>
            </w:r>
            <w:r>
              <w:rPr>
                <w:rFonts w:hint="eastAsia" w:cs="宋体"/>
                <w:color w:val="auto"/>
                <w:spacing w:val="-4"/>
                <w:szCs w:val="21"/>
                <w:highlight w:val="none"/>
              </w:rPr>
              <w:t>分；</w:t>
            </w:r>
            <w:r>
              <w:rPr>
                <w:rFonts w:cs="宋体"/>
                <w:color w:val="auto"/>
                <w:spacing w:val="-4"/>
                <w:szCs w:val="21"/>
                <w:highlight w:val="none"/>
              </w:rPr>
              <w:t xml:space="preserve"> </w:t>
            </w:r>
          </w:p>
          <w:p w14:paraId="35AB7360">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欠</w:t>
            </w:r>
            <w:r>
              <w:rPr>
                <w:rFonts w:cs="宋体"/>
                <w:color w:val="auto"/>
                <w:spacing w:val="-4"/>
                <w:szCs w:val="21"/>
                <w:highlight w:val="none"/>
              </w:rPr>
              <w:t>准确、</w:t>
            </w:r>
            <w:r>
              <w:rPr>
                <w:rFonts w:hint="eastAsia" w:cs="宋体"/>
                <w:color w:val="auto"/>
                <w:spacing w:val="-4"/>
                <w:szCs w:val="21"/>
                <w:highlight w:val="none"/>
              </w:rPr>
              <w:t>欠有</w:t>
            </w:r>
            <w:r>
              <w:rPr>
                <w:rFonts w:cs="宋体"/>
                <w:color w:val="auto"/>
                <w:spacing w:val="-4"/>
                <w:szCs w:val="21"/>
                <w:highlight w:val="none"/>
              </w:rPr>
              <w:t>针对性且</w:t>
            </w:r>
            <w:r>
              <w:rPr>
                <w:rFonts w:hint="eastAsia" w:cs="宋体"/>
                <w:color w:val="auto"/>
                <w:spacing w:val="-4"/>
                <w:szCs w:val="21"/>
                <w:highlight w:val="none"/>
              </w:rPr>
              <w:t>欠</w:t>
            </w:r>
            <w:r>
              <w:rPr>
                <w:rFonts w:cs="宋体"/>
                <w:color w:val="auto"/>
                <w:spacing w:val="-4"/>
                <w:szCs w:val="21"/>
                <w:highlight w:val="none"/>
              </w:rPr>
              <w:t>合理可行的</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7C8C0334">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olor w:val="auto"/>
                <w:szCs w:val="21"/>
                <w:highlight w:val="none"/>
              </w:rPr>
              <w:t>缺项不得分。</w:t>
            </w:r>
          </w:p>
        </w:tc>
        <w:tc>
          <w:tcPr>
            <w:tcW w:w="789" w:type="dxa"/>
            <w:tcBorders>
              <w:top w:val="single" w:color="auto" w:sz="4" w:space="0"/>
              <w:bottom w:val="single" w:color="auto" w:sz="4" w:space="0"/>
            </w:tcBorders>
            <w:vAlign w:val="center"/>
          </w:tcPr>
          <w:p w14:paraId="0C2F1498">
            <w:pPr>
              <w:keepNext w:val="0"/>
              <w:keepLines w:val="0"/>
              <w:pageBreakBefore w:val="0"/>
              <w:kinsoku/>
              <w:wordWrap/>
              <w:overflowPunct/>
              <w:topLinePunct w:val="0"/>
              <w:bidi w:val="0"/>
              <w:spacing w:before="61" w:line="26" w:lineRule="atLeast"/>
              <w:ind w:left="281"/>
              <w:rPr>
                <w:rFonts w:hint="eastAsia" w:eastAsia="宋体" w:cs="Arial"/>
                <w:color w:val="auto"/>
                <w:spacing w:val="-3"/>
                <w:szCs w:val="21"/>
                <w:highlight w:val="none"/>
                <w:lang w:val="en-US" w:eastAsia="zh-CN"/>
              </w:rPr>
            </w:pPr>
            <w:r>
              <w:rPr>
                <w:rFonts w:hint="eastAsia" w:eastAsia="宋体" w:cs="Arial"/>
                <w:color w:val="auto"/>
                <w:spacing w:val="-3"/>
                <w:szCs w:val="21"/>
                <w:highlight w:val="none"/>
                <w:lang w:val="en-US" w:eastAsia="zh-CN"/>
              </w:rPr>
              <w:t>7</w:t>
            </w:r>
          </w:p>
        </w:tc>
      </w:tr>
      <w:tr w14:paraId="76CEC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53" w:type="dxa"/>
            <w:vMerge w:val="continue"/>
            <w:vAlign w:val="center"/>
          </w:tcPr>
          <w:p w14:paraId="4081A661">
            <w:pPr>
              <w:keepNext w:val="0"/>
              <w:keepLines w:val="0"/>
              <w:pageBreakBefore w:val="0"/>
              <w:kinsoku/>
              <w:wordWrap/>
              <w:overflowPunct/>
              <w:topLinePunct w:val="0"/>
              <w:bidi w:val="0"/>
              <w:spacing w:line="26" w:lineRule="atLeast"/>
              <w:jc w:val="center"/>
              <w:rPr>
                <w:rFonts w:eastAsia="Arial" w:cs="Arial"/>
                <w:color w:val="auto"/>
                <w:spacing w:val="-4"/>
                <w:szCs w:val="21"/>
                <w:highlight w:val="none"/>
              </w:rPr>
            </w:pPr>
          </w:p>
        </w:tc>
        <w:tc>
          <w:tcPr>
            <w:tcW w:w="990" w:type="dxa"/>
            <w:gridSpan w:val="2"/>
            <w:vMerge w:val="continue"/>
            <w:vAlign w:val="center"/>
          </w:tcPr>
          <w:p w14:paraId="59A0716D">
            <w:pPr>
              <w:pStyle w:val="2"/>
              <w:keepNext w:val="0"/>
              <w:keepLines w:val="0"/>
              <w:pageBreakBefore w:val="0"/>
              <w:kinsoku/>
              <w:wordWrap/>
              <w:overflowPunct/>
              <w:topLinePunct w:val="0"/>
              <w:bidi w:val="0"/>
              <w:spacing w:line="26" w:lineRule="atLeast"/>
              <w:jc w:val="center"/>
              <w:rPr>
                <w:color w:val="auto"/>
                <w:highlight w:val="none"/>
              </w:rPr>
            </w:pPr>
          </w:p>
        </w:tc>
        <w:tc>
          <w:tcPr>
            <w:tcW w:w="645" w:type="dxa"/>
            <w:vAlign w:val="center"/>
          </w:tcPr>
          <w:p w14:paraId="00559E8C">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外业数据获取</w:t>
            </w:r>
          </w:p>
        </w:tc>
        <w:tc>
          <w:tcPr>
            <w:tcW w:w="6427" w:type="dxa"/>
            <w:tcBorders>
              <w:bottom w:val="single" w:color="auto" w:sz="4" w:space="0"/>
            </w:tcBorders>
            <w:vAlign w:val="center"/>
          </w:tcPr>
          <w:p w14:paraId="33C52729">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针对外业数据获取的数据采集方案、空域申请、像片控制测量、航飞影像数据采集有明确、合理、针对性强、详尽、准确可行的方案：</w:t>
            </w:r>
          </w:p>
          <w:p w14:paraId="0AC8FCBE">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方案明确、合理、针对性强、详尽、准确可行的得</w:t>
            </w:r>
            <w:r>
              <w:rPr>
                <w:rFonts w:hint="eastAsia" w:cs="宋体"/>
                <w:color w:val="auto"/>
                <w:spacing w:val="-4"/>
                <w:szCs w:val="21"/>
                <w:highlight w:val="none"/>
                <w:lang w:val="en-US" w:eastAsia="zh-CN"/>
              </w:rPr>
              <w:t>7</w:t>
            </w:r>
            <w:r>
              <w:rPr>
                <w:rFonts w:hint="eastAsia" w:cs="宋体"/>
                <w:color w:val="auto"/>
                <w:spacing w:val="-4"/>
                <w:szCs w:val="21"/>
                <w:highlight w:val="none"/>
              </w:rPr>
              <w:t>分；</w:t>
            </w:r>
          </w:p>
          <w:p w14:paraId="4908F31B">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方案较明确、较合理、针对性较强、较详尽、较准确可行的得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6FB87FB1">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方案欠明确、欠合理、针对性欠强、欠详尽、欠准确可行的得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115A7D5A">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olor w:val="auto"/>
                <w:szCs w:val="21"/>
                <w:highlight w:val="none"/>
              </w:rPr>
              <w:t>缺项不得分。</w:t>
            </w:r>
          </w:p>
        </w:tc>
        <w:tc>
          <w:tcPr>
            <w:tcW w:w="789" w:type="dxa"/>
            <w:tcBorders>
              <w:top w:val="single" w:color="auto" w:sz="4" w:space="0"/>
              <w:bottom w:val="single" w:color="auto" w:sz="4" w:space="0"/>
            </w:tcBorders>
            <w:vAlign w:val="center"/>
          </w:tcPr>
          <w:p w14:paraId="76D8EE0D">
            <w:pPr>
              <w:keepNext w:val="0"/>
              <w:keepLines w:val="0"/>
              <w:pageBreakBefore w:val="0"/>
              <w:kinsoku/>
              <w:wordWrap/>
              <w:overflowPunct/>
              <w:topLinePunct w:val="0"/>
              <w:bidi w:val="0"/>
              <w:spacing w:before="61" w:line="26" w:lineRule="atLeast"/>
              <w:ind w:left="281"/>
              <w:rPr>
                <w:rFonts w:hint="eastAsia" w:eastAsia="宋体" w:cs="Arial"/>
                <w:color w:val="auto"/>
                <w:spacing w:val="-3"/>
                <w:szCs w:val="21"/>
                <w:highlight w:val="none"/>
                <w:lang w:val="en-US" w:eastAsia="zh-CN"/>
              </w:rPr>
            </w:pPr>
            <w:r>
              <w:rPr>
                <w:rFonts w:hint="eastAsia" w:eastAsia="宋体" w:cs="Arial"/>
                <w:color w:val="auto"/>
                <w:spacing w:val="-3"/>
                <w:szCs w:val="21"/>
                <w:highlight w:val="none"/>
                <w:lang w:val="en-US" w:eastAsia="zh-CN"/>
              </w:rPr>
              <w:t>7</w:t>
            </w:r>
          </w:p>
        </w:tc>
      </w:tr>
      <w:tr w14:paraId="4FFF6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3" w:type="dxa"/>
            <w:vMerge w:val="continue"/>
            <w:vAlign w:val="center"/>
          </w:tcPr>
          <w:p w14:paraId="628762E4">
            <w:pPr>
              <w:keepNext w:val="0"/>
              <w:keepLines w:val="0"/>
              <w:pageBreakBefore w:val="0"/>
              <w:kinsoku/>
              <w:wordWrap/>
              <w:overflowPunct/>
              <w:topLinePunct w:val="0"/>
              <w:bidi w:val="0"/>
              <w:spacing w:line="26" w:lineRule="atLeast"/>
              <w:jc w:val="center"/>
              <w:rPr>
                <w:rFonts w:eastAsia="Arial" w:cs="Arial"/>
                <w:color w:val="auto"/>
                <w:spacing w:val="-4"/>
                <w:szCs w:val="21"/>
                <w:highlight w:val="none"/>
              </w:rPr>
            </w:pPr>
          </w:p>
        </w:tc>
        <w:tc>
          <w:tcPr>
            <w:tcW w:w="990" w:type="dxa"/>
            <w:gridSpan w:val="2"/>
            <w:vMerge w:val="continue"/>
            <w:vAlign w:val="center"/>
          </w:tcPr>
          <w:p w14:paraId="62E93E37">
            <w:pPr>
              <w:pStyle w:val="2"/>
              <w:keepNext w:val="0"/>
              <w:keepLines w:val="0"/>
              <w:pageBreakBefore w:val="0"/>
              <w:kinsoku/>
              <w:wordWrap/>
              <w:overflowPunct/>
              <w:topLinePunct w:val="0"/>
              <w:bidi w:val="0"/>
              <w:spacing w:line="26" w:lineRule="atLeast"/>
              <w:jc w:val="center"/>
              <w:rPr>
                <w:color w:val="auto"/>
                <w:highlight w:val="none"/>
              </w:rPr>
            </w:pPr>
          </w:p>
        </w:tc>
        <w:tc>
          <w:tcPr>
            <w:tcW w:w="645" w:type="dxa"/>
            <w:vAlign w:val="center"/>
          </w:tcPr>
          <w:p w14:paraId="07D6B4BF">
            <w:pPr>
              <w:pStyle w:val="2"/>
              <w:keepNext w:val="0"/>
              <w:keepLines w:val="0"/>
              <w:pageBreakBefore w:val="0"/>
              <w:kinsoku/>
              <w:wordWrap/>
              <w:overflowPunct/>
              <w:topLinePunct w:val="0"/>
              <w:bidi w:val="0"/>
              <w:spacing w:line="26" w:lineRule="atLeast"/>
              <w:jc w:val="center"/>
              <w:rPr>
                <w:color w:val="auto"/>
                <w:sz w:val="21"/>
                <w:szCs w:val="21"/>
                <w:highlight w:val="none"/>
              </w:rPr>
            </w:pPr>
            <w:r>
              <w:rPr>
                <w:rFonts w:hint="eastAsia"/>
                <w:color w:val="auto"/>
                <w:sz w:val="21"/>
                <w:szCs w:val="21"/>
                <w:highlight w:val="none"/>
              </w:rPr>
              <w:t>内业数据处理</w:t>
            </w:r>
          </w:p>
        </w:tc>
        <w:tc>
          <w:tcPr>
            <w:tcW w:w="6427" w:type="dxa"/>
            <w:tcBorders>
              <w:top w:val="single" w:color="auto" w:sz="4" w:space="0"/>
            </w:tcBorders>
            <w:vAlign w:val="center"/>
          </w:tcPr>
          <w:p w14:paraId="0D43C38E">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内业数据处理方案中对倾斜摄影影像数据处理、三维模型人工修模等内容有明确、合理、针对性强、详尽、准确可行的方案：</w:t>
            </w:r>
          </w:p>
          <w:p w14:paraId="01C080D3">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方案明确、合理、针对性强、详尽、准确可行的得</w:t>
            </w:r>
            <w:r>
              <w:rPr>
                <w:rFonts w:hint="eastAsia" w:cs="宋体"/>
                <w:color w:val="auto"/>
                <w:spacing w:val="-4"/>
                <w:szCs w:val="21"/>
                <w:highlight w:val="none"/>
                <w:lang w:val="en-US" w:eastAsia="zh-CN"/>
              </w:rPr>
              <w:t>7</w:t>
            </w:r>
            <w:r>
              <w:rPr>
                <w:rFonts w:hint="eastAsia" w:cs="宋体"/>
                <w:color w:val="auto"/>
                <w:spacing w:val="-4"/>
                <w:szCs w:val="21"/>
                <w:highlight w:val="none"/>
              </w:rPr>
              <w:t>分；</w:t>
            </w:r>
          </w:p>
          <w:p w14:paraId="39F86908">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方案较明确、较合理、针对性较强、较详尽、较准确可行的得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605C770D">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方案欠明确、欠合理、针对性欠强、欠详尽、欠准确可行的得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06C96A14">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olor w:val="auto"/>
                <w:szCs w:val="21"/>
                <w:highlight w:val="none"/>
              </w:rPr>
              <w:t>缺项不得分。</w:t>
            </w:r>
          </w:p>
        </w:tc>
        <w:tc>
          <w:tcPr>
            <w:tcW w:w="789" w:type="dxa"/>
            <w:tcBorders>
              <w:top w:val="single" w:color="auto" w:sz="4" w:space="0"/>
              <w:bottom w:val="single" w:color="auto" w:sz="4" w:space="0"/>
            </w:tcBorders>
            <w:vAlign w:val="center"/>
          </w:tcPr>
          <w:p w14:paraId="53582696">
            <w:pPr>
              <w:keepNext w:val="0"/>
              <w:keepLines w:val="0"/>
              <w:pageBreakBefore w:val="0"/>
              <w:kinsoku/>
              <w:wordWrap/>
              <w:overflowPunct/>
              <w:topLinePunct w:val="0"/>
              <w:bidi w:val="0"/>
              <w:spacing w:before="61" w:line="26" w:lineRule="atLeast"/>
              <w:ind w:left="281"/>
              <w:rPr>
                <w:rFonts w:hint="eastAsia" w:eastAsia="宋体" w:cs="Arial"/>
                <w:color w:val="auto"/>
                <w:spacing w:val="-3"/>
                <w:szCs w:val="21"/>
                <w:highlight w:val="none"/>
                <w:lang w:val="en-US" w:eastAsia="zh-CN"/>
              </w:rPr>
            </w:pPr>
            <w:r>
              <w:rPr>
                <w:rFonts w:hint="eastAsia" w:eastAsia="宋体" w:cs="Arial"/>
                <w:color w:val="auto"/>
                <w:spacing w:val="-3"/>
                <w:szCs w:val="21"/>
                <w:highlight w:val="none"/>
                <w:lang w:val="en-US" w:eastAsia="zh-CN"/>
              </w:rPr>
              <w:t>7</w:t>
            </w:r>
          </w:p>
        </w:tc>
      </w:tr>
      <w:tr w14:paraId="4E34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53" w:type="dxa"/>
            <w:vAlign w:val="center"/>
          </w:tcPr>
          <w:p w14:paraId="1D2F926A">
            <w:pPr>
              <w:keepNext w:val="0"/>
              <w:keepLines w:val="0"/>
              <w:pageBreakBefore w:val="0"/>
              <w:kinsoku/>
              <w:wordWrap/>
              <w:overflowPunct/>
              <w:topLinePunct w:val="0"/>
              <w:bidi w:val="0"/>
              <w:spacing w:line="26" w:lineRule="atLeast"/>
              <w:jc w:val="center"/>
              <w:rPr>
                <w:rFonts w:cs="Arial"/>
                <w:color w:val="auto"/>
                <w:szCs w:val="21"/>
                <w:highlight w:val="none"/>
              </w:rPr>
            </w:pPr>
            <w:r>
              <w:rPr>
                <w:rFonts w:hint="eastAsia" w:cs="Arial"/>
                <w:color w:val="auto"/>
                <w:spacing w:val="-4"/>
                <w:szCs w:val="21"/>
                <w:highlight w:val="none"/>
              </w:rPr>
              <w:t>5.</w:t>
            </w:r>
          </w:p>
        </w:tc>
        <w:tc>
          <w:tcPr>
            <w:tcW w:w="1635" w:type="dxa"/>
            <w:gridSpan w:val="3"/>
            <w:vAlign w:val="center"/>
          </w:tcPr>
          <w:p w14:paraId="1A40AF4C">
            <w:pPr>
              <w:keepNext w:val="0"/>
              <w:keepLines w:val="0"/>
              <w:pageBreakBefore w:val="0"/>
              <w:kinsoku/>
              <w:wordWrap/>
              <w:overflowPunct/>
              <w:topLinePunct w:val="0"/>
              <w:bidi w:val="0"/>
              <w:spacing w:before="69" w:line="26" w:lineRule="atLeast"/>
              <w:ind w:right="284"/>
              <w:jc w:val="center"/>
              <w:rPr>
                <w:rFonts w:cs="宋体"/>
                <w:color w:val="auto"/>
                <w:szCs w:val="21"/>
                <w:highlight w:val="none"/>
              </w:rPr>
            </w:pPr>
            <w:r>
              <w:rPr>
                <w:rFonts w:cs="宋体"/>
                <w:color w:val="auto"/>
                <w:spacing w:val="-1"/>
                <w:szCs w:val="21"/>
                <w:highlight w:val="none"/>
              </w:rPr>
              <w:t>质量保证</w:t>
            </w:r>
            <w:r>
              <w:rPr>
                <w:rFonts w:cs="宋体"/>
                <w:color w:val="auto"/>
                <w:spacing w:val="-2"/>
                <w:szCs w:val="21"/>
                <w:highlight w:val="none"/>
              </w:rPr>
              <w:t>措</w:t>
            </w:r>
            <w:r>
              <w:rPr>
                <w:rFonts w:cs="宋体"/>
                <w:color w:val="auto"/>
                <w:spacing w:val="-1"/>
                <w:szCs w:val="21"/>
                <w:highlight w:val="none"/>
              </w:rPr>
              <w:t>施</w:t>
            </w:r>
          </w:p>
        </w:tc>
        <w:tc>
          <w:tcPr>
            <w:tcW w:w="6427" w:type="dxa"/>
            <w:vAlign w:val="center"/>
          </w:tcPr>
          <w:p w14:paraId="5E0F1BC0">
            <w:pPr>
              <w:keepNext w:val="0"/>
              <w:keepLines w:val="0"/>
              <w:pageBreakBefore w:val="0"/>
              <w:kinsoku/>
              <w:wordWrap/>
              <w:overflowPunct/>
              <w:topLinePunct w:val="0"/>
              <w:bidi w:val="0"/>
              <w:spacing w:before="90" w:line="26" w:lineRule="atLeast"/>
              <w:ind w:left="114" w:right="43" w:firstLine="8"/>
              <w:rPr>
                <w:rFonts w:cs="宋体"/>
                <w:color w:val="auto"/>
                <w:spacing w:val="-5"/>
                <w:szCs w:val="21"/>
                <w:highlight w:val="none"/>
              </w:rPr>
            </w:pPr>
            <w:r>
              <w:rPr>
                <w:rFonts w:cs="宋体"/>
                <w:color w:val="auto"/>
                <w:spacing w:val="-8"/>
                <w:szCs w:val="21"/>
                <w:highlight w:val="none"/>
              </w:rPr>
              <w:t>质量保证措施的是否明确、合理可行且针对性强，措施详尽、</w:t>
            </w:r>
            <w:r>
              <w:rPr>
                <w:rFonts w:cs="宋体"/>
                <w:color w:val="auto"/>
                <w:szCs w:val="21"/>
                <w:highlight w:val="none"/>
              </w:rPr>
              <w:t xml:space="preserve"> </w:t>
            </w:r>
            <w:r>
              <w:rPr>
                <w:rFonts w:cs="宋体"/>
                <w:color w:val="auto"/>
                <w:spacing w:val="-10"/>
                <w:szCs w:val="21"/>
                <w:highlight w:val="none"/>
              </w:rPr>
              <w:t>准确</w:t>
            </w:r>
            <w:r>
              <w:rPr>
                <w:rFonts w:cs="宋体"/>
                <w:color w:val="auto"/>
                <w:spacing w:val="-9"/>
                <w:szCs w:val="21"/>
                <w:highlight w:val="none"/>
              </w:rPr>
              <w:t>、</w:t>
            </w:r>
            <w:r>
              <w:rPr>
                <w:rFonts w:cs="宋体"/>
                <w:color w:val="auto"/>
                <w:spacing w:val="-5"/>
                <w:szCs w:val="21"/>
                <w:highlight w:val="none"/>
              </w:rPr>
              <w:t>针对性强且合理可行</w:t>
            </w:r>
            <w:r>
              <w:rPr>
                <w:rFonts w:hint="eastAsia" w:cs="宋体"/>
                <w:color w:val="auto"/>
                <w:spacing w:val="-5"/>
                <w:szCs w:val="21"/>
                <w:highlight w:val="none"/>
              </w:rPr>
              <w:t>：</w:t>
            </w:r>
          </w:p>
          <w:p w14:paraId="1EF3A5E8">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措施明确、合理、针对性强、详尽、准确可行的得</w:t>
            </w:r>
            <w:r>
              <w:rPr>
                <w:rFonts w:hint="eastAsia" w:cs="宋体"/>
                <w:color w:val="auto"/>
                <w:spacing w:val="-4"/>
                <w:szCs w:val="21"/>
                <w:highlight w:val="none"/>
                <w:lang w:val="en-US" w:eastAsia="zh-CN"/>
              </w:rPr>
              <w:t>7</w:t>
            </w:r>
            <w:r>
              <w:rPr>
                <w:rFonts w:hint="eastAsia" w:cs="宋体"/>
                <w:color w:val="auto"/>
                <w:spacing w:val="-4"/>
                <w:szCs w:val="21"/>
                <w:highlight w:val="none"/>
              </w:rPr>
              <w:t>分；</w:t>
            </w:r>
          </w:p>
          <w:p w14:paraId="749A9FAD">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措施较明确、较合理、针对性较强、较详尽、较准确可行的得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284DD3A0">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措施欠明确、欠合理、针对性欠强、欠详尽、欠准确可行的得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33C5213B">
            <w:pPr>
              <w:keepNext w:val="0"/>
              <w:keepLines w:val="0"/>
              <w:pageBreakBefore w:val="0"/>
              <w:kinsoku/>
              <w:wordWrap/>
              <w:overflowPunct/>
              <w:topLinePunct w:val="0"/>
              <w:bidi w:val="0"/>
              <w:spacing w:before="87" w:line="26" w:lineRule="atLeast"/>
              <w:ind w:left="115" w:right="24" w:firstLine="7"/>
              <w:rPr>
                <w:rFonts w:cs="宋体"/>
                <w:color w:val="auto"/>
                <w:szCs w:val="21"/>
                <w:highlight w:val="none"/>
              </w:rPr>
            </w:pPr>
            <w:r>
              <w:rPr>
                <w:rFonts w:hint="eastAsia"/>
                <w:color w:val="auto"/>
                <w:szCs w:val="21"/>
                <w:highlight w:val="none"/>
              </w:rPr>
              <w:t>缺项不得分。</w:t>
            </w:r>
          </w:p>
        </w:tc>
        <w:tc>
          <w:tcPr>
            <w:tcW w:w="789" w:type="dxa"/>
            <w:tcBorders>
              <w:top w:val="single" w:color="auto" w:sz="4" w:space="0"/>
            </w:tcBorders>
            <w:vAlign w:val="center"/>
          </w:tcPr>
          <w:p w14:paraId="4FC95DBB">
            <w:pPr>
              <w:keepNext w:val="0"/>
              <w:keepLines w:val="0"/>
              <w:pageBreakBefore w:val="0"/>
              <w:kinsoku/>
              <w:wordWrap/>
              <w:overflowPunct/>
              <w:topLinePunct w:val="0"/>
              <w:bidi w:val="0"/>
              <w:spacing w:before="60" w:line="26" w:lineRule="atLeast"/>
              <w:ind w:left="341"/>
              <w:rPr>
                <w:rFonts w:hint="eastAsia" w:eastAsia="宋体" w:cs="Arial"/>
                <w:color w:val="auto"/>
                <w:szCs w:val="21"/>
                <w:highlight w:val="none"/>
                <w:lang w:eastAsia="zh-CN"/>
              </w:rPr>
            </w:pPr>
            <w:r>
              <w:rPr>
                <w:rFonts w:hint="eastAsia" w:cs="Arial"/>
                <w:color w:val="auto"/>
                <w:szCs w:val="21"/>
                <w:highlight w:val="none"/>
                <w:lang w:val="en-US" w:eastAsia="zh-CN"/>
              </w:rPr>
              <w:t>7</w:t>
            </w:r>
          </w:p>
        </w:tc>
      </w:tr>
      <w:tr w14:paraId="015A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453" w:type="dxa"/>
            <w:vAlign w:val="center"/>
          </w:tcPr>
          <w:p w14:paraId="49D7A8C7">
            <w:pPr>
              <w:keepNext w:val="0"/>
              <w:keepLines w:val="0"/>
              <w:pageBreakBefore w:val="0"/>
              <w:kinsoku/>
              <w:wordWrap/>
              <w:overflowPunct/>
              <w:topLinePunct w:val="0"/>
              <w:bidi w:val="0"/>
              <w:spacing w:line="26" w:lineRule="atLeast"/>
              <w:jc w:val="center"/>
              <w:rPr>
                <w:rFonts w:cs="Arial"/>
                <w:color w:val="auto"/>
                <w:szCs w:val="21"/>
                <w:highlight w:val="none"/>
              </w:rPr>
            </w:pPr>
            <w:r>
              <w:rPr>
                <w:rFonts w:hint="eastAsia" w:cs="Arial"/>
                <w:color w:val="auto"/>
                <w:spacing w:val="-7"/>
                <w:szCs w:val="21"/>
                <w:highlight w:val="none"/>
              </w:rPr>
              <w:t>6.</w:t>
            </w:r>
          </w:p>
        </w:tc>
        <w:tc>
          <w:tcPr>
            <w:tcW w:w="1635" w:type="dxa"/>
            <w:gridSpan w:val="3"/>
            <w:vAlign w:val="center"/>
          </w:tcPr>
          <w:p w14:paraId="0FDB8F74">
            <w:pPr>
              <w:keepNext w:val="0"/>
              <w:keepLines w:val="0"/>
              <w:pageBreakBefore w:val="0"/>
              <w:kinsoku/>
              <w:wordWrap/>
              <w:overflowPunct/>
              <w:topLinePunct w:val="0"/>
              <w:bidi w:val="0"/>
              <w:spacing w:before="69" w:line="26" w:lineRule="atLeast"/>
              <w:jc w:val="center"/>
              <w:rPr>
                <w:rFonts w:cs="宋体"/>
                <w:color w:val="auto"/>
                <w:szCs w:val="21"/>
                <w:highlight w:val="none"/>
              </w:rPr>
            </w:pPr>
            <w:r>
              <w:rPr>
                <w:rFonts w:cs="宋体"/>
                <w:color w:val="auto"/>
                <w:spacing w:val="-2"/>
                <w:szCs w:val="21"/>
                <w:highlight w:val="none"/>
              </w:rPr>
              <w:t>保</w:t>
            </w:r>
            <w:r>
              <w:rPr>
                <w:rFonts w:cs="宋体"/>
                <w:color w:val="auto"/>
                <w:spacing w:val="-1"/>
                <w:szCs w:val="21"/>
                <w:highlight w:val="none"/>
              </w:rPr>
              <w:t>密措施</w:t>
            </w:r>
          </w:p>
        </w:tc>
        <w:tc>
          <w:tcPr>
            <w:tcW w:w="6427" w:type="dxa"/>
            <w:vAlign w:val="center"/>
          </w:tcPr>
          <w:p w14:paraId="54555C89">
            <w:pPr>
              <w:keepNext w:val="0"/>
              <w:keepLines w:val="0"/>
              <w:pageBreakBefore w:val="0"/>
              <w:kinsoku/>
              <w:wordWrap/>
              <w:overflowPunct/>
              <w:topLinePunct w:val="0"/>
              <w:bidi w:val="0"/>
              <w:spacing w:before="90" w:line="26" w:lineRule="atLeast"/>
              <w:ind w:left="114" w:right="43" w:firstLine="8"/>
              <w:rPr>
                <w:rFonts w:cs="宋体"/>
                <w:color w:val="auto"/>
                <w:spacing w:val="-8"/>
                <w:szCs w:val="21"/>
                <w:highlight w:val="none"/>
              </w:rPr>
            </w:pPr>
            <w:r>
              <w:rPr>
                <w:rFonts w:cs="宋体"/>
                <w:color w:val="auto"/>
                <w:spacing w:val="-4"/>
                <w:szCs w:val="21"/>
                <w:highlight w:val="none"/>
              </w:rPr>
              <w:t>保密措施的是否明确、合理可行且针对性强，措施详尽</w:t>
            </w:r>
            <w:r>
              <w:rPr>
                <w:rFonts w:cs="宋体"/>
                <w:color w:val="auto"/>
                <w:spacing w:val="-3"/>
                <w:szCs w:val="21"/>
                <w:highlight w:val="none"/>
              </w:rPr>
              <w:t>、</w:t>
            </w:r>
            <w:r>
              <w:rPr>
                <w:rFonts w:cs="宋体"/>
                <w:color w:val="auto"/>
                <w:szCs w:val="21"/>
                <w:highlight w:val="none"/>
              </w:rPr>
              <w:t xml:space="preserve">准 </w:t>
            </w:r>
            <w:r>
              <w:rPr>
                <w:rFonts w:cs="宋体"/>
                <w:color w:val="auto"/>
                <w:spacing w:val="-16"/>
                <w:szCs w:val="21"/>
                <w:highlight w:val="none"/>
              </w:rPr>
              <w:t>确、</w:t>
            </w:r>
            <w:r>
              <w:rPr>
                <w:rFonts w:cs="宋体"/>
                <w:color w:val="auto"/>
                <w:spacing w:val="-10"/>
                <w:szCs w:val="21"/>
                <w:highlight w:val="none"/>
              </w:rPr>
              <w:t>针</w:t>
            </w:r>
            <w:r>
              <w:rPr>
                <w:rFonts w:cs="宋体"/>
                <w:color w:val="auto"/>
                <w:spacing w:val="-8"/>
                <w:szCs w:val="21"/>
                <w:highlight w:val="none"/>
              </w:rPr>
              <w:t>对性强且合理可行</w:t>
            </w:r>
            <w:r>
              <w:rPr>
                <w:rFonts w:hint="eastAsia" w:cs="宋体"/>
                <w:color w:val="auto"/>
                <w:spacing w:val="-8"/>
                <w:szCs w:val="21"/>
                <w:highlight w:val="none"/>
              </w:rPr>
              <w:t>：</w:t>
            </w:r>
          </w:p>
          <w:p w14:paraId="500195F9">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措施明确、合理、针对性强、详尽、准确可行的得</w:t>
            </w:r>
            <w:r>
              <w:rPr>
                <w:rFonts w:hint="eastAsia" w:cs="宋体"/>
                <w:color w:val="auto"/>
                <w:spacing w:val="-4"/>
                <w:szCs w:val="21"/>
                <w:highlight w:val="none"/>
                <w:lang w:val="en-US" w:eastAsia="zh-CN"/>
              </w:rPr>
              <w:t>7</w:t>
            </w:r>
            <w:r>
              <w:rPr>
                <w:rFonts w:hint="eastAsia" w:cs="宋体"/>
                <w:color w:val="auto"/>
                <w:spacing w:val="-4"/>
                <w:szCs w:val="21"/>
                <w:highlight w:val="none"/>
              </w:rPr>
              <w:t>分；</w:t>
            </w:r>
          </w:p>
          <w:p w14:paraId="7C9C1BB0">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措施较明确、较合理、针对性较强、较详尽、较准确可行的得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0AC2DABF">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措施欠明确、欠合理、针对性欠强、欠详尽、欠准确可行的得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60B11365">
            <w:pPr>
              <w:keepNext w:val="0"/>
              <w:keepLines w:val="0"/>
              <w:pageBreakBefore w:val="0"/>
              <w:kinsoku/>
              <w:wordWrap/>
              <w:overflowPunct/>
              <w:topLinePunct w:val="0"/>
              <w:bidi w:val="0"/>
              <w:spacing w:before="90" w:line="26" w:lineRule="atLeast"/>
              <w:ind w:left="114" w:right="43" w:firstLine="8"/>
              <w:rPr>
                <w:rFonts w:cs="宋体"/>
                <w:color w:val="auto"/>
                <w:szCs w:val="21"/>
                <w:highlight w:val="none"/>
              </w:rPr>
            </w:pPr>
            <w:r>
              <w:rPr>
                <w:rFonts w:hint="eastAsia"/>
                <w:color w:val="auto"/>
                <w:szCs w:val="21"/>
                <w:highlight w:val="none"/>
              </w:rPr>
              <w:t>缺项不得分。</w:t>
            </w:r>
          </w:p>
        </w:tc>
        <w:tc>
          <w:tcPr>
            <w:tcW w:w="789" w:type="dxa"/>
            <w:vAlign w:val="center"/>
          </w:tcPr>
          <w:p w14:paraId="7EC391DB">
            <w:pPr>
              <w:keepNext w:val="0"/>
              <w:keepLines w:val="0"/>
              <w:pageBreakBefore w:val="0"/>
              <w:kinsoku/>
              <w:wordWrap/>
              <w:overflowPunct/>
              <w:topLinePunct w:val="0"/>
              <w:bidi w:val="0"/>
              <w:spacing w:before="61" w:line="26" w:lineRule="atLeast"/>
              <w:ind w:left="341"/>
              <w:rPr>
                <w:rFonts w:hint="default" w:eastAsia="宋体" w:cs="Arial"/>
                <w:color w:val="auto"/>
                <w:szCs w:val="21"/>
                <w:highlight w:val="none"/>
                <w:lang w:val="en-US" w:eastAsia="zh-CN"/>
              </w:rPr>
            </w:pPr>
            <w:r>
              <w:rPr>
                <w:rFonts w:hint="eastAsia" w:cs="Arial"/>
                <w:color w:val="auto"/>
                <w:szCs w:val="21"/>
                <w:highlight w:val="none"/>
                <w:lang w:val="en-US" w:eastAsia="zh-CN"/>
              </w:rPr>
              <w:t>7</w:t>
            </w:r>
          </w:p>
        </w:tc>
      </w:tr>
      <w:tr w14:paraId="5D7E7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453" w:type="dxa"/>
            <w:vAlign w:val="center"/>
          </w:tcPr>
          <w:p w14:paraId="6AD91EA7">
            <w:pPr>
              <w:keepNext w:val="0"/>
              <w:keepLines w:val="0"/>
              <w:pageBreakBefore w:val="0"/>
              <w:kinsoku/>
              <w:wordWrap/>
              <w:overflowPunct/>
              <w:topLinePunct w:val="0"/>
              <w:bidi w:val="0"/>
              <w:spacing w:line="26" w:lineRule="atLeast"/>
              <w:jc w:val="center"/>
              <w:rPr>
                <w:rFonts w:cs="Arial"/>
                <w:color w:val="auto"/>
                <w:spacing w:val="-7"/>
                <w:szCs w:val="21"/>
                <w:highlight w:val="none"/>
              </w:rPr>
            </w:pPr>
            <w:r>
              <w:rPr>
                <w:rFonts w:hint="eastAsia" w:cs="Arial"/>
                <w:color w:val="auto"/>
                <w:spacing w:val="-7"/>
                <w:szCs w:val="21"/>
                <w:highlight w:val="none"/>
              </w:rPr>
              <w:t>7.</w:t>
            </w:r>
          </w:p>
        </w:tc>
        <w:tc>
          <w:tcPr>
            <w:tcW w:w="1635" w:type="dxa"/>
            <w:gridSpan w:val="3"/>
            <w:vAlign w:val="center"/>
          </w:tcPr>
          <w:p w14:paraId="020E4980">
            <w:pPr>
              <w:keepNext w:val="0"/>
              <w:keepLines w:val="0"/>
              <w:pageBreakBefore w:val="0"/>
              <w:kinsoku/>
              <w:wordWrap/>
              <w:overflowPunct/>
              <w:topLinePunct w:val="0"/>
              <w:bidi w:val="0"/>
              <w:spacing w:before="69" w:line="26" w:lineRule="atLeast"/>
              <w:jc w:val="center"/>
              <w:rPr>
                <w:rFonts w:cs="宋体"/>
                <w:color w:val="auto"/>
                <w:spacing w:val="-2"/>
                <w:szCs w:val="21"/>
                <w:highlight w:val="none"/>
              </w:rPr>
            </w:pPr>
            <w:r>
              <w:rPr>
                <w:rFonts w:hint="eastAsia" w:cs="宋体"/>
                <w:color w:val="auto"/>
                <w:spacing w:val="-2"/>
                <w:szCs w:val="21"/>
                <w:highlight w:val="none"/>
              </w:rPr>
              <w:t>组织协调措施</w:t>
            </w:r>
          </w:p>
        </w:tc>
        <w:tc>
          <w:tcPr>
            <w:tcW w:w="6427" w:type="dxa"/>
            <w:vAlign w:val="center"/>
          </w:tcPr>
          <w:p w14:paraId="08249DB1">
            <w:pPr>
              <w:keepNext w:val="0"/>
              <w:keepLines w:val="0"/>
              <w:pageBreakBefore w:val="0"/>
              <w:kinsoku/>
              <w:wordWrap/>
              <w:overflowPunct/>
              <w:topLinePunct w:val="0"/>
              <w:bidi w:val="0"/>
              <w:spacing w:before="90" w:line="26" w:lineRule="atLeast"/>
              <w:ind w:left="114" w:right="43" w:firstLine="8"/>
              <w:rPr>
                <w:rFonts w:cs="宋体"/>
                <w:color w:val="auto"/>
                <w:spacing w:val="-5"/>
                <w:szCs w:val="21"/>
                <w:highlight w:val="none"/>
              </w:rPr>
            </w:pPr>
            <w:r>
              <w:rPr>
                <w:rFonts w:hint="eastAsia" w:cs="宋体"/>
                <w:color w:val="auto"/>
                <w:spacing w:val="-8"/>
                <w:szCs w:val="21"/>
                <w:highlight w:val="none"/>
              </w:rPr>
              <w:t>组织协调</w:t>
            </w:r>
            <w:r>
              <w:rPr>
                <w:rFonts w:cs="宋体"/>
                <w:color w:val="auto"/>
                <w:spacing w:val="-8"/>
                <w:szCs w:val="21"/>
                <w:highlight w:val="none"/>
              </w:rPr>
              <w:t>措施的是否明确、合理可行且针对性强，措施详尽、</w:t>
            </w:r>
            <w:r>
              <w:rPr>
                <w:rFonts w:cs="宋体"/>
                <w:color w:val="auto"/>
                <w:szCs w:val="21"/>
                <w:highlight w:val="none"/>
              </w:rPr>
              <w:t xml:space="preserve"> </w:t>
            </w:r>
            <w:r>
              <w:rPr>
                <w:rFonts w:cs="宋体"/>
                <w:color w:val="auto"/>
                <w:spacing w:val="-10"/>
                <w:szCs w:val="21"/>
                <w:highlight w:val="none"/>
              </w:rPr>
              <w:t>准确</w:t>
            </w:r>
            <w:r>
              <w:rPr>
                <w:rFonts w:cs="宋体"/>
                <w:color w:val="auto"/>
                <w:spacing w:val="-9"/>
                <w:szCs w:val="21"/>
                <w:highlight w:val="none"/>
              </w:rPr>
              <w:t>、</w:t>
            </w:r>
            <w:r>
              <w:rPr>
                <w:rFonts w:cs="宋体"/>
                <w:color w:val="auto"/>
                <w:spacing w:val="-5"/>
                <w:szCs w:val="21"/>
                <w:highlight w:val="none"/>
              </w:rPr>
              <w:t>针对性强且合理可行</w:t>
            </w:r>
            <w:r>
              <w:rPr>
                <w:rFonts w:hint="eastAsia" w:cs="宋体"/>
                <w:color w:val="auto"/>
                <w:spacing w:val="-5"/>
                <w:szCs w:val="21"/>
                <w:highlight w:val="none"/>
              </w:rPr>
              <w:t>：</w:t>
            </w:r>
          </w:p>
          <w:p w14:paraId="46130A6C">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措施明确、合理、针对性强、详尽、准确可行的得</w:t>
            </w:r>
            <w:r>
              <w:rPr>
                <w:rFonts w:hint="eastAsia" w:cs="宋体"/>
                <w:color w:val="auto"/>
                <w:spacing w:val="-4"/>
                <w:szCs w:val="21"/>
                <w:highlight w:val="none"/>
                <w:lang w:val="en-US" w:eastAsia="zh-CN"/>
              </w:rPr>
              <w:t>7</w:t>
            </w:r>
            <w:r>
              <w:rPr>
                <w:rFonts w:hint="eastAsia" w:cs="宋体"/>
                <w:color w:val="auto"/>
                <w:spacing w:val="-4"/>
                <w:szCs w:val="21"/>
                <w:highlight w:val="none"/>
              </w:rPr>
              <w:t>分；</w:t>
            </w:r>
          </w:p>
          <w:p w14:paraId="1193A4B1">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措施较明确、较合理、针对性较强、较详尽、较准确可行的得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2A5A16DC">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措施欠明确、欠合理、针对性欠强、欠详尽、欠准确可行的得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4B6E3F1C">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olor w:val="auto"/>
                <w:szCs w:val="21"/>
                <w:highlight w:val="none"/>
              </w:rPr>
              <w:t>缺项不得分。</w:t>
            </w:r>
          </w:p>
        </w:tc>
        <w:tc>
          <w:tcPr>
            <w:tcW w:w="789" w:type="dxa"/>
            <w:vAlign w:val="center"/>
          </w:tcPr>
          <w:p w14:paraId="3A66DC6D">
            <w:pPr>
              <w:keepNext w:val="0"/>
              <w:keepLines w:val="0"/>
              <w:pageBreakBefore w:val="0"/>
              <w:kinsoku/>
              <w:wordWrap/>
              <w:overflowPunct/>
              <w:topLinePunct w:val="0"/>
              <w:bidi w:val="0"/>
              <w:spacing w:before="61" w:line="26" w:lineRule="atLeast"/>
              <w:ind w:left="341"/>
              <w:rPr>
                <w:rFonts w:hint="default" w:eastAsia="宋体" w:cs="Arial"/>
                <w:color w:val="auto"/>
                <w:szCs w:val="21"/>
                <w:highlight w:val="none"/>
                <w:lang w:val="en-US" w:eastAsia="zh-CN"/>
              </w:rPr>
            </w:pPr>
            <w:r>
              <w:rPr>
                <w:rFonts w:hint="eastAsia" w:cs="Arial"/>
                <w:color w:val="auto"/>
                <w:szCs w:val="21"/>
                <w:highlight w:val="none"/>
                <w:lang w:val="en-US" w:eastAsia="zh-CN"/>
              </w:rPr>
              <w:t>7</w:t>
            </w:r>
          </w:p>
        </w:tc>
      </w:tr>
      <w:tr w14:paraId="0D6FB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453" w:type="dxa"/>
            <w:vAlign w:val="center"/>
          </w:tcPr>
          <w:p w14:paraId="4306F06D">
            <w:pPr>
              <w:keepNext w:val="0"/>
              <w:keepLines w:val="0"/>
              <w:pageBreakBefore w:val="0"/>
              <w:kinsoku/>
              <w:wordWrap/>
              <w:overflowPunct/>
              <w:topLinePunct w:val="0"/>
              <w:bidi w:val="0"/>
              <w:spacing w:line="26" w:lineRule="atLeast"/>
              <w:jc w:val="center"/>
              <w:rPr>
                <w:rFonts w:cs="Arial"/>
                <w:color w:val="auto"/>
                <w:spacing w:val="-7"/>
                <w:szCs w:val="21"/>
                <w:highlight w:val="none"/>
              </w:rPr>
            </w:pPr>
            <w:r>
              <w:rPr>
                <w:rFonts w:hint="eastAsia" w:cs="Arial"/>
                <w:color w:val="auto"/>
                <w:spacing w:val="-7"/>
                <w:szCs w:val="21"/>
                <w:highlight w:val="none"/>
              </w:rPr>
              <w:t>8.</w:t>
            </w:r>
          </w:p>
        </w:tc>
        <w:tc>
          <w:tcPr>
            <w:tcW w:w="1635" w:type="dxa"/>
            <w:gridSpan w:val="3"/>
            <w:vAlign w:val="center"/>
          </w:tcPr>
          <w:p w14:paraId="70A1348F">
            <w:pPr>
              <w:keepNext w:val="0"/>
              <w:keepLines w:val="0"/>
              <w:pageBreakBefore w:val="0"/>
              <w:kinsoku/>
              <w:wordWrap/>
              <w:overflowPunct/>
              <w:topLinePunct w:val="0"/>
              <w:bidi w:val="0"/>
              <w:spacing w:before="69" w:line="26" w:lineRule="atLeast"/>
              <w:jc w:val="center"/>
              <w:rPr>
                <w:rFonts w:cs="宋体"/>
                <w:color w:val="auto"/>
                <w:spacing w:val="-2"/>
                <w:szCs w:val="21"/>
                <w:highlight w:val="none"/>
              </w:rPr>
            </w:pPr>
            <w:r>
              <w:rPr>
                <w:rFonts w:hint="eastAsia" w:cs="宋体"/>
                <w:color w:val="auto"/>
                <w:spacing w:val="-2"/>
                <w:szCs w:val="21"/>
                <w:highlight w:val="none"/>
              </w:rPr>
              <w:t>安全防护措施</w:t>
            </w:r>
          </w:p>
        </w:tc>
        <w:tc>
          <w:tcPr>
            <w:tcW w:w="6427" w:type="dxa"/>
            <w:vAlign w:val="center"/>
          </w:tcPr>
          <w:p w14:paraId="2B93C2E5">
            <w:pPr>
              <w:keepNext w:val="0"/>
              <w:keepLines w:val="0"/>
              <w:pageBreakBefore w:val="0"/>
              <w:kinsoku/>
              <w:wordWrap/>
              <w:overflowPunct/>
              <w:topLinePunct w:val="0"/>
              <w:bidi w:val="0"/>
              <w:spacing w:before="90" w:line="26" w:lineRule="atLeast"/>
              <w:ind w:left="114" w:right="43" w:firstLine="8"/>
              <w:rPr>
                <w:rFonts w:cs="宋体"/>
                <w:color w:val="auto"/>
                <w:spacing w:val="-5"/>
                <w:szCs w:val="21"/>
                <w:highlight w:val="none"/>
              </w:rPr>
            </w:pPr>
            <w:r>
              <w:rPr>
                <w:rFonts w:hint="eastAsia" w:cs="宋体"/>
                <w:color w:val="auto"/>
                <w:spacing w:val="-8"/>
                <w:szCs w:val="21"/>
                <w:highlight w:val="none"/>
              </w:rPr>
              <w:t>安全防护</w:t>
            </w:r>
            <w:r>
              <w:rPr>
                <w:rFonts w:cs="宋体"/>
                <w:color w:val="auto"/>
                <w:spacing w:val="-8"/>
                <w:szCs w:val="21"/>
                <w:highlight w:val="none"/>
              </w:rPr>
              <w:t>措施的是否明确、合理可行且针对性强，措施详尽、</w:t>
            </w:r>
            <w:r>
              <w:rPr>
                <w:rFonts w:cs="宋体"/>
                <w:color w:val="auto"/>
                <w:spacing w:val="-10"/>
                <w:szCs w:val="21"/>
                <w:highlight w:val="none"/>
              </w:rPr>
              <w:t>准确</w:t>
            </w:r>
            <w:r>
              <w:rPr>
                <w:rFonts w:cs="宋体"/>
                <w:color w:val="auto"/>
                <w:spacing w:val="-9"/>
                <w:szCs w:val="21"/>
                <w:highlight w:val="none"/>
              </w:rPr>
              <w:t>、</w:t>
            </w:r>
            <w:r>
              <w:rPr>
                <w:rFonts w:cs="宋体"/>
                <w:color w:val="auto"/>
                <w:spacing w:val="-5"/>
                <w:szCs w:val="21"/>
                <w:highlight w:val="none"/>
              </w:rPr>
              <w:t>针对性强且合理可行</w:t>
            </w:r>
            <w:r>
              <w:rPr>
                <w:rFonts w:hint="eastAsia" w:cs="宋体"/>
                <w:color w:val="auto"/>
                <w:spacing w:val="-5"/>
                <w:szCs w:val="21"/>
                <w:highlight w:val="none"/>
              </w:rPr>
              <w:t>：</w:t>
            </w:r>
          </w:p>
          <w:p w14:paraId="461DFEFD">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措施明确、合理、针对性强、详尽、准确可行的得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0298FBD2">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措施较明确、较合理、针对性较强、较详尽、较准确可行的得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75CA7C7F">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s="宋体"/>
                <w:color w:val="auto"/>
                <w:spacing w:val="-4"/>
                <w:szCs w:val="21"/>
                <w:highlight w:val="none"/>
              </w:rPr>
              <w:t>措施欠明确、欠合理、针对性欠强、欠详尽、欠准确可行的得</w:t>
            </w:r>
            <w:r>
              <w:rPr>
                <w:rFonts w:hint="eastAsia" w:cs="宋体"/>
                <w:color w:val="auto"/>
                <w:spacing w:val="-4"/>
                <w:szCs w:val="21"/>
                <w:highlight w:val="none"/>
                <w:lang w:val="en-US" w:eastAsia="zh-CN"/>
              </w:rPr>
              <w:t>4</w:t>
            </w:r>
            <w:r>
              <w:rPr>
                <w:rFonts w:hint="eastAsia" w:cs="宋体"/>
                <w:color w:val="auto"/>
                <w:spacing w:val="-4"/>
                <w:szCs w:val="21"/>
                <w:highlight w:val="none"/>
              </w:rPr>
              <w:t>分；</w:t>
            </w:r>
          </w:p>
          <w:p w14:paraId="4864678F">
            <w:pPr>
              <w:keepNext w:val="0"/>
              <w:keepLines w:val="0"/>
              <w:pageBreakBefore w:val="0"/>
              <w:kinsoku/>
              <w:wordWrap/>
              <w:overflowPunct/>
              <w:topLinePunct w:val="0"/>
              <w:bidi w:val="0"/>
              <w:spacing w:before="90" w:line="26" w:lineRule="atLeast"/>
              <w:ind w:left="114" w:right="43" w:firstLine="8"/>
              <w:rPr>
                <w:rFonts w:cs="宋体"/>
                <w:color w:val="auto"/>
                <w:spacing w:val="-4"/>
                <w:szCs w:val="21"/>
                <w:highlight w:val="none"/>
              </w:rPr>
            </w:pPr>
            <w:r>
              <w:rPr>
                <w:rFonts w:hint="eastAsia"/>
                <w:color w:val="auto"/>
                <w:szCs w:val="21"/>
                <w:highlight w:val="none"/>
              </w:rPr>
              <w:t>缺项不得分。</w:t>
            </w:r>
          </w:p>
        </w:tc>
        <w:tc>
          <w:tcPr>
            <w:tcW w:w="789" w:type="dxa"/>
            <w:vAlign w:val="center"/>
          </w:tcPr>
          <w:p w14:paraId="6BFF524C">
            <w:pPr>
              <w:keepNext w:val="0"/>
              <w:keepLines w:val="0"/>
              <w:pageBreakBefore w:val="0"/>
              <w:kinsoku/>
              <w:wordWrap/>
              <w:overflowPunct/>
              <w:topLinePunct w:val="0"/>
              <w:bidi w:val="0"/>
              <w:spacing w:before="61" w:line="26" w:lineRule="atLeast"/>
              <w:ind w:left="341"/>
              <w:rPr>
                <w:rFonts w:hint="eastAsia" w:eastAsia="宋体" w:cs="Arial"/>
                <w:color w:val="auto"/>
                <w:szCs w:val="21"/>
                <w:highlight w:val="none"/>
                <w:lang w:eastAsia="zh-CN"/>
              </w:rPr>
            </w:pPr>
            <w:r>
              <w:rPr>
                <w:rFonts w:hint="eastAsia" w:cs="Arial"/>
                <w:color w:val="auto"/>
                <w:szCs w:val="21"/>
                <w:highlight w:val="none"/>
                <w:lang w:val="en-US" w:eastAsia="zh-CN"/>
              </w:rPr>
              <w:t>6</w:t>
            </w:r>
          </w:p>
        </w:tc>
      </w:tr>
      <w:tr w14:paraId="56CC2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53" w:type="dxa"/>
            <w:vMerge w:val="restart"/>
            <w:vAlign w:val="center"/>
          </w:tcPr>
          <w:p w14:paraId="5AE9C23D">
            <w:pPr>
              <w:keepNext w:val="0"/>
              <w:keepLines w:val="0"/>
              <w:pageBreakBefore w:val="0"/>
              <w:kinsoku/>
              <w:wordWrap/>
              <w:overflowPunct/>
              <w:topLinePunct w:val="0"/>
              <w:bidi w:val="0"/>
              <w:spacing w:line="26" w:lineRule="atLeast"/>
              <w:jc w:val="center"/>
              <w:rPr>
                <w:rFonts w:cs="Arial"/>
                <w:color w:val="auto"/>
                <w:szCs w:val="21"/>
                <w:highlight w:val="none"/>
              </w:rPr>
            </w:pPr>
            <w:r>
              <w:rPr>
                <w:rFonts w:hint="eastAsia"/>
                <w:color w:val="auto"/>
                <w:highlight w:val="none"/>
              </w:rPr>
              <w:t>9.</w:t>
            </w:r>
          </w:p>
        </w:tc>
        <w:tc>
          <w:tcPr>
            <w:tcW w:w="729" w:type="dxa"/>
            <w:vMerge w:val="restart"/>
            <w:vAlign w:val="center"/>
          </w:tcPr>
          <w:p w14:paraId="4519FFCF">
            <w:pPr>
              <w:keepNext w:val="0"/>
              <w:keepLines w:val="0"/>
              <w:pageBreakBefore w:val="0"/>
              <w:kinsoku/>
              <w:wordWrap/>
              <w:overflowPunct/>
              <w:topLinePunct w:val="0"/>
              <w:bidi w:val="0"/>
              <w:spacing w:before="37" w:line="26" w:lineRule="atLeast"/>
              <w:ind w:right="102"/>
              <w:jc w:val="center"/>
              <w:rPr>
                <w:rFonts w:hint="eastAsia" w:eastAsia="宋体" w:cs="宋体"/>
                <w:color w:val="auto"/>
                <w:szCs w:val="21"/>
                <w:highlight w:val="none"/>
                <w:lang w:val="en-US" w:eastAsia="zh-CN"/>
              </w:rPr>
            </w:pPr>
            <w:r>
              <w:rPr>
                <w:rFonts w:ascii="Times New Roman" w:hAnsi="Times New Roman" w:eastAsia="宋体" w:cs="宋体"/>
                <w:color w:val="auto"/>
                <w:spacing w:val="-2"/>
                <w:szCs w:val="21"/>
                <w:highlight w:val="none"/>
              </w:rPr>
              <w:t>项目组配</w:t>
            </w:r>
            <w:r>
              <w:rPr>
                <w:rFonts w:ascii="Times New Roman" w:hAnsi="Times New Roman" w:eastAsia="宋体" w:cs="宋体"/>
                <w:color w:val="auto"/>
                <w:spacing w:val="-1"/>
                <w:szCs w:val="21"/>
                <w:highlight w:val="none"/>
              </w:rPr>
              <w:t>备情</w:t>
            </w:r>
            <w:r>
              <w:rPr>
                <w:rFonts w:ascii="Times New Roman" w:hAnsi="Times New Roman" w:eastAsia="宋体" w:cs="宋体"/>
                <w:color w:val="auto"/>
                <w:spacing w:val="10"/>
                <w:szCs w:val="21"/>
                <w:highlight w:val="none"/>
              </w:rPr>
              <w:t>况</w:t>
            </w:r>
          </w:p>
        </w:tc>
        <w:tc>
          <w:tcPr>
            <w:tcW w:w="906" w:type="dxa"/>
            <w:gridSpan w:val="2"/>
            <w:tcBorders>
              <w:bottom w:val="single" w:color="auto" w:sz="4" w:space="0"/>
            </w:tcBorders>
            <w:vAlign w:val="center"/>
          </w:tcPr>
          <w:p w14:paraId="1485E7E9">
            <w:pPr>
              <w:keepNext w:val="0"/>
              <w:keepLines w:val="0"/>
              <w:pageBreakBefore w:val="0"/>
              <w:kinsoku/>
              <w:wordWrap/>
              <w:overflowPunct/>
              <w:topLinePunct w:val="0"/>
              <w:bidi w:val="0"/>
              <w:spacing w:before="37" w:line="26" w:lineRule="atLeast"/>
              <w:ind w:right="102"/>
              <w:jc w:val="center"/>
              <w:rPr>
                <w:rFonts w:cs="宋体"/>
                <w:color w:val="auto"/>
                <w:spacing w:val="-2"/>
                <w:szCs w:val="21"/>
                <w:highlight w:val="none"/>
              </w:rPr>
            </w:pPr>
            <w:r>
              <w:rPr>
                <w:rFonts w:cs="宋体"/>
                <w:color w:val="auto"/>
                <w:spacing w:val="10"/>
                <w:szCs w:val="21"/>
                <w:highlight w:val="none"/>
              </w:rPr>
              <w:t>项目组负责</w:t>
            </w:r>
            <w:r>
              <w:rPr>
                <w:rFonts w:cs="宋体"/>
                <w:color w:val="auto"/>
                <w:spacing w:val="-8"/>
                <w:szCs w:val="21"/>
                <w:highlight w:val="none"/>
              </w:rPr>
              <w:t>人</w:t>
            </w:r>
          </w:p>
        </w:tc>
        <w:tc>
          <w:tcPr>
            <w:tcW w:w="6427" w:type="dxa"/>
            <w:tcBorders>
              <w:bottom w:val="single" w:color="auto" w:sz="4" w:space="0"/>
            </w:tcBorders>
            <w:vAlign w:val="center"/>
          </w:tcPr>
          <w:p w14:paraId="6A63C1C7">
            <w:pPr>
              <w:keepNext w:val="0"/>
              <w:keepLines w:val="0"/>
              <w:pageBreakBefore w:val="0"/>
              <w:numPr>
                <w:ilvl w:val="0"/>
                <w:numId w:val="9"/>
              </w:numPr>
              <w:kinsoku/>
              <w:wordWrap/>
              <w:overflowPunct/>
              <w:topLinePunct w:val="0"/>
              <w:bidi w:val="0"/>
              <w:spacing w:before="94" w:line="26" w:lineRule="atLeast"/>
              <w:ind w:left="119" w:right="283" w:firstLine="4"/>
              <w:rPr>
                <w:rFonts w:cs="宋体"/>
                <w:color w:val="auto"/>
                <w:spacing w:val="-5"/>
                <w:szCs w:val="21"/>
                <w:highlight w:val="none"/>
              </w:rPr>
            </w:pPr>
            <w:r>
              <w:rPr>
                <w:rFonts w:cs="宋体"/>
                <w:color w:val="auto"/>
                <w:spacing w:val="-5"/>
                <w:szCs w:val="21"/>
                <w:highlight w:val="none"/>
              </w:rPr>
              <w:t>具有测绘等相关专业高级</w:t>
            </w:r>
            <w:r>
              <w:rPr>
                <w:rFonts w:hint="eastAsia" w:cs="宋体"/>
                <w:color w:val="auto"/>
                <w:spacing w:val="-5"/>
                <w:szCs w:val="21"/>
                <w:highlight w:val="none"/>
              </w:rPr>
              <w:t>及以上</w:t>
            </w:r>
            <w:r>
              <w:rPr>
                <w:rFonts w:cs="宋体"/>
                <w:color w:val="auto"/>
                <w:spacing w:val="-5"/>
                <w:szCs w:val="21"/>
                <w:highlight w:val="none"/>
              </w:rPr>
              <w:t xml:space="preserve">技术职称的，得 </w:t>
            </w:r>
            <w:r>
              <w:rPr>
                <w:rFonts w:eastAsia="Arial" w:cs="Arial"/>
                <w:color w:val="auto"/>
                <w:spacing w:val="-5"/>
                <w:szCs w:val="21"/>
                <w:highlight w:val="none"/>
              </w:rPr>
              <w:t xml:space="preserve">3 </w:t>
            </w:r>
            <w:r>
              <w:rPr>
                <w:rFonts w:cs="宋体"/>
                <w:color w:val="auto"/>
                <w:spacing w:val="-5"/>
                <w:szCs w:val="21"/>
                <w:highlight w:val="none"/>
              </w:rPr>
              <w:t>分；</w:t>
            </w:r>
          </w:p>
          <w:p w14:paraId="487C2940">
            <w:pPr>
              <w:keepNext w:val="0"/>
              <w:keepLines w:val="0"/>
              <w:pageBreakBefore w:val="0"/>
              <w:numPr>
                <w:ilvl w:val="0"/>
                <w:numId w:val="9"/>
              </w:numPr>
              <w:kinsoku/>
              <w:wordWrap/>
              <w:overflowPunct/>
              <w:topLinePunct w:val="0"/>
              <w:bidi w:val="0"/>
              <w:spacing w:before="94" w:line="26" w:lineRule="atLeast"/>
              <w:ind w:left="119" w:right="283" w:firstLine="4"/>
              <w:rPr>
                <w:rFonts w:cs="宋体"/>
                <w:color w:val="auto"/>
                <w:spacing w:val="-10"/>
                <w:szCs w:val="21"/>
                <w:highlight w:val="none"/>
              </w:rPr>
            </w:pPr>
            <w:r>
              <w:rPr>
                <w:rFonts w:cs="宋体"/>
                <w:color w:val="auto"/>
                <w:spacing w:val="-14"/>
                <w:szCs w:val="21"/>
                <w:highlight w:val="none"/>
              </w:rPr>
              <w:t>具</w:t>
            </w:r>
            <w:r>
              <w:rPr>
                <w:rFonts w:cs="宋体"/>
                <w:color w:val="auto"/>
                <w:spacing w:val="-10"/>
                <w:szCs w:val="21"/>
                <w:highlight w:val="none"/>
              </w:rPr>
              <w:t xml:space="preserve">有注册测绘师资格的， 得 </w:t>
            </w:r>
            <w:r>
              <w:rPr>
                <w:rFonts w:hint="eastAsia" w:cs="Arial"/>
                <w:color w:val="auto"/>
                <w:spacing w:val="-10"/>
                <w:szCs w:val="21"/>
                <w:highlight w:val="none"/>
              </w:rPr>
              <w:t>3</w:t>
            </w:r>
            <w:r>
              <w:rPr>
                <w:rFonts w:cs="宋体"/>
                <w:color w:val="auto"/>
                <w:spacing w:val="-10"/>
                <w:szCs w:val="21"/>
                <w:highlight w:val="none"/>
              </w:rPr>
              <w:t>分。</w:t>
            </w:r>
          </w:p>
          <w:p w14:paraId="7276E112">
            <w:pPr>
              <w:keepNext w:val="0"/>
              <w:keepLines w:val="0"/>
              <w:pageBreakBefore w:val="0"/>
              <w:kinsoku/>
              <w:wordWrap/>
              <w:overflowPunct/>
              <w:topLinePunct w:val="0"/>
              <w:bidi w:val="0"/>
              <w:spacing w:before="94" w:line="26" w:lineRule="atLeast"/>
              <w:ind w:left="119" w:right="283" w:firstLine="4"/>
              <w:rPr>
                <w:rFonts w:cs="宋体"/>
                <w:color w:val="auto"/>
                <w:szCs w:val="21"/>
                <w:highlight w:val="none"/>
              </w:rPr>
            </w:pPr>
            <w:r>
              <w:rPr>
                <w:rFonts w:hint="eastAsia" w:cs="宋体"/>
                <w:color w:val="auto"/>
                <w:spacing w:val="-3"/>
                <w:szCs w:val="21"/>
                <w:highlight w:val="none"/>
                <w:lang w:val="en-US" w:eastAsia="zh-CN"/>
              </w:rPr>
              <w:t>注</w:t>
            </w:r>
            <w:r>
              <w:rPr>
                <w:rFonts w:cs="宋体"/>
                <w:color w:val="auto"/>
                <w:spacing w:val="-6"/>
                <w:szCs w:val="21"/>
                <w:highlight w:val="none"/>
              </w:rPr>
              <w:t>：</w:t>
            </w:r>
            <w:r>
              <w:rPr>
                <w:rFonts w:hint="eastAsia" w:cs="宋体"/>
                <w:color w:val="auto"/>
                <w:spacing w:val="-3"/>
                <w:szCs w:val="21"/>
                <w:highlight w:val="none"/>
                <w:lang w:val="en-US" w:eastAsia="zh-CN"/>
              </w:rPr>
              <w:t>须提供人员证书清晰扫描件及供应商为其缴纳的近三个月其中一个月的单位社保缴纳证明材料。</w:t>
            </w:r>
            <w:r>
              <w:rPr>
                <w:rFonts w:cs="宋体"/>
                <w:color w:val="auto"/>
                <w:spacing w:val="-3"/>
                <w:szCs w:val="21"/>
                <w:highlight w:val="none"/>
              </w:rPr>
              <w:t>不提供证明材料或提供不全</w:t>
            </w:r>
            <w:r>
              <w:rPr>
                <w:rFonts w:cs="宋体"/>
                <w:color w:val="auto"/>
                <w:spacing w:val="-15"/>
                <w:szCs w:val="21"/>
                <w:highlight w:val="none"/>
              </w:rPr>
              <w:t>或</w:t>
            </w:r>
            <w:r>
              <w:rPr>
                <w:rFonts w:cs="宋体"/>
                <w:color w:val="auto"/>
                <w:spacing w:val="-10"/>
                <w:szCs w:val="21"/>
                <w:highlight w:val="none"/>
              </w:rPr>
              <w:t>不符合要求的，不得分。</w:t>
            </w:r>
          </w:p>
        </w:tc>
        <w:tc>
          <w:tcPr>
            <w:tcW w:w="789" w:type="dxa"/>
            <w:tcBorders>
              <w:bottom w:val="single" w:color="auto" w:sz="4" w:space="0"/>
            </w:tcBorders>
            <w:vAlign w:val="center"/>
          </w:tcPr>
          <w:p w14:paraId="654DBDAB">
            <w:pPr>
              <w:keepNext w:val="0"/>
              <w:keepLines w:val="0"/>
              <w:pageBreakBefore w:val="0"/>
              <w:kinsoku/>
              <w:wordWrap/>
              <w:overflowPunct/>
              <w:topLinePunct w:val="0"/>
              <w:bidi w:val="0"/>
              <w:spacing w:before="60" w:line="26" w:lineRule="atLeast"/>
              <w:ind w:left="341"/>
              <w:rPr>
                <w:rFonts w:hint="eastAsia" w:eastAsia="宋体" w:cs="Arial"/>
                <w:color w:val="auto"/>
                <w:szCs w:val="21"/>
                <w:highlight w:val="none"/>
                <w:lang w:eastAsia="zh-CN"/>
              </w:rPr>
            </w:pPr>
            <w:r>
              <w:rPr>
                <w:rFonts w:hint="eastAsia"/>
                <w:color w:val="auto"/>
                <w:highlight w:val="none"/>
                <w:lang w:val="en-US" w:eastAsia="zh-CN"/>
              </w:rPr>
              <w:t>6</w:t>
            </w:r>
          </w:p>
        </w:tc>
      </w:tr>
      <w:tr w14:paraId="0999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453" w:type="dxa"/>
            <w:vMerge w:val="continue"/>
            <w:vAlign w:val="center"/>
          </w:tcPr>
          <w:p w14:paraId="205DC2A9">
            <w:pPr>
              <w:keepNext w:val="0"/>
              <w:keepLines w:val="0"/>
              <w:pageBreakBefore w:val="0"/>
              <w:kinsoku/>
              <w:wordWrap/>
              <w:overflowPunct/>
              <w:topLinePunct w:val="0"/>
              <w:bidi w:val="0"/>
              <w:spacing w:line="26" w:lineRule="atLeast"/>
              <w:jc w:val="center"/>
              <w:rPr>
                <w:rFonts w:cs="Arial"/>
                <w:color w:val="auto"/>
                <w:szCs w:val="21"/>
                <w:highlight w:val="none"/>
              </w:rPr>
            </w:pPr>
          </w:p>
        </w:tc>
        <w:tc>
          <w:tcPr>
            <w:tcW w:w="729" w:type="dxa"/>
            <w:vMerge w:val="continue"/>
            <w:vAlign w:val="center"/>
          </w:tcPr>
          <w:p w14:paraId="5E1B3BFC">
            <w:pPr>
              <w:keepNext w:val="0"/>
              <w:keepLines w:val="0"/>
              <w:pageBreakBefore w:val="0"/>
              <w:kinsoku/>
              <w:wordWrap/>
              <w:overflowPunct/>
              <w:topLinePunct w:val="0"/>
              <w:bidi w:val="0"/>
              <w:spacing w:before="68" w:line="26" w:lineRule="atLeast"/>
              <w:ind w:left="113" w:right="284" w:firstLine="1"/>
              <w:jc w:val="center"/>
              <w:rPr>
                <w:rFonts w:cs="宋体"/>
                <w:color w:val="auto"/>
                <w:szCs w:val="21"/>
                <w:highlight w:val="none"/>
              </w:rPr>
            </w:pPr>
          </w:p>
        </w:tc>
        <w:tc>
          <w:tcPr>
            <w:tcW w:w="906" w:type="dxa"/>
            <w:gridSpan w:val="2"/>
            <w:tcBorders>
              <w:top w:val="single" w:color="auto" w:sz="4" w:space="0"/>
            </w:tcBorders>
            <w:vAlign w:val="center"/>
          </w:tcPr>
          <w:p w14:paraId="7BCD0BE4">
            <w:pPr>
              <w:keepNext w:val="0"/>
              <w:keepLines w:val="0"/>
              <w:pageBreakBefore w:val="0"/>
              <w:kinsoku/>
              <w:wordWrap/>
              <w:overflowPunct/>
              <w:topLinePunct w:val="0"/>
              <w:bidi w:val="0"/>
              <w:spacing w:before="68" w:line="26" w:lineRule="atLeast"/>
              <w:ind w:right="284"/>
              <w:jc w:val="center"/>
              <w:rPr>
                <w:rFonts w:cs="宋体"/>
                <w:color w:val="auto"/>
                <w:spacing w:val="-2"/>
                <w:szCs w:val="21"/>
                <w:highlight w:val="none"/>
              </w:rPr>
            </w:pPr>
            <w:r>
              <w:rPr>
                <w:rFonts w:cs="宋体"/>
                <w:color w:val="auto"/>
                <w:spacing w:val="16"/>
                <w:szCs w:val="21"/>
                <w:highlight w:val="none"/>
              </w:rPr>
              <w:t>项目组成</w:t>
            </w:r>
            <w:r>
              <w:rPr>
                <w:rFonts w:cs="宋体"/>
                <w:color w:val="auto"/>
                <w:spacing w:val="-8"/>
                <w:szCs w:val="21"/>
                <w:highlight w:val="none"/>
              </w:rPr>
              <w:t>员</w:t>
            </w:r>
            <w:r>
              <w:rPr>
                <w:rFonts w:hint="eastAsia" w:cs="宋体"/>
                <w:color w:val="auto"/>
                <w:spacing w:val="-8"/>
                <w:szCs w:val="21"/>
                <w:highlight w:val="none"/>
              </w:rPr>
              <w:t>(</w:t>
            </w:r>
            <w:r>
              <w:rPr>
                <w:rFonts w:hint="eastAsia" w:cs="宋体"/>
                <w:color w:val="auto"/>
                <w:spacing w:val="-8"/>
                <w:szCs w:val="21"/>
                <w:highlight w:val="none"/>
                <w:lang w:val="en-US" w:eastAsia="zh-CN"/>
              </w:rPr>
              <w:t>除</w:t>
            </w:r>
            <w:r>
              <w:rPr>
                <w:rFonts w:hint="eastAsia" w:cs="宋体"/>
                <w:color w:val="auto"/>
                <w:spacing w:val="-8"/>
                <w:szCs w:val="21"/>
                <w:highlight w:val="none"/>
              </w:rPr>
              <w:t>项目组负责人</w:t>
            </w:r>
            <w:r>
              <w:rPr>
                <w:rFonts w:hint="eastAsia" w:cs="宋体"/>
                <w:color w:val="auto"/>
                <w:spacing w:val="-8"/>
                <w:szCs w:val="21"/>
                <w:highlight w:val="none"/>
                <w:lang w:val="en-US" w:eastAsia="zh-CN"/>
              </w:rPr>
              <w:t>外</w:t>
            </w:r>
            <w:r>
              <w:rPr>
                <w:rFonts w:hint="eastAsia" w:cs="宋体"/>
                <w:color w:val="auto"/>
                <w:spacing w:val="-8"/>
                <w:szCs w:val="21"/>
                <w:highlight w:val="none"/>
              </w:rPr>
              <w:t>)</w:t>
            </w:r>
          </w:p>
        </w:tc>
        <w:tc>
          <w:tcPr>
            <w:tcW w:w="6427" w:type="dxa"/>
            <w:tcBorders>
              <w:top w:val="single" w:color="auto" w:sz="4" w:space="0"/>
            </w:tcBorders>
            <w:vAlign w:val="center"/>
          </w:tcPr>
          <w:p w14:paraId="10846180">
            <w:pPr>
              <w:keepNext w:val="0"/>
              <w:keepLines w:val="0"/>
              <w:pageBreakBefore w:val="0"/>
              <w:kinsoku/>
              <w:wordWrap/>
              <w:overflowPunct/>
              <w:topLinePunct w:val="0"/>
              <w:bidi w:val="0"/>
              <w:spacing w:before="88" w:line="26" w:lineRule="atLeast"/>
              <w:ind w:left="132" w:right="101" w:hanging="9"/>
              <w:rPr>
                <w:rFonts w:cs="宋体"/>
                <w:color w:val="auto"/>
                <w:szCs w:val="21"/>
                <w:highlight w:val="none"/>
              </w:rPr>
            </w:pPr>
            <w:r>
              <w:rPr>
                <w:rFonts w:hint="eastAsia" w:cs="宋体"/>
                <w:color w:val="auto"/>
                <w:szCs w:val="21"/>
                <w:highlight w:val="none"/>
                <w:lang w:val="en-US" w:eastAsia="zh-CN"/>
              </w:rPr>
              <w:t>1.</w:t>
            </w:r>
            <w:r>
              <w:rPr>
                <w:rFonts w:cs="宋体"/>
                <w:color w:val="auto"/>
                <w:szCs w:val="21"/>
                <w:highlight w:val="none"/>
              </w:rPr>
              <w:t>具备</w:t>
            </w:r>
            <w:r>
              <w:rPr>
                <w:rFonts w:hint="eastAsia" w:cs="宋体"/>
                <w:color w:val="auto"/>
                <w:szCs w:val="21"/>
                <w:highlight w:val="none"/>
              </w:rPr>
              <w:t>测绘</w:t>
            </w:r>
            <w:r>
              <w:rPr>
                <w:rFonts w:hint="eastAsia" w:cs="宋体"/>
                <w:color w:val="auto"/>
                <w:szCs w:val="21"/>
                <w:highlight w:val="none"/>
                <w:lang w:val="en-US" w:eastAsia="zh-CN"/>
              </w:rPr>
              <w:t>类</w:t>
            </w:r>
            <w:r>
              <w:rPr>
                <w:rFonts w:hint="eastAsia" w:cs="宋体"/>
                <w:color w:val="auto"/>
                <w:szCs w:val="21"/>
                <w:highlight w:val="none"/>
              </w:rPr>
              <w:t>相关专业中级及以上技术职称</w:t>
            </w:r>
            <w:r>
              <w:rPr>
                <w:rFonts w:cs="宋体"/>
                <w:color w:val="auto"/>
                <w:spacing w:val="-6"/>
                <w:szCs w:val="21"/>
                <w:highlight w:val="none"/>
              </w:rPr>
              <w:t>的</w:t>
            </w:r>
            <w:r>
              <w:rPr>
                <w:rFonts w:cs="宋体"/>
                <w:color w:val="auto"/>
                <w:spacing w:val="-4"/>
                <w:szCs w:val="21"/>
                <w:highlight w:val="none"/>
              </w:rPr>
              <w:t>，每人得</w:t>
            </w:r>
            <w:r>
              <w:rPr>
                <w:rFonts w:hint="eastAsia" w:cs="宋体"/>
                <w:color w:val="auto"/>
                <w:spacing w:val="-4"/>
                <w:szCs w:val="21"/>
                <w:highlight w:val="none"/>
              </w:rPr>
              <w:t>1</w:t>
            </w:r>
            <w:r>
              <w:rPr>
                <w:rFonts w:cs="宋体"/>
                <w:color w:val="auto"/>
                <w:spacing w:val="-4"/>
                <w:szCs w:val="21"/>
                <w:highlight w:val="none"/>
              </w:rPr>
              <w:t xml:space="preserve">分，最多得 </w:t>
            </w:r>
            <w:r>
              <w:rPr>
                <w:rFonts w:hint="eastAsia" w:cs="Arial"/>
                <w:color w:val="auto"/>
                <w:spacing w:val="-4"/>
                <w:szCs w:val="21"/>
                <w:highlight w:val="none"/>
              </w:rPr>
              <w:t>3</w:t>
            </w:r>
            <w:r>
              <w:rPr>
                <w:rFonts w:eastAsia="Arial" w:cs="Arial"/>
                <w:color w:val="auto"/>
                <w:spacing w:val="-4"/>
                <w:szCs w:val="21"/>
                <w:highlight w:val="none"/>
              </w:rPr>
              <w:t xml:space="preserve"> </w:t>
            </w:r>
            <w:r>
              <w:rPr>
                <w:rFonts w:cs="宋体"/>
                <w:color w:val="auto"/>
                <w:spacing w:val="-4"/>
                <w:szCs w:val="21"/>
                <w:highlight w:val="none"/>
              </w:rPr>
              <w:t>分。</w:t>
            </w:r>
          </w:p>
          <w:p w14:paraId="04F527FF">
            <w:pPr>
              <w:keepNext w:val="0"/>
              <w:keepLines w:val="0"/>
              <w:pageBreakBefore w:val="0"/>
              <w:kinsoku/>
              <w:wordWrap/>
              <w:overflowPunct/>
              <w:topLinePunct w:val="0"/>
              <w:bidi w:val="0"/>
              <w:spacing w:before="1" w:line="26" w:lineRule="atLeast"/>
              <w:ind w:left="121" w:right="46" w:firstLine="1"/>
              <w:rPr>
                <w:rFonts w:cs="宋体"/>
                <w:color w:val="auto"/>
                <w:szCs w:val="21"/>
                <w:highlight w:val="none"/>
              </w:rPr>
            </w:pPr>
            <w:r>
              <w:rPr>
                <w:rFonts w:hint="eastAsia" w:cs="宋体"/>
                <w:color w:val="auto"/>
                <w:spacing w:val="-6"/>
                <w:szCs w:val="21"/>
                <w:highlight w:val="none"/>
                <w:lang w:val="en-US" w:eastAsia="zh-CN"/>
              </w:rPr>
              <w:t>2.</w:t>
            </w:r>
            <w:r>
              <w:rPr>
                <w:rFonts w:cs="宋体"/>
                <w:color w:val="auto"/>
                <w:spacing w:val="-6"/>
                <w:szCs w:val="21"/>
                <w:highlight w:val="none"/>
              </w:rPr>
              <w:t>项目组成员具备</w:t>
            </w:r>
            <w:r>
              <w:rPr>
                <w:rFonts w:hint="eastAsia" w:cs="宋体"/>
                <w:color w:val="auto"/>
                <w:spacing w:val="-6"/>
                <w:szCs w:val="21"/>
                <w:highlight w:val="none"/>
              </w:rPr>
              <w:t>摄影测量中级及以上职称</w:t>
            </w:r>
            <w:r>
              <w:rPr>
                <w:rFonts w:cs="宋体"/>
                <w:color w:val="auto"/>
                <w:spacing w:val="-6"/>
                <w:szCs w:val="21"/>
                <w:highlight w:val="none"/>
              </w:rPr>
              <w:t xml:space="preserve">资格的，每人得 </w:t>
            </w:r>
            <w:r>
              <w:rPr>
                <w:rFonts w:hint="eastAsia" w:cs="Arial"/>
                <w:color w:val="auto"/>
                <w:spacing w:val="-6"/>
                <w:szCs w:val="21"/>
                <w:highlight w:val="none"/>
              </w:rPr>
              <w:t>2</w:t>
            </w:r>
            <w:r>
              <w:rPr>
                <w:rFonts w:eastAsia="Arial" w:cs="Arial"/>
                <w:color w:val="auto"/>
                <w:spacing w:val="-6"/>
                <w:szCs w:val="21"/>
                <w:highlight w:val="none"/>
              </w:rPr>
              <w:t xml:space="preserve"> </w:t>
            </w:r>
            <w:r>
              <w:rPr>
                <w:rFonts w:cs="宋体"/>
                <w:color w:val="auto"/>
                <w:spacing w:val="-6"/>
                <w:szCs w:val="21"/>
                <w:highlight w:val="none"/>
              </w:rPr>
              <w:t xml:space="preserve">分，最多得 </w:t>
            </w:r>
            <w:r>
              <w:rPr>
                <w:rFonts w:hint="eastAsia" w:cs="Arial"/>
                <w:color w:val="auto"/>
                <w:spacing w:val="-6"/>
                <w:szCs w:val="21"/>
                <w:highlight w:val="none"/>
              </w:rPr>
              <w:t>2</w:t>
            </w:r>
            <w:r>
              <w:rPr>
                <w:rFonts w:eastAsia="Arial" w:cs="Arial"/>
                <w:color w:val="auto"/>
                <w:spacing w:val="-6"/>
                <w:szCs w:val="21"/>
                <w:highlight w:val="none"/>
              </w:rPr>
              <w:t xml:space="preserve"> </w:t>
            </w:r>
            <w:r>
              <w:rPr>
                <w:rFonts w:cs="宋体"/>
                <w:color w:val="auto"/>
                <w:spacing w:val="-6"/>
                <w:szCs w:val="21"/>
                <w:highlight w:val="none"/>
              </w:rPr>
              <w:t>分。</w:t>
            </w:r>
          </w:p>
          <w:p w14:paraId="41448364">
            <w:pPr>
              <w:keepNext w:val="0"/>
              <w:keepLines w:val="0"/>
              <w:pageBreakBefore w:val="0"/>
              <w:kinsoku/>
              <w:wordWrap/>
              <w:overflowPunct/>
              <w:topLinePunct w:val="0"/>
              <w:bidi w:val="0"/>
              <w:spacing w:line="26" w:lineRule="atLeast"/>
              <w:ind w:left="114" w:right="29" w:firstLine="2"/>
              <w:rPr>
                <w:rFonts w:hint="eastAsia" w:eastAsia="宋体" w:cs="宋体"/>
                <w:color w:val="auto"/>
                <w:szCs w:val="21"/>
                <w:highlight w:val="none"/>
                <w:lang w:eastAsia="zh-CN"/>
              </w:rPr>
            </w:pPr>
            <w:r>
              <w:rPr>
                <w:rFonts w:hint="eastAsia" w:cs="宋体"/>
                <w:color w:val="auto"/>
                <w:spacing w:val="-3"/>
                <w:szCs w:val="21"/>
                <w:highlight w:val="none"/>
                <w:lang w:val="en-US" w:eastAsia="zh-CN"/>
              </w:rPr>
              <w:t>注</w:t>
            </w:r>
            <w:r>
              <w:rPr>
                <w:rFonts w:cs="宋体"/>
                <w:color w:val="auto"/>
                <w:spacing w:val="-8"/>
                <w:szCs w:val="21"/>
                <w:highlight w:val="none"/>
              </w:rPr>
              <w:t>：</w:t>
            </w:r>
            <w:r>
              <w:rPr>
                <w:rFonts w:hint="eastAsia" w:cs="宋体"/>
                <w:color w:val="auto"/>
                <w:spacing w:val="-4"/>
                <w:szCs w:val="21"/>
                <w:highlight w:val="none"/>
                <w:lang w:val="en-US" w:eastAsia="zh-CN"/>
              </w:rPr>
              <w:t>须提供人员证书清晰扫描件及供应商为其缴纳的近三个月其中一个月的单位社保缴纳证明材料。</w:t>
            </w:r>
            <w:r>
              <w:rPr>
                <w:rFonts w:cs="宋体"/>
                <w:color w:val="auto"/>
                <w:szCs w:val="21"/>
                <w:highlight w:val="none"/>
              </w:rPr>
              <w:t>不提</w:t>
            </w:r>
            <w:r>
              <w:rPr>
                <w:rFonts w:cs="宋体"/>
                <w:color w:val="auto"/>
                <w:spacing w:val="-6"/>
                <w:szCs w:val="21"/>
                <w:highlight w:val="none"/>
              </w:rPr>
              <w:t>供证明材料</w:t>
            </w:r>
            <w:r>
              <w:rPr>
                <w:rFonts w:cs="宋体"/>
                <w:color w:val="auto"/>
                <w:spacing w:val="-3"/>
                <w:szCs w:val="21"/>
                <w:highlight w:val="none"/>
              </w:rPr>
              <w:t>或提供不全或不符合要求的，不得分。</w:t>
            </w:r>
            <w:r>
              <w:rPr>
                <w:rFonts w:cs="宋体"/>
                <w:color w:val="auto"/>
                <w:spacing w:val="-4"/>
                <w:szCs w:val="21"/>
                <w:highlight w:val="none"/>
              </w:rPr>
              <w:t>一人多证只计一次分</w:t>
            </w:r>
            <w:r>
              <w:rPr>
                <w:rFonts w:hint="eastAsia" w:cs="宋体"/>
                <w:color w:val="auto"/>
                <w:spacing w:val="-4"/>
                <w:szCs w:val="21"/>
                <w:highlight w:val="none"/>
                <w:lang w:eastAsia="zh-CN"/>
              </w:rPr>
              <w:t>。</w:t>
            </w:r>
          </w:p>
        </w:tc>
        <w:tc>
          <w:tcPr>
            <w:tcW w:w="789" w:type="dxa"/>
            <w:tcBorders>
              <w:top w:val="single" w:color="auto" w:sz="4" w:space="0"/>
            </w:tcBorders>
            <w:vAlign w:val="center"/>
          </w:tcPr>
          <w:p w14:paraId="72B2A61E">
            <w:pPr>
              <w:keepNext w:val="0"/>
              <w:keepLines w:val="0"/>
              <w:pageBreakBefore w:val="0"/>
              <w:kinsoku/>
              <w:wordWrap/>
              <w:overflowPunct/>
              <w:topLinePunct w:val="0"/>
              <w:bidi w:val="0"/>
              <w:spacing w:before="60" w:line="26" w:lineRule="atLeast"/>
              <w:ind w:left="341"/>
              <w:rPr>
                <w:rFonts w:hint="eastAsia" w:eastAsia="宋体" w:cs="Arial"/>
                <w:color w:val="auto"/>
                <w:szCs w:val="21"/>
                <w:highlight w:val="none"/>
                <w:lang w:val="en-US" w:eastAsia="zh-CN"/>
              </w:rPr>
            </w:pPr>
            <w:r>
              <w:rPr>
                <w:rFonts w:hint="eastAsia" w:cs="Arial"/>
                <w:color w:val="auto"/>
                <w:szCs w:val="21"/>
                <w:highlight w:val="none"/>
                <w:lang w:val="en-US" w:eastAsia="zh-CN"/>
              </w:rPr>
              <w:t>5</w:t>
            </w:r>
          </w:p>
        </w:tc>
      </w:tr>
      <w:tr w14:paraId="06F04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453" w:type="dxa"/>
            <w:vAlign w:val="center"/>
          </w:tcPr>
          <w:p w14:paraId="299DBC2A">
            <w:pPr>
              <w:keepNext w:val="0"/>
              <w:keepLines w:val="0"/>
              <w:pageBreakBefore w:val="0"/>
              <w:kinsoku/>
              <w:wordWrap/>
              <w:overflowPunct/>
              <w:topLinePunct w:val="0"/>
              <w:autoSpaceDE/>
              <w:autoSpaceDN/>
              <w:bidi w:val="0"/>
              <w:adjustRightInd/>
              <w:snapToGrid/>
              <w:spacing w:line="312" w:lineRule="auto"/>
              <w:jc w:val="center"/>
              <w:textAlignment w:val="auto"/>
              <w:rPr>
                <w:rFonts w:cs="Arial"/>
                <w:color w:val="auto"/>
                <w:szCs w:val="21"/>
                <w:highlight w:val="none"/>
              </w:rPr>
            </w:pPr>
            <w:r>
              <w:rPr>
                <w:rFonts w:hint="eastAsia" w:cs="Arial"/>
                <w:color w:val="auto"/>
                <w:spacing w:val="-7"/>
                <w:szCs w:val="21"/>
                <w:highlight w:val="none"/>
              </w:rPr>
              <w:t>10.</w:t>
            </w:r>
          </w:p>
        </w:tc>
        <w:tc>
          <w:tcPr>
            <w:tcW w:w="1635" w:type="dxa"/>
            <w:gridSpan w:val="3"/>
            <w:vAlign w:val="center"/>
          </w:tcPr>
          <w:p w14:paraId="58E92806">
            <w:pPr>
              <w:keepNext w:val="0"/>
              <w:keepLines w:val="0"/>
              <w:pageBreakBefore w:val="0"/>
              <w:kinsoku/>
              <w:wordWrap/>
              <w:overflowPunct/>
              <w:topLinePunct w:val="0"/>
              <w:autoSpaceDE/>
              <w:autoSpaceDN/>
              <w:bidi w:val="0"/>
              <w:adjustRightInd/>
              <w:snapToGrid/>
              <w:spacing w:before="68" w:line="312" w:lineRule="auto"/>
              <w:ind w:left="111"/>
              <w:jc w:val="center"/>
              <w:textAlignment w:val="auto"/>
              <w:rPr>
                <w:rFonts w:cs="宋体"/>
                <w:color w:val="auto"/>
                <w:szCs w:val="21"/>
                <w:highlight w:val="none"/>
              </w:rPr>
            </w:pPr>
            <w:r>
              <w:rPr>
                <w:rFonts w:cs="宋体"/>
                <w:color w:val="auto"/>
                <w:spacing w:val="-1"/>
                <w:szCs w:val="21"/>
                <w:highlight w:val="none"/>
              </w:rPr>
              <w:t>售后服务方</w:t>
            </w:r>
            <w:r>
              <w:rPr>
                <w:rFonts w:cs="宋体"/>
                <w:color w:val="auto"/>
                <w:szCs w:val="21"/>
                <w:highlight w:val="none"/>
              </w:rPr>
              <w:t>案</w:t>
            </w:r>
          </w:p>
        </w:tc>
        <w:tc>
          <w:tcPr>
            <w:tcW w:w="6427" w:type="dxa"/>
            <w:vAlign w:val="center"/>
          </w:tcPr>
          <w:p w14:paraId="6F3F6067">
            <w:pPr>
              <w:keepNext w:val="0"/>
              <w:keepLines w:val="0"/>
              <w:pageBreakBefore w:val="0"/>
              <w:kinsoku/>
              <w:wordWrap/>
              <w:overflowPunct/>
              <w:topLinePunct w:val="0"/>
              <w:autoSpaceDE/>
              <w:autoSpaceDN/>
              <w:bidi w:val="0"/>
              <w:adjustRightInd/>
              <w:snapToGrid/>
              <w:spacing w:before="90" w:line="312" w:lineRule="auto"/>
              <w:ind w:left="114" w:right="43" w:firstLine="8"/>
              <w:textAlignment w:val="auto"/>
              <w:rPr>
                <w:rFonts w:cs="宋体"/>
                <w:color w:val="auto"/>
                <w:spacing w:val="-5"/>
                <w:szCs w:val="21"/>
                <w:highlight w:val="none"/>
              </w:rPr>
            </w:pPr>
            <w:r>
              <w:rPr>
                <w:rFonts w:cs="宋体"/>
                <w:color w:val="auto"/>
                <w:spacing w:val="-9"/>
                <w:szCs w:val="21"/>
                <w:highlight w:val="none"/>
              </w:rPr>
              <w:t>售</w:t>
            </w:r>
            <w:r>
              <w:rPr>
                <w:rFonts w:cs="宋体"/>
                <w:color w:val="auto"/>
                <w:spacing w:val="-8"/>
                <w:szCs w:val="21"/>
                <w:highlight w:val="none"/>
              </w:rPr>
              <w:t>后服务方案是否明确、合理可行且针对性强，方案详尽、准确、</w:t>
            </w:r>
            <w:r>
              <w:rPr>
                <w:rFonts w:cs="宋体"/>
                <w:color w:val="auto"/>
                <w:szCs w:val="21"/>
                <w:highlight w:val="none"/>
              </w:rPr>
              <w:t xml:space="preserve"> </w:t>
            </w:r>
            <w:r>
              <w:rPr>
                <w:rFonts w:cs="宋体"/>
                <w:color w:val="auto"/>
                <w:spacing w:val="-10"/>
                <w:szCs w:val="21"/>
                <w:highlight w:val="none"/>
              </w:rPr>
              <w:t>针对</w:t>
            </w:r>
            <w:r>
              <w:rPr>
                <w:rFonts w:cs="宋体"/>
                <w:color w:val="auto"/>
                <w:spacing w:val="-8"/>
                <w:szCs w:val="21"/>
                <w:highlight w:val="none"/>
              </w:rPr>
              <w:t>性</w:t>
            </w:r>
            <w:r>
              <w:rPr>
                <w:rFonts w:cs="宋体"/>
                <w:color w:val="auto"/>
                <w:spacing w:val="-5"/>
                <w:szCs w:val="21"/>
                <w:highlight w:val="none"/>
              </w:rPr>
              <w:t>强且合理可行</w:t>
            </w:r>
            <w:r>
              <w:rPr>
                <w:rFonts w:hint="eastAsia" w:cs="宋体"/>
                <w:color w:val="auto"/>
                <w:spacing w:val="-5"/>
                <w:szCs w:val="21"/>
                <w:highlight w:val="none"/>
              </w:rPr>
              <w:t>：</w:t>
            </w:r>
          </w:p>
          <w:p w14:paraId="7BC9893F">
            <w:pPr>
              <w:keepNext w:val="0"/>
              <w:keepLines w:val="0"/>
              <w:pageBreakBefore w:val="0"/>
              <w:kinsoku/>
              <w:wordWrap/>
              <w:overflowPunct/>
              <w:topLinePunct w:val="0"/>
              <w:autoSpaceDE/>
              <w:autoSpaceDN/>
              <w:bidi w:val="0"/>
              <w:adjustRightInd/>
              <w:snapToGrid/>
              <w:spacing w:before="90" w:line="312" w:lineRule="auto"/>
              <w:ind w:left="114" w:right="43" w:firstLine="8"/>
              <w:textAlignment w:val="auto"/>
              <w:rPr>
                <w:rFonts w:cs="宋体"/>
                <w:color w:val="auto"/>
                <w:spacing w:val="-4"/>
                <w:szCs w:val="21"/>
                <w:highlight w:val="none"/>
              </w:rPr>
            </w:pPr>
            <w:r>
              <w:rPr>
                <w:rFonts w:hint="eastAsia" w:cs="宋体"/>
                <w:color w:val="auto"/>
                <w:spacing w:val="-4"/>
                <w:szCs w:val="21"/>
                <w:highlight w:val="none"/>
              </w:rPr>
              <w:t>方案明确、合理、针对性强、详尽、准确可行的得</w:t>
            </w:r>
            <w:r>
              <w:rPr>
                <w:rFonts w:hint="eastAsia" w:cs="宋体"/>
                <w:color w:val="auto"/>
                <w:spacing w:val="-4"/>
                <w:szCs w:val="21"/>
                <w:highlight w:val="none"/>
                <w:lang w:val="en-US" w:eastAsia="zh-CN"/>
              </w:rPr>
              <w:t>6</w:t>
            </w:r>
            <w:r>
              <w:rPr>
                <w:rFonts w:hint="eastAsia" w:cs="宋体"/>
                <w:color w:val="auto"/>
                <w:spacing w:val="-4"/>
                <w:szCs w:val="21"/>
                <w:highlight w:val="none"/>
              </w:rPr>
              <w:t>分；</w:t>
            </w:r>
          </w:p>
          <w:p w14:paraId="671278CD">
            <w:pPr>
              <w:keepNext w:val="0"/>
              <w:keepLines w:val="0"/>
              <w:pageBreakBefore w:val="0"/>
              <w:kinsoku/>
              <w:wordWrap/>
              <w:overflowPunct/>
              <w:topLinePunct w:val="0"/>
              <w:autoSpaceDE/>
              <w:autoSpaceDN/>
              <w:bidi w:val="0"/>
              <w:adjustRightInd/>
              <w:snapToGrid/>
              <w:spacing w:before="90" w:line="312" w:lineRule="auto"/>
              <w:ind w:left="114" w:right="43" w:firstLine="8"/>
              <w:textAlignment w:val="auto"/>
              <w:rPr>
                <w:rFonts w:cs="宋体"/>
                <w:color w:val="auto"/>
                <w:spacing w:val="-4"/>
                <w:szCs w:val="21"/>
                <w:highlight w:val="none"/>
              </w:rPr>
            </w:pPr>
            <w:r>
              <w:rPr>
                <w:rFonts w:hint="eastAsia" w:cs="宋体"/>
                <w:color w:val="auto"/>
                <w:spacing w:val="-4"/>
                <w:szCs w:val="21"/>
                <w:highlight w:val="none"/>
              </w:rPr>
              <w:t>方案较明确、较合理、针对性较强、较详尽、较准确可行的得</w:t>
            </w:r>
            <w:r>
              <w:rPr>
                <w:rFonts w:hint="eastAsia" w:cs="宋体"/>
                <w:color w:val="auto"/>
                <w:spacing w:val="-4"/>
                <w:szCs w:val="21"/>
                <w:highlight w:val="none"/>
                <w:lang w:val="en-US" w:eastAsia="zh-CN"/>
              </w:rPr>
              <w:t>5</w:t>
            </w:r>
            <w:r>
              <w:rPr>
                <w:rFonts w:hint="eastAsia" w:cs="宋体"/>
                <w:color w:val="auto"/>
                <w:spacing w:val="-4"/>
                <w:szCs w:val="21"/>
                <w:highlight w:val="none"/>
              </w:rPr>
              <w:t>分；</w:t>
            </w:r>
          </w:p>
          <w:p w14:paraId="46445042">
            <w:pPr>
              <w:keepNext w:val="0"/>
              <w:keepLines w:val="0"/>
              <w:pageBreakBefore w:val="0"/>
              <w:kinsoku/>
              <w:wordWrap/>
              <w:overflowPunct/>
              <w:topLinePunct w:val="0"/>
              <w:autoSpaceDE/>
              <w:autoSpaceDN/>
              <w:bidi w:val="0"/>
              <w:adjustRightInd/>
              <w:snapToGrid/>
              <w:spacing w:before="90" w:line="312" w:lineRule="auto"/>
              <w:ind w:left="114" w:right="43" w:firstLine="8"/>
              <w:textAlignment w:val="auto"/>
              <w:rPr>
                <w:rFonts w:cs="宋体"/>
                <w:color w:val="auto"/>
                <w:spacing w:val="-4"/>
                <w:szCs w:val="21"/>
                <w:highlight w:val="none"/>
              </w:rPr>
            </w:pPr>
            <w:r>
              <w:rPr>
                <w:rFonts w:hint="eastAsia" w:cs="宋体"/>
                <w:color w:val="auto"/>
                <w:spacing w:val="-4"/>
                <w:szCs w:val="21"/>
                <w:highlight w:val="none"/>
              </w:rPr>
              <w:t>方案欠明确、欠合理、针对性欠强、欠详尽、欠准确可行的得</w:t>
            </w:r>
            <w:r>
              <w:rPr>
                <w:rFonts w:hint="eastAsia" w:cs="宋体"/>
                <w:color w:val="auto"/>
                <w:spacing w:val="-4"/>
                <w:szCs w:val="21"/>
                <w:highlight w:val="none"/>
                <w:lang w:val="en-US" w:eastAsia="zh-CN"/>
              </w:rPr>
              <w:t>4</w:t>
            </w:r>
            <w:r>
              <w:rPr>
                <w:rFonts w:hint="eastAsia" w:cs="宋体"/>
                <w:color w:val="auto"/>
                <w:spacing w:val="-4"/>
                <w:szCs w:val="21"/>
                <w:highlight w:val="none"/>
              </w:rPr>
              <w:t>分；</w:t>
            </w:r>
          </w:p>
          <w:p w14:paraId="5F446CB8">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cs="宋体"/>
                <w:color w:val="auto"/>
                <w:szCs w:val="21"/>
                <w:highlight w:val="none"/>
              </w:rPr>
            </w:pPr>
            <w:r>
              <w:rPr>
                <w:rFonts w:hint="eastAsia"/>
                <w:color w:val="auto"/>
                <w:szCs w:val="21"/>
                <w:highlight w:val="none"/>
              </w:rPr>
              <w:t>缺项不得分。</w:t>
            </w:r>
          </w:p>
        </w:tc>
        <w:tc>
          <w:tcPr>
            <w:tcW w:w="789" w:type="dxa"/>
            <w:vAlign w:val="center"/>
          </w:tcPr>
          <w:p w14:paraId="31002F89">
            <w:pPr>
              <w:keepNext w:val="0"/>
              <w:keepLines w:val="0"/>
              <w:pageBreakBefore w:val="0"/>
              <w:kinsoku/>
              <w:wordWrap/>
              <w:overflowPunct/>
              <w:topLinePunct w:val="0"/>
              <w:autoSpaceDE/>
              <w:autoSpaceDN/>
              <w:bidi w:val="0"/>
              <w:adjustRightInd/>
              <w:snapToGrid/>
              <w:spacing w:before="61" w:line="312" w:lineRule="auto"/>
              <w:ind w:left="341"/>
              <w:textAlignment w:val="auto"/>
              <w:rPr>
                <w:rFonts w:hint="eastAsia" w:eastAsia="宋体" w:cs="Arial"/>
                <w:color w:val="auto"/>
                <w:szCs w:val="21"/>
                <w:highlight w:val="none"/>
                <w:lang w:eastAsia="zh-CN"/>
              </w:rPr>
            </w:pPr>
            <w:r>
              <w:rPr>
                <w:rFonts w:hint="eastAsia" w:cs="Arial"/>
                <w:color w:val="auto"/>
                <w:szCs w:val="21"/>
                <w:highlight w:val="none"/>
                <w:lang w:val="en-US" w:eastAsia="zh-CN"/>
              </w:rPr>
              <w:t>6</w:t>
            </w:r>
          </w:p>
        </w:tc>
      </w:tr>
      <w:tr w14:paraId="46D3E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53" w:type="dxa"/>
            <w:vAlign w:val="center"/>
          </w:tcPr>
          <w:p w14:paraId="6FEBBF08">
            <w:pPr>
              <w:keepNext w:val="0"/>
              <w:keepLines w:val="0"/>
              <w:pageBreakBefore w:val="0"/>
              <w:kinsoku/>
              <w:wordWrap/>
              <w:overflowPunct/>
              <w:topLinePunct w:val="0"/>
              <w:autoSpaceDE/>
              <w:autoSpaceDN/>
              <w:bidi w:val="0"/>
              <w:adjustRightInd/>
              <w:snapToGrid/>
              <w:spacing w:line="312" w:lineRule="auto"/>
              <w:jc w:val="center"/>
              <w:textAlignment w:val="auto"/>
              <w:rPr>
                <w:rFonts w:cs="Arial"/>
                <w:color w:val="auto"/>
                <w:spacing w:val="-7"/>
                <w:szCs w:val="21"/>
                <w:highlight w:val="none"/>
              </w:rPr>
            </w:pPr>
            <w:r>
              <w:rPr>
                <w:rFonts w:hint="eastAsia" w:cs="Arial"/>
                <w:color w:val="auto"/>
                <w:spacing w:val="-7"/>
                <w:szCs w:val="21"/>
                <w:highlight w:val="none"/>
              </w:rPr>
              <w:t>11.</w:t>
            </w:r>
          </w:p>
        </w:tc>
        <w:tc>
          <w:tcPr>
            <w:tcW w:w="1635" w:type="dxa"/>
            <w:gridSpan w:val="3"/>
            <w:vAlign w:val="center"/>
          </w:tcPr>
          <w:p w14:paraId="018CBF15">
            <w:pPr>
              <w:keepNext w:val="0"/>
              <w:keepLines w:val="0"/>
              <w:pageBreakBefore w:val="0"/>
              <w:kinsoku/>
              <w:wordWrap/>
              <w:overflowPunct/>
              <w:topLinePunct w:val="0"/>
              <w:autoSpaceDE/>
              <w:autoSpaceDN/>
              <w:bidi w:val="0"/>
              <w:adjustRightInd/>
              <w:snapToGrid/>
              <w:spacing w:before="68" w:line="312" w:lineRule="auto"/>
              <w:ind w:left="111"/>
              <w:jc w:val="center"/>
              <w:textAlignment w:val="auto"/>
              <w:rPr>
                <w:rFonts w:hint="default" w:eastAsia="宋体" w:cs="宋体"/>
                <w:color w:val="auto"/>
                <w:spacing w:val="-1"/>
                <w:szCs w:val="21"/>
                <w:highlight w:val="none"/>
                <w:lang w:val="en-US" w:eastAsia="zh-CN"/>
              </w:rPr>
            </w:pPr>
            <w:r>
              <w:rPr>
                <w:rFonts w:hint="eastAsia" w:cs="宋体"/>
                <w:color w:val="auto"/>
                <w:spacing w:val="-1"/>
                <w:szCs w:val="21"/>
                <w:highlight w:val="none"/>
                <w:lang w:val="en-US" w:eastAsia="zh-CN"/>
              </w:rPr>
              <w:t>服务响应时间</w:t>
            </w:r>
          </w:p>
        </w:tc>
        <w:tc>
          <w:tcPr>
            <w:tcW w:w="6427" w:type="dxa"/>
            <w:vAlign w:val="center"/>
          </w:tcPr>
          <w:p w14:paraId="68360EEB">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hint="eastAsia" w:cs="宋体"/>
                <w:color w:val="auto"/>
                <w:spacing w:val="-9"/>
                <w:szCs w:val="21"/>
                <w:highlight w:val="none"/>
              </w:rPr>
            </w:pPr>
            <w:r>
              <w:rPr>
                <w:rFonts w:hint="eastAsia" w:cs="宋体"/>
                <w:color w:val="auto"/>
                <w:spacing w:val="-9"/>
                <w:szCs w:val="21"/>
                <w:highlight w:val="none"/>
              </w:rPr>
              <w:t>根据供应商针对本项目做出的响应时间，由评委专家打分。</w:t>
            </w:r>
          </w:p>
          <w:p w14:paraId="70CA04CC">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hint="eastAsia" w:cs="宋体"/>
                <w:color w:val="auto"/>
                <w:spacing w:val="-9"/>
                <w:szCs w:val="21"/>
                <w:highlight w:val="none"/>
              </w:rPr>
            </w:pPr>
            <w:r>
              <w:rPr>
                <w:rFonts w:hint="eastAsia" w:cs="宋体"/>
                <w:color w:val="auto"/>
                <w:spacing w:val="-9"/>
                <w:szCs w:val="21"/>
                <w:highlight w:val="none"/>
              </w:rPr>
              <w:t>1.供应商响应程度快速，1小时内能够到达现场处置的，得</w:t>
            </w:r>
            <w:r>
              <w:rPr>
                <w:rFonts w:hint="eastAsia" w:cs="宋体"/>
                <w:color w:val="auto"/>
                <w:spacing w:val="-9"/>
                <w:szCs w:val="21"/>
                <w:highlight w:val="none"/>
                <w:lang w:val="en-US" w:eastAsia="zh-CN"/>
              </w:rPr>
              <w:t>4</w:t>
            </w:r>
            <w:r>
              <w:rPr>
                <w:rFonts w:hint="eastAsia" w:cs="宋体"/>
                <w:color w:val="auto"/>
                <w:spacing w:val="-9"/>
                <w:szCs w:val="21"/>
                <w:highlight w:val="none"/>
              </w:rPr>
              <w:t>分</w:t>
            </w:r>
          </w:p>
          <w:p w14:paraId="2594EB8B">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hint="eastAsia" w:cs="宋体"/>
                <w:color w:val="auto"/>
                <w:spacing w:val="-9"/>
                <w:szCs w:val="21"/>
                <w:highlight w:val="none"/>
              </w:rPr>
            </w:pPr>
            <w:r>
              <w:rPr>
                <w:rFonts w:hint="eastAsia" w:cs="宋体"/>
                <w:color w:val="auto"/>
                <w:spacing w:val="-9"/>
                <w:szCs w:val="21"/>
                <w:highlight w:val="none"/>
              </w:rPr>
              <w:t>2.供应商响应程度一般，</w:t>
            </w:r>
            <w:r>
              <w:rPr>
                <w:rFonts w:hint="eastAsia" w:cs="宋体"/>
                <w:color w:val="auto"/>
                <w:spacing w:val="-9"/>
                <w:szCs w:val="21"/>
                <w:highlight w:val="none"/>
                <w:lang w:val="en-US" w:eastAsia="zh-CN"/>
              </w:rPr>
              <w:t>6</w:t>
            </w:r>
            <w:r>
              <w:rPr>
                <w:rFonts w:hint="eastAsia" w:cs="宋体"/>
                <w:color w:val="auto"/>
                <w:spacing w:val="-9"/>
                <w:szCs w:val="21"/>
                <w:highlight w:val="none"/>
              </w:rPr>
              <w:t>小时内能够到达现场处置的，得</w:t>
            </w:r>
            <w:r>
              <w:rPr>
                <w:rFonts w:hint="eastAsia" w:cs="宋体"/>
                <w:color w:val="auto"/>
                <w:spacing w:val="-9"/>
                <w:szCs w:val="21"/>
                <w:highlight w:val="none"/>
                <w:lang w:val="en-US" w:eastAsia="zh-CN"/>
              </w:rPr>
              <w:t>3</w:t>
            </w:r>
            <w:r>
              <w:rPr>
                <w:rFonts w:hint="eastAsia" w:cs="宋体"/>
                <w:color w:val="auto"/>
                <w:spacing w:val="-9"/>
                <w:szCs w:val="21"/>
                <w:highlight w:val="none"/>
              </w:rPr>
              <w:t>分</w:t>
            </w:r>
          </w:p>
          <w:p w14:paraId="73563B58">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hint="eastAsia" w:cs="宋体"/>
                <w:color w:val="auto"/>
                <w:spacing w:val="-9"/>
                <w:szCs w:val="21"/>
                <w:highlight w:val="none"/>
              </w:rPr>
            </w:pPr>
            <w:r>
              <w:rPr>
                <w:rFonts w:hint="eastAsia" w:cs="宋体"/>
                <w:color w:val="auto"/>
                <w:spacing w:val="-9"/>
                <w:szCs w:val="21"/>
                <w:highlight w:val="none"/>
              </w:rPr>
              <w:t>3.供应商服务方案简单，响应慢，12小时以上到达现场处置的，得</w:t>
            </w:r>
            <w:r>
              <w:rPr>
                <w:rFonts w:hint="eastAsia" w:cs="宋体"/>
                <w:color w:val="auto"/>
                <w:spacing w:val="-9"/>
                <w:szCs w:val="21"/>
                <w:highlight w:val="none"/>
                <w:lang w:val="en-US" w:eastAsia="zh-CN"/>
              </w:rPr>
              <w:t>2</w:t>
            </w:r>
            <w:r>
              <w:rPr>
                <w:rFonts w:hint="eastAsia" w:cs="宋体"/>
                <w:color w:val="auto"/>
                <w:spacing w:val="-9"/>
                <w:szCs w:val="21"/>
                <w:highlight w:val="none"/>
              </w:rPr>
              <w:t>分</w:t>
            </w:r>
          </w:p>
          <w:p w14:paraId="0830B09D">
            <w:pPr>
              <w:keepNext w:val="0"/>
              <w:keepLines w:val="0"/>
              <w:pageBreakBefore w:val="0"/>
              <w:kinsoku/>
              <w:wordWrap/>
              <w:overflowPunct/>
              <w:topLinePunct w:val="0"/>
              <w:autoSpaceDE/>
              <w:autoSpaceDN/>
              <w:bidi w:val="0"/>
              <w:adjustRightInd/>
              <w:snapToGrid/>
              <w:spacing w:before="90" w:line="312" w:lineRule="auto"/>
              <w:ind w:left="114" w:right="27" w:firstLine="8"/>
              <w:textAlignment w:val="auto"/>
              <w:rPr>
                <w:rFonts w:cs="宋体"/>
                <w:color w:val="auto"/>
                <w:spacing w:val="-9"/>
                <w:szCs w:val="21"/>
                <w:highlight w:val="none"/>
              </w:rPr>
            </w:pPr>
            <w:r>
              <w:rPr>
                <w:rFonts w:hint="eastAsia" w:cs="宋体"/>
                <w:color w:val="auto"/>
                <w:spacing w:val="-9"/>
                <w:szCs w:val="21"/>
                <w:highlight w:val="none"/>
              </w:rPr>
              <w:t>4.未提供不得分。</w:t>
            </w:r>
          </w:p>
        </w:tc>
        <w:tc>
          <w:tcPr>
            <w:tcW w:w="789" w:type="dxa"/>
            <w:vAlign w:val="center"/>
          </w:tcPr>
          <w:p w14:paraId="40732266">
            <w:pPr>
              <w:keepNext w:val="0"/>
              <w:keepLines w:val="0"/>
              <w:pageBreakBefore w:val="0"/>
              <w:kinsoku/>
              <w:wordWrap/>
              <w:overflowPunct/>
              <w:topLinePunct w:val="0"/>
              <w:autoSpaceDE/>
              <w:autoSpaceDN/>
              <w:bidi w:val="0"/>
              <w:adjustRightInd/>
              <w:snapToGrid/>
              <w:spacing w:before="61" w:line="312" w:lineRule="auto"/>
              <w:ind w:left="341"/>
              <w:textAlignment w:val="auto"/>
              <w:rPr>
                <w:rFonts w:hint="eastAsia" w:eastAsia="宋体" w:cs="Arial"/>
                <w:color w:val="auto"/>
                <w:szCs w:val="21"/>
                <w:highlight w:val="none"/>
                <w:lang w:eastAsia="zh-CN"/>
              </w:rPr>
            </w:pPr>
            <w:r>
              <w:rPr>
                <w:rFonts w:hint="eastAsia" w:cs="Arial"/>
                <w:color w:val="auto"/>
                <w:szCs w:val="21"/>
                <w:highlight w:val="none"/>
                <w:lang w:val="en-US" w:eastAsia="zh-CN"/>
              </w:rPr>
              <w:t>4</w:t>
            </w:r>
          </w:p>
        </w:tc>
      </w:tr>
    </w:tbl>
    <w:p w14:paraId="5F4449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价格评分将在有效投标人范围内进行，最高得10分，最低得0分（小数点后保留两位小数，第三位四舍五入）。满足招标文件要求且投标报价最低的投标报价为评标基准价，投标人的价格分统一按照下列公式计算：</w:t>
      </w:r>
    </w:p>
    <w:p w14:paraId="0F673D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投标报价得分=（评标基准价／投标报价）×10%×100</w:t>
      </w:r>
    </w:p>
    <w:p w14:paraId="58E610E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落实政府采购政策说明：本项目</w:t>
      </w:r>
      <w:r>
        <w:rPr>
          <w:rFonts w:hint="eastAsia" w:ascii="宋体" w:hAnsi="宋体" w:cs="宋体"/>
          <w:b/>
          <w:bCs/>
          <w:color w:val="auto"/>
          <w:sz w:val="24"/>
          <w:highlight w:val="none"/>
          <w:lang w:val="en-US" w:eastAsia="zh-CN"/>
        </w:rPr>
        <w:t>专门</w:t>
      </w:r>
      <w:r>
        <w:rPr>
          <w:rFonts w:hint="eastAsia" w:ascii="宋体" w:hAnsi="宋体" w:cs="宋体"/>
          <w:b/>
          <w:bCs/>
          <w:color w:val="auto"/>
          <w:sz w:val="24"/>
          <w:highlight w:val="none"/>
        </w:rPr>
        <w:t>面向中小企业采购，不进行价格扣除。</w:t>
      </w:r>
    </w:p>
    <w:p w14:paraId="6A91721A">
      <w:pPr>
        <w:pStyle w:val="11"/>
        <w:snapToGrid w:val="0"/>
        <w:spacing w:line="360" w:lineRule="auto"/>
        <w:ind w:firstLine="482" w:firstLineChars="200"/>
        <w:rPr>
          <w:rFonts w:hint="eastAsia" w:asciiTheme="minorEastAsia" w:hAnsiTheme="minorEastAsia" w:eastAsiaTheme="minorEastAsia"/>
          <w:b/>
          <w:color w:val="auto"/>
          <w:sz w:val="24"/>
          <w:highlight w:val="none"/>
        </w:rPr>
      </w:pPr>
      <w:r>
        <w:rPr>
          <w:rFonts w:hint="eastAsia" w:ascii="宋体" w:hAnsi="宋体" w:cs="宋体"/>
          <w:b/>
          <w:bCs/>
          <w:color w:val="auto"/>
          <w:sz w:val="24"/>
          <w:highlight w:val="none"/>
        </w:rPr>
        <w:t>此项由评标委员会集体核实后统一评分。</w:t>
      </w:r>
    </w:p>
    <w:p w14:paraId="70432EF4">
      <w:pPr>
        <w:pStyle w:val="11"/>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4D17E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）对于投标文件报价出现前后不一致的，除招标文件另有规定外，按照下列规定修正：</w:t>
      </w:r>
    </w:p>
    <w:p w14:paraId="001FC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①“政采云平台”上开启的投标报价与电子投标文件中开标一览表（报价表）内容不一致的，以电子投标文件中开标一览表（报价表）为准；</w:t>
      </w:r>
    </w:p>
    <w:p w14:paraId="20A45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3DD41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6B00D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7DBBE9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76A3AB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1845A5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作出必要的澄清、说明或者补正。</w:t>
      </w:r>
    </w:p>
    <w:p w14:paraId="5047E0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的澄清、说明或者补正采用书面形式，并加盖公章或者由法定代表人或授权代表签字，且不得超出投标文件的范围或者改变投标文件的实质性内容。</w:t>
      </w:r>
    </w:p>
    <w:p w14:paraId="65E45C5F">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36E11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到高顺序排列。投标文件满足招标文件全部实质性要求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为排名第一的中标候选人。</w:t>
      </w:r>
    </w:p>
    <w:p w14:paraId="5EEE63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6705CD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79A88B05">
      <w:pPr>
        <w:pStyle w:val="28"/>
        <w:rPr>
          <w:color w:val="auto"/>
          <w:highlight w:val="none"/>
        </w:rPr>
      </w:pPr>
    </w:p>
    <w:p w14:paraId="5C09F8EB">
      <w:pPr>
        <w:pStyle w:val="28"/>
        <w:rPr>
          <w:color w:val="auto"/>
          <w:highlight w:val="none"/>
        </w:rPr>
      </w:pPr>
    </w:p>
    <w:p w14:paraId="5FEEB51A">
      <w:pPr>
        <w:spacing w:line="360" w:lineRule="auto"/>
        <w:jc w:val="center"/>
        <w:rPr>
          <w:rFonts w:asciiTheme="minorEastAsia" w:hAnsiTheme="minorEastAsia" w:eastAsiaTheme="minorEastAsia"/>
          <w:b/>
          <w:color w:val="auto"/>
          <w:sz w:val="36"/>
          <w:szCs w:val="36"/>
          <w:highlight w:val="none"/>
        </w:rPr>
      </w:pPr>
      <w:bookmarkStart w:id="41" w:name="_Toc27944_WPSOffice_Level1"/>
    </w:p>
    <w:p w14:paraId="7F05DDD1">
      <w:pPr>
        <w:spacing w:line="360" w:lineRule="auto"/>
        <w:jc w:val="both"/>
        <w:rPr>
          <w:rFonts w:asciiTheme="minorEastAsia" w:hAnsiTheme="minorEastAsia" w:eastAsiaTheme="minorEastAsia"/>
          <w:b/>
          <w:color w:val="auto"/>
          <w:sz w:val="36"/>
          <w:szCs w:val="36"/>
          <w:highlight w:val="none"/>
        </w:rPr>
        <w:sectPr>
          <w:pgSz w:w="11906" w:h="16838"/>
          <w:pgMar w:top="1247" w:right="1361" w:bottom="1247" w:left="1361" w:header="851" w:footer="851" w:gutter="0"/>
          <w:pgNumType w:fmt="numberInDash"/>
          <w:cols w:space="720" w:num="1"/>
          <w:docGrid w:type="lines" w:linePitch="312" w:charSpace="0"/>
        </w:sectPr>
      </w:pPr>
    </w:p>
    <w:p w14:paraId="0ED08169">
      <w:pPr>
        <w:pStyle w:val="2"/>
      </w:pPr>
    </w:p>
    <w:p w14:paraId="2353D01C">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color w:val="auto"/>
          <w:sz w:val="36"/>
          <w:szCs w:val="36"/>
          <w:highlight w:val="none"/>
        </w:rPr>
        <w:t xml:space="preserve">第五章 </w:t>
      </w:r>
      <w:bookmarkEnd w:id="41"/>
      <w:r>
        <w:rPr>
          <w:rFonts w:hint="eastAsia" w:asciiTheme="minorEastAsia" w:hAnsiTheme="minorEastAsia" w:eastAsiaTheme="minorEastAsia"/>
          <w:b/>
          <w:sz w:val="36"/>
          <w:szCs w:val="36"/>
        </w:rPr>
        <w:t>拟签订的合同文本</w:t>
      </w:r>
    </w:p>
    <w:p w14:paraId="22A96D21">
      <w:pPr>
        <w:snapToGrid w:val="0"/>
        <w:spacing w:line="300" w:lineRule="auto"/>
        <w:ind w:firstLine="420" w:firstLineChars="200"/>
        <w:rPr>
          <w:rFonts w:ascii="宋体" w:hAnsi="宋体" w:cs="宋体"/>
          <w:szCs w:val="21"/>
        </w:rPr>
      </w:pPr>
      <w:r>
        <w:rPr>
          <w:rFonts w:hint="eastAsia" w:ascii="宋体" w:hAnsi="宋体" w:cs="宋体"/>
          <w:szCs w:val="21"/>
          <w:u w:val="single"/>
          <w:lang w:eastAsia="zh-CN"/>
        </w:rPr>
        <w:t>台州市森林病虫防治检疫站</w:t>
      </w:r>
      <w:r>
        <w:rPr>
          <w:rFonts w:hint="eastAsia" w:ascii="宋体" w:hAnsi="宋体" w:cs="宋体"/>
          <w:szCs w:val="21"/>
        </w:rPr>
        <w:t>（甲方）的</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年松材线虫病除治质量抽样检测项目</w:t>
      </w:r>
      <w:r>
        <w:rPr>
          <w:rFonts w:hint="eastAsia" w:ascii="宋体" w:hAnsi="宋体" w:cs="宋体"/>
          <w:szCs w:val="21"/>
        </w:rPr>
        <w:t>（项目名称）经采购文件（项目编号：台财采确临[2025]21号）进行采购。甲方确定</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（乙方）为中标人。甲、乙双方依据《中华人民共和国政府采购法》、《中华人民共和国民法典》，在平等自愿的基础上，同意按照下面的条款和条件，签署本合同。</w:t>
      </w:r>
    </w:p>
    <w:p w14:paraId="1B30C459">
      <w:pPr>
        <w:pStyle w:val="5"/>
        <w:spacing w:before="156"/>
        <w:ind w:firstLine="422"/>
        <w:rPr>
          <w:rFonts w:cs="宋体"/>
        </w:rPr>
      </w:pPr>
      <w:r>
        <w:rPr>
          <w:rFonts w:hint="eastAsia" w:cs="宋体"/>
        </w:rPr>
        <w:t>（一）项目采购依据</w:t>
      </w:r>
    </w:p>
    <w:p w14:paraId="354192ED">
      <w:pPr>
        <w:snapToGrid w:val="0"/>
        <w:spacing w:line="300" w:lineRule="auto"/>
        <w:ind w:firstLine="420" w:firstLineChars="200"/>
        <w:rPr>
          <w:rFonts w:ascii="宋体" w:hAnsi="宋体" w:cs="宋体"/>
          <w:szCs w:val="21"/>
        </w:rPr>
      </w:pPr>
      <w:r>
        <w:rPr>
          <w:rFonts w:hint="eastAsia" w:ascii="宋体" w:hAnsi="宋体" w:cs="宋体"/>
          <w:szCs w:val="21"/>
        </w:rPr>
        <w:t>政府采购预算执行确认书：台财采确临[2025]21号</w:t>
      </w:r>
    </w:p>
    <w:p w14:paraId="2149288C">
      <w:pPr>
        <w:pStyle w:val="5"/>
        <w:spacing w:before="156"/>
        <w:ind w:firstLine="422"/>
        <w:rPr>
          <w:rFonts w:cs="宋体"/>
        </w:rPr>
      </w:pPr>
      <w:r>
        <w:rPr>
          <w:rFonts w:hint="eastAsia" w:cs="宋体"/>
        </w:rPr>
        <w:t>（二）下列文件构成本合同的组成部分</w:t>
      </w:r>
    </w:p>
    <w:p w14:paraId="068BE669">
      <w:pPr>
        <w:snapToGrid w:val="0"/>
        <w:spacing w:line="300" w:lineRule="auto"/>
        <w:ind w:firstLine="420" w:firstLineChars="200"/>
        <w:rPr>
          <w:rFonts w:ascii="宋体" w:hAnsi="宋体" w:cs="宋体"/>
          <w:szCs w:val="21"/>
        </w:rPr>
      </w:pPr>
      <w:r>
        <w:rPr>
          <w:rFonts w:hint="eastAsia" w:ascii="宋体" w:hAnsi="宋体" w:cs="宋体"/>
          <w:szCs w:val="21"/>
        </w:rPr>
        <w:t>以下文件为本合同的组成部分，应该认为是一个整体，彼此相互解释，相互补充。组成合同的多个文件的优先支配地位的次序如下：</w:t>
      </w:r>
    </w:p>
    <w:p w14:paraId="7E1A8331">
      <w:pPr>
        <w:snapToGrid w:val="0"/>
        <w:spacing w:line="300" w:lineRule="auto"/>
        <w:ind w:firstLine="420" w:firstLineChars="200"/>
        <w:rPr>
          <w:rFonts w:ascii="宋体" w:hAnsi="宋体" w:cs="宋体"/>
          <w:szCs w:val="21"/>
        </w:rPr>
      </w:pPr>
      <w:r>
        <w:rPr>
          <w:rFonts w:ascii="宋体" w:hAnsi="宋体" w:cs="宋体"/>
          <w:szCs w:val="21"/>
        </w:rPr>
        <w:t>a.本合同书</w:t>
      </w:r>
    </w:p>
    <w:p w14:paraId="00E6A9B7">
      <w:pPr>
        <w:snapToGrid w:val="0"/>
        <w:spacing w:line="300" w:lineRule="auto"/>
        <w:ind w:firstLine="420" w:firstLineChars="200"/>
        <w:rPr>
          <w:rFonts w:ascii="宋体" w:hAnsi="宋体" w:cs="宋体"/>
          <w:szCs w:val="21"/>
        </w:rPr>
      </w:pPr>
      <w:r>
        <w:rPr>
          <w:rFonts w:ascii="宋体" w:hAnsi="宋体" w:cs="宋体"/>
          <w:szCs w:val="21"/>
        </w:rPr>
        <w:t>b.中标通知书</w:t>
      </w:r>
    </w:p>
    <w:p w14:paraId="27212B03">
      <w:pPr>
        <w:snapToGrid w:val="0"/>
        <w:spacing w:line="300" w:lineRule="auto"/>
        <w:ind w:firstLine="420" w:firstLineChars="200"/>
        <w:rPr>
          <w:rFonts w:ascii="宋体" w:hAnsi="宋体" w:cs="宋体"/>
          <w:szCs w:val="21"/>
        </w:rPr>
      </w:pPr>
      <w:r>
        <w:rPr>
          <w:rFonts w:ascii="宋体" w:hAnsi="宋体" w:cs="宋体"/>
          <w:szCs w:val="21"/>
        </w:rPr>
        <w:t>c.询标承诺</w:t>
      </w:r>
    </w:p>
    <w:p w14:paraId="4C8D99A8">
      <w:pPr>
        <w:snapToGrid w:val="0"/>
        <w:spacing w:line="300" w:lineRule="auto"/>
        <w:ind w:firstLine="420" w:firstLineChars="200"/>
        <w:rPr>
          <w:rFonts w:ascii="宋体" w:hAnsi="宋体" w:cs="宋体"/>
          <w:szCs w:val="21"/>
        </w:rPr>
      </w:pPr>
      <w:r>
        <w:rPr>
          <w:rFonts w:ascii="宋体" w:hAnsi="宋体" w:cs="宋体"/>
          <w:szCs w:val="21"/>
        </w:rPr>
        <w:t>d.投标文件</w:t>
      </w:r>
    </w:p>
    <w:p w14:paraId="7FE57F21">
      <w:pPr>
        <w:snapToGrid w:val="0"/>
        <w:spacing w:line="300" w:lineRule="auto"/>
        <w:ind w:firstLine="420" w:firstLineChars="200"/>
        <w:rPr>
          <w:rFonts w:ascii="宋体" w:hAnsi="宋体" w:cs="宋体"/>
          <w:szCs w:val="21"/>
        </w:rPr>
      </w:pPr>
      <w:r>
        <w:rPr>
          <w:rFonts w:ascii="宋体" w:hAnsi="宋体" w:cs="宋体"/>
          <w:szCs w:val="21"/>
        </w:rPr>
        <w:t>e.采购文件</w:t>
      </w:r>
    </w:p>
    <w:p w14:paraId="4F365AEC">
      <w:pPr>
        <w:pStyle w:val="5"/>
        <w:spacing w:before="156"/>
        <w:ind w:firstLine="422"/>
        <w:rPr>
          <w:rFonts w:cs="宋体"/>
        </w:rPr>
      </w:pPr>
      <w:r>
        <w:rPr>
          <w:rFonts w:hint="eastAsia" w:cs="宋体"/>
        </w:rPr>
        <w:t>（三）合同标的物</w:t>
      </w:r>
    </w:p>
    <w:p w14:paraId="2F282467">
      <w:pPr>
        <w:snapToGrid w:val="0"/>
        <w:spacing w:line="300" w:lineRule="auto"/>
        <w:ind w:firstLine="420" w:firstLineChars="200"/>
        <w:rPr>
          <w:rFonts w:ascii="宋体" w:hAnsi="宋体" w:cs="宋体"/>
          <w:szCs w:val="21"/>
        </w:rPr>
      </w:pPr>
      <w:r>
        <w:rPr>
          <w:rFonts w:hint="eastAsia" w:ascii="宋体" w:hAnsi="宋体" w:cs="宋体"/>
          <w:szCs w:val="21"/>
        </w:rPr>
        <w:t>本合同标的物名称及数量：</w:t>
      </w:r>
      <w:r>
        <w:rPr>
          <w:rFonts w:ascii="宋体" w:hAnsi="宋体" w:cs="宋体"/>
          <w:szCs w:val="21"/>
        </w:rPr>
        <w:t xml:space="preserve"> （服务内容可附后） </w:t>
      </w:r>
    </w:p>
    <w:p w14:paraId="5E2E1457">
      <w:pPr>
        <w:pStyle w:val="5"/>
        <w:spacing w:before="156"/>
        <w:ind w:firstLine="422"/>
        <w:rPr>
          <w:rFonts w:cs="宋体"/>
        </w:rPr>
      </w:pPr>
      <w:r>
        <w:rPr>
          <w:rFonts w:hint="eastAsia" w:cs="宋体"/>
        </w:rPr>
        <w:t>（四）合同总价</w:t>
      </w:r>
    </w:p>
    <w:p w14:paraId="6D38F5A3">
      <w:pPr>
        <w:snapToGrid w:val="0"/>
        <w:spacing w:line="300" w:lineRule="auto"/>
        <w:ind w:firstLine="420" w:firstLineChars="200"/>
        <w:rPr>
          <w:rFonts w:ascii="宋体" w:hAnsi="宋体" w:cs="宋体"/>
          <w:szCs w:val="21"/>
        </w:rPr>
      </w:pPr>
      <w:r>
        <w:rPr>
          <w:rFonts w:hint="eastAsia" w:ascii="宋体" w:hAnsi="宋体" w:cs="宋体"/>
          <w:szCs w:val="21"/>
        </w:rPr>
        <w:t>本合同总价约为</w:t>
      </w:r>
      <w:r>
        <w:rPr>
          <w:rFonts w:ascii="宋体" w:hAnsi="宋体" w:cs="宋体"/>
          <w:szCs w:val="21"/>
          <w:u w:val="single"/>
        </w:rPr>
        <w:t xml:space="preserve">              </w:t>
      </w:r>
      <w:r>
        <w:rPr>
          <w:rFonts w:hint="eastAsia" w:ascii="宋体" w:hAnsi="宋体" w:cs="宋体"/>
          <w:szCs w:val="21"/>
        </w:rPr>
        <w:t>元人民币</w:t>
      </w:r>
      <w:r>
        <w:rPr>
          <w:rFonts w:hint="eastAsia" w:ascii="宋体" w:hAnsi="宋体" w:cs="宋体"/>
          <w:szCs w:val="21"/>
          <w:lang w:eastAsia="zh-CN"/>
        </w:rPr>
        <w:t>（大写：</w:t>
      </w:r>
      <w:r>
        <w:rPr>
          <w:rFonts w:hint="eastAsia" w:ascii="宋体" w:hAnsi="宋体" w:cs="宋体"/>
          <w:szCs w:val="21"/>
          <w:u w:val="single"/>
          <w:lang w:val="en-US" w:eastAsia="zh-CN"/>
        </w:rPr>
        <w:t xml:space="preserve">     </w:t>
      </w:r>
      <w:r>
        <w:rPr>
          <w:rFonts w:hint="eastAsia" w:ascii="宋体" w:hAnsi="宋体" w:cs="宋体"/>
          <w:szCs w:val="21"/>
          <w:lang w:eastAsia="zh-CN"/>
        </w:rPr>
        <w:t>）</w:t>
      </w:r>
      <w:r>
        <w:rPr>
          <w:rFonts w:hint="eastAsia" w:ascii="宋体" w:hAnsi="宋体" w:cs="宋体"/>
          <w:szCs w:val="21"/>
        </w:rPr>
        <w:t>：</w:t>
      </w:r>
    </w:p>
    <w:p w14:paraId="0D3AA964">
      <w:pPr>
        <w:snapToGrid w:val="0"/>
        <w:spacing w:line="300" w:lineRule="auto"/>
        <w:ind w:firstLine="420" w:firstLineChars="200"/>
        <w:rPr>
          <w:rFonts w:ascii="宋体" w:hAnsi="宋体" w:cs="宋体"/>
          <w:bCs/>
          <w:szCs w:val="21"/>
        </w:rPr>
      </w:pPr>
      <w:r>
        <w:rPr>
          <w:rFonts w:hint="eastAsia" w:ascii="宋体" w:hAnsi="宋体" w:cs="宋体"/>
          <w:szCs w:val="21"/>
        </w:rPr>
        <w:t>其中</w:t>
      </w:r>
      <w:r>
        <w:rPr>
          <w:rFonts w:hint="eastAsia" w:ascii="宋体" w:hAnsi="宋体" w:cs="宋体"/>
          <w:szCs w:val="21"/>
          <w:lang w:eastAsia="zh-CN"/>
        </w:rPr>
        <w:t>七轮抽样检测</w:t>
      </w:r>
      <w:r>
        <w:rPr>
          <w:rFonts w:hint="eastAsia" w:ascii="宋体" w:hAnsi="宋体" w:cs="宋体"/>
          <w:bCs/>
          <w:szCs w:val="21"/>
        </w:rPr>
        <w:t>费用</w:t>
      </w:r>
      <w:r>
        <w:rPr>
          <w:rFonts w:hint="eastAsia" w:ascii="宋体" w:hAnsi="宋体" w:cs="宋体"/>
          <w:bCs/>
          <w:szCs w:val="21"/>
          <w:lang w:eastAsia="zh-CN"/>
        </w:rPr>
        <w:t>每轮</w:t>
      </w:r>
      <w:r>
        <w:rPr>
          <w:rFonts w:hint="eastAsia" w:ascii="宋体" w:hAnsi="宋体" w:cs="宋体"/>
          <w:bCs/>
          <w:szCs w:val="21"/>
        </w:rPr>
        <w:t>单价</w:t>
      </w:r>
      <w:r>
        <w:rPr>
          <w:rFonts w:hint="eastAsia" w:ascii="宋体" w:hAnsi="宋体" w:cs="宋体"/>
          <w:bCs/>
          <w:szCs w:val="21"/>
          <w:u w:val="single"/>
        </w:rPr>
        <w:t xml:space="preserve">        </w:t>
      </w:r>
      <w:r>
        <w:rPr>
          <w:rFonts w:hint="eastAsia" w:ascii="宋体" w:hAnsi="宋体" w:cs="宋体"/>
          <w:bCs/>
          <w:szCs w:val="21"/>
        </w:rPr>
        <w:t>元</w:t>
      </w:r>
      <w:r>
        <w:rPr>
          <w:rFonts w:hint="eastAsia" w:ascii="宋体" w:hAnsi="宋体" w:cs="宋体"/>
          <w:bCs/>
          <w:szCs w:val="21"/>
          <w:lang w:eastAsia="zh-CN"/>
        </w:rPr>
        <w:t>，</w:t>
      </w:r>
      <w:r>
        <w:rPr>
          <w:rFonts w:hint="eastAsia" w:ascii="宋体" w:hAnsi="宋体" w:cs="宋体"/>
          <w:bCs/>
          <w:szCs w:val="21"/>
          <w:u w:val="none"/>
          <w:lang w:eastAsia="zh-CN"/>
        </w:rPr>
        <w:t>小计</w:t>
      </w:r>
      <w:r>
        <w:rPr>
          <w:rFonts w:hint="eastAsia" w:ascii="宋体" w:hAnsi="宋体" w:cs="宋体"/>
          <w:bCs/>
          <w:szCs w:val="21"/>
          <w:lang w:val="en-US" w:eastAsia="zh-CN"/>
        </w:rPr>
        <w:t xml:space="preserve"> </w:t>
      </w:r>
      <w:r>
        <w:rPr>
          <w:rFonts w:hint="eastAsia" w:ascii="宋体" w:hAnsi="宋体" w:cs="宋体"/>
          <w:bCs/>
          <w:szCs w:val="21"/>
          <w:u w:val="single"/>
          <w:lang w:val="en-US" w:eastAsia="zh-CN"/>
        </w:rPr>
        <w:t xml:space="preserve">     元</w:t>
      </w:r>
      <w:r>
        <w:rPr>
          <w:rFonts w:hint="eastAsia" w:ascii="宋体" w:hAnsi="宋体" w:cs="宋体"/>
          <w:bCs/>
          <w:szCs w:val="21"/>
        </w:rPr>
        <w:t>；发现问题绩效单价</w:t>
      </w:r>
      <w:r>
        <w:rPr>
          <w:rFonts w:hint="eastAsia" w:ascii="宋体" w:hAnsi="宋体" w:cs="宋体"/>
          <w:bCs/>
          <w:szCs w:val="21"/>
          <w:u w:val="single"/>
        </w:rPr>
        <w:t xml:space="preserve">          </w:t>
      </w:r>
      <w:r>
        <w:rPr>
          <w:rFonts w:hint="eastAsia" w:ascii="宋体" w:hAnsi="宋体" w:cs="宋体"/>
          <w:bCs/>
          <w:szCs w:val="21"/>
        </w:rPr>
        <w:t>元（发现问题绩效少于3000个的按实结算，超过3000个的，按3000个计算）</w:t>
      </w:r>
      <w:r>
        <w:rPr>
          <w:rFonts w:hint="eastAsia" w:ascii="宋体" w:hAnsi="宋体" w:cs="宋体"/>
          <w:bCs/>
          <w:szCs w:val="21"/>
          <w:lang w:eastAsia="zh-CN"/>
        </w:rPr>
        <w:t>，</w:t>
      </w:r>
      <w:r>
        <w:rPr>
          <w:rFonts w:hint="eastAsia" w:ascii="宋体" w:hAnsi="宋体" w:cs="宋体"/>
          <w:bCs/>
          <w:szCs w:val="21"/>
          <w:u w:val="none"/>
          <w:lang w:eastAsia="zh-CN"/>
        </w:rPr>
        <w:t>小计</w:t>
      </w:r>
      <w:r>
        <w:rPr>
          <w:rFonts w:hint="eastAsia" w:ascii="宋体" w:hAnsi="宋体" w:cs="宋体"/>
          <w:bCs/>
          <w:szCs w:val="21"/>
          <w:u w:val="single"/>
          <w:lang w:val="en-US" w:eastAsia="zh-CN"/>
        </w:rPr>
        <w:t xml:space="preserve">      元</w:t>
      </w:r>
      <w:r>
        <w:rPr>
          <w:rFonts w:hint="eastAsia" w:ascii="宋体" w:hAnsi="宋体" w:cs="宋体"/>
          <w:bCs/>
          <w:szCs w:val="21"/>
        </w:rPr>
        <w:t>。</w:t>
      </w:r>
    </w:p>
    <w:p w14:paraId="5C9A8F3A">
      <w:pPr>
        <w:pStyle w:val="5"/>
        <w:spacing w:before="156"/>
        <w:ind w:firstLine="422"/>
        <w:rPr>
          <w:rFonts w:cs="宋体"/>
        </w:rPr>
      </w:pPr>
      <w:r>
        <w:rPr>
          <w:rFonts w:hint="eastAsia" w:cs="宋体"/>
        </w:rPr>
        <w:t>（五）合同价款的支付</w:t>
      </w:r>
    </w:p>
    <w:p w14:paraId="587C76EB">
      <w:pPr>
        <w:adjustRightInd w:val="0"/>
        <w:snapToGrid w:val="0"/>
        <w:spacing w:line="300" w:lineRule="auto"/>
        <w:ind w:firstLine="420" w:firstLineChars="200"/>
        <w:rPr>
          <w:rFonts w:ascii="宋体" w:hAnsi="宋体" w:cs="宋体"/>
          <w:szCs w:val="21"/>
        </w:rPr>
      </w:pPr>
      <w:r>
        <w:rPr>
          <w:rFonts w:ascii="宋体" w:hAnsi="宋体" w:cs="宋体"/>
          <w:szCs w:val="21"/>
        </w:rPr>
        <w:t>1、本合同中甲乙双方之间所发生的一切费用以人民币进行结算。</w:t>
      </w:r>
    </w:p>
    <w:p w14:paraId="367D7D69">
      <w:pPr>
        <w:adjustRightInd w:val="0"/>
        <w:snapToGrid w:val="0"/>
        <w:spacing w:line="300" w:lineRule="auto"/>
        <w:ind w:firstLine="420" w:firstLineChars="200"/>
        <w:rPr>
          <w:rFonts w:ascii="宋体" w:hAnsi="宋体" w:cs="宋体"/>
          <w:szCs w:val="21"/>
          <w:u w:val="single"/>
        </w:rPr>
      </w:pPr>
      <w:r>
        <w:rPr>
          <w:rFonts w:ascii="宋体" w:hAnsi="宋体" w:cs="宋体"/>
          <w:szCs w:val="21"/>
        </w:rPr>
        <w:t>2、支付方式：</w:t>
      </w:r>
    </w:p>
    <w:tbl>
      <w:tblPr>
        <w:tblStyle w:val="2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4332"/>
        <w:gridCol w:w="1126"/>
        <w:gridCol w:w="2248"/>
      </w:tblGrid>
      <w:tr w14:paraId="1520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dxa"/>
            <w:vAlign w:val="center"/>
          </w:tcPr>
          <w:p w14:paraId="792961B3">
            <w:pPr>
              <w:adjustRightInd w:val="0"/>
              <w:snapToGrid w:val="0"/>
              <w:spacing w:line="300" w:lineRule="auto"/>
              <w:jc w:val="center"/>
              <w:rPr>
                <w:rFonts w:ascii="宋体" w:hAnsi="宋体" w:cs="宋体"/>
                <w:kern w:val="0"/>
                <w:szCs w:val="21"/>
              </w:rPr>
            </w:pPr>
            <w:r>
              <w:rPr>
                <w:rFonts w:hint="eastAsia" w:ascii="宋体" w:hAnsi="宋体" w:cs="宋体"/>
                <w:kern w:val="0"/>
                <w:szCs w:val="21"/>
              </w:rPr>
              <w:t>付款次数</w:t>
            </w:r>
          </w:p>
        </w:tc>
        <w:tc>
          <w:tcPr>
            <w:tcW w:w="4332" w:type="dxa"/>
            <w:vAlign w:val="center"/>
          </w:tcPr>
          <w:p w14:paraId="0827DFA8">
            <w:pPr>
              <w:adjustRightInd w:val="0"/>
              <w:snapToGrid w:val="0"/>
              <w:spacing w:line="300" w:lineRule="auto"/>
              <w:jc w:val="center"/>
              <w:rPr>
                <w:rFonts w:ascii="宋体" w:hAnsi="宋体" w:cs="宋体"/>
                <w:kern w:val="0"/>
                <w:szCs w:val="21"/>
              </w:rPr>
            </w:pPr>
            <w:r>
              <w:rPr>
                <w:rFonts w:hint="eastAsia" w:ascii="宋体" w:hAnsi="宋体" w:cs="宋体"/>
                <w:kern w:val="0"/>
                <w:szCs w:val="21"/>
              </w:rPr>
              <w:t>付款条件</w:t>
            </w:r>
          </w:p>
        </w:tc>
        <w:tc>
          <w:tcPr>
            <w:tcW w:w="1126" w:type="dxa"/>
            <w:vAlign w:val="center"/>
          </w:tcPr>
          <w:p w14:paraId="0A24872C">
            <w:pPr>
              <w:adjustRightInd w:val="0"/>
              <w:snapToGrid w:val="0"/>
              <w:spacing w:line="300" w:lineRule="auto"/>
              <w:jc w:val="center"/>
              <w:rPr>
                <w:rFonts w:ascii="宋体" w:hAnsi="宋体" w:cs="宋体"/>
                <w:kern w:val="0"/>
                <w:szCs w:val="21"/>
              </w:rPr>
            </w:pPr>
            <w:r>
              <w:rPr>
                <w:rFonts w:hint="eastAsia" w:ascii="宋体" w:hAnsi="宋体" w:cs="宋体"/>
                <w:kern w:val="0"/>
                <w:szCs w:val="21"/>
              </w:rPr>
              <w:t>金额（元）</w:t>
            </w:r>
          </w:p>
        </w:tc>
        <w:tc>
          <w:tcPr>
            <w:tcW w:w="2248" w:type="dxa"/>
            <w:vAlign w:val="center"/>
          </w:tcPr>
          <w:p w14:paraId="21E1AEEB">
            <w:pPr>
              <w:adjustRightInd w:val="0"/>
              <w:snapToGrid w:val="0"/>
              <w:spacing w:line="300" w:lineRule="auto"/>
              <w:jc w:val="center"/>
              <w:rPr>
                <w:rFonts w:ascii="宋体" w:hAnsi="宋体" w:cs="宋体"/>
                <w:kern w:val="0"/>
                <w:szCs w:val="21"/>
              </w:rPr>
            </w:pPr>
            <w:r>
              <w:rPr>
                <w:rFonts w:hint="eastAsia" w:ascii="宋体" w:hAnsi="宋体" w:cs="宋体"/>
                <w:kern w:val="0"/>
                <w:szCs w:val="21"/>
              </w:rPr>
              <w:t>对应预算执行确认书</w:t>
            </w:r>
          </w:p>
        </w:tc>
      </w:tr>
      <w:tr w14:paraId="1696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dxa"/>
            <w:vAlign w:val="center"/>
          </w:tcPr>
          <w:p w14:paraId="183885F3">
            <w:pPr>
              <w:adjustRightInd w:val="0"/>
              <w:snapToGrid w:val="0"/>
              <w:spacing w:line="300" w:lineRule="auto"/>
              <w:jc w:val="center"/>
              <w:rPr>
                <w:rFonts w:ascii="宋体" w:hAnsi="宋体" w:cs="宋体"/>
                <w:kern w:val="0"/>
                <w:szCs w:val="21"/>
              </w:rPr>
            </w:pPr>
            <w:r>
              <w:rPr>
                <w:rFonts w:hint="eastAsia" w:ascii="宋体" w:hAnsi="宋体" w:cs="宋体"/>
                <w:kern w:val="0"/>
                <w:szCs w:val="21"/>
              </w:rPr>
              <w:t>第一次付款</w:t>
            </w:r>
          </w:p>
        </w:tc>
        <w:tc>
          <w:tcPr>
            <w:tcW w:w="4332" w:type="dxa"/>
            <w:vAlign w:val="center"/>
          </w:tcPr>
          <w:p w14:paraId="02A13DB5">
            <w:pPr>
              <w:adjustRightInd w:val="0"/>
              <w:snapToGrid w:val="0"/>
              <w:spacing w:line="300" w:lineRule="auto"/>
              <w:jc w:val="left"/>
              <w:rPr>
                <w:rFonts w:ascii="宋体" w:hAnsi="宋体" w:cs="宋体"/>
                <w:kern w:val="0"/>
                <w:szCs w:val="21"/>
              </w:rPr>
            </w:pPr>
            <w:r>
              <w:rPr>
                <w:rFonts w:hint="eastAsia" w:ascii="宋体" w:hAnsi="宋体"/>
                <w:kern w:val="0"/>
                <w:szCs w:val="21"/>
              </w:rPr>
              <w:t>合同签订并具备实施条件后，5个工作</w:t>
            </w:r>
            <w:r>
              <w:rPr>
                <w:rFonts w:ascii="宋体" w:hAnsi="宋体"/>
                <w:kern w:val="0"/>
                <w:szCs w:val="21"/>
              </w:rPr>
              <w:t>日内</w:t>
            </w:r>
            <w:r>
              <w:rPr>
                <w:rFonts w:hint="eastAsia" w:ascii="宋体" w:hAnsi="宋体"/>
                <w:kern w:val="0"/>
                <w:szCs w:val="21"/>
                <w:lang w:eastAsia="zh-CN"/>
              </w:rPr>
              <w:t>向财政部门申报</w:t>
            </w:r>
            <w:r>
              <w:rPr>
                <w:rFonts w:hint="eastAsia" w:ascii="宋体" w:hAnsi="宋体"/>
                <w:kern w:val="0"/>
                <w:szCs w:val="21"/>
                <w:lang w:val="en-US" w:eastAsia="zh-CN"/>
              </w:rPr>
              <w:t>后</w:t>
            </w:r>
            <w:r>
              <w:rPr>
                <w:rFonts w:ascii="宋体" w:hAnsi="宋体"/>
                <w:kern w:val="0"/>
                <w:szCs w:val="21"/>
              </w:rPr>
              <w:t>支付</w:t>
            </w:r>
            <w:r>
              <w:rPr>
                <w:rFonts w:hint="eastAsia" w:ascii="宋体" w:hAnsi="宋体"/>
                <w:kern w:val="0"/>
                <w:szCs w:val="21"/>
                <w:lang w:eastAsia="zh-CN"/>
              </w:rPr>
              <w:t>七轮抽样检测费的</w:t>
            </w:r>
            <w:r>
              <w:rPr>
                <w:rFonts w:hint="eastAsia" w:ascii="宋体" w:hAnsi="宋体"/>
                <w:kern w:val="0"/>
                <w:szCs w:val="21"/>
              </w:rPr>
              <w:t>40</w:t>
            </w:r>
            <w:r>
              <w:rPr>
                <w:rFonts w:ascii="宋体" w:hAnsi="宋体"/>
                <w:kern w:val="0"/>
                <w:szCs w:val="21"/>
              </w:rPr>
              <w:t>%</w:t>
            </w:r>
            <w:r>
              <w:rPr>
                <w:rFonts w:hint="eastAsia" w:ascii="Arial" w:hAnsi="Arial" w:cs="Arial"/>
              </w:rPr>
              <w:t>作为预付款</w:t>
            </w:r>
            <w:r>
              <w:rPr>
                <w:rFonts w:hint="eastAsia" w:ascii="宋体" w:hAnsi="宋体" w:cs="宋体"/>
                <w:szCs w:val="21"/>
              </w:rPr>
              <w:t>。</w:t>
            </w:r>
          </w:p>
        </w:tc>
        <w:tc>
          <w:tcPr>
            <w:tcW w:w="1126" w:type="dxa"/>
            <w:vAlign w:val="center"/>
          </w:tcPr>
          <w:p w14:paraId="414399B9">
            <w:pPr>
              <w:adjustRightInd w:val="0"/>
              <w:snapToGrid w:val="0"/>
              <w:spacing w:line="300" w:lineRule="auto"/>
              <w:jc w:val="center"/>
              <w:rPr>
                <w:rFonts w:ascii="宋体" w:hAnsi="宋体" w:cs="宋体"/>
                <w:kern w:val="0"/>
                <w:szCs w:val="21"/>
              </w:rPr>
            </w:pPr>
          </w:p>
        </w:tc>
        <w:tc>
          <w:tcPr>
            <w:tcW w:w="2248" w:type="dxa"/>
            <w:vAlign w:val="center"/>
          </w:tcPr>
          <w:p w14:paraId="1DAEDF86">
            <w:pPr>
              <w:adjustRightInd w:val="0"/>
              <w:snapToGrid w:val="0"/>
              <w:spacing w:line="300" w:lineRule="auto"/>
              <w:jc w:val="center"/>
              <w:rPr>
                <w:rFonts w:ascii="宋体" w:hAnsi="宋体" w:cs="宋体"/>
                <w:kern w:val="0"/>
                <w:szCs w:val="21"/>
              </w:rPr>
            </w:pPr>
          </w:p>
        </w:tc>
      </w:tr>
      <w:tr w14:paraId="2387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3" w:type="dxa"/>
            <w:vAlign w:val="center"/>
          </w:tcPr>
          <w:p w14:paraId="0EAFEB57">
            <w:pPr>
              <w:adjustRightInd w:val="0"/>
              <w:snapToGrid w:val="0"/>
              <w:spacing w:line="300" w:lineRule="auto"/>
              <w:jc w:val="center"/>
              <w:rPr>
                <w:rFonts w:ascii="宋体" w:hAnsi="宋体" w:cs="宋体"/>
                <w:kern w:val="0"/>
                <w:szCs w:val="21"/>
              </w:rPr>
            </w:pPr>
            <w:r>
              <w:rPr>
                <w:rFonts w:hint="eastAsia" w:ascii="宋体" w:hAnsi="宋体" w:cs="宋体"/>
                <w:kern w:val="0"/>
                <w:szCs w:val="21"/>
              </w:rPr>
              <w:t>第二次付款</w:t>
            </w:r>
          </w:p>
        </w:tc>
        <w:tc>
          <w:tcPr>
            <w:tcW w:w="4332" w:type="dxa"/>
            <w:vAlign w:val="center"/>
          </w:tcPr>
          <w:p w14:paraId="5263FBC4">
            <w:pPr>
              <w:adjustRightInd w:val="0"/>
              <w:snapToGrid w:val="0"/>
              <w:spacing w:line="300" w:lineRule="auto"/>
              <w:jc w:val="left"/>
              <w:rPr>
                <w:rFonts w:ascii="宋体" w:hAnsi="宋体" w:cs="宋体"/>
                <w:kern w:val="0"/>
                <w:szCs w:val="21"/>
              </w:rPr>
            </w:pPr>
            <w:r>
              <w:rPr>
                <w:rFonts w:hint="eastAsia" w:asciiTheme="minorEastAsia" w:hAnsiTheme="minorEastAsia" w:eastAsiaTheme="minorEastAsia"/>
                <w:szCs w:val="21"/>
              </w:rPr>
              <w:t>提交抽样检测总报告且</w:t>
            </w:r>
            <w:r>
              <w:rPr>
                <w:rFonts w:hint="eastAsia" w:ascii="宋体" w:hAnsi="宋体"/>
                <w:kern w:val="0"/>
                <w:szCs w:val="21"/>
              </w:rPr>
              <w:t>项目验收合格后，</w:t>
            </w:r>
            <w:r>
              <w:rPr>
                <w:rFonts w:ascii="宋体" w:hAnsi="宋体"/>
                <w:kern w:val="0"/>
                <w:szCs w:val="21"/>
              </w:rPr>
              <w:t>15日内</w:t>
            </w:r>
            <w:r>
              <w:rPr>
                <w:rFonts w:hint="eastAsia" w:ascii="宋体" w:hAnsi="宋体"/>
                <w:kern w:val="0"/>
                <w:szCs w:val="21"/>
                <w:lang w:eastAsia="zh-CN"/>
              </w:rPr>
              <w:t>向财政部门申报</w:t>
            </w:r>
            <w:r>
              <w:rPr>
                <w:rFonts w:hint="eastAsia" w:ascii="宋体" w:hAnsi="宋体"/>
                <w:kern w:val="0"/>
                <w:szCs w:val="21"/>
                <w:lang w:val="en-US" w:eastAsia="zh-CN"/>
              </w:rPr>
              <w:t>后</w:t>
            </w:r>
            <w:r>
              <w:rPr>
                <w:rFonts w:ascii="宋体" w:hAnsi="宋体"/>
                <w:kern w:val="0"/>
                <w:szCs w:val="21"/>
              </w:rPr>
              <w:t>支付合同</w:t>
            </w:r>
            <w:r>
              <w:rPr>
                <w:rFonts w:hint="eastAsia" w:ascii="宋体" w:hAnsi="宋体"/>
                <w:kern w:val="0"/>
                <w:szCs w:val="21"/>
              </w:rPr>
              <w:t>剩余价款。</w:t>
            </w:r>
          </w:p>
        </w:tc>
        <w:tc>
          <w:tcPr>
            <w:tcW w:w="1126" w:type="dxa"/>
            <w:vAlign w:val="center"/>
          </w:tcPr>
          <w:p w14:paraId="030B7D13">
            <w:pPr>
              <w:adjustRightInd w:val="0"/>
              <w:snapToGrid w:val="0"/>
              <w:spacing w:line="300" w:lineRule="auto"/>
              <w:jc w:val="center"/>
              <w:rPr>
                <w:rFonts w:ascii="宋体" w:hAnsi="宋体" w:cs="宋体"/>
                <w:kern w:val="0"/>
                <w:szCs w:val="21"/>
              </w:rPr>
            </w:pPr>
            <w:r>
              <w:rPr>
                <w:rFonts w:asciiTheme="minorEastAsia" w:hAnsiTheme="minorEastAsia" w:eastAsiaTheme="minorEastAsia"/>
                <w:szCs w:val="21"/>
              </w:rPr>
              <w:t xml:space="preserve"> </w:t>
            </w:r>
          </w:p>
        </w:tc>
        <w:tc>
          <w:tcPr>
            <w:tcW w:w="2248" w:type="dxa"/>
            <w:vAlign w:val="center"/>
          </w:tcPr>
          <w:p w14:paraId="04ECA98E">
            <w:pPr>
              <w:adjustRightInd w:val="0"/>
              <w:snapToGrid w:val="0"/>
              <w:spacing w:line="300" w:lineRule="auto"/>
              <w:jc w:val="center"/>
              <w:rPr>
                <w:rFonts w:ascii="宋体" w:hAnsi="宋体" w:cs="宋体"/>
                <w:kern w:val="0"/>
                <w:szCs w:val="21"/>
              </w:rPr>
            </w:pPr>
          </w:p>
        </w:tc>
      </w:tr>
    </w:tbl>
    <w:p w14:paraId="6BCF4D3F">
      <w:pPr>
        <w:adjustRightInd w:val="0"/>
        <w:snapToGrid w:val="0"/>
        <w:spacing w:line="300" w:lineRule="auto"/>
        <w:ind w:firstLine="420" w:firstLineChars="200"/>
        <w:rPr>
          <w:rFonts w:ascii="宋体" w:hAnsi="宋体" w:cs="宋体"/>
          <w:color w:val="000000"/>
          <w:szCs w:val="21"/>
        </w:rPr>
      </w:pPr>
      <w:r>
        <w:rPr>
          <w:rFonts w:hint="eastAsia" w:ascii="宋体" w:hAnsi="宋体" w:cs="宋体"/>
          <w:color w:val="000000"/>
          <w:szCs w:val="21"/>
        </w:rPr>
        <w:t>本项目单价一次性包死，总价及数量以甲方确认为准。</w:t>
      </w:r>
    </w:p>
    <w:p w14:paraId="635C7C30">
      <w:pPr>
        <w:adjustRightInd w:val="0"/>
        <w:snapToGrid w:val="0"/>
        <w:spacing w:line="300" w:lineRule="auto"/>
        <w:ind w:firstLine="420" w:firstLineChars="200"/>
        <w:rPr>
          <w:rFonts w:ascii="宋体" w:hAnsi="宋体" w:cs="宋体"/>
          <w:szCs w:val="21"/>
        </w:rPr>
      </w:pPr>
      <w:r>
        <w:rPr>
          <w:rFonts w:hint="eastAsia" w:ascii="宋体" w:hAnsi="宋体" w:cs="宋体"/>
          <w:szCs w:val="21"/>
        </w:rPr>
        <w:t>以上付款时间是指满足付款条件且甲方完成向财政部门申报支付手续的时间，财政部门审查及实际支付可能造成的时间延误不视为甲方违约。</w:t>
      </w:r>
    </w:p>
    <w:p w14:paraId="2B89D0C2">
      <w:pPr>
        <w:adjustRightInd w:val="0"/>
        <w:snapToGrid w:val="0"/>
        <w:spacing w:line="300" w:lineRule="auto"/>
        <w:ind w:firstLine="420" w:firstLineChars="200"/>
        <w:rPr>
          <w:rFonts w:ascii="宋体" w:hAnsi="宋体" w:cs="宋体"/>
          <w:szCs w:val="21"/>
        </w:rPr>
      </w:pPr>
      <w:r>
        <w:rPr>
          <w:rFonts w:hint="eastAsia" w:ascii="宋体" w:hAnsi="宋体" w:cs="宋体"/>
          <w:szCs w:val="21"/>
        </w:rPr>
        <w:t>每次合同款项支付之前，乙方需提供同等金额的正规发票（应符合甲方财务管理要求）给甲方，甲方收到发票后按规定向财政部门申请支付。</w:t>
      </w:r>
    </w:p>
    <w:p w14:paraId="1CA81E7A">
      <w:pPr>
        <w:tabs>
          <w:tab w:val="left" w:pos="3911"/>
        </w:tabs>
        <w:adjustRightInd w:val="0"/>
        <w:snapToGrid w:val="0"/>
        <w:spacing w:line="300" w:lineRule="auto"/>
        <w:ind w:firstLine="420" w:firstLineChars="200"/>
        <w:rPr>
          <w:rFonts w:ascii="宋体" w:hAnsi="宋体" w:cs="宋体"/>
          <w:szCs w:val="21"/>
        </w:rPr>
      </w:pPr>
      <w:r>
        <w:rPr>
          <w:rFonts w:hint="eastAsia" w:ascii="宋体" w:hAnsi="宋体" w:cs="宋体"/>
          <w:szCs w:val="21"/>
        </w:rPr>
        <w:t>发票类型：增值税普通发票。</w:t>
      </w:r>
      <w:r>
        <w:rPr>
          <w:rFonts w:ascii="宋体" w:hAnsi="宋体" w:cs="宋体"/>
          <w:szCs w:val="21"/>
        </w:rPr>
        <w:tab/>
      </w:r>
    </w:p>
    <w:p w14:paraId="41EFCFCB">
      <w:pPr>
        <w:adjustRightInd w:val="0"/>
        <w:snapToGrid w:val="0"/>
        <w:spacing w:line="300" w:lineRule="auto"/>
        <w:ind w:firstLine="420" w:firstLineChars="200"/>
        <w:rPr>
          <w:rFonts w:ascii="宋体" w:hAnsi="宋体" w:cs="宋体"/>
          <w:szCs w:val="21"/>
        </w:rPr>
      </w:pPr>
      <w:r>
        <w:rPr>
          <w:rFonts w:hint="eastAsia" w:ascii="宋体" w:hAnsi="宋体" w:cs="宋体"/>
          <w:szCs w:val="21"/>
        </w:rPr>
        <w:t>项目未经验收或验收不合格，不得支付相应合同款。</w:t>
      </w:r>
    </w:p>
    <w:p w14:paraId="0F863297">
      <w:pPr>
        <w:adjustRightInd w:val="0"/>
        <w:snapToGrid w:val="0"/>
        <w:spacing w:line="300" w:lineRule="auto"/>
        <w:ind w:firstLine="420" w:firstLineChars="200"/>
        <w:rPr>
          <w:rFonts w:ascii="宋体" w:hAnsi="宋体" w:cs="宋体"/>
          <w:szCs w:val="21"/>
        </w:rPr>
      </w:pPr>
      <w:r>
        <w:rPr>
          <w:rFonts w:ascii="宋体" w:hAnsi="宋体" w:cs="宋体"/>
          <w:szCs w:val="21"/>
        </w:rPr>
        <w:t>3、甲方应付合同</w:t>
      </w:r>
      <w:r>
        <w:rPr>
          <w:rFonts w:hint="eastAsia" w:ascii="宋体" w:hAnsi="宋体" w:cs="宋体"/>
          <w:szCs w:val="21"/>
        </w:rPr>
        <w:t>款至以下乙方指定的银行账户：</w:t>
      </w:r>
    </w:p>
    <w:p w14:paraId="58694F91">
      <w:pPr>
        <w:adjustRightInd w:val="0"/>
        <w:snapToGrid w:val="0"/>
        <w:spacing w:line="300" w:lineRule="auto"/>
        <w:ind w:firstLine="420" w:firstLineChars="200"/>
        <w:rPr>
          <w:rFonts w:ascii="宋体" w:hAnsi="宋体" w:cs="宋体"/>
          <w:szCs w:val="21"/>
          <w:u w:val="single"/>
        </w:rPr>
      </w:pPr>
      <w:r>
        <w:rPr>
          <w:rFonts w:hint="eastAsia" w:ascii="宋体" w:hAnsi="宋体" w:cs="宋体"/>
          <w:szCs w:val="21"/>
        </w:rPr>
        <w:t>开户名称：</w:t>
      </w:r>
      <w:r>
        <w:rPr>
          <w:rFonts w:ascii="宋体" w:hAnsi="宋体" w:cs="宋体"/>
          <w:szCs w:val="21"/>
          <w:u w:val="single"/>
        </w:rPr>
        <w:t xml:space="preserve">                            </w:t>
      </w:r>
    </w:p>
    <w:p w14:paraId="4B105481">
      <w:pPr>
        <w:adjustRightInd w:val="0"/>
        <w:snapToGrid w:val="0"/>
        <w:spacing w:line="300" w:lineRule="auto"/>
        <w:ind w:firstLine="420" w:firstLineChars="200"/>
        <w:rPr>
          <w:rFonts w:ascii="宋体" w:hAnsi="宋体" w:cs="宋体"/>
          <w:szCs w:val="21"/>
          <w:u w:val="single"/>
        </w:rPr>
      </w:pPr>
      <w:r>
        <w:rPr>
          <w:rFonts w:hint="eastAsia" w:ascii="宋体" w:hAnsi="宋体" w:cs="宋体"/>
          <w:szCs w:val="21"/>
        </w:rPr>
        <w:t>开户银行：</w:t>
      </w:r>
      <w:r>
        <w:rPr>
          <w:rFonts w:ascii="宋体" w:hAnsi="宋体" w:cs="宋体"/>
          <w:szCs w:val="21"/>
          <w:u w:val="single"/>
        </w:rPr>
        <w:t xml:space="preserve">                            </w:t>
      </w:r>
    </w:p>
    <w:p w14:paraId="6042515E">
      <w:pPr>
        <w:snapToGrid w:val="0"/>
        <w:spacing w:line="300" w:lineRule="auto"/>
        <w:ind w:firstLine="420" w:firstLineChars="200"/>
        <w:rPr>
          <w:rFonts w:ascii="宋体" w:hAnsi="宋体" w:cs="宋体"/>
          <w:strike/>
          <w:szCs w:val="21"/>
        </w:rPr>
      </w:pPr>
      <w:r>
        <w:rPr>
          <w:rFonts w:hint="eastAsia" w:ascii="宋体" w:hAnsi="宋体" w:cs="宋体"/>
          <w:szCs w:val="21"/>
        </w:rPr>
        <w:t>账</w:t>
      </w:r>
      <w:r>
        <w:rPr>
          <w:rFonts w:ascii="宋体" w:hAnsi="宋体" w:cs="宋体"/>
          <w:szCs w:val="21"/>
        </w:rPr>
        <w:t xml:space="preserve">    号：</w:t>
      </w:r>
      <w:r>
        <w:rPr>
          <w:rFonts w:ascii="宋体" w:hAnsi="宋体" w:cs="宋体"/>
          <w:szCs w:val="21"/>
          <w:u w:val="single"/>
        </w:rPr>
        <w:t xml:space="preserve">                            </w:t>
      </w:r>
    </w:p>
    <w:p w14:paraId="254EA29A">
      <w:pPr>
        <w:pStyle w:val="5"/>
        <w:spacing w:before="156"/>
        <w:ind w:firstLine="422"/>
        <w:rPr>
          <w:rFonts w:cs="宋体"/>
        </w:rPr>
      </w:pPr>
      <w:r>
        <w:rPr>
          <w:rFonts w:hint="eastAsia" w:cs="宋体"/>
        </w:rPr>
        <w:t>（</w:t>
      </w:r>
      <w:r>
        <w:rPr>
          <w:rFonts w:hint="eastAsia" w:cs="宋体"/>
          <w:lang w:val="en-US" w:eastAsia="zh-CN"/>
        </w:rPr>
        <w:t>六</w:t>
      </w:r>
      <w:r>
        <w:rPr>
          <w:rFonts w:hint="eastAsia" w:cs="宋体"/>
        </w:rPr>
        <w:t>）服务内容和要求</w:t>
      </w:r>
    </w:p>
    <w:p w14:paraId="73A832D0">
      <w:pPr>
        <w:adjustRightInd w:val="0"/>
        <w:snapToGrid w:val="0"/>
        <w:spacing w:line="300" w:lineRule="auto"/>
        <w:ind w:firstLine="420" w:firstLineChars="200"/>
        <w:rPr>
          <w:rFonts w:ascii="宋体" w:hAnsi="宋体" w:cs="宋体"/>
          <w:szCs w:val="21"/>
        </w:rPr>
      </w:pPr>
      <w:r>
        <w:rPr>
          <w:rFonts w:ascii="宋体" w:hAnsi="宋体" w:cs="宋体"/>
          <w:szCs w:val="21"/>
        </w:rPr>
        <w:t>1、服务期内，乙方应在充分了解甲方现有环境基础上，提供规范化、高质量的服务，具体服务内容与要求详见</w:t>
      </w:r>
      <w:r>
        <w:rPr>
          <w:rFonts w:hint="eastAsia" w:ascii="宋体" w:hAnsi="宋体" w:cs="宋体"/>
          <w:szCs w:val="21"/>
        </w:rPr>
        <w:t>【</w:t>
      </w:r>
      <w:r>
        <w:rPr>
          <w:rFonts w:hint="eastAsia" w:ascii="宋体" w:hAnsi="宋体" w:cs="宋体"/>
          <w:szCs w:val="21"/>
          <w:lang w:eastAsia="zh-CN"/>
        </w:rPr>
        <w:t>招标文件</w:t>
      </w:r>
      <w:r>
        <w:rPr>
          <w:rFonts w:hint="eastAsia" w:ascii="宋体" w:hAnsi="宋体" w:cs="宋体"/>
          <w:szCs w:val="21"/>
        </w:rPr>
        <w:t>】</w:t>
      </w:r>
      <w:r>
        <w:rPr>
          <w:rFonts w:ascii="宋体" w:hAnsi="宋体" w:cs="宋体"/>
          <w:szCs w:val="21"/>
        </w:rPr>
        <w:t>第</w:t>
      </w:r>
      <w:r>
        <w:rPr>
          <w:rFonts w:hint="eastAsia" w:ascii="宋体" w:hAnsi="宋体" w:cs="宋体"/>
          <w:szCs w:val="21"/>
        </w:rPr>
        <w:t>三</w:t>
      </w:r>
      <w:r>
        <w:rPr>
          <w:rFonts w:ascii="宋体" w:hAnsi="宋体" w:cs="宋体"/>
          <w:szCs w:val="21"/>
        </w:rPr>
        <w:t>章</w:t>
      </w:r>
      <w:r>
        <w:rPr>
          <w:rFonts w:hint="eastAsia" w:ascii="宋体" w:hAnsi="宋体" w:cs="宋体"/>
          <w:szCs w:val="21"/>
          <w:lang w:val="en-US" w:eastAsia="zh-CN"/>
        </w:rPr>
        <w:t>招标需求</w:t>
      </w:r>
      <w:r>
        <w:rPr>
          <w:rFonts w:ascii="宋体" w:hAnsi="宋体" w:cs="宋体"/>
          <w:szCs w:val="21"/>
        </w:rPr>
        <w:t>内容。</w:t>
      </w:r>
    </w:p>
    <w:p w14:paraId="579FED9C">
      <w:pPr>
        <w:adjustRightInd w:val="0"/>
        <w:snapToGrid w:val="0"/>
        <w:spacing w:line="300" w:lineRule="auto"/>
        <w:ind w:firstLine="420" w:firstLineChars="200"/>
        <w:rPr>
          <w:rFonts w:ascii="宋体" w:hAnsi="宋体" w:cs="宋体"/>
          <w:szCs w:val="21"/>
        </w:rPr>
      </w:pPr>
      <w:r>
        <w:rPr>
          <w:rFonts w:ascii="宋体" w:hAnsi="宋体" w:cs="宋体"/>
          <w:szCs w:val="21"/>
        </w:rPr>
        <w:t>2、除</w:t>
      </w:r>
      <w:r>
        <w:rPr>
          <w:rFonts w:hint="eastAsia" w:ascii="宋体" w:hAnsi="宋体" w:cs="宋体"/>
          <w:szCs w:val="21"/>
        </w:rPr>
        <w:t>本</w:t>
      </w:r>
      <w:r>
        <w:rPr>
          <w:rFonts w:ascii="宋体" w:hAnsi="宋体" w:cs="宋体"/>
          <w:szCs w:val="21"/>
        </w:rPr>
        <w:t>合同</w:t>
      </w:r>
      <w:r>
        <w:rPr>
          <w:rFonts w:hint="eastAsia" w:ascii="宋体" w:hAnsi="宋体" w:cs="宋体"/>
          <w:szCs w:val="21"/>
        </w:rPr>
        <w:t>第十四条</w:t>
      </w:r>
      <w:r>
        <w:rPr>
          <w:rFonts w:ascii="宋体" w:hAnsi="宋体" w:cs="宋体"/>
          <w:szCs w:val="21"/>
        </w:rPr>
        <w:t>约定</w:t>
      </w:r>
      <w:r>
        <w:rPr>
          <w:rFonts w:hint="eastAsia" w:ascii="宋体" w:hAnsi="宋体" w:cs="宋体"/>
          <w:szCs w:val="21"/>
        </w:rPr>
        <w:t>的相关情形</w:t>
      </w:r>
      <w:r>
        <w:rPr>
          <w:rFonts w:ascii="宋体" w:hAnsi="宋体" w:cs="宋体"/>
          <w:szCs w:val="21"/>
        </w:rPr>
        <w:t>外，乙方不得向第三方外包其服务。</w:t>
      </w:r>
    </w:p>
    <w:p w14:paraId="7A704A16">
      <w:pPr>
        <w:pStyle w:val="5"/>
        <w:keepNext w:val="0"/>
        <w:keepLines w:val="0"/>
        <w:pageBreakBefore w:val="0"/>
        <w:widowControl w:val="0"/>
        <w:kinsoku/>
        <w:wordWrap/>
        <w:overflowPunct/>
        <w:topLinePunct w:val="0"/>
        <w:autoSpaceDE w:val="0"/>
        <w:autoSpaceDN w:val="0"/>
        <w:bidi w:val="0"/>
        <w:adjustRightInd w:val="0"/>
        <w:snapToGrid/>
        <w:ind w:right="23" w:firstLine="420"/>
        <w:textAlignment w:val="auto"/>
        <w:rPr>
          <w:rFonts w:hint="eastAsia" w:cs="宋体"/>
          <w:color w:val="auto"/>
          <w:sz w:val="28"/>
          <w:szCs w:val="28"/>
          <w:highlight w:val="none"/>
          <w:lang w:val="en-US" w:eastAsia="zh-CN"/>
        </w:rPr>
      </w:pPr>
      <w:r>
        <w:rPr>
          <w:rFonts w:hint="eastAsia" w:cs="宋体"/>
        </w:rPr>
        <w:t>（</w:t>
      </w:r>
      <w:r>
        <w:rPr>
          <w:rFonts w:hint="eastAsia" w:cs="宋体"/>
          <w:lang w:val="en-US" w:eastAsia="zh-CN"/>
        </w:rPr>
        <w:t>七</w:t>
      </w:r>
      <w:r>
        <w:rPr>
          <w:rFonts w:hint="eastAsia" w:cs="宋体"/>
        </w:rPr>
        <w:t>）</w:t>
      </w:r>
      <w:r>
        <w:rPr>
          <w:rFonts w:hint="eastAsia" w:cs="宋体"/>
          <w:lang w:val="en-US" w:eastAsia="zh-CN"/>
        </w:rPr>
        <w:t>服务期限</w:t>
      </w:r>
    </w:p>
    <w:p w14:paraId="364D85C0">
      <w:pPr>
        <w:pStyle w:val="5"/>
        <w:keepNext w:val="0"/>
        <w:keepLines w:val="0"/>
        <w:pageBreakBefore w:val="0"/>
        <w:widowControl w:val="0"/>
        <w:kinsoku/>
        <w:wordWrap/>
        <w:overflowPunct/>
        <w:topLinePunct w:val="0"/>
        <w:autoSpaceDE w:val="0"/>
        <w:autoSpaceDN w:val="0"/>
        <w:bidi w:val="0"/>
        <w:adjustRightInd w:val="0"/>
        <w:snapToGrid/>
        <w:spacing w:before="156" w:line="440" w:lineRule="exact"/>
        <w:ind w:right="23" w:firstLine="420"/>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kern w:val="2"/>
          <w:sz w:val="21"/>
          <w:szCs w:val="21"/>
          <w:lang w:val="en-US" w:eastAsia="zh-CN" w:bidi="ar-SA"/>
        </w:rPr>
        <w:t>合同签订后3日内开展抽样检测工作，共分7轮，每轮抽检，轻型疫区和中型疫区抽检1-2个乡镇街道以上，重型疫区抽检3个乡镇街道以上，每个乡镇分别抽取2个典型作业区，每轮完成后3日内提交抽样检测报告，2025年12月10日前提交总报告。</w:t>
      </w:r>
    </w:p>
    <w:p w14:paraId="6709AD05">
      <w:pPr>
        <w:pStyle w:val="5"/>
        <w:spacing w:before="156"/>
        <w:ind w:firstLine="422"/>
        <w:rPr>
          <w:rFonts w:hint="eastAsia" w:cs="宋体"/>
        </w:rPr>
      </w:pPr>
      <w:r>
        <w:rPr>
          <w:rFonts w:hint="eastAsia" w:cs="宋体"/>
          <w:lang w:val="en-US" w:eastAsia="zh-CN"/>
        </w:rPr>
        <w:t>（八）</w:t>
      </w:r>
      <w:r>
        <w:rPr>
          <w:rFonts w:hint="eastAsia" w:cs="宋体"/>
        </w:rPr>
        <w:t>服务人员</w:t>
      </w:r>
    </w:p>
    <w:p w14:paraId="5F8726A3">
      <w:pPr>
        <w:adjustRightInd w:val="0"/>
        <w:snapToGrid w:val="0"/>
        <w:spacing w:line="300" w:lineRule="auto"/>
        <w:ind w:firstLine="420" w:firstLineChars="200"/>
        <w:rPr>
          <w:rFonts w:ascii="宋体" w:hAnsi="宋体" w:cs="宋体"/>
          <w:szCs w:val="21"/>
        </w:rPr>
      </w:pPr>
      <w:r>
        <w:rPr>
          <w:rFonts w:hint="eastAsia" w:ascii="宋体" w:hAnsi="宋体" w:cs="宋体"/>
          <w:szCs w:val="21"/>
        </w:rPr>
        <w:t>乙方应派遣一名具有专业知识的资深管理人员负责与甲方对接，负责本项目的项目管理，统筹相关工作，监督项目执行与情况汇报，控制工作质量，执行变更和应急情况管理，并根据实际状况、甲方要求调整乙方人员安排，以保证项目的正常高效运作。</w:t>
      </w:r>
    </w:p>
    <w:p w14:paraId="78CB2F12">
      <w:pPr>
        <w:adjustRightInd w:val="0"/>
        <w:snapToGrid w:val="0"/>
        <w:spacing w:line="300" w:lineRule="auto"/>
        <w:ind w:firstLine="420" w:firstLineChars="200"/>
        <w:rPr>
          <w:rFonts w:ascii="宋体" w:hAnsi="宋体" w:cs="宋体"/>
          <w:szCs w:val="21"/>
        </w:rPr>
      </w:pPr>
      <w:r>
        <w:rPr>
          <w:rFonts w:hint="eastAsia" w:ascii="宋体" w:hAnsi="宋体" w:cs="宋体"/>
          <w:szCs w:val="21"/>
        </w:rPr>
        <w:t>乙方应派出投标文件中指定资历和经验的专业服务人员提供服务，负责对其人员进行监督、指导和管理，甲方有权要求撤换不合格的服务人员。未经甲方书面同意，乙方不得擅自更换指定的服务人员，否则甲方有权选择解除合同，另行安排服务商，由此造成的损失由乙方承担。</w:t>
      </w:r>
    </w:p>
    <w:p w14:paraId="4C459266">
      <w:pPr>
        <w:adjustRightInd w:val="0"/>
        <w:snapToGrid w:val="0"/>
        <w:spacing w:line="300" w:lineRule="auto"/>
        <w:ind w:firstLine="420" w:firstLineChars="200"/>
        <w:rPr>
          <w:rFonts w:ascii="宋体" w:hAnsi="宋体" w:cs="宋体"/>
          <w:szCs w:val="21"/>
        </w:rPr>
      </w:pPr>
      <w:r>
        <w:rPr>
          <w:rFonts w:hint="eastAsia" w:ascii="宋体" w:hAnsi="宋体" w:cs="宋体"/>
          <w:szCs w:val="21"/>
        </w:rPr>
        <w:t>甲乙双方指定代表，作为履行本合同服务事宜的主要联系人。</w:t>
      </w:r>
    </w:p>
    <w:p w14:paraId="0D65F455">
      <w:pPr>
        <w:adjustRightInd w:val="0"/>
        <w:snapToGrid w:val="0"/>
        <w:spacing w:line="300" w:lineRule="auto"/>
        <w:ind w:firstLine="420" w:firstLineChars="200"/>
        <w:rPr>
          <w:rFonts w:ascii="宋体" w:hAnsi="宋体" w:cs="宋体"/>
          <w:szCs w:val="21"/>
        </w:rPr>
      </w:pPr>
      <w:r>
        <w:rPr>
          <w:rFonts w:hint="eastAsia" w:ascii="宋体" w:hAnsi="宋体" w:cs="宋体"/>
          <w:szCs w:val="21"/>
        </w:rPr>
        <w:t>甲方代表：</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p>
    <w:p w14:paraId="277DC482">
      <w:pPr>
        <w:adjustRightInd w:val="0"/>
        <w:snapToGrid w:val="0"/>
        <w:spacing w:line="300" w:lineRule="auto"/>
        <w:ind w:firstLine="420" w:firstLineChars="200"/>
        <w:rPr>
          <w:rFonts w:ascii="宋体" w:hAnsi="宋体" w:cs="宋体"/>
          <w:szCs w:val="21"/>
        </w:rPr>
      </w:pPr>
      <w:r>
        <w:rPr>
          <w:rFonts w:hint="eastAsia" w:ascii="宋体" w:hAnsi="宋体" w:cs="宋体"/>
          <w:szCs w:val="21"/>
        </w:rPr>
        <w:t>乙方代表：</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p>
    <w:p w14:paraId="25E981D7">
      <w:pPr>
        <w:pStyle w:val="5"/>
        <w:spacing w:before="156"/>
        <w:ind w:firstLine="422"/>
        <w:rPr>
          <w:rFonts w:hint="eastAsia" w:cs="宋体"/>
        </w:rPr>
      </w:pPr>
      <w:r>
        <w:rPr>
          <w:rFonts w:hint="eastAsia" w:cs="宋体"/>
        </w:rPr>
        <w:t>（</w:t>
      </w:r>
      <w:r>
        <w:rPr>
          <w:rFonts w:hint="eastAsia" w:cs="宋体"/>
          <w:lang w:val="en-US" w:eastAsia="zh-CN"/>
        </w:rPr>
        <w:t>九</w:t>
      </w:r>
      <w:r>
        <w:rPr>
          <w:rFonts w:hint="eastAsia" w:cs="宋体"/>
        </w:rPr>
        <w:t>）服务考核与验收</w:t>
      </w:r>
    </w:p>
    <w:p w14:paraId="047986AB">
      <w:pPr>
        <w:adjustRightInd w:val="0"/>
        <w:snapToGrid w:val="0"/>
        <w:spacing w:line="300" w:lineRule="auto"/>
        <w:ind w:firstLine="420" w:firstLineChars="200"/>
        <w:rPr>
          <w:rFonts w:ascii="宋体" w:hAnsi="宋体" w:cs="宋体"/>
          <w:szCs w:val="21"/>
        </w:rPr>
      </w:pPr>
      <w:r>
        <w:rPr>
          <w:rFonts w:hint="eastAsia" w:ascii="宋体" w:hAnsi="宋体" w:cs="宋体"/>
          <w:szCs w:val="21"/>
        </w:rPr>
        <w:t>项目完成后，乙方应及时向甲方发出书面履约完成通知，甲方在收到乙方履约完成通知后，应及时做好组织验收的准备工作，制定验收方案，成立验收小组，组织实施验收和履约评价。</w:t>
      </w:r>
    </w:p>
    <w:p w14:paraId="4522DEA8">
      <w:pPr>
        <w:adjustRightInd w:val="0"/>
        <w:snapToGrid w:val="0"/>
        <w:spacing w:line="300" w:lineRule="auto"/>
        <w:ind w:firstLine="420" w:firstLineChars="200"/>
        <w:rPr>
          <w:rFonts w:ascii="宋体" w:hAnsi="宋体" w:cs="宋体"/>
          <w:szCs w:val="21"/>
        </w:rPr>
      </w:pPr>
      <w:r>
        <w:rPr>
          <w:rFonts w:hint="eastAsia" w:ascii="宋体" w:hAnsi="宋体" w:cs="宋体"/>
          <w:szCs w:val="21"/>
        </w:rPr>
        <w:t>检查结果符合《国家林业和草原局关于印发&lt;松材线虫病防治技术方案（</w:t>
      </w:r>
      <w:r>
        <w:rPr>
          <w:rFonts w:ascii="宋体" w:hAnsi="宋体" w:cs="宋体"/>
          <w:szCs w:val="21"/>
        </w:rPr>
        <w:t>202</w:t>
      </w:r>
      <w:r>
        <w:rPr>
          <w:rFonts w:hint="eastAsia" w:ascii="宋体" w:hAnsi="宋体" w:cs="宋体"/>
          <w:szCs w:val="21"/>
        </w:rPr>
        <w:t>2</w:t>
      </w:r>
      <w:r>
        <w:rPr>
          <w:rFonts w:ascii="宋体" w:hAnsi="宋体" w:cs="宋体"/>
          <w:szCs w:val="21"/>
        </w:rPr>
        <w:t>年版）</w:t>
      </w:r>
      <w:r>
        <w:rPr>
          <w:rFonts w:hint="eastAsia" w:ascii="宋体" w:hAnsi="宋体" w:cs="宋体"/>
          <w:szCs w:val="21"/>
        </w:rPr>
        <w:t>&gt;</w:t>
      </w:r>
      <w:r>
        <w:rPr>
          <w:rFonts w:ascii="宋体" w:hAnsi="宋体" w:cs="宋体"/>
          <w:szCs w:val="21"/>
        </w:rPr>
        <w:t>的通知</w:t>
      </w:r>
      <w:r>
        <w:rPr>
          <w:rFonts w:hint="eastAsia" w:ascii="宋体" w:hAnsi="宋体" w:cs="宋体"/>
          <w:szCs w:val="21"/>
        </w:rPr>
        <w:t>》</w:t>
      </w:r>
      <w:r>
        <w:rPr>
          <w:rFonts w:ascii="宋体" w:hAnsi="宋体" w:cs="宋体"/>
          <w:szCs w:val="21"/>
        </w:rPr>
        <w:t>（林生发〔202</w:t>
      </w:r>
      <w:r>
        <w:rPr>
          <w:rFonts w:hint="eastAsia" w:ascii="宋体" w:hAnsi="宋体" w:cs="宋体"/>
          <w:szCs w:val="21"/>
        </w:rPr>
        <w:t>2</w:t>
      </w:r>
      <w:r>
        <w:rPr>
          <w:rFonts w:ascii="宋体" w:hAnsi="宋体" w:cs="宋体"/>
          <w:szCs w:val="21"/>
        </w:rPr>
        <w:t>〕9</w:t>
      </w:r>
      <w:r>
        <w:rPr>
          <w:rFonts w:hint="eastAsia" w:ascii="宋体" w:hAnsi="宋体" w:cs="宋体"/>
          <w:szCs w:val="21"/>
        </w:rPr>
        <w:t>4</w:t>
      </w:r>
      <w:r>
        <w:rPr>
          <w:rFonts w:ascii="宋体" w:hAnsi="宋体" w:cs="宋体"/>
          <w:szCs w:val="21"/>
        </w:rPr>
        <w:t>号）</w:t>
      </w:r>
      <w:r>
        <w:rPr>
          <w:rFonts w:hint="eastAsia" w:ascii="宋体" w:hAnsi="宋体" w:cs="宋体"/>
          <w:szCs w:val="21"/>
        </w:rPr>
        <w:t>的，验收小组完成验收后应出具验收书，验收书应包括技术、服务、安全等方面的履约情况。</w:t>
      </w:r>
    </w:p>
    <w:p w14:paraId="3205C7F1">
      <w:pPr>
        <w:pStyle w:val="5"/>
        <w:spacing w:before="156"/>
        <w:ind w:firstLine="422"/>
        <w:rPr>
          <w:rFonts w:hint="eastAsia" w:cs="宋体"/>
        </w:rPr>
      </w:pPr>
      <w:r>
        <w:rPr>
          <w:rFonts w:hint="eastAsia" w:cs="宋体"/>
        </w:rPr>
        <w:t>（十）违约责任</w:t>
      </w:r>
    </w:p>
    <w:p w14:paraId="4B3D26B2">
      <w:pPr>
        <w:adjustRightInd w:val="0"/>
        <w:snapToGrid w:val="0"/>
        <w:spacing w:line="300" w:lineRule="auto"/>
        <w:ind w:firstLine="420" w:firstLineChars="200"/>
        <w:rPr>
          <w:rFonts w:ascii="宋体" w:hAnsi="宋体" w:cs="宋体"/>
          <w:szCs w:val="21"/>
        </w:rPr>
      </w:pPr>
      <w:r>
        <w:rPr>
          <w:rFonts w:hint="eastAsia" w:ascii="宋体" w:hAnsi="宋体" w:cs="宋体"/>
          <w:szCs w:val="21"/>
        </w:rPr>
        <w:t>除本合同规定的不可抗力外，如果乙方没有按照合同规定的时间提供服务，甲方可要求乙方支付违约金，每逾期一周，按合同款的</w:t>
      </w:r>
      <w:r>
        <w:rPr>
          <w:rFonts w:ascii="宋体" w:hAnsi="宋体" w:cs="宋体"/>
          <w:szCs w:val="21"/>
        </w:rPr>
        <w:t>0.5%计收</w:t>
      </w:r>
      <w:r>
        <w:rPr>
          <w:rFonts w:hint="eastAsia" w:ascii="宋体" w:hAnsi="宋体" w:cs="宋体"/>
          <w:szCs w:val="21"/>
        </w:rPr>
        <w:t>违约金</w:t>
      </w:r>
      <w:r>
        <w:rPr>
          <w:rFonts w:ascii="宋体" w:hAnsi="宋体" w:cs="宋体"/>
          <w:szCs w:val="21"/>
        </w:rPr>
        <w:t>。但违约金的最高限额为合同价的5%。一周按7天计算，不足7天按一周计算。如果达到最高限额，甲方有权解除合同。</w:t>
      </w:r>
    </w:p>
    <w:p w14:paraId="52F43C20">
      <w:pPr>
        <w:adjustRightInd w:val="0"/>
        <w:snapToGrid w:val="0"/>
        <w:spacing w:line="300" w:lineRule="auto"/>
        <w:ind w:firstLine="420" w:firstLineChars="200"/>
        <w:rPr>
          <w:rFonts w:ascii="宋体" w:hAnsi="宋体" w:cs="宋体"/>
          <w:szCs w:val="21"/>
        </w:rPr>
      </w:pPr>
      <w:r>
        <w:rPr>
          <w:rFonts w:hint="eastAsia" w:ascii="宋体" w:hAnsi="宋体" w:cs="宋体"/>
          <w:szCs w:val="21"/>
        </w:rPr>
        <w:t>项目结束时验收不合格，乙方应在收到甲方通知后7日内退还甲方已支付的合同款，逾期退还合同款的，每日按未退还金额的5</w:t>
      </w:r>
      <w:r>
        <w:rPr>
          <w:rFonts w:ascii="宋体" w:hAnsi="宋体" w:cs="宋体"/>
          <w:szCs w:val="21"/>
        </w:rPr>
        <w:t>%支付违约金。</w:t>
      </w:r>
    </w:p>
    <w:p w14:paraId="305B5BD2">
      <w:pPr>
        <w:adjustRightInd w:val="0"/>
        <w:snapToGrid w:val="0"/>
        <w:spacing w:line="300" w:lineRule="auto"/>
        <w:ind w:firstLine="420" w:firstLineChars="200"/>
        <w:rPr>
          <w:rFonts w:ascii="宋体" w:hAnsi="宋体" w:cs="宋体"/>
          <w:szCs w:val="21"/>
        </w:rPr>
      </w:pPr>
      <w:r>
        <w:rPr>
          <w:rFonts w:hint="eastAsia" w:ascii="宋体" w:hAnsi="宋体" w:cs="宋体"/>
          <w:szCs w:val="21"/>
        </w:rPr>
        <w:t>其他违约条款双方协商确定：</w:t>
      </w:r>
      <w:r>
        <w:rPr>
          <w:rFonts w:ascii="宋体" w:hAnsi="宋体" w:cs="宋体"/>
          <w:szCs w:val="21"/>
          <w:u w:val="single"/>
        </w:rPr>
        <w:t xml:space="preserve">                              </w:t>
      </w:r>
      <w:r>
        <w:rPr>
          <w:rFonts w:ascii="宋体" w:hAnsi="宋体" w:cs="宋体"/>
          <w:szCs w:val="21"/>
        </w:rPr>
        <w:t xml:space="preserve">       </w:t>
      </w:r>
    </w:p>
    <w:p w14:paraId="6808F449">
      <w:pPr>
        <w:pStyle w:val="5"/>
        <w:spacing w:before="156"/>
        <w:ind w:firstLine="422"/>
        <w:rPr>
          <w:rFonts w:hint="eastAsia" w:cs="宋体"/>
        </w:rPr>
      </w:pPr>
      <w:r>
        <w:rPr>
          <w:rFonts w:hint="eastAsia" w:cs="宋体"/>
        </w:rPr>
        <w:t>（十</w:t>
      </w:r>
      <w:r>
        <w:rPr>
          <w:rFonts w:hint="eastAsia" w:cs="宋体"/>
          <w:lang w:val="en-US" w:eastAsia="zh-CN"/>
        </w:rPr>
        <w:t>一</w:t>
      </w:r>
      <w:r>
        <w:rPr>
          <w:rFonts w:hint="eastAsia" w:cs="宋体"/>
        </w:rPr>
        <w:t>）解决争议的方法</w:t>
      </w:r>
    </w:p>
    <w:p w14:paraId="1AC988D7">
      <w:pPr>
        <w:adjustRightInd w:val="0"/>
        <w:snapToGrid w:val="0"/>
        <w:spacing w:line="300" w:lineRule="auto"/>
        <w:ind w:firstLine="420" w:firstLineChars="200"/>
        <w:rPr>
          <w:rFonts w:ascii="宋体" w:hAnsi="宋体" w:cs="宋体"/>
          <w:szCs w:val="21"/>
        </w:rPr>
      </w:pPr>
      <w:r>
        <w:rPr>
          <w:rFonts w:hint="eastAsia" w:ascii="宋体" w:hAnsi="宋体" w:cs="宋体"/>
          <w:szCs w:val="21"/>
        </w:rPr>
        <w:t>因本合同引起的或与本合同有关的任何争议，可通过合同当事人双方友好协商解决。如自协商开始之起</w:t>
      </w:r>
      <w:r>
        <w:rPr>
          <w:rFonts w:ascii="宋体" w:hAnsi="宋体" w:cs="宋体"/>
          <w:szCs w:val="21"/>
        </w:rPr>
        <w:t xml:space="preserve">15日内得不到解决，双方应将争议提交政府采购监管部门调解。调解不成的，可申请 </w:t>
      </w:r>
      <w:r>
        <w:rPr>
          <w:rFonts w:hint="eastAsia" w:ascii="宋体" w:hAnsi="宋体" w:cs="宋体"/>
          <w:szCs w:val="21"/>
          <w:lang w:val="en-US" w:eastAsia="zh-CN"/>
        </w:rPr>
        <w:t>台州</w:t>
      </w:r>
      <w:r>
        <w:rPr>
          <w:rFonts w:ascii="宋体" w:hAnsi="宋体" w:cs="宋体"/>
          <w:szCs w:val="21"/>
        </w:rPr>
        <w:t xml:space="preserve"> </w:t>
      </w:r>
      <w:r>
        <w:rPr>
          <w:rFonts w:hint="eastAsia" w:ascii="宋体" w:hAnsi="宋体" w:cs="宋体"/>
          <w:szCs w:val="21"/>
        </w:rPr>
        <w:t>仲裁委员会进行仲裁。</w:t>
      </w:r>
    </w:p>
    <w:p w14:paraId="34A60FF7">
      <w:pPr>
        <w:adjustRightInd w:val="0"/>
        <w:snapToGrid w:val="0"/>
        <w:spacing w:line="300" w:lineRule="auto"/>
        <w:ind w:firstLine="420" w:firstLineChars="200"/>
        <w:rPr>
          <w:rFonts w:ascii="宋体" w:hAnsi="宋体" w:cs="宋体"/>
          <w:szCs w:val="21"/>
        </w:rPr>
      </w:pPr>
      <w:r>
        <w:rPr>
          <w:rFonts w:hint="eastAsia" w:ascii="宋体" w:hAnsi="宋体" w:cs="宋体"/>
          <w:szCs w:val="21"/>
        </w:rPr>
        <w:t>仲裁裁决为最终裁决，当事人一方在规定时间内不履行仲裁机构裁决的，另一方可以申请人民法院强制执行。</w:t>
      </w:r>
    </w:p>
    <w:p w14:paraId="643C8E48">
      <w:pPr>
        <w:adjustRightInd w:val="0"/>
        <w:snapToGrid w:val="0"/>
        <w:spacing w:line="300" w:lineRule="auto"/>
        <w:ind w:firstLine="420" w:firstLineChars="200"/>
        <w:rPr>
          <w:rFonts w:hint="eastAsia" w:ascii="宋体" w:hAnsi="宋体" w:cs="宋体"/>
          <w:szCs w:val="21"/>
          <w:lang w:eastAsia="zh-CN"/>
        </w:rPr>
      </w:pPr>
      <w:r>
        <w:rPr>
          <w:rFonts w:hint="eastAsia" w:ascii="宋体" w:hAnsi="宋体" w:cs="宋体"/>
          <w:szCs w:val="21"/>
        </w:rPr>
        <w:t>违约方应当承担相对方为主张权利支出的全部费用（包括但不限于律师费、财产保全费、财产保全保险费等）</w:t>
      </w:r>
      <w:r>
        <w:rPr>
          <w:rFonts w:hint="eastAsia" w:ascii="宋体" w:hAnsi="宋体" w:cs="宋体"/>
          <w:szCs w:val="21"/>
          <w:lang w:eastAsia="zh-CN"/>
        </w:rPr>
        <w:t>。</w:t>
      </w:r>
    </w:p>
    <w:p w14:paraId="4F487DF4">
      <w:pPr>
        <w:pStyle w:val="5"/>
        <w:spacing w:before="156"/>
        <w:ind w:firstLine="422"/>
        <w:rPr>
          <w:rFonts w:hint="eastAsia" w:cs="宋体"/>
        </w:rPr>
      </w:pPr>
      <w:r>
        <w:rPr>
          <w:rFonts w:hint="eastAsia" w:cs="宋体"/>
        </w:rPr>
        <w:t>（十</w:t>
      </w:r>
      <w:r>
        <w:rPr>
          <w:rFonts w:hint="eastAsia" w:cs="宋体"/>
          <w:lang w:val="en-US" w:eastAsia="zh-CN"/>
        </w:rPr>
        <w:t>二</w:t>
      </w:r>
      <w:r>
        <w:rPr>
          <w:rFonts w:hint="eastAsia" w:cs="宋体"/>
        </w:rPr>
        <w:t>）违约解除合同</w:t>
      </w:r>
    </w:p>
    <w:p w14:paraId="0711BE38">
      <w:pPr>
        <w:adjustRightInd w:val="0"/>
        <w:snapToGrid w:val="0"/>
        <w:spacing w:line="300" w:lineRule="auto"/>
        <w:ind w:firstLine="420" w:firstLineChars="200"/>
        <w:rPr>
          <w:rFonts w:ascii="宋体" w:hAnsi="宋体" w:cs="宋体"/>
          <w:szCs w:val="21"/>
        </w:rPr>
      </w:pPr>
      <w:r>
        <w:rPr>
          <w:rFonts w:ascii="宋体" w:hAnsi="宋体" w:cs="宋体"/>
          <w:szCs w:val="21"/>
        </w:rPr>
        <w:t>1、在乙方违约的情况下，甲方可向乙方发出书面通知，部分或全部终止合同。同时保留向乙方追诉的权利。</w:t>
      </w:r>
    </w:p>
    <w:p w14:paraId="0366A918">
      <w:pPr>
        <w:adjustRightInd w:val="0"/>
        <w:snapToGrid w:val="0"/>
        <w:spacing w:line="300" w:lineRule="auto"/>
        <w:ind w:firstLine="420" w:firstLineChars="200"/>
        <w:rPr>
          <w:rFonts w:ascii="宋体" w:hAnsi="宋体" w:cs="宋体"/>
          <w:szCs w:val="21"/>
        </w:rPr>
      </w:pPr>
      <w:r>
        <w:rPr>
          <w:rFonts w:ascii="宋体" w:hAnsi="宋体" w:cs="宋体"/>
          <w:szCs w:val="21"/>
        </w:rPr>
        <w:t>1.1乙方未能在合同规定的限期或甲方同意延长的限期内，提供全部或部分</w:t>
      </w:r>
      <w:r>
        <w:rPr>
          <w:rFonts w:hint="eastAsia" w:ascii="宋体" w:hAnsi="宋体" w:cs="宋体"/>
          <w:szCs w:val="21"/>
        </w:rPr>
        <w:t>服务</w:t>
      </w:r>
      <w:r>
        <w:rPr>
          <w:rFonts w:ascii="宋体" w:hAnsi="宋体" w:cs="宋体"/>
          <w:szCs w:val="21"/>
        </w:rPr>
        <w:t xml:space="preserve">的； </w:t>
      </w:r>
    </w:p>
    <w:p w14:paraId="521C94C6">
      <w:pPr>
        <w:adjustRightInd w:val="0"/>
        <w:snapToGrid w:val="0"/>
        <w:spacing w:line="300" w:lineRule="auto"/>
        <w:ind w:firstLine="420" w:firstLineChars="200"/>
        <w:rPr>
          <w:rFonts w:ascii="宋体" w:hAnsi="宋体" w:cs="宋体"/>
          <w:szCs w:val="21"/>
        </w:rPr>
      </w:pPr>
      <w:r>
        <w:rPr>
          <w:rFonts w:ascii="宋体" w:hAnsi="宋体" w:cs="宋体"/>
          <w:szCs w:val="21"/>
        </w:rPr>
        <w:t>1.2乙方未能履行合同规定的其它主要义务的；</w:t>
      </w:r>
    </w:p>
    <w:p w14:paraId="09C7E6C6">
      <w:pPr>
        <w:adjustRightInd w:val="0"/>
        <w:snapToGrid w:val="0"/>
        <w:spacing w:line="300" w:lineRule="auto"/>
        <w:ind w:firstLine="420" w:firstLineChars="200"/>
        <w:rPr>
          <w:rFonts w:ascii="宋体" w:hAnsi="宋体" w:cs="宋体"/>
          <w:szCs w:val="21"/>
        </w:rPr>
      </w:pPr>
      <w:r>
        <w:rPr>
          <w:rFonts w:ascii="宋体" w:hAnsi="宋体" w:cs="宋体"/>
          <w:szCs w:val="21"/>
        </w:rPr>
        <w:t>1.3甲方认为乙方在本合同履行过程中有腐败和欺诈行为的。</w:t>
      </w:r>
    </w:p>
    <w:p w14:paraId="5E14C9FB">
      <w:pPr>
        <w:adjustRightInd w:val="0"/>
        <w:snapToGrid w:val="0"/>
        <w:spacing w:line="300" w:lineRule="auto"/>
        <w:ind w:firstLine="420" w:firstLineChars="200"/>
        <w:rPr>
          <w:rFonts w:ascii="宋体" w:hAnsi="宋体" w:cs="宋体"/>
          <w:szCs w:val="21"/>
        </w:rPr>
      </w:pPr>
      <w:r>
        <w:rPr>
          <w:rFonts w:ascii="宋体" w:hAnsi="宋体" w:cs="宋体"/>
          <w:szCs w:val="21"/>
        </w:rPr>
        <w:t>1.3.1“腐败行为”和“欺诈行为”定义如下：</w:t>
      </w:r>
    </w:p>
    <w:p w14:paraId="29D982CA">
      <w:pPr>
        <w:adjustRightInd w:val="0"/>
        <w:snapToGrid w:val="0"/>
        <w:spacing w:line="300" w:lineRule="auto"/>
        <w:ind w:firstLine="420" w:firstLineChars="200"/>
        <w:rPr>
          <w:rFonts w:ascii="宋体" w:hAnsi="宋体" w:cs="宋体"/>
          <w:szCs w:val="21"/>
        </w:rPr>
      </w:pPr>
      <w:r>
        <w:rPr>
          <w:rFonts w:ascii="宋体" w:hAnsi="宋体" w:cs="宋体"/>
          <w:szCs w:val="21"/>
        </w:rPr>
        <w:t>1.3.2“腐败行为”是指提供/给予/接受或索取任何有价值的东西来影响甲方在合同签订、履行过程中的行为。</w:t>
      </w:r>
    </w:p>
    <w:p w14:paraId="5478B576">
      <w:pPr>
        <w:adjustRightInd w:val="0"/>
        <w:snapToGrid w:val="0"/>
        <w:spacing w:line="300" w:lineRule="auto"/>
        <w:ind w:firstLine="420" w:firstLineChars="200"/>
        <w:rPr>
          <w:rFonts w:ascii="宋体" w:hAnsi="宋体" w:cs="宋体"/>
          <w:szCs w:val="21"/>
        </w:rPr>
      </w:pPr>
      <w:r>
        <w:rPr>
          <w:rFonts w:ascii="宋体" w:hAnsi="宋体" w:cs="宋体"/>
          <w:szCs w:val="21"/>
        </w:rPr>
        <w:t>1.3.3“欺诈行为”是指为了影响合同签订、履行过程，以谎报事实的方法，损害甲方的利益的行为。</w:t>
      </w:r>
    </w:p>
    <w:p w14:paraId="17E3FF4D">
      <w:pPr>
        <w:adjustRightInd w:val="0"/>
        <w:snapToGrid w:val="0"/>
        <w:spacing w:line="300" w:lineRule="auto"/>
        <w:ind w:firstLine="420" w:firstLineChars="200"/>
        <w:rPr>
          <w:rFonts w:ascii="宋体" w:hAnsi="宋体" w:cs="宋体"/>
          <w:szCs w:val="21"/>
        </w:rPr>
      </w:pPr>
      <w:r>
        <w:rPr>
          <w:rFonts w:ascii="宋体" w:hAnsi="宋体" w:cs="宋体"/>
          <w:szCs w:val="21"/>
        </w:rPr>
        <w:t xml:space="preserve">2、甲方解除合同的，合同于甲方发出书面解除合同通知书送达乙方之日起解除。乙方应在合同解除后  </w:t>
      </w:r>
      <w:r>
        <w:rPr>
          <w:rFonts w:hint="eastAsia" w:ascii="宋体" w:hAnsi="宋体" w:cs="宋体"/>
          <w:szCs w:val="21"/>
          <w:lang w:val="en-US" w:eastAsia="zh-CN"/>
        </w:rPr>
        <w:t xml:space="preserve">10 </w:t>
      </w:r>
      <w:r>
        <w:rPr>
          <w:rFonts w:ascii="宋体" w:hAnsi="宋体" w:cs="宋体"/>
          <w:szCs w:val="21"/>
        </w:rPr>
        <w:t xml:space="preserve"> </w:t>
      </w:r>
      <w:r>
        <w:rPr>
          <w:rFonts w:hint="eastAsia" w:ascii="宋体" w:hAnsi="宋体" w:cs="宋体"/>
          <w:szCs w:val="21"/>
        </w:rPr>
        <w:t>日内退还甲方已支付的合同款，逾期退还合同款的，每日按未退还金额的</w:t>
      </w:r>
      <w:r>
        <w:rPr>
          <w:rFonts w:hint="eastAsia" w:ascii="宋体" w:hAnsi="宋体" w:cs="宋体"/>
          <w:szCs w:val="21"/>
          <w:lang w:val="en-US" w:eastAsia="zh-CN"/>
        </w:rPr>
        <w:t xml:space="preserve"> 1</w:t>
      </w:r>
      <w:r>
        <w:rPr>
          <w:rFonts w:ascii="宋体" w:hAnsi="宋体" w:cs="宋体"/>
          <w:szCs w:val="21"/>
        </w:rPr>
        <w:t xml:space="preserve"> %支付违约金。</w:t>
      </w:r>
    </w:p>
    <w:p w14:paraId="3220C5DE">
      <w:pPr>
        <w:pStyle w:val="5"/>
        <w:spacing w:before="156"/>
        <w:ind w:firstLine="422"/>
        <w:rPr>
          <w:rFonts w:hint="eastAsia" w:cs="宋体"/>
        </w:rPr>
      </w:pPr>
      <w:r>
        <w:rPr>
          <w:rFonts w:hint="eastAsia" w:cs="宋体"/>
        </w:rPr>
        <w:t>（十</w:t>
      </w:r>
      <w:r>
        <w:rPr>
          <w:rFonts w:hint="eastAsia" w:cs="宋体"/>
          <w:lang w:val="en-US" w:eastAsia="zh-CN"/>
        </w:rPr>
        <w:t>三</w:t>
      </w:r>
      <w:r>
        <w:rPr>
          <w:rFonts w:hint="eastAsia" w:cs="宋体"/>
        </w:rPr>
        <w:t>）破产终止合同</w:t>
      </w:r>
    </w:p>
    <w:p w14:paraId="3173E921">
      <w:pPr>
        <w:adjustRightInd w:val="0"/>
        <w:snapToGrid w:val="0"/>
        <w:spacing w:line="300" w:lineRule="auto"/>
        <w:ind w:firstLine="420" w:firstLineChars="200"/>
        <w:rPr>
          <w:rFonts w:ascii="宋体" w:hAnsi="宋体" w:cs="宋体"/>
          <w:szCs w:val="21"/>
        </w:rPr>
      </w:pPr>
      <w:r>
        <w:rPr>
          <w:rFonts w:hint="eastAsia" w:ascii="宋体" w:hAnsi="宋体" w:cs="宋体"/>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6FF6DA7D">
      <w:pPr>
        <w:pStyle w:val="5"/>
        <w:spacing w:before="156"/>
        <w:ind w:firstLine="422"/>
        <w:rPr>
          <w:rFonts w:hint="eastAsia" w:cs="宋体"/>
        </w:rPr>
      </w:pPr>
      <w:r>
        <w:rPr>
          <w:rFonts w:hint="eastAsia" w:cs="宋体"/>
        </w:rPr>
        <w:t>（十</w:t>
      </w:r>
      <w:r>
        <w:rPr>
          <w:rFonts w:hint="eastAsia" w:cs="宋体"/>
          <w:lang w:val="en-US" w:eastAsia="zh-CN"/>
        </w:rPr>
        <w:t>四</w:t>
      </w:r>
      <w:r>
        <w:rPr>
          <w:rFonts w:hint="eastAsia" w:cs="宋体"/>
        </w:rPr>
        <w:t>）转让和分包</w:t>
      </w:r>
    </w:p>
    <w:p w14:paraId="2B0E32E0">
      <w:pPr>
        <w:adjustRightInd w:val="0"/>
        <w:snapToGrid w:val="0"/>
        <w:spacing w:line="30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本合同</w:t>
      </w:r>
      <w:r>
        <w:rPr>
          <w:rFonts w:ascii="宋体" w:hAnsi="宋体" w:cs="宋体"/>
          <w:szCs w:val="21"/>
        </w:rPr>
        <w:t>不能转让</w:t>
      </w:r>
      <w:r>
        <w:rPr>
          <w:rFonts w:hint="eastAsia" w:ascii="宋体" w:hAnsi="宋体" w:cs="宋体"/>
          <w:szCs w:val="21"/>
        </w:rPr>
        <w:t>、转包</w:t>
      </w:r>
      <w:r>
        <w:rPr>
          <w:rFonts w:ascii="宋体" w:hAnsi="宋体" w:cs="宋体"/>
          <w:szCs w:val="21"/>
        </w:rPr>
        <w:t>。</w:t>
      </w:r>
    </w:p>
    <w:p w14:paraId="3B96A102">
      <w:pPr>
        <w:adjustRightInd w:val="0"/>
        <w:snapToGrid w:val="0"/>
        <w:spacing w:line="300" w:lineRule="auto"/>
        <w:ind w:firstLine="420" w:firstLineChars="200"/>
        <w:rPr>
          <w:rFonts w:ascii="宋体" w:hAnsi="宋体" w:cs="宋体"/>
          <w:szCs w:val="21"/>
        </w:rPr>
      </w:pPr>
      <w:r>
        <w:rPr>
          <w:rFonts w:ascii="宋体" w:hAnsi="宋体" w:cs="宋体"/>
          <w:szCs w:val="21"/>
        </w:rPr>
        <w:t>2、经甲方事先书面同意</w:t>
      </w:r>
      <w:r>
        <w:rPr>
          <w:rFonts w:hint="eastAsia" w:ascii="宋体" w:hAnsi="宋体" w:cs="宋体"/>
          <w:szCs w:val="21"/>
        </w:rPr>
        <w:t>，</w:t>
      </w:r>
      <w:r>
        <w:rPr>
          <w:rFonts w:ascii="宋体" w:hAnsi="宋体" w:cs="宋体"/>
          <w:szCs w:val="21"/>
        </w:rPr>
        <w:t>乙方可以将合同项下非主体、非关键性工作分包给他人完成。接受分包的人应当具备相应的资格条件，并不得再次分包。分包后不能解除乙方履行本合同的责任和义务，接受分包的</w:t>
      </w:r>
      <w:r>
        <w:rPr>
          <w:rFonts w:hint="eastAsia" w:ascii="宋体" w:hAnsi="宋体" w:cs="宋体"/>
          <w:szCs w:val="21"/>
        </w:rPr>
        <w:t>主体</w:t>
      </w:r>
      <w:r>
        <w:rPr>
          <w:rFonts w:ascii="宋体" w:hAnsi="宋体" w:cs="宋体"/>
          <w:szCs w:val="21"/>
        </w:rPr>
        <w:t>与乙方共同对甲方连带承担合同的责任和义务。</w:t>
      </w:r>
    </w:p>
    <w:p w14:paraId="44DD4B2D">
      <w:pPr>
        <w:pStyle w:val="5"/>
        <w:spacing w:before="156"/>
        <w:ind w:firstLine="422"/>
        <w:rPr>
          <w:rFonts w:hint="eastAsia" w:cs="宋体"/>
        </w:rPr>
      </w:pPr>
      <w:r>
        <w:rPr>
          <w:rFonts w:hint="eastAsia" w:cs="宋体"/>
        </w:rPr>
        <w:t>（十</w:t>
      </w:r>
      <w:r>
        <w:rPr>
          <w:rFonts w:hint="eastAsia" w:cs="宋体"/>
          <w:lang w:val="en-US" w:eastAsia="zh-CN"/>
        </w:rPr>
        <w:t>五</w:t>
      </w:r>
      <w:r>
        <w:rPr>
          <w:rFonts w:hint="eastAsia" w:cs="宋体"/>
        </w:rPr>
        <w:t>）合同变更、解除</w:t>
      </w:r>
    </w:p>
    <w:p w14:paraId="45C40573">
      <w:pPr>
        <w:adjustRightInd w:val="0"/>
        <w:snapToGrid w:val="0"/>
        <w:spacing w:line="300" w:lineRule="auto"/>
        <w:ind w:firstLine="420" w:firstLineChars="200"/>
        <w:rPr>
          <w:rFonts w:ascii="宋体" w:hAnsi="宋体" w:cs="宋体"/>
          <w:szCs w:val="21"/>
        </w:rPr>
      </w:pPr>
      <w:r>
        <w:rPr>
          <w:rFonts w:ascii="宋体" w:hAnsi="宋体" w:cs="宋体"/>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21AC2BE">
      <w:pPr>
        <w:adjustRightInd w:val="0"/>
        <w:snapToGrid w:val="0"/>
        <w:spacing w:line="300" w:lineRule="auto"/>
        <w:ind w:firstLine="420" w:firstLineChars="200"/>
        <w:rPr>
          <w:rFonts w:ascii="宋体" w:hAnsi="宋体" w:cs="宋体"/>
          <w:szCs w:val="21"/>
        </w:rPr>
      </w:pPr>
      <w:r>
        <w:rPr>
          <w:rFonts w:ascii="宋体" w:hAnsi="宋体" w:cs="宋体"/>
          <w:szCs w:val="21"/>
        </w:rPr>
        <w:t>2、有下列情形之一的，双方协商一致可以变更合同：</w:t>
      </w:r>
    </w:p>
    <w:p w14:paraId="66D26235">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1）发生不可预见的紧急情况，继续按照原合同履行不能实现采购目的，又不能从其他供应商处采购；</w:t>
      </w:r>
    </w:p>
    <w:p w14:paraId="66DD97F0">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2）因甲方的过错导致不能实现采购目的，重新采购费用和违约金、违约损失赔偿金额占合同金额比例过大，但违背社会公共利益的除外；</w:t>
      </w:r>
    </w:p>
    <w:p w14:paraId="06F0E7A4">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3）属于合同主要条款确定的事项，但变更不改变合同实质性内容；</w:t>
      </w:r>
    </w:p>
    <w:p w14:paraId="1BF68E7D">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变更条款属于</w:t>
      </w:r>
      <w:r>
        <w:rPr>
          <w:rFonts w:ascii="宋体" w:hAnsi="宋体" w:cs="宋体"/>
          <w:szCs w:val="21"/>
        </w:rPr>
        <w:t>合同主要条款以外的内容；</w:t>
      </w:r>
    </w:p>
    <w:p w14:paraId="458F7104">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5）法律、法规规定可以变更合同的其他情形。</w:t>
      </w:r>
    </w:p>
    <w:p w14:paraId="7B7B18CE">
      <w:pPr>
        <w:adjustRightInd w:val="0"/>
        <w:snapToGrid w:val="0"/>
        <w:spacing w:line="300" w:lineRule="auto"/>
        <w:ind w:firstLine="420" w:firstLineChars="200"/>
        <w:rPr>
          <w:rFonts w:ascii="宋体" w:hAnsi="宋体" w:cs="宋体"/>
          <w:szCs w:val="21"/>
        </w:rPr>
      </w:pPr>
      <w:r>
        <w:rPr>
          <w:rFonts w:hint="eastAsia" w:ascii="宋体" w:hAnsi="宋体" w:cs="宋体"/>
          <w:szCs w:val="21"/>
        </w:rPr>
        <w:t>当事人协商一致变更合同的，应当报同级财政部门备案。</w:t>
      </w:r>
    </w:p>
    <w:p w14:paraId="62C311AD">
      <w:pPr>
        <w:adjustRightInd w:val="0"/>
        <w:snapToGrid w:val="0"/>
        <w:spacing w:line="300" w:lineRule="auto"/>
        <w:ind w:firstLine="420" w:firstLineChars="200"/>
        <w:rPr>
          <w:rFonts w:ascii="宋体" w:hAnsi="宋体" w:cs="宋体"/>
          <w:szCs w:val="21"/>
        </w:rPr>
      </w:pPr>
      <w:r>
        <w:rPr>
          <w:rFonts w:ascii="宋体" w:hAnsi="宋体" w:cs="宋体"/>
          <w:szCs w:val="21"/>
        </w:rPr>
        <w:t>3、有下列情形之一的，</w:t>
      </w:r>
      <w:r>
        <w:rPr>
          <w:rFonts w:hint="eastAsia" w:ascii="宋体" w:hAnsi="宋体" w:cs="宋体"/>
          <w:szCs w:val="21"/>
        </w:rPr>
        <w:t>本</w:t>
      </w:r>
      <w:r>
        <w:rPr>
          <w:rFonts w:ascii="宋体" w:hAnsi="宋体" w:cs="宋体"/>
          <w:szCs w:val="21"/>
        </w:rPr>
        <w:t>合同的双方当事人可以解除合同：</w:t>
      </w:r>
    </w:p>
    <w:p w14:paraId="04D757F4">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1）因不可抗力致使不能实现合同目的；</w:t>
      </w:r>
    </w:p>
    <w:p w14:paraId="5DFBD4F4">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2）在履行期限届满之前，乙方明确表示或者以自己的行为表示不履行主要义务；</w:t>
      </w:r>
    </w:p>
    <w:p w14:paraId="07A9B732">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3）乙方迟延履行主要义务，经催告后在合理期限内仍未履行；</w:t>
      </w:r>
    </w:p>
    <w:p w14:paraId="0D62C0A5">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4）乙方迟延履行义务或者有其他违约行为致使不能实现合同目的；</w:t>
      </w:r>
    </w:p>
    <w:p w14:paraId="0B00FFD9">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5）乙方转包，或者未经甲方同意采取分包方式履行合同；</w:t>
      </w:r>
    </w:p>
    <w:p w14:paraId="2C3A258F">
      <w:pPr>
        <w:adjustRightInd w:val="0"/>
        <w:snapToGrid w:val="0"/>
        <w:spacing w:line="30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6）法律、法规规定的其他情形。</w:t>
      </w:r>
    </w:p>
    <w:p w14:paraId="7D50A395">
      <w:pPr>
        <w:adjustRightInd w:val="0"/>
        <w:snapToGrid w:val="0"/>
        <w:spacing w:line="300" w:lineRule="auto"/>
        <w:ind w:firstLine="420" w:firstLineChars="200"/>
        <w:rPr>
          <w:rFonts w:ascii="宋体" w:hAnsi="宋体" w:cs="宋体"/>
          <w:color w:val="auto"/>
          <w:sz w:val="28"/>
          <w:szCs w:val="28"/>
          <w:highlight w:val="none"/>
        </w:rPr>
      </w:pPr>
      <w:r>
        <w:rPr>
          <w:rFonts w:hint="eastAsia" w:ascii="宋体" w:hAnsi="宋体" w:cs="宋体"/>
          <w:szCs w:val="21"/>
        </w:rPr>
        <w:t>甲方解除合同的，应当报同级财政部门备案。</w:t>
      </w:r>
    </w:p>
    <w:p w14:paraId="421F0509">
      <w:pPr>
        <w:pStyle w:val="5"/>
        <w:spacing w:before="156"/>
        <w:ind w:firstLine="422"/>
        <w:rPr>
          <w:rFonts w:hint="eastAsia" w:cs="宋体"/>
        </w:rPr>
      </w:pPr>
      <w:r>
        <w:rPr>
          <w:rFonts w:hint="eastAsia" w:cs="宋体"/>
        </w:rPr>
        <w:t>（十</w:t>
      </w:r>
      <w:r>
        <w:rPr>
          <w:rFonts w:hint="eastAsia" w:cs="宋体"/>
          <w:lang w:val="en-US" w:eastAsia="zh-CN"/>
        </w:rPr>
        <w:t>六</w:t>
      </w:r>
      <w:r>
        <w:rPr>
          <w:rFonts w:hint="eastAsia" w:cs="宋体"/>
        </w:rPr>
        <w:t>）通知</w:t>
      </w:r>
    </w:p>
    <w:p w14:paraId="168FF763">
      <w:pPr>
        <w:adjustRightInd w:val="0"/>
        <w:snapToGrid w:val="0"/>
        <w:spacing w:line="300" w:lineRule="auto"/>
        <w:ind w:firstLine="420" w:firstLineChars="200"/>
        <w:rPr>
          <w:rFonts w:ascii="宋体" w:hAnsi="宋体" w:cs="宋体"/>
          <w:color w:val="auto"/>
          <w:sz w:val="28"/>
          <w:szCs w:val="28"/>
          <w:highlight w:val="none"/>
        </w:rPr>
      </w:pPr>
      <w:r>
        <w:rPr>
          <w:rFonts w:hint="eastAsia" w:ascii="宋体" w:hAnsi="宋体" w:cs="宋体"/>
          <w:szCs w:val="21"/>
        </w:rPr>
        <w:t>本合同任何一方给另一方的通知，都应以书面形式发送，而另一方也应以书面形式确认并发送到对方明确的地址。</w:t>
      </w:r>
    </w:p>
    <w:p w14:paraId="6795AD5E">
      <w:pPr>
        <w:pStyle w:val="5"/>
        <w:spacing w:before="156"/>
        <w:ind w:firstLine="422"/>
        <w:rPr>
          <w:rFonts w:hint="eastAsia" w:cs="宋体"/>
        </w:rPr>
      </w:pPr>
      <w:r>
        <w:rPr>
          <w:rFonts w:hint="eastAsia" w:cs="宋体"/>
        </w:rPr>
        <w:t>（十</w:t>
      </w:r>
      <w:r>
        <w:rPr>
          <w:rFonts w:hint="eastAsia" w:cs="宋体"/>
          <w:lang w:val="en-US" w:eastAsia="zh-CN"/>
        </w:rPr>
        <w:t>七</w:t>
      </w:r>
      <w:r>
        <w:rPr>
          <w:rFonts w:hint="eastAsia" w:cs="宋体"/>
        </w:rPr>
        <w:t>）计量单位</w:t>
      </w:r>
    </w:p>
    <w:p w14:paraId="294238DC">
      <w:pPr>
        <w:adjustRightInd w:val="0"/>
        <w:snapToGrid w:val="0"/>
        <w:spacing w:line="300" w:lineRule="auto"/>
        <w:ind w:firstLine="420" w:firstLineChars="200"/>
        <w:rPr>
          <w:rFonts w:ascii="宋体" w:hAnsi="宋体" w:cs="宋体"/>
          <w:color w:val="auto"/>
          <w:sz w:val="28"/>
          <w:szCs w:val="28"/>
          <w:highlight w:val="none"/>
        </w:rPr>
      </w:pPr>
      <w:r>
        <w:rPr>
          <w:rFonts w:hint="eastAsia" w:ascii="宋体" w:hAnsi="宋体" w:cs="宋体"/>
          <w:szCs w:val="21"/>
        </w:rPr>
        <w:t>除技术规范中另有规定外，计量单位均使用国家法定计量单位。</w:t>
      </w:r>
    </w:p>
    <w:p w14:paraId="3B427186">
      <w:pPr>
        <w:pStyle w:val="5"/>
        <w:spacing w:before="156"/>
        <w:ind w:firstLine="422"/>
        <w:rPr>
          <w:rFonts w:hint="eastAsia" w:cs="宋体"/>
        </w:rPr>
      </w:pPr>
      <w:r>
        <w:rPr>
          <w:rFonts w:hint="eastAsia" w:cs="宋体"/>
        </w:rPr>
        <w:t>（十</w:t>
      </w:r>
      <w:r>
        <w:rPr>
          <w:rFonts w:hint="eastAsia" w:cs="宋体"/>
          <w:lang w:val="en-US" w:eastAsia="zh-CN"/>
        </w:rPr>
        <w:t>八</w:t>
      </w:r>
      <w:r>
        <w:rPr>
          <w:rFonts w:hint="eastAsia" w:cs="宋体"/>
        </w:rPr>
        <w:t>）不可抗力</w:t>
      </w:r>
    </w:p>
    <w:p w14:paraId="6B4F6782">
      <w:pPr>
        <w:adjustRightInd w:val="0"/>
        <w:snapToGrid w:val="0"/>
        <w:spacing w:line="300" w:lineRule="auto"/>
        <w:ind w:firstLine="420" w:firstLineChars="200"/>
        <w:rPr>
          <w:rFonts w:ascii="宋体" w:hAnsi="宋体" w:cs="宋体"/>
          <w:szCs w:val="21"/>
        </w:rPr>
      </w:pPr>
      <w:r>
        <w:rPr>
          <w:rFonts w:ascii="宋体" w:hAnsi="宋体" w:cs="宋体"/>
          <w:szCs w:val="21"/>
        </w:rPr>
        <w:t>1、如果双方中任何一方遭遇法律规定的不可抗力，致使合同履行受阻时，履行合同的期限应予延长，延长的期限应相当于不可抗力所影响的时间。</w:t>
      </w:r>
    </w:p>
    <w:p w14:paraId="1DE19271">
      <w:pPr>
        <w:adjustRightInd w:val="0"/>
        <w:snapToGrid w:val="0"/>
        <w:spacing w:line="300" w:lineRule="auto"/>
        <w:ind w:firstLine="420" w:firstLineChars="200"/>
        <w:rPr>
          <w:rFonts w:ascii="宋体" w:hAnsi="宋体" w:cs="宋体"/>
          <w:szCs w:val="21"/>
        </w:rPr>
      </w:pPr>
      <w:r>
        <w:rPr>
          <w:rFonts w:ascii="宋体" w:hAnsi="宋体" w:cs="宋体"/>
          <w:szCs w:val="21"/>
        </w:rPr>
        <w:t>2、受事故影响的一方应在不可抗力的事故发生后尽快书面形式通知另一方，并在事故发生后</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】日内</w:t>
      </w:r>
      <w:r>
        <w:rPr>
          <w:rFonts w:ascii="宋体" w:hAnsi="宋体" w:cs="宋体"/>
          <w:szCs w:val="21"/>
        </w:rPr>
        <w:t>，将有关部门出具的证明文件送达另一方。</w:t>
      </w:r>
    </w:p>
    <w:p w14:paraId="5253CDD5">
      <w:pPr>
        <w:adjustRightInd w:val="0"/>
        <w:snapToGrid w:val="0"/>
        <w:spacing w:line="300" w:lineRule="auto"/>
        <w:ind w:firstLine="420" w:firstLineChars="200"/>
        <w:rPr>
          <w:rFonts w:ascii="宋体" w:hAnsi="宋体" w:cs="宋体"/>
          <w:szCs w:val="21"/>
        </w:rPr>
      </w:pPr>
      <w:r>
        <w:rPr>
          <w:rFonts w:ascii="宋体" w:hAnsi="宋体" w:cs="宋体"/>
          <w:szCs w:val="21"/>
        </w:rPr>
        <w:t>3、不可抗力使合同的某些内容有变更必要的，双方应通过协商达成进一步履行合同的协议，因不可抗力致使合同不能履行的，合同终止。</w:t>
      </w:r>
    </w:p>
    <w:p w14:paraId="3F30591C">
      <w:pPr>
        <w:pStyle w:val="5"/>
        <w:spacing w:before="156"/>
        <w:ind w:firstLine="422"/>
        <w:rPr>
          <w:rFonts w:hint="eastAsia" w:cs="宋体"/>
        </w:rPr>
      </w:pPr>
      <w:r>
        <w:rPr>
          <w:rFonts w:hint="eastAsia" w:cs="宋体"/>
        </w:rPr>
        <w:t>（</w:t>
      </w:r>
      <w:r>
        <w:rPr>
          <w:rFonts w:hint="eastAsia" w:cs="宋体"/>
          <w:lang w:val="en-US" w:eastAsia="zh-CN"/>
        </w:rPr>
        <w:t>十九</w:t>
      </w:r>
      <w:r>
        <w:rPr>
          <w:rFonts w:hint="eastAsia" w:cs="宋体"/>
        </w:rPr>
        <w:t>）适用</w:t>
      </w:r>
    </w:p>
    <w:p w14:paraId="18F819AF">
      <w:pPr>
        <w:adjustRightInd w:val="0"/>
        <w:snapToGrid w:val="0"/>
        <w:spacing w:line="300" w:lineRule="auto"/>
        <w:ind w:firstLine="420" w:firstLineChars="200"/>
        <w:rPr>
          <w:rFonts w:ascii="宋体" w:hAnsi="宋体" w:cs="宋体"/>
          <w:szCs w:val="21"/>
        </w:rPr>
      </w:pPr>
      <w:r>
        <w:rPr>
          <w:rFonts w:hint="eastAsia" w:ascii="宋体" w:hAnsi="宋体" w:cs="宋体"/>
          <w:szCs w:val="21"/>
        </w:rPr>
        <w:t>本合同应按照《中华人民共和国政府采购法》、《中华人民共和国民法典》</w:t>
      </w:r>
      <w:r>
        <w:rPr>
          <w:rFonts w:hint="eastAsia" w:ascii="宋体" w:hAnsi="宋体" w:cs="宋体"/>
          <w:szCs w:val="21"/>
          <w:lang w:eastAsia="zh-CN"/>
        </w:rPr>
        <w:t>、</w:t>
      </w:r>
      <w:r>
        <w:rPr>
          <w:rFonts w:hint="eastAsia" w:ascii="宋体" w:hAnsi="宋体" w:cs="宋体"/>
          <w:szCs w:val="21"/>
        </w:rPr>
        <w:t>等法律法规进行解释。</w:t>
      </w:r>
    </w:p>
    <w:p w14:paraId="12816480">
      <w:pPr>
        <w:pStyle w:val="5"/>
        <w:spacing w:before="156"/>
        <w:ind w:firstLine="422"/>
        <w:rPr>
          <w:rFonts w:hint="eastAsia" w:cs="宋体"/>
        </w:rPr>
      </w:pPr>
      <w:r>
        <w:rPr>
          <w:rFonts w:hint="eastAsia" w:cs="宋体"/>
        </w:rPr>
        <w:t>（二十）合同的生效及其他</w:t>
      </w:r>
    </w:p>
    <w:p w14:paraId="3D95328F">
      <w:pPr>
        <w:adjustRightInd w:val="0"/>
        <w:snapToGrid w:val="0"/>
        <w:spacing w:line="300" w:lineRule="auto"/>
        <w:ind w:firstLine="420" w:firstLineChars="200"/>
        <w:rPr>
          <w:rFonts w:ascii="宋体" w:hAnsi="宋体" w:cs="宋体"/>
          <w:szCs w:val="21"/>
        </w:rPr>
      </w:pPr>
      <w:r>
        <w:rPr>
          <w:rFonts w:hint="eastAsia" w:ascii="宋体" w:hAnsi="宋体" w:cs="宋体"/>
          <w:szCs w:val="21"/>
        </w:rPr>
        <w:t>政府采购项目的采购合同内容的确定应以采购文件和投标文件为基础，不得违背其实质性内容。</w:t>
      </w:r>
    </w:p>
    <w:p w14:paraId="31967F53">
      <w:pPr>
        <w:adjustRightInd w:val="0"/>
        <w:snapToGrid w:val="0"/>
        <w:spacing w:line="300" w:lineRule="auto"/>
        <w:ind w:firstLine="420" w:firstLineChars="200"/>
        <w:rPr>
          <w:rFonts w:ascii="宋体" w:hAnsi="宋体" w:cs="宋体"/>
          <w:szCs w:val="21"/>
        </w:rPr>
      </w:pPr>
      <w:r>
        <w:rPr>
          <w:rFonts w:hint="eastAsia" w:ascii="宋体" w:hAnsi="宋体" w:cs="宋体"/>
          <w:szCs w:val="21"/>
        </w:rPr>
        <w:t>本合同将在双方签字盖章后开始生效。授权代表签署的后附法定代表人授权书。</w:t>
      </w:r>
    </w:p>
    <w:p w14:paraId="7F310C7D">
      <w:pPr>
        <w:pStyle w:val="5"/>
        <w:spacing w:before="156"/>
        <w:ind w:firstLine="422"/>
        <w:rPr>
          <w:rFonts w:hint="eastAsia" w:cs="宋体"/>
        </w:rPr>
      </w:pPr>
      <w:r>
        <w:rPr>
          <w:rFonts w:hint="eastAsia" w:cs="宋体"/>
        </w:rPr>
        <w:t>（二十</w:t>
      </w:r>
      <w:r>
        <w:rPr>
          <w:rFonts w:hint="eastAsia" w:cs="宋体"/>
          <w:lang w:val="en-US" w:eastAsia="zh-CN"/>
        </w:rPr>
        <w:t>一</w:t>
      </w:r>
      <w:r>
        <w:rPr>
          <w:rFonts w:hint="eastAsia" w:cs="宋体"/>
        </w:rPr>
        <w:t>）合同附件</w:t>
      </w:r>
    </w:p>
    <w:p w14:paraId="7D2ECDBB">
      <w:pPr>
        <w:adjustRightInd w:val="0"/>
        <w:snapToGrid w:val="0"/>
        <w:spacing w:line="300" w:lineRule="auto"/>
        <w:ind w:firstLine="420" w:firstLineChars="200"/>
        <w:rPr>
          <w:rFonts w:ascii="宋体" w:hAnsi="宋体" w:cs="宋体"/>
          <w:szCs w:val="21"/>
        </w:rPr>
      </w:pPr>
      <w:r>
        <w:rPr>
          <w:rFonts w:hint="eastAsia" w:ascii="宋体" w:hAnsi="宋体" w:cs="宋体"/>
          <w:szCs w:val="21"/>
        </w:rPr>
        <w:t>政府采购预算执行确认书</w:t>
      </w:r>
    </w:p>
    <w:p w14:paraId="04B8ED44">
      <w:pPr>
        <w:pStyle w:val="5"/>
        <w:spacing w:before="156"/>
        <w:ind w:firstLine="422"/>
        <w:rPr>
          <w:rFonts w:hint="eastAsia" w:cs="宋体"/>
        </w:rPr>
      </w:pPr>
      <w:r>
        <w:rPr>
          <w:rFonts w:hint="eastAsia" w:cs="宋体"/>
        </w:rPr>
        <w:t>（二十</w:t>
      </w:r>
      <w:r>
        <w:rPr>
          <w:rFonts w:hint="eastAsia" w:cs="宋体"/>
          <w:lang w:val="en-US" w:eastAsia="zh-CN"/>
        </w:rPr>
        <w:t>二</w:t>
      </w:r>
      <w:r>
        <w:rPr>
          <w:rFonts w:hint="eastAsia" w:cs="宋体"/>
        </w:rPr>
        <w:t>）合同份数</w:t>
      </w:r>
    </w:p>
    <w:p w14:paraId="0EE7877A">
      <w:pPr>
        <w:adjustRightInd w:val="0"/>
        <w:snapToGrid w:val="0"/>
        <w:spacing w:line="30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lang w:val="en-US" w:eastAsia="zh-CN"/>
        </w:rPr>
        <w:t>四</w:t>
      </w:r>
      <w:r>
        <w:rPr>
          <w:rFonts w:hint="eastAsia" w:ascii="宋体" w:hAnsi="宋体" w:cs="宋体"/>
          <w:szCs w:val="21"/>
        </w:rPr>
        <w:t>份，具同等法律效力。甲方、乙方双方各执</w:t>
      </w:r>
      <w:r>
        <w:rPr>
          <w:rFonts w:hint="eastAsia" w:ascii="宋体" w:hAnsi="宋体" w:cs="宋体"/>
          <w:szCs w:val="21"/>
          <w:lang w:val="en-US" w:eastAsia="zh-CN"/>
        </w:rPr>
        <w:t>二</w:t>
      </w:r>
      <w:r>
        <w:rPr>
          <w:rFonts w:hint="eastAsia" w:ascii="宋体" w:hAnsi="宋体" w:cs="宋体"/>
          <w:szCs w:val="21"/>
        </w:rPr>
        <w:t>份。本项目未尽事宜，双方可以协商并签署书面补充协议，该补充协议将作为本合同不可分割的一部分。</w:t>
      </w:r>
    </w:p>
    <w:tbl>
      <w:tblPr>
        <w:tblStyle w:val="2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6DE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FF65064">
            <w:pPr>
              <w:snapToGrid w:val="0"/>
              <w:spacing w:line="300" w:lineRule="auto"/>
              <w:rPr>
                <w:rFonts w:ascii="宋体" w:hAnsi="宋体" w:cs="宋体"/>
                <w:szCs w:val="21"/>
              </w:rPr>
            </w:pPr>
            <w:r>
              <w:rPr>
                <w:rFonts w:hint="eastAsia" w:ascii="宋体" w:hAnsi="宋体" w:cs="宋体"/>
                <w:szCs w:val="21"/>
              </w:rPr>
              <w:t>甲方（单位章）：</w:t>
            </w:r>
            <w:r>
              <w:rPr>
                <w:rFonts w:ascii="宋体" w:hAnsi="宋体" w:cs="宋体"/>
                <w:szCs w:val="21"/>
              </w:rPr>
              <w:t xml:space="preserve"> </w:t>
            </w:r>
          </w:p>
        </w:tc>
        <w:tc>
          <w:tcPr>
            <w:tcW w:w="4701" w:type="dxa"/>
            <w:vAlign w:val="center"/>
          </w:tcPr>
          <w:p w14:paraId="6E48A1A5">
            <w:pPr>
              <w:snapToGrid w:val="0"/>
              <w:spacing w:line="300" w:lineRule="auto"/>
              <w:rPr>
                <w:rFonts w:ascii="宋体" w:hAnsi="宋体" w:cs="宋体"/>
                <w:szCs w:val="21"/>
              </w:rPr>
            </w:pPr>
            <w:r>
              <w:rPr>
                <w:rFonts w:hint="eastAsia" w:ascii="宋体" w:hAnsi="宋体" w:cs="宋体"/>
                <w:szCs w:val="21"/>
              </w:rPr>
              <w:t>乙方（单位章）：</w:t>
            </w:r>
          </w:p>
        </w:tc>
      </w:tr>
      <w:tr w14:paraId="2E5A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2DAD1AA">
            <w:pPr>
              <w:snapToGrid w:val="0"/>
              <w:spacing w:line="300" w:lineRule="auto"/>
              <w:rPr>
                <w:rFonts w:ascii="宋体" w:hAnsi="宋体" w:cs="宋体"/>
                <w:szCs w:val="21"/>
              </w:rPr>
            </w:pPr>
            <w:r>
              <w:rPr>
                <w:rFonts w:hint="eastAsia" w:ascii="宋体" w:hAnsi="宋体" w:cs="宋体"/>
                <w:szCs w:val="21"/>
              </w:rPr>
              <w:t>法定代表人（签字或盖章）：</w:t>
            </w:r>
          </w:p>
        </w:tc>
        <w:tc>
          <w:tcPr>
            <w:tcW w:w="4701" w:type="dxa"/>
            <w:vAlign w:val="center"/>
          </w:tcPr>
          <w:p w14:paraId="7804FEC1">
            <w:pPr>
              <w:snapToGrid w:val="0"/>
              <w:spacing w:line="300" w:lineRule="auto"/>
              <w:rPr>
                <w:rFonts w:ascii="宋体" w:hAnsi="宋体" w:cs="宋体"/>
                <w:szCs w:val="21"/>
              </w:rPr>
            </w:pPr>
            <w:r>
              <w:rPr>
                <w:rFonts w:hint="eastAsia" w:ascii="宋体" w:hAnsi="宋体" w:cs="宋体"/>
                <w:szCs w:val="21"/>
              </w:rPr>
              <w:t>法定代表人（签字或盖章）：</w:t>
            </w:r>
          </w:p>
        </w:tc>
      </w:tr>
      <w:tr w14:paraId="1A72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76DB061">
            <w:pPr>
              <w:snapToGrid w:val="0"/>
              <w:spacing w:line="300" w:lineRule="auto"/>
              <w:rPr>
                <w:rFonts w:ascii="宋体" w:hAnsi="宋体" w:cs="宋体"/>
                <w:szCs w:val="21"/>
              </w:rPr>
            </w:pPr>
            <w:r>
              <w:rPr>
                <w:rFonts w:hint="eastAsia" w:ascii="宋体" w:hAnsi="宋体" w:cs="宋体"/>
                <w:szCs w:val="21"/>
              </w:rPr>
              <w:t>或授权代表（签字）：</w:t>
            </w:r>
          </w:p>
        </w:tc>
        <w:tc>
          <w:tcPr>
            <w:tcW w:w="4701" w:type="dxa"/>
            <w:vAlign w:val="center"/>
          </w:tcPr>
          <w:p w14:paraId="04CD2D74">
            <w:pPr>
              <w:snapToGrid w:val="0"/>
              <w:spacing w:line="300" w:lineRule="auto"/>
              <w:rPr>
                <w:rFonts w:ascii="宋体" w:hAnsi="宋体" w:cs="宋体"/>
                <w:szCs w:val="21"/>
              </w:rPr>
            </w:pPr>
            <w:r>
              <w:rPr>
                <w:rFonts w:hint="eastAsia" w:ascii="宋体" w:hAnsi="宋体" w:cs="宋体"/>
                <w:szCs w:val="21"/>
              </w:rPr>
              <w:t>或授权代表（签字）：</w:t>
            </w:r>
          </w:p>
        </w:tc>
      </w:tr>
      <w:tr w14:paraId="113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198B9C9">
            <w:pPr>
              <w:snapToGrid w:val="0"/>
              <w:spacing w:line="300" w:lineRule="auto"/>
              <w:rPr>
                <w:rFonts w:ascii="宋体" w:hAnsi="宋体" w:cs="宋体"/>
                <w:szCs w:val="21"/>
              </w:rPr>
            </w:pPr>
            <w:r>
              <w:rPr>
                <w:rFonts w:hint="eastAsia" w:ascii="宋体" w:hAnsi="宋体" w:cs="宋体"/>
                <w:szCs w:val="21"/>
              </w:rPr>
              <w:t>地　　址：</w:t>
            </w:r>
          </w:p>
        </w:tc>
        <w:tc>
          <w:tcPr>
            <w:tcW w:w="4701" w:type="dxa"/>
            <w:vAlign w:val="center"/>
          </w:tcPr>
          <w:p w14:paraId="5C935456">
            <w:pPr>
              <w:snapToGrid w:val="0"/>
              <w:spacing w:line="300" w:lineRule="auto"/>
              <w:rPr>
                <w:rFonts w:ascii="宋体" w:hAnsi="宋体" w:cs="宋体"/>
                <w:szCs w:val="21"/>
              </w:rPr>
            </w:pPr>
            <w:r>
              <w:rPr>
                <w:rFonts w:hint="eastAsia" w:ascii="宋体" w:hAnsi="宋体" w:cs="宋体"/>
                <w:szCs w:val="21"/>
              </w:rPr>
              <w:t>地　　址：</w:t>
            </w:r>
          </w:p>
        </w:tc>
      </w:tr>
      <w:tr w14:paraId="094C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B5C157D">
            <w:pPr>
              <w:snapToGrid w:val="0"/>
              <w:spacing w:line="300" w:lineRule="auto"/>
              <w:rPr>
                <w:rFonts w:ascii="宋体" w:hAnsi="宋体" w:cs="宋体"/>
                <w:szCs w:val="21"/>
              </w:rPr>
            </w:pPr>
            <w:r>
              <w:rPr>
                <w:rFonts w:hint="eastAsia" w:ascii="宋体" w:hAnsi="宋体" w:cs="宋体"/>
                <w:szCs w:val="21"/>
              </w:rPr>
              <w:t>邮政编码：</w:t>
            </w:r>
          </w:p>
        </w:tc>
        <w:tc>
          <w:tcPr>
            <w:tcW w:w="4701" w:type="dxa"/>
            <w:vAlign w:val="center"/>
          </w:tcPr>
          <w:p w14:paraId="299CCF56">
            <w:pPr>
              <w:snapToGrid w:val="0"/>
              <w:spacing w:line="300" w:lineRule="auto"/>
              <w:rPr>
                <w:rFonts w:ascii="宋体" w:hAnsi="宋体" w:cs="宋体"/>
                <w:szCs w:val="21"/>
              </w:rPr>
            </w:pPr>
            <w:r>
              <w:rPr>
                <w:rFonts w:hint="eastAsia" w:ascii="宋体" w:hAnsi="宋体" w:cs="宋体"/>
                <w:szCs w:val="21"/>
              </w:rPr>
              <w:t>邮政编码：</w:t>
            </w:r>
          </w:p>
        </w:tc>
      </w:tr>
      <w:tr w14:paraId="0A59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9042334">
            <w:pPr>
              <w:snapToGrid w:val="0"/>
              <w:spacing w:line="300" w:lineRule="auto"/>
              <w:rPr>
                <w:rFonts w:ascii="宋体" w:hAnsi="宋体" w:cs="宋体"/>
                <w:szCs w:val="21"/>
              </w:rPr>
            </w:pPr>
            <w:r>
              <w:rPr>
                <w:rFonts w:hint="eastAsia" w:ascii="宋体" w:hAnsi="宋体" w:cs="宋体"/>
                <w:szCs w:val="21"/>
              </w:rPr>
              <w:t>电　　话：</w:t>
            </w:r>
          </w:p>
        </w:tc>
        <w:tc>
          <w:tcPr>
            <w:tcW w:w="4701" w:type="dxa"/>
            <w:vAlign w:val="center"/>
          </w:tcPr>
          <w:p w14:paraId="453A814F">
            <w:pPr>
              <w:snapToGrid w:val="0"/>
              <w:spacing w:line="300" w:lineRule="auto"/>
              <w:rPr>
                <w:rFonts w:ascii="宋体" w:hAnsi="宋体" w:cs="宋体"/>
                <w:szCs w:val="21"/>
              </w:rPr>
            </w:pPr>
            <w:r>
              <w:rPr>
                <w:rFonts w:hint="eastAsia" w:ascii="宋体" w:hAnsi="宋体" w:cs="宋体"/>
                <w:szCs w:val="21"/>
              </w:rPr>
              <w:t>电　　话：</w:t>
            </w:r>
          </w:p>
        </w:tc>
      </w:tr>
      <w:tr w14:paraId="7D8C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A03ACAB">
            <w:pPr>
              <w:snapToGrid w:val="0"/>
              <w:spacing w:line="300" w:lineRule="auto"/>
              <w:rPr>
                <w:rFonts w:ascii="宋体" w:hAnsi="宋体" w:cs="宋体"/>
                <w:szCs w:val="21"/>
              </w:rPr>
            </w:pPr>
            <w:r>
              <w:rPr>
                <w:rFonts w:hint="eastAsia" w:ascii="宋体" w:hAnsi="宋体" w:cs="宋体"/>
                <w:szCs w:val="21"/>
              </w:rPr>
              <w:t>开户银行：</w:t>
            </w:r>
            <w:r>
              <w:rPr>
                <w:rFonts w:ascii="宋体" w:hAnsi="宋体" w:cs="宋体"/>
                <w:szCs w:val="21"/>
              </w:rPr>
              <w:t xml:space="preserve"> </w:t>
            </w:r>
          </w:p>
        </w:tc>
        <w:tc>
          <w:tcPr>
            <w:tcW w:w="4701" w:type="dxa"/>
            <w:vAlign w:val="center"/>
          </w:tcPr>
          <w:p w14:paraId="11D3FB31">
            <w:pPr>
              <w:snapToGrid w:val="0"/>
              <w:spacing w:line="300" w:lineRule="auto"/>
              <w:rPr>
                <w:rFonts w:ascii="宋体" w:hAnsi="宋体" w:cs="宋体"/>
                <w:szCs w:val="21"/>
              </w:rPr>
            </w:pPr>
            <w:r>
              <w:rPr>
                <w:rFonts w:hint="eastAsia" w:ascii="宋体" w:hAnsi="宋体" w:cs="宋体"/>
                <w:szCs w:val="21"/>
              </w:rPr>
              <w:t>开户银行：</w:t>
            </w:r>
          </w:p>
        </w:tc>
      </w:tr>
      <w:tr w14:paraId="5DF2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564712E">
            <w:pPr>
              <w:snapToGrid w:val="0"/>
              <w:spacing w:line="300" w:lineRule="auto"/>
              <w:rPr>
                <w:rFonts w:ascii="宋体" w:hAnsi="宋体" w:cs="宋体"/>
                <w:szCs w:val="21"/>
              </w:rPr>
            </w:pPr>
            <w:r>
              <w:rPr>
                <w:rFonts w:hint="eastAsia" w:ascii="宋体" w:hAnsi="宋体" w:cs="宋体"/>
                <w:szCs w:val="21"/>
              </w:rPr>
              <w:t>账　　号：</w:t>
            </w:r>
            <w:r>
              <w:rPr>
                <w:rFonts w:ascii="宋体" w:hAnsi="宋体" w:cs="宋体"/>
                <w:szCs w:val="21"/>
              </w:rPr>
              <w:t xml:space="preserve"> </w:t>
            </w:r>
          </w:p>
        </w:tc>
        <w:tc>
          <w:tcPr>
            <w:tcW w:w="4701" w:type="dxa"/>
            <w:vAlign w:val="center"/>
          </w:tcPr>
          <w:p w14:paraId="6BAA29A7">
            <w:pPr>
              <w:snapToGrid w:val="0"/>
              <w:spacing w:line="300" w:lineRule="auto"/>
              <w:rPr>
                <w:rFonts w:ascii="宋体" w:hAnsi="宋体" w:cs="宋体"/>
                <w:szCs w:val="21"/>
              </w:rPr>
            </w:pPr>
            <w:r>
              <w:rPr>
                <w:rFonts w:hint="eastAsia" w:ascii="宋体" w:hAnsi="宋体" w:cs="宋体"/>
                <w:szCs w:val="21"/>
              </w:rPr>
              <w:t>账　　号：</w:t>
            </w:r>
          </w:p>
        </w:tc>
      </w:tr>
      <w:tr w14:paraId="3367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CF7A03C">
            <w:pPr>
              <w:snapToGrid w:val="0"/>
              <w:spacing w:line="300" w:lineRule="auto"/>
              <w:rPr>
                <w:rFonts w:ascii="宋体" w:hAnsi="宋体" w:cs="宋体"/>
                <w:szCs w:val="21"/>
              </w:rPr>
            </w:pPr>
            <w:r>
              <w:rPr>
                <w:rFonts w:hint="eastAsia" w:ascii="宋体" w:hAnsi="宋体" w:cs="宋体"/>
                <w:szCs w:val="21"/>
              </w:rPr>
              <w:t>纳税人识别号：</w:t>
            </w:r>
          </w:p>
        </w:tc>
        <w:tc>
          <w:tcPr>
            <w:tcW w:w="4701" w:type="dxa"/>
            <w:vAlign w:val="center"/>
          </w:tcPr>
          <w:p w14:paraId="61607FBB">
            <w:pPr>
              <w:snapToGrid w:val="0"/>
              <w:spacing w:line="300" w:lineRule="auto"/>
              <w:rPr>
                <w:rFonts w:ascii="宋体" w:hAnsi="宋体" w:cs="宋体"/>
                <w:szCs w:val="21"/>
              </w:rPr>
            </w:pPr>
            <w:r>
              <w:rPr>
                <w:rFonts w:hint="eastAsia" w:ascii="宋体" w:hAnsi="宋体" w:cs="宋体"/>
                <w:szCs w:val="21"/>
              </w:rPr>
              <w:t>纳税人识别号：</w:t>
            </w:r>
          </w:p>
        </w:tc>
      </w:tr>
      <w:tr w14:paraId="2E6B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6D15243">
            <w:pPr>
              <w:snapToGrid w:val="0"/>
              <w:spacing w:line="300" w:lineRule="auto"/>
              <w:rPr>
                <w:rFonts w:ascii="宋体" w:hAnsi="宋体" w:cs="宋体"/>
                <w:szCs w:val="21"/>
              </w:rPr>
            </w:pPr>
            <w:r>
              <w:rPr>
                <w:rFonts w:hint="eastAsia" w:ascii="宋体" w:hAnsi="宋体" w:cs="宋体"/>
                <w:szCs w:val="21"/>
              </w:rPr>
              <w:t>签订时间：</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c>
          <w:tcPr>
            <w:tcW w:w="4701" w:type="dxa"/>
            <w:vAlign w:val="center"/>
          </w:tcPr>
          <w:p w14:paraId="091A5E0A">
            <w:pPr>
              <w:snapToGrid w:val="0"/>
              <w:spacing w:line="300" w:lineRule="auto"/>
              <w:rPr>
                <w:rFonts w:ascii="宋体" w:hAnsi="宋体" w:cs="宋体"/>
                <w:szCs w:val="21"/>
              </w:rPr>
            </w:pPr>
            <w:r>
              <w:rPr>
                <w:rFonts w:hint="eastAsia" w:ascii="宋体" w:hAnsi="宋体" w:cs="宋体"/>
                <w:szCs w:val="21"/>
              </w:rPr>
              <w:t>签订时间：</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14:paraId="1BC1CA78">
      <w:pPr>
        <w:snapToGrid w:val="0"/>
        <w:spacing w:line="300" w:lineRule="auto"/>
      </w:pPr>
      <w:r>
        <w:rPr>
          <w:rFonts w:hint="eastAsia" w:ascii="宋体" w:hAnsi="宋体" w:cs="宋体"/>
          <w:szCs w:val="21"/>
        </w:rPr>
        <w:t>签约地点：</w:t>
      </w:r>
    </w:p>
    <w:p w14:paraId="04687D97">
      <w:pPr>
        <w:snapToGrid w:val="0"/>
        <w:spacing w:line="300" w:lineRule="auto"/>
        <w:rPr>
          <w:rFonts w:ascii="宋体" w:hAnsi="宋体" w:cs="宋体"/>
          <w:color w:val="auto"/>
          <w:szCs w:val="21"/>
          <w:highlight w:val="none"/>
        </w:rPr>
      </w:pPr>
    </w:p>
    <w:p w14:paraId="7379482B">
      <w:pPr>
        <w:adjustRightInd w:val="0"/>
        <w:snapToGrid w:val="0"/>
        <w:spacing w:line="440" w:lineRule="exact"/>
        <w:ind w:firstLine="4920" w:firstLineChars="2050"/>
        <w:rPr>
          <w:color w:val="auto"/>
          <w:sz w:val="24"/>
          <w:highlight w:val="none"/>
        </w:rPr>
      </w:pPr>
    </w:p>
    <w:p w14:paraId="520E0324">
      <w:pPr>
        <w:autoSpaceDE w:val="0"/>
        <w:autoSpaceDN w:val="0"/>
        <w:spacing w:line="360" w:lineRule="exact"/>
        <w:ind w:firstLine="877" w:firstLineChars="273"/>
        <w:jc w:val="center"/>
        <w:rPr>
          <w:rFonts w:hAnsi="宋体"/>
          <w:b/>
          <w:color w:val="auto"/>
          <w:sz w:val="32"/>
          <w:szCs w:val="32"/>
          <w:highlight w:val="none"/>
        </w:rPr>
        <w:sectPr>
          <w:pgSz w:w="11906" w:h="16838"/>
          <w:pgMar w:top="1247" w:right="1361" w:bottom="1247" w:left="1361" w:header="851" w:footer="851" w:gutter="0"/>
          <w:pgNumType w:fmt="numberInDash"/>
          <w:cols w:space="720" w:num="1"/>
          <w:docGrid w:type="lines" w:linePitch="312" w:charSpace="0"/>
        </w:sectPr>
      </w:pPr>
    </w:p>
    <w:p w14:paraId="1D24D9A7">
      <w:pPr>
        <w:spacing w:line="360" w:lineRule="auto"/>
        <w:jc w:val="center"/>
        <w:rPr>
          <w:rFonts w:asciiTheme="minorEastAsia" w:hAnsiTheme="minorEastAsia" w:eastAsiaTheme="minorEastAsia"/>
          <w:b/>
          <w:color w:val="auto"/>
          <w:sz w:val="36"/>
          <w:szCs w:val="36"/>
          <w:highlight w:val="none"/>
        </w:rPr>
      </w:pPr>
      <w:bookmarkStart w:id="42" w:name="_Toc5481_WPSOffice_Level1"/>
    </w:p>
    <w:p w14:paraId="2589A1D7">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42"/>
    </w:p>
    <w:p w14:paraId="37126B25">
      <w:pPr>
        <w:rPr>
          <w:rFonts w:ascii="宋体" w:hAnsi="宋体"/>
          <w:b/>
          <w:color w:val="auto"/>
          <w:sz w:val="30"/>
          <w:szCs w:val="30"/>
          <w:highlight w:val="none"/>
        </w:rPr>
      </w:pPr>
    </w:p>
    <w:p w14:paraId="16EA5142">
      <w:pPr>
        <w:spacing w:line="360" w:lineRule="auto"/>
        <w:rPr>
          <w:rFonts w:asciiTheme="minorEastAsia" w:hAnsiTheme="minorEastAsia" w:eastAsiaTheme="minorEastAsia"/>
          <w:b/>
          <w:color w:val="auto"/>
          <w:sz w:val="30"/>
          <w:szCs w:val="30"/>
          <w:highlight w:val="none"/>
        </w:rPr>
      </w:pPr>
    </w:p>
    <w:p w14:paraId="3514CDB0">
      <w:pPr>
        <w:pStyle w:val="2"/>
      </w:pPr>
    </w:p>
    <w:p w14:paraId="51A0CC0C">
      <w:pPr>
        <w:jc w:val="center"/>
        <w:rPr>
          <w:color w:val="auto"/>
          <w:sz w:val="52"/>
          <w:szCs w:val="52"/>
          <w:highlight w:val="none"/>
        </w:rPr>
      </w:pPr>
      <w:bookmarkStart w:id="43" w:name="_Toc19093_WPSOffice_Level1"/>
      <w:bookmarkStart w:id="44" w:name="_Toc4956_WPSOffice_Level1"/>
      <w:bookmarkStart w:id="45" w:name="_Toc32372_WPSOffice_Level1"/>
      <w:r>
        <w:rPr>
          <w:rFonts w:hint="eastAsia"/>
          <w:color w:val="auto"/>
          <w:sz w:val="52"/>
          <w:szCs w:val="52"/>
          <w:highlight w:val="none"/>
        </w:rPr>
        <w:t>项目名称</w:t>
      </w:r>
      <w:bookmarkEnd w:id="43"/>
      <w:bookmarkEnd w:id="44"/>
      <w:bookmarkEnd w:id="45"/>
    </w:p>
    <w:p w14:paraId="5A618414">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0EAF3812">
      <w:pPr>
        <w:pStyle w:val="19"/>
        <w:rPr>
          <w:color w:val="auto"/>
          <w:highlight w:val="none"/>
        </w:rPr>
      </w:pPr>
    </w:p>
    <w:p w14:paraId="324591A3">
      <w:pPr>
        <w:jc w:val="center"/>
        <w:rPr>
          <w:color w:val="auto"/>
          <w:sz w:val="84"/>
          <w:szCs w:val="84"/>
          <w:highlight w:val="none"/>
          <w:lang w:val="zh-CN"/>
        </w:rPr>
      </w:pPr>
      <w:r>
        <w:rPr>
          <w:rFonts w:hint="eastAsia"/>
          <w:color w:val="auto"/>
          <w:sz w:val="84"/>
          <w:szCs w:val="84"/>
          <w:highlight w:val="none"/>
          <w:lang w:val="zh-CN"/>
        </w:rPr>
        <w:t>投</w:t>
      </w:r>
    </w:p>
    <w:p w14:paraId="480D0609">
      <w:pPr>
        <w:jc w:val="center"/>
        <w:rPr>
          <w:color w:val="auto"/>
          <w:sz w:val="84"/>
          <w:szCs w:val="84"/>
          <w:highlight w:val="none"/>
          <w:lang w:val="zh-CN"/>
        </w:rPr>
      </w:pPr>
      <w:r>
        <w:rPr>
          <w:rFonts w:hint="eastAsia"/>
          <w:color w:val="auto"/>
          <w:sz w:val="84"/>
          <w:szCs w:val="84"/>
          <w:highlight w:val="none"/>
          <w:lang w:val="zh-CN"/>
        </w:rPr>
        <w:t>标</w:t>
      </w:r>
    </w:p>
    <w:p w14:paraId="3077179B">
      <w:pPr>
        <w:jc w:val="center"/>
        <w:rPr>
          <w:color w:val="auto"/>
          <w:sz w:val="84"/>
          <w:szCs w:val="84"/>
          <w:highlight w:val="none"/>
        </w:rPr>
      </w:pPr>
      <w:r>
        <w:rPr>
          <w:rFonts w:hint="eastAsia"/>
          <w:color w:val="auto"/>
          <w:sz w:val="84"/>
          <w:szCs w:val="84"/>
          <w:highlight w:val="none"/>
          <w:lang w:val="zh-CN"/>
        </w:rPr>
        <w:t>文</w:t>
      </w:r>
    </w:p>
    <w:p w14:paraId="51BDA557">
      <w:pPr>
        <w:jc w:val="center"/>
        <w:rPr>
          <w:color w:val="auto"/>
          <w:sz w:val="84"/>
          <w:szCs w:val="84"/>
          <w:highlight w:val="none"/>
          <w:lang w:val="zh-CN"/>
        </w:rPr>
      </w:pPr>
      <w:r>
        <w:rPr>
          <w:rFonts w:hint="eastAsia"/>
          <w:color w:val="auto"/>
          <w:sz w:val="84"/>
          <w:szCs w:val="84"/>
          <w:highlight w:val="none"/>
          <w:lang w:val="zh-CN"/>
        </w:rPr>
        <w:t>件</w:t>
      </w:r>
    </w:p>
    <w:p w14:paraId="30B40B93">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375A7F53">
      <w:pPr>
        <w:pStyle w:val="19"/>
        <w:rPr>
          <w:color w:val="auto"/>
          <w:highlight w:val="none"/>
        </w:rPr>
      </w:pPr>
    </w:p>
    <w:p w14:paraId="0FE24F1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569AE00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C37D93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0C75B10C">
      <w:pPr>
        <w:snapToGrid w:val="0"/>
        <w:spacing w:before="50" w:after="50" w:line="360" w:lineRule="auto"/>
        <w:rPr>
          <w:rFonts w:ascii="仿宋_GB2312" w:hAnsi="宋体" w:eastAsia="仿宋_GB2312"/>
          <w:b/>
          <w:color w:val="auto"/>
          <w:sz w:val="36"/>
          <w:szCs w:val="36"/>
          <w:highlight w:val="none"/>
        </w:rPr>
      </w:pPr>
    </w:p>
    <w:p w14:paraId="1CEC2FE7">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20241A0F">
      <w:pPr>
        <w:spacing w:line="360" w:lineRule="auto"/>
        <w:ind w:firstLine="560" w:firstLineChars="200"/>
        <w:rPr>
          <w:color w:val="auto"/>
          <w:sz w:val="28"/>
          <w:szCs w:val="36"/>
          <w:highlight w:val="none"/>
        </w:rPr>
      </w:pPr>
    </w:p>
    <w:p w14:paraId="179E6AC3">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781937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2CFFB5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0240C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70B55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716D9A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CA25BDB">
      <w:pPr>
        <w:snapToGrid w:val="0"/>
        <w:spacing w:line="360"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）中小企业、</w:t>
      </w:r>
      <w:r>
        <w:rPr>
          <w:rFonts w:hint="eastAsia" w:ascii="宋体" w:hAnsi="宋体" w:cs="宋体"/>
          <w:b w:val="0"/>
          <w:bCs w:val="0"/>
          <w:color w:val="auto"/>
          <w:sz w:val="24"/>
          <w:highlight w:val="none"/>
          <w:lang w:val="en-GB" w:eastAsia="zh-CN"/>
        </w:rPr>
        <w:t>残疾人福利性单位、监狱企业</w:t>
      </w:r>
      <w:r>
        <w:rPr>
          <w:rFonts w:hint="eastAsia" w:ascii="宋体" w:hAnsi="宋体" w:cs="宋体"/>
          <w:b w:val="0"/>
          <w:bCs w:val="0"/>
          <w:color w:val="auto"/>
          <w:sz w:val="24"/>
          <w:highlight w:val="none"/>
          <w:lang w:eastAsia="zh-CN"/>
        </w:rPr>
        <w:t>等声明函（附件</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lang w:eastAsia="zh-CN"/>
        </w:rPr>
        <w:t>）；</w:t>
      </w:r>
    </w:p>
    <w:p w14:paraId="660923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7015E7B5">
      <w:pPr>
        <w:spacing w:line="360" w:lineRule="auto"/>
        <w:rPr>
          <w:rFonts w:ascii="宋体" w:hAnsi="宋体"/>
          <w:b/>
          <w:color w:val="auto"/>
          <w:sz w:val="28"/>
          <w:highlight w:val="none"/>
        </w:rPr>
      </w:pPr>
    </w:p>
    <w:p w14:paraId="69BBFD05">
      <w:pPr>
        <w:pStyle w:val="8"/>
        <w:ind w:left="0" w:leftChars="0" w:firstLine="0" w:firstLineChars="0"/>
        <w:rPr>
          <w:rFonts w:ascii="宋体" w:hAnsi="宋体"/>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91000CC">
      <w:pPr>
        <w:spacing w:line="312" w:lineRule="auto"/>
        <w:rPr>
          <w:rFonts w:ascii="宋体" w:hAnsi="宋体"/>
          <w:b/>
          <w:color w:val="auto"/>
          <w:sz w:val="28"/>
          <w:highlight w:val="none"/>
        </w:rPr>
      </w:pPr>
      <w:r>
        <w:rPr>
          <w:rFonts w:hint="eastAsia" w:ascii="宋体" w:hAnsi="宋体"/>
          <w:b/>
          <w:color w:val="auto"/>
          <w:sz w:val="28"/>
          <w:highlight w:val="none"/>
        </w:rPr>
        <w:t>附件1</w:t>
      </w:r>
    </w:p>
    <w:p w14:paraId="6EA84D7B">
      <w:pPr>
        <w:adjustRightInd w:val="0"/>
        <w:snapToGrid w:val="0"/>
        <w:spacing w:line="312" w:lineRule="auto"/>
        <w:ind w:right="480"/>
        <w:jc w:val="center"/>
        <w:rPr>
          <w:rFonts w:ascii="宋体" w:hAnsi="宋体"/>
          <w:b/>
          <w:color w:val="auto"/>
          <w:kern w:val="0"/>
          <w:sz w:val="32"/>
          <w:szCs w:val="32"/>
          <w:highlight w:val="none"/>
          <w:lang w:val="zh-CN"/>
        </w:rPr>
      </w:pPr>
      <w:bookmarkStart w:id="46" w:name="_Toc31708_WPSOffice_Level1"/>
      <w:bookmarkStart w:id="47" w:name="_Toc30723_WPSOffice_Level1"/>
      <w:r>
        <w:rPr>
          <w:rFonts w:hint="eastAsia" w:ascii="宋体" w:hAnsi="宋体"/>
          <w:b/>
          <w:color w:val="auto"/>
          <w:kern w:val="0"/>
          <w:sz w:val="32"/>
          <w:szCs w:val="32"/>
          <w:highlight w:val="none"/>
          <w:lang w:val="zh-CN"/>
        </w:rPr>
        <w:t>投标声明书</w:t>
      </w:r>
      <w:bookmarkEnd w:id="46"/>
      <w:bookmarkEnd w:id="47"/>
    </w:p>
    <w:p w14:paraId="50CAAE26">
      <w:pPr>
        <w:snapToGrid w:val="0"/>
        <w:spacing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台州市建设咨询有限公司</w:t>
      </w:r>
      <w:r>
        <w:rPr>
          <w:rFonts w:hint="eastAsia" w:ascii="宋体" w:hAnsi="宋体" w:cs="宋体"/>
          <w:color w:val="auto"/>
          <w:kern w:val="0"/>
          <w:sz w:val="24"/>
          <w:highlight w:val="none"/>
        </w:rPr>
        <w:t>：</w:t>
      </w:r>
    </w:p>
    <w:p w14:paraId="6786402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0179234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62172BB4">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154129CF">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0F56F49E">
      <w:pPr>
        <w:numPr>
          <w:ilvl w:val="0"/>
          <w:numId w:val="10"/>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04A5C130">
      <w:pPr>
        <w:numPr>
          <w:ilvl w:val="0"/>
          <w:numId w:val="10"/>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37AE72C9">
      <w:pPr>
        <w:numPr>
          <w:ilvl w:val="0"/>
          <w:numId w:val="10"/>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5BB2CB61">
      <w:pPr>
        <w:numPr>
          <w:ilvl w:val="0"/>
          <w:numId w:val="10"/>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4038E677">
      <w:pPr>
        <w:pStyle w:val="19"/>
        <w:ind w:left="0" w:leftChars="0" w:firstLine="0"/>
        <w:rPr>
          <w:color w:val="auto"/>
          <w:highlight w:val="none"/>
        </w:rPr>
      </w:pPr>
    </w:p>
    <w:p w14:paraId="1FF554F2">
      <w:pPr>
        <w:pStyle w:val="19"/>
        <w:ind w:left="0" w:leftChars="0" w:firstLine="0"/>
        <w:rPr>
          <w:color w:val="auto"/>
          <w:highlight w:val="none"/>
        </w:rPr>
      </w:pPr>
    </w:p>
    <w:p w14:paraId="21A8928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398005D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5F9545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62A464DD">
      <w:pPr>
        <w:adjustRightInd w:val="0"/>
        <w:snapToGrid w:val="0"/>
        <w:spacing w:line="360" w:lineRule="auto"/>
        <w:ind w:right="480"/>
        <w:rPr>
          <w:rFonts w:hint="eastAsia" w:ascii="宋体" w:hAnsi="宋体"/>
          <w:b/>
          <w:color w:val="auto"/>
          <w:sz w:val="28"/>
          <w:highlight w:val="none"/>
        </w:rPr>
      </w:pPr>
    </w:p>
    <w:p w14:paraId="78316A9A">
      <w:pP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14:paraId="3F3E710B">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6CEE8C3">
      <w:pPr>
        <w:spacing w:line="360" w:lineRule="auto"/>
        <w:ind w:firstLine="321" w:firstLineChars="100"/>
        <w:jc w:val="center"/>
        <w:rPr>
          <w:rFonts w:hAnsi="宋体"/>
          <w:b/>
          <w:color w:val="auto"/>
          <w:sz w:val="32"/>
          <w:szCs w:val="32"/>
          <w:highlight w:val="none"/>
          <w:u w:val="single"/>
        </w:rPr>
      </w:pPr>
      <w:bookmarkStart w:id="48" w:name="_Toc24373_WPSOffice_Level1"/>
      <w:bookmarkStart w:id="49"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8"/>
      <w:bookmarkEnd w:id="49"/>
    </w:p>
    <w:p w14:paraId="474594E5">
      <w:pPr>
        <w:snapToGrid w:val="0"/>
        <w:spacing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台州市建设咨询有限公司</w:t>
      </w:r>
      <w:r>
        <w:rPr>
          <w:rFonts w:hint="eastAsia" w:ascii="宋体" w:hAnsi="宋体" w:cs="宋体"/>
          <w:color w:val="auto"/>
          <w:kern w:val="0"/>
          <w:sz w:val="24"/>
          <w:highlight w:val="none"/>
        </w:rPr>
        <w:t>：</w:t>
      </w:r>
    </w:p>
    <w:p w14:paraId="38A81FCC">
      <w:pPr>
        <w:pStyle w:val="11"/>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ECAD2ED">
      <w:pPr>
        <w:pStyle w:val="11"/>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2823716A">
      <w:pPr>
        <w:pStyle w:val="11"/>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47793E9">
      <w:pPr>
        <w:spacing w:line="360" w:lineRule="auto"/>
        <w:rPr>
          <w:color w:val="auto"/>
          <w:sz w:val="24"/>
          <w:highlight w:val="none"/>
        </w:rPr>
      </w:pPr>
    </w:p>
    <w:p w14:paraId="56BC910D">
      <w:pPr>
        <w:spacing w:line="360" w:lineRule="auto"/>
        <w:rPr>
          <w:color w:val="auto"/>
          <w:sz w:val="24"/>
          <w:highlight w:val="none"/>
        </w:rPr>
      </w:pPr>
      <w:r>
        <w:rPr>
          <w:rFonts w:hint="eastAsia" w:ascii="宋体"/>
          <w:color w:val="auto"/>
          <w:sz w:val="24"/>
          <w:highlight w:val="none"/>
        </w:rPr>
        <w:t>法定代表人签字或盖章：</w:t>
      </w:r>
    </w:p>
    <w:p w14:paraId="69AC3233">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14:paraId="7708CD15">
      <w:pPr>
        <w:spacing w:line="360" w:lineRule="auto"/>
        <w:rPr>
          <w:color w:val="auto"/>
          <w:sz w:val="24"/>
          <w:highlight w:val="none"/>
        </w:rPr>
      </w:pPr>
    </w:p>
    <w:p w14:paraId="355389FD">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89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4746820">
            <w:pPr>
              <w:spacing w:line="360" w:lineRule="auto"/>
              <w:rPr>
                <w:rFonts w:ascii="宋体"/>
                <w:b/>
                <w:color w:val="auto"/>
                <w:sz w:val="24"/>
                <w:highlight w:val="none"/>
              </w:rPr>
            </w:pPr>
          </w:p>
          <w:p w14:paraId="2592B993">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08B28611">
      <w:pPr>
        <w:spacing w:line="360" w:lineRule="auto"/>
        <w:rPr>
          <w:color w:val="auto"/>
          <w:sz w:val="24"/>
          <w:highlight w:val="none"/>
        </w:rPr>
      </w:pPr>
      <w:r>
        <w:rPr>
          <w:rFonts w:hint="eastAsia" w:ascii="宋体"/>
          <w:color w:val="auto"/>
          <w:sz w:val="24"/>
          <w:highlight w:val="none"/>
        </w:rPr>
        <w:t xml:space="preserve">法定代表人姓名：                                 </w:t>
      </w:r>
    </w:p>
    <w:p w14:paraId="5665FF25">
      <w:pPr>
        <w:spacing w:line="360" w:lineRule="auto"/>
        <w:rPr>
          <w:color w:val="auto"/>
          <w:sz w:val="24"/>
          <w:highlight w:val="none"/>
        </w:rPr>
      </w:pPr>
      <w:r>
        <w:rPr>
          <w:rFonts w:hint="eastAsia" w:ascii="宋体"/>
          <w:color w:val="auto"/>
          <w:sz w:val="24"/>
          <w:highlight w:val="none"/>
        </w:rPr>
        <w:t>传真：</w:t>
      </w:r>
    </w:p>
    <w:p w14:paraId="74CF7546">
      <w:pPr>
        <w:spacing w:line="360" w:lineRule="auto"/>
        <w:rPr>
          <w:rFonts w:ascii="宋体"/>
          <w:color w:val="auto"/>
          <w:sz w:val="24"/>
          <w:highlight w:val="none"/>
        </w:rPr>
      </w:pPr>
      <w:r>
        <w:rPr>
          <w:rFonts w:hint="eastAsia" w:ascii="宋体"/>
          <w:color w:val="auto"/>
          <w:sz w:val="24"/>
          <w:highlight w:val="none"/>
        </w:rPr>
        <w:t>电话：</w:t>
      </w:r>
    </w:p>
    <w:p w14:paraId="0E54A1E7">
      <w:pPr>
        <w:spacing w:line="360" w:lineRule="auto"/>
        <w:rPr>
          <w:color w:val="auto"/>
          <w:sz w:val="24"/>
          <w:highlight w:val="none"/>
        </w:rPr>
      </w:pPr>
      <w:r>
        <w:rPr>
          <w:rFonts w:hint="eastAsia" w:ascii="宋体"/>
          <w:color w:val="auto"/>
          <w:sz w:val="24"/>
          <w:highlight w:val="none"/>
        </w:rPr>
        <w:t>详细通讯地址：</w:t>
      </w:r>
    </w:p>
    <w:p w14:paraId="3D4F399D">
      <w:pPr>
        <w:spacing w:line="360" w:lineRule="auto"/>
        <w:rPr>
          <w:rFonts w:ascii="宋体"/>
          <w:color w:val="auto"/>
          <w:sz w:val="24"/>
          <w:highlight w:val="none"/>
        </w:rPr>
      </w:pPr>
      <w:r>
        <w:rPr>
          <w:rFonts w:hint="eastAsia" w:ascii="宋体"/>
          <w:color w:val="auto"/>
          <w:sz w:val="24"/>
          <w:highlight w:val="none"/>
        </w:rPr>
        <w:t>邮政编码：</w:t>
      </w:r>
    </w:p>
    <w:p w14:paraId="5C01F603">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9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9A35BF">
            <w:pPr>
              <w:spacing w:line="360" w:lineRule="auto"/>
              <w:rPr>
                <w:rFonts w:ascii="宋体"/>
                <w:b/>
                <w:color w:val="auto"/>
                <w:sz w:val="24"/>
                <w:highlight w:val="none"/>
              </w:rPr>
            </w:pPr>
          </w:p>
          <w:p w14:paraId="59AAE3C5">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35BDED15">
      <w:pPr>
        <w:spacing w:line="360" w:lineRule="auto"/>
        <w:rPr>
          <w:rFonts w:ascii="宋体"/>
          <w:color w:val="auto"/>
          <w:sz w:val="24"/>
          <w:highlight w:val="none"/>
        </w:rPr>
      </w:pPr>
      <w:r>
        <w:rPr>
          <w:rFonts w:hint="eastAsia" w:ascii="宋体"/>
          <w:color w:val="auto"/>
          <w:sz w:val="24"/>
          <w:highlight w:val="none"/>
        </w:rPr>
        <w:t xml:space="preserve">全权代表姓名：       </w:t>
      </w:r>
    </w:p>
    <w:p w14:paraId="65384579">
      <w:pPr>
        <w:spacing w:line="360" w:lineRule="auto"/>
        <w:rPr>
          <w:color w:val="auto"/>
          <w:sz w:val="24"/>
          <w:highlight w:val="none"/>
        </w:rPr>
      </w:pPr>
      <w:r>
        <w:rPr>
          <w:rFonts w:hint="eastAsia" w:ascii="宋体"/>
          <w:color w:val="auto"/>
          <w:sz w:val="24"/>
          <w:highlight w:val="none"/>
        </w:rPr>
        <w:t xml:space="preserve">职务：                           </w:t>
      </w:r>
    </w:p>
    <w:p w14:paraId="2CC4B8B8">
      <w:pPr>
        <w:spacing w:line="360" w:lineRule="auto"/>
        <w:rPr>
          <w:color w:val="auto"/>
          <w:sz w:val="24"/>
          <w:highlight w:val="none"/>
        </w:rPr>
      </w:pPr>
      <w:r>
        <w:rPr>
          <w:rFonts w:hint="eastAsia" w:ascii="宋体"/>
          <w:color w:val="auto"/>
          <w:sz w:val="24"/>
          <w:highlight w:val="none"/>
        </w:rPr>
        <w:t>传真：</w:t>
      </w:r>
    </w:p>
    <w:p w14:paraId="1A4503B6">
      <w:pPr>
        <w:spacing w:line="360" w:lineRule="auto"/>
        <w:rPr>
          <w:rFonts w:ascii="宋体"/>
          <w:color w:val="auto"/>
          <w:sz w:val="24"/>
          <w:highlight w:val="none"/>
        </w:rPr>
      </w:pPr>
      <w:r>
        <w:rPr>
          <w:rFonts w:hint="eastAsia" w:ascii="宋体"/>
          <w:color w:val="auto"/>
          <w:sz w:val="24"/>
          <w:highlight w:val="none"/>
        </w:rPr>
        <w:t>电话：</w:t>
      </w:r>
    </w:p>
    <w:p w14:paraId="1C6BA0E1">
      <w:pPr>
        <w:spacing w:line="360" w:lineRule="auto"/>
        <w:rPr>
          <w:color w:val="auto"/>
          <w:sz w:val="24"/>
          <w:highlight w:val="none"/>
        </w:rPr>
      </w:pPr>
      <w:r>
        <w:rPr>
          <w:rFonts w:hint="eastAsia" w:ascii="宋体"/>
          <w:color w:val="auto"/>
          <w:sz w:val="24"/>
          <w:highlight w:val="none"/>
        </w:rPr>
        <w:t>详细通讯地址：</w:t>
      </w:r>
    </w:p>
    <w:p w14:paraId="466CB0BA">
      <w:pPr>
        <w:spacing w:line="360" w:lineRule="auto"/>
        <w:rPr>
          <w:rFonts w:ascii="宋体"/>
          <w:color w:val="auto"/>
          <w:sz w:val="24"/>
          <w:highlight w:val="none"/>
        </w:rPr>
      </w:pPr>
      <w:r>
        <w:rPr>
          <w:rFonts w:hint="eastAsia" w:ascii="宋体"/>
          <w:color w:val="auto"/>
          <w:sz w:val="24"/>
          <w:highlight w:val="none"/>
        </w:rPr>
        <w:t>邮政编码：</w:t>
      </w:r>
    </w:p>
    <w:p w14:paraId="7494BCB4">
      <w:pPr>
        <w:rPr>
          <w:rFonts w:ascii="宋体" w:hAnsi="宋体"/>
          <w:b/>
          <w:color w:val="auto"/>
          <w:sz w:val="28"/>
          <w:highlight w:val="none"/>
        </w:rPr>
      </w:pPr>
      <w:r>
        <w:rPr>
          <w:rFonts w:hint="eastAsia" w:ascii="宋体" w:hAnsi="宋体"/>
          <w:b/>
          <w:color w:val="auto"/>
          <w:sz w:val="28"/>
          <w:highlight w:val="none"/>
        </w:rPr>
        <w:br w:type="page"/>
      </w:r>
    </w:p>
    <w:p w14:paraId="12BD6B26">
      <w:pPr>
        <w:rPr>
          <w:rFonts w:ascii="宋体" w:hAnsi="宋体"/>
          <w:b/>
          <w:color w:val="auto"/>
          <w:sz w:val="28"/>
          <w:highlight w:val="none"/>
        </w:rPr>
      </w:pPr>
      <w:bookmarkStart w:id="50" w:name="_Toc16825_WPSOffice_Level1"/>
      <w:bookmarkStart w:id="51" w:name="_Toc26389_WPSOffice_Level1"/>
      <w:bookmarkStart w:id="52" w:name="_Toc12331_WPSOffice_Level1"/>
      <w:r>
        <w:rPr>
          <w:rFonts w:hint="eastAsia" w:ascii="宋体" w:hAnsi="宋体"/>
          <w:b/>
          <w:color w:val="auto"/>
          <w:sz w:val="28"/>
          <w:highlight w:val="none"/>
        </w:rPr>
        <w:t>附件3</w:t>
      </w:r>
    </w:p>
    <w:p w14:paraId="2E2B10FE">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5A651EB8">
      <w:pPr>
        <w:widowControl/>
        <w:adjustRightInd w:val="0"/>
        <w:snapToGrid w:val="0"/>
        <w:jc w:val="center"/>
        <w:rPr>
          <w:rFonts w:ascii="宋体" w:hAnsi="宋体"/>
          <w:b/>
          <w:color w:val="auto"/>
          <w:kern w:val="0"/>
          <w:sz w:val="32"/>
          <w:szCs w:val="32"/>
          <w:highlight w:val="none"/>
        </w:rPr>
      </w:pPr>
    </w:p>
    <w:p w14:paraId="2C182919">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5F038208">
      <w:pPr>
        <w:adjustRightInd w:val="0"/>
        <w:snapToGrid w:val="0"/>
        <w:jc w:val="left"/>
        <w:rPr>
          <w:rFonts w:ascii="宋体" w:hAnsi="宋体"/>
          <w:b/>
          <w:color w:val="auto"/>
          <w:kern w:val="0"/>
          <w:sz w:val="32"/>
          <w:szCs w:val="32"/>
          <w:highlight w:val="none"/>
        </w:rPr>
      </w:pPr>
    </w:p>
    <w:p w14:paraId="17FFB26B">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台州市森林病虫防治检疫站</w:t>
      </w:r>
      <w:r>
        <w:rPr>
          <w:rFonts w:ascii="宋体" w:hAnsi="宋体"/>
          <w:color w:val="auto"/>
          <w:kern w:val="0"/>
          <w:sz w:val="24"/>
          <w:highlight w:val="none"/>
        </w:rPr>
        <w:t>：</w:t>
      </w:r>
    </w:p>
    <w:p w14:paraId="35F371D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03095DCB">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5DE531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38AB784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3C478E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1D13A45D">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BE8914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79E932EF">
      <w:pPr>
        <w:jc w:val="center"/>
        <w:rPr>
          <w:rFonts w:ascii="宋体" w:hAnsi="宋体"/>
          <w:b/>
          <w:color w:val="auto"/>
          <w:kern w:val="0"/>
          <w:sz w:val="32"/>
          <w:szCs w:val="32"/>
          <w:highlight w:val="none"/>
        </w:rPr>
      </w:pPr>
    </w:p>
    <w:p w14:paraId="0F7DCE3C">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台州市森林病虫防治检疫站</w:t>
      </w:r>
      <w:r>
        <w:rPr>
          <w:rFonts w:ascii="宋体" w:hAnsi="宋体"/>
          <w:color w:val="auto"/>
          <w:kern w:val="0"/>
          <w:sz w:val="24"/>
          <w:highlight w:val="none"/>
        </w:rPr>
        <w:t>：</w:t>
      </w:r>
    </w:p>
    <w:p w14:paraId="45C96F0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5B48783E">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4A23AE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1BF7F66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789B48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27201856">
      <w:pPr>
        <w:jc w:val="center"/>
        <w:rPr>
          <w:rFonts w:ascii="宋体" w:hAnsi="宋体"/>
          <w:b/>
          <w:color w:val="auto"/>
          <w:kern w:val="0"/>
          <w:sz w:val="32"/>
          <w:szCs w:val="32"/>
          <w:highlight w:val="none"/>
        </w:rPr>
      </w:pPr>
    </w:p>
    <w:p w14:paraId="69E6DBCB">
      <w:pPr>
        <w:jc w:val="center"/>
        <w:rPr>
          <w:rFonts w:ascii="宋体" w:hAnsi="宋体"/>
          <w:b/>
          <w:color w:val="auto"/>
          <w:kern w:val="0"/>
          <w:sz w:val="32"/>
          <w:szCs w:val="32"/>
          <w:highlight w:val="none"/>
        </w:rPr>
      </w:pPr>
    </w:p>
    <w:p w14:paraId="2B885F95">
      <w:pPr>
        <w:rPr>
          <w:rFonts w:ascii="宋体" w:hAnsi="宋体"/>
          <w:b/>
          <w:color w:val="auto"/>
          <w:kern w:val="0"/>
          <w:sz w:val="32"/>
          <w:szCs w:val="32"/>
          <w:highlight w:val="none"/>
        </w:rPr>
      </w:pPr>
      <w:r>
        <w:rPr>
          <w:rFonts w:ascii="宋体" w:hAnsi="宋体"/>
          <w:b/>
          <w:color w:val="auto"/>
          <w:kern w:val="0"/>
          <w:sz w:val="32"/>
          <w:szCs w:val="32"/>
          <w:highlight w:val="none"/>
        </w:rPr>
        <w:br w:type="page"/>
      </w:r>
    </w:p>
    <w:p w14:paraId="6CB26DA5">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22000CB8">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6880407D">
      <w:pPr>
        <w:jc w:val="center"/>
        <w:rPr>
          <w:rFonts w:ascii="宋体" w:hAnsi="宋体"/>
          <w:b/>
          <w:color w:val="auto"/>
          <w:sz w:val="28"/>
          <w:highlight w:val="none"/>
        </w:rPr>
      </w:pPr>
    </w:p>
    <w:p w14:paraId="00D7422C">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台州市森林病虫防治检疫站</w:t>
      </w:r>
      <w:r>
        <w:rPr>
          <w:rFonts w:ascii="宋体" w:hAnsi="宋体"/>
          <w:color w:val="auto"/>
          <w:kern w:val="0"/>
          <w:sz w:val="24"/>
          <w:highlight w:val="none"/>
        </w:rPr>
        <w:t>：</w:t>
      </w:r>
    </w:p>
    <w:p w14:paraId="28EC47C1">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年松材线虫病除治质量抽样检测项目</w:t>
      </w:r>
      <w:r>
        <w:rPr>
          <w:rFonts w:hint="eastAsia" w:hAnsi="宋体"/>
          <w:color w:val="auto"/>
          <w:sz w:val="24"/>
          <w:highlight w:val="none"/>
        </w:rPr>
        <w:t>（</w:t>
      </w:r>
      <w:r>
        <w:rPr>
          <w:rFonts w:hint="eastAsia" w:ascii="宋体" w:hAnsi="宋体" w:cs="宋体"/>
          <w:color w:val="auto"/>
          <w:kern w:val="0"/>
          <w:sz w:val="24"/>
          <w:highlight w:val="none"/>
        </w:rPr>
        <w:t>编号为台财采确临[2025]21号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1FFE04FC">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2E7854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16F903D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301A04C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B6A3A0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6F776FBE">
      <w:pPr>
        <w:jc w:val="center"/>
        <w:rPr>
          <w:color w:val="auto"/>
          <w:sz w:val="52"/>
          <w:szCs w:val="52"/>
          <w:highlight w:val="none"/>
        </w:rPr>
      </w:pPr>
    </w:p>
    <w:p w14:paraId="35BF095F">
      <w:pPr>
        <w:jc w:val="center"/>
        <w:rPr>
          <w:color w:val="auto"/>
          <w:sz w:val="52"/>
          <w:szCs w:val="52"/>
          <w:highlight w:val="none"/>
        </w:rPr>
      </w:pPr>
    </w:p>
    <w:p w14:paraId="7A89F24B">
      <w:pPr>
        <w:jc w:val="center"/>
        <w:rPr>
          <w:color w:val="auto"/>
          <w:sz w:val="52"/>
          <w:szCs w:val="52"/>
          <w:highlight w:val="none"/>
        </w:rPr>
      </w:pPr>
    </w:p>
    <w:p w14:paraId="4303145F">
      <w:pPr>
        <w:rPr>
          <w:color w:val="auto"/>
          <w:sz w:val="52"/>
          <w:szCs w:val="52"/>
          <w:highlight w:val="none"/>
        </w:rPr>
      </w:pPr>
    </w:p>
    <w:p w14:paraId="34F94EA8">
      <w:pPr>
        <w:rPr>
          <w:color w:val="auto"/>
          <w:highlight w:val="none"/>
        </w:rPr>
      </w:pPr>
    </w:p>
    <w:p w14:paraId="6BA12289">
      <w:pPr>
        <w:rPr>
          <w:color w:val="auto"/>
          <w:highlight w:val="none"/>
        </w:rPr>
        <w:sectPr>
          <w:pgSz w:w="11906" w:h="16838"/>
          <w:pgMar w:top="1440" w:right="1800" w:bottom="1440" w:left="1800" w:header="851" w:footer="992" w:gutter="0"/>
          <w:cols w:space="425" w:num="1"/>
          <w:docGrid w:type="lines" w:linePitch="312" w:charSpace="0"/>
        </w:sectPr>
      </w:pPr>
    </w:p>
    <w:p w14:paraId="5321DFE2">
      <w:pPr>
        <w:snapToGrid w:val="0"/>
        <w:spacing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19460797">
      <w:pPr>
        <w:pStyle w:val="42"/>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11D120E4">
      <w:pPr>
        <w:pStyle w:val="42"/>
        <w:spacing w:line="360" w:lineRule="auto"/>
        <w:jc w:val="center"/>
        <w:rPr>
          <w:rFonts w:ascii="宋体" w:hAnsi="宋体"/>
          <w:b/>
          <w:color w:val="auto"/>
          <w:sz w:val="24"/>
          <w:highlight w:val="none"/>
          <w:lang w:val="en-GB"/>
        </w:rPr>
      </w:pPr>
    </w:p>
    <w:p w14:paraId="20C7A2C1">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kern w:val="0"/>
          <w:sz w:val="24"/>
          <w:highlight w:val="none"/>
          <w:u w:val="single"/>
          <w:lang w:eastAsia="zh-CN"/>
        </w:rPr>
        <w:t>台州市森林病虫防治检疫站</w:t>
      </w:r>
      <w:r>
        <w:rPr>
          <w:rFonts w:hint="eastAsia" w:ascii="宋体" w:hAnsi="宋体"/>
          <w:color w:val="auto"/>
          <w:sz w:val="24"/>
          <w:highlight w:val="none"/>
        </w:rPr>
        <w:t>的</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年松材线虫病除治质量抽样检测项目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台财采确临[2025]21号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7EBD901A">
      <w:pPr>
        <w:pStyle w:val="42"/>
        <w:numPr>
          <w:ilvl w:val="0"/>
          <w:numId w:val="11"/>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22C99AC9">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B99FFD2">
      <w:pPr>
        <w:pStyle w:val="42"/>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7D85FFC5">
      <w:pPr>
        <w:pStyle w:val="42"/>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1743BFD0">
      <w:pPr>
        <w:spacing w:line="360" w:lineRule="auto"/>
        <w:rPr>
          <w:rFonts w:ascii="宋体" w:hAnsi="宋体"/>
          <w:color w:val="auto"/>
          <w:spacing w:val="6"/>
          <w:sz w:val="24"/>
          <w:highlight w:val="none"/>
        </w:rPr>
      </w:pPr>
    </w:p>
    <w:p w14:paraId="514474AA">
      <w:pPr>
        <w:pStyle w:val="42"/>
        <w:spacing w:line="360" w:lineRule="auto"/>
        <w:ind w:firstLine="480" w:firstLineChars="200"/>
        <w:rPr>
          <w:rFonts w:ascii="宋体" w:hAnsi="宋体" w:cs="Arial"/>
          <w:bCs/>
          <w:color w:val="auto"/>
          <w:sz w:val="24"/>
          <w:highlight w:val="none"/>
        </w:rPr>
      </w:pPr>
    </w:p>
    <w:p w14:paraId="7D154FFD">
      <w:pPr>
        <w:pStyle w:val="42"/>
        <w:spacing w:line="360" w:lineRule="auto"/>
        <w:rPr>
          <w:rFonts w:ascii="宋体" w:hAnsi="宋体"/>
          <w:color w:val="auto"/>
          <w:sz w:val="24"/>
          <w:highlight w:val="none"/>
        </w:rPr>
      </w:pPr>
    </w:p>
    <w:p w14:paraId="47A83D3A">
      <w:pPr>
        <w:pStyle w:val="42"/>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30B27BE1">
      <w:pPr>
        <w:pStyle w:val="42"/>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3370D4C1">
      <w:pPr>
        <w:pStyle w:val="8"/>
        <w:rPr>
          <w:rFonts w:ascii="宋体" w:hAnsi="宋体" w:cs="宋体"/>
          <w:color w:val="auto"/>
          <w:sz w:val="24"/>
          <w:szCs w:val="24"/>
          <w:highlight w:val="none"/>
        </w:rPr>
      </w:pPr>
    </w:p>
    <w:p w14:paraId="49666DAF">
      <w:pPr>
        <w:pStyle w:val="8"/>
        <w:rPr>
          <w:rFonts w:ascii="宋体" w:hAnsi="宋体" w:cs="宋体"/>
          <w:color w:val="auto"/>
          <w:sz w:val="24"/>
          <w:szCs w:val="24"/>
          <w:highlight w:val="none"/>
        </w:rPr>
      </w:pPr>
    </w:p>
    <w:p w14:paraId="4BFB08D7">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6AEDF23D">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37759388">
      <w:pPr>
        <w:rPr>
          <w:rFonts w:ascii="宋体" w:hAnsi="宋体" w:cs="宋体"/>
          <w:color w:val="auto"/>
          <w:sz w:val="24"/>
          <w:highlight w:val="none"/>
        </w:rPr>
        <w:sectPr>
          <w:headerReference r:id="rId6" w:type="first"/>
          <w:headerReference r:id="rId5" w:type="default"/>
          <w:footerReference r:id="rId7" w:type="default"/>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3D75FFB4">
      <w:pPr>
        <w:pStyle w:val="11"/>
        <w:spacing w:line="360" w:lineRule="auto"/>
        <w:jc w:val="center"/>
        <w:rPr>
          <w:rFonts w:hAnsi="宋体" w:cs="宋体"/>
          <w:b/>
          <w:color w:val="auto"/>
          <w:sz w:val="32"/>
          <w:szCs w:val="32"/>
          <w:highlight w:val="none"/>
          <w:lang w:val="en-GB"/>
        </w:rPr>
      </w:pPr>
      <w:bookmarkStart w:id="53" w:name="_Toc17646_WPSOffice_Level1"/>
      <w:bookmarkStart w:id="54" w:name="_Toc27483_WPSOffice_Level1"/>
      <w:r>
        <w:rPr>
          <w:rFonts w:hint="eastAsia" w:hAnsi="宋体" w:cs="宋体"/>
          <w:b/>
          <w:color w:val="auto"/>
          <w:sz w:val="32"/>
          <w:szCs w:val="32"/>
          <w:highlight w:val="none"/>
          <w:lang w:val="en-GB"/>
        </w:rPr>
        <w:t>残疾人福利性单位声明函</w:t>
      </w:r>
      <w:bookmarkEnd w:id="53"/>
      <w:bookmarkEnd w:id="54"/>
    </w:p>
    <w:p w14:paraId="337D3DBF">
      <w:pPr>
        <w:spacing w:line="360" w:lineRule="auto"/>
        <w:ind w:firstLine="480" w:firstLineChars="200"/>
        <w:rPr>
          <w:rFonts w:ascii="宋体" w:hAnsi="宋体" w:cs="宋体"/>
          <w:color w:val="auto"/>
          <w:sz w:val="24"/>
          <w:highlight w:val="none"/>
        </w:rPr>
      </w:pPr>
    </w:p>
    <w:p w14:paraId="60C8D5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kern w:val="0"/>
          <w:sz w:val="24"/>
          <w:highlight w:val="none"/>
          <w:u w:val="single"/>
          <w:lang w:eastAsia="zh-CN"/>
        </w:rPr>
        <w:t>台州市森林病虫防治检疫站</w:t>
      </w:r>
      <w:r>
        <w:rPr>
          <w:rFonts w:hint="eastAsia" w:ascii="宋体" w:hAnsi="宋体" w:cs="宋体"/>
          <w:color w:val="auto"/>
          <w:sz w:val="24"/>
          <w:highlight w:val="none"/>
        </w:rPr>
        <w:t>的</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年松材线虫病除治质量抽样检测项目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台财采确临[2025]21号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EDD26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B35BF1">
      <w:pPr>
        <w:pStyle w:val="19"/>
        <w:rPr>
          <w:color w:val="auto"/>
          <w:highlight w:val="none"/>
        </w:rPr>
      </w:pPr>
    </w:p>
    <w:p w14:paraId="5960145B">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196FE1B7">
      <w:pPr>
        <w:pStyle w:val="42"/>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1D79E12D">
      <w:pPr>
        <w:pStyle w:val="42"/>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3FD528FE">
      <w:pPr>
        <w:pStyle w:val="42"/>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4A612C03">
      <w:pPr>
        <w:spacing w:line="360" w:lineRule="auto"/>
        <w:rPr>
          <w:color w:val="auto"/>
          <w:highlight w:val="none"/>
        </w:rPr>
      </w:pPr>
    </w:p>
    <w:p w14:paraId="6C44513A">
      <w:pPr>
        <w:spacing w:line="360" w:lineRule="auto"/>
        <w:rPr>
          <w:color w:val="auto"/>
          <w:highlight w:val="none"/>
        </w:rPr>
      </w:pPr>
    </w:p>
    <w:p w14:paraId="2945D1C9">
      <w:pPr>
        <w:pStyle w:val="18"/>
      </w:pPr>
    </w:p>
    <w:bookmarkEnd w:id="50"/>
    <w:bookmarkEnd w:id="51"/>
    <w:bookmarkEnd w:id="52"/>
    <w:p w14:paraId="3F1DFA0D">
      <w:pPr>
        <w:jc w:val="center"/>
        <w:rPr>
          <w:color w:val="auto"/>
          <w:highlight w:val="none"/>
        </w:rPr>
        <w:sectPr>
          <w:pgSz w:w="11906" w:h="16838"/>
          <w:pgMar w:top="1440" w:right="1800" w:bottom="1440" w:left="1800" w:header="851" w:footer="992" w:gutter="0"/>
          <w:cols w:space="425" w:num="1"/>
          <w:docGrid w:type="lines" w:linePitch="312" w:charSpace="0"/>
        </w:sectPr>
      </w:pPr>
    </w:p>
    <w:p w14:paraId="76296B55">
      <w:pPr>
        <w:widowControl w:val="0"/>
        <w:autoSpaceDE w:val="0"/>
        <w:autoSpaceDN w:val="0"/>
        <w:adjustRightInd w:val="0"/>
        <w:jc w:val="center"/>
        <w:rPr>
          <w:rFonts w:hint="eastAsia" w:ascii="黑体" w:hAnsi="黑体" w:eastAsia="黑体" w:cs="黑体"/>
          <w:b/>
          <w:bCs/>
          <w:sz w:val="28"/>
          <w:szCs w:val="28"/>
          <w:highlight w:val="none"/>
          <w:lang w:val="en-US" w:eastAsia="zh-CN" w:bidi="ar-SA"/>
        </w:rPr>
      </w:pPr>
      <w:r>
        <w:rPr>
          <w:rFonts w:hint="eastAsia" w:ascii="黑体" w:hAnsi="黑体" w:eastAsia="黑体" w:cs="黑体"/>
          <w:b/>
          <w:bCs/>
          <w:sz w:val="28"/>
          <w:szCs w:val="28"/>
          <w:highlight w:val="none"/>
          <w:lang w:val="en-US" w:eastAsia="zh-CN" w:bidi="ar-SA"/>
        </w:rPr>
        <w:t>监狱企业的证明文件</w:t>
      </w:r>
    </w:p>
    <w:p w14:paraId="2B6E7F9A">
      <w:pPr>
        <w:jc w:val="center"/>
        <w:rPr>
          <w:rFonts w:hint="default" w:eastAsia="宋体"/>
          <w:b/>
          <w:bCs/>
          <w:highlight w:val="none"/>
          <w:lang w:val="en-US" w:eastAsia="zh-CN"/>
        </w:rPr>
      </w:pPr>
      <w:r>
        <w:rPr>
          <w:rFonts w:hint="eastAsia" w:ascii="黑体" w:hAnsi="黑体" w:eastAsia="黑体" w:cs="黑体"/>
          <w:b/>
          <w:bCs/>
          <w:sz w:val="28"/>
          <w:szCs w:val="28"/>
          <w:highlight w:val="none"/>
          <w:lang w:val="en-US" w:eastAsia="zh-CN" w:bidi="ar-SA"/>
        </w:rPr>
        <w:t>（注：格式自拟）</w:t>
      </w:r>
    </w:p>
    <w:p w14:paraId="3B85169E">
      <w:pPr>
        <w:pStyle w:val="27"/>
        <w:ind w:firstLine="1040"/>
        <w:rPr>
          <w:color w:val="auto"/>
          <w:sz w:val="52"/>
          <w:szCs w:val="52"/>
          <w:highlight w:val="none"/>
        </w:rPr>
        <w:sectPr>
          <w:pgSz w:w="11906" w:h="16838"/>
          <w:pgMar w:top="1701" w:right="1448" w:bottom="1531" w:left="1418" w:header="851" w:footer="851" w:gutter="0"/>
          <w:cols w:space="720" w:num="1"/>
          <w:docGrid w:linePitch="312" w:charSpace="0"/>
        </w:sectPr>
      </w:pPr>
    </w:p>
    <w:p w14:paraId="3F898DCE">
      <w:pPr>
        <w:pStyle w:val="18"/>
      </w:pPr>
    </w:p>
    <w:p w14:paraId="4D790CA5">
      <w:pPr>
        <w:spacing w:beforeLines="100" w:line="360" w:lineRule="auto"/>
        <w:ind w:right="-108"/>
        <w:jc w:val="center"/>
        <w:rPr>
          <w:rFonts w:ascii="宋体" w:hAnsi="宋体"/>
          <w:color w:val="auto"/>
          <w:sz w:val="52"/>
          <w:szCs w:val="52"/>
          <w:highlight w:val="none"/>
        </w:rPr>
      </w:pPr>
      <w:r>
        <w:rPr>
          <w:rFonts w:hint="eastAsia" w:ascii="宋体" w:hAnsi="宋体"/>
          <w:color w:val="auto"/>
          <w:sz w:val="52"/>
          <w:szCs w:val="52"/>
          <w:highlight w:val="none"/>
        </w:rPr>
        <w:t>项目名称</w:t>
      </w:r>
    </w:p>
    <w:p w14:paraId="56665F68">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14:paraId="39E90EE3">
      <w:pPr>
        <w:autoSpaceDE w:val="0"/>
        <w:autoSpaceDN w:val="0"/>
        <w:adjustRightInd w:val="0"/>
        <w:spacing w:line="360" w:lineRule="auto"/>
        <w:jc w:val="center"/>
        <w:rPr>
          <w:rFonts w:ascii="宋体" w:hAnsi="宋体" w:cs="宋体"/>
          <w:color w:val="auto"/>
          <w:sz w:val="24"/>
          <w:highlight w:val="none"/>
          <w:lang w:val="zh-CN"/>
        </w:rPr>
      </w:pPr>
    </w:p>
    <w:p w14:paraId="5BB28FED">
      <w:pPr>
        <w:jc w:val="center"/>
        <w:rPr>
          <w:color w:val="auto"/>
          <w:sz w:val="84"/>
          <w:szCs w:val="84"/>
          <w:highlight w:val="none"/>
          <w:lang w:val="zh-CN"/>
        </w:rPr>
      </w:pPr>
      <w:r>
        <w:rPr>
          <w:rFonts w:hint="eastAsia"/>
          <w:color w:val="auto"/>
          <w:sz w:val="84"/>
          <w:szCs w:val="84"/>
          <w:highlight w:val="none"/>
          <w:lang w:val="zh-CN"/>
        </w:rPr>
        <w:t>投</w:t>
      </w:r>
    </w:p>
    <w:p w14:paraId="4FE75C3A">
      <w:pPr>
        <w:jc w:val="center"/>
        <w:rPr>
          <w:color w:val="auto"/>
          <w:sz w:val="84"/>
          <w:szCs w:val="84"/>
          <w:highlight w:val="none"/>
          <w:lang w:val="zh-CN"/>
        </w:rPr>
      </w:pPr>
      <w:r>
        <w:rPr>
          <w:rFonts w:hint="eastAsia"/>
          <w:color w:val="auto"/>
          <w:sz w:val="84"/>
          <w:szCs w:val="84"/>
          <w:highlight w:val="none"/>
          <w:lang w:val="zh-CN"/>
        </w:rPr>
        <w:t>标</w:t>
      </w:r>
    </w:p>
    <w:p w14:paraId="5AD3DFA9">
      <w:pPr>
        <w:jc w:val="center"/>
        <w:rPr>
          <w:color w:val="auto"/>
          <w:sz w:val="84"/>
          <w:szCs w:val="84"/>
          <w:highlight w:val="none"/>
        </w:rPr>
      </w:pPr>
      <w:r>
        <w:rPr>
          <w:rFonts w:hint="eastAsia"/>
          <w:color w:val="auto"/>
          <w:sz w:val="84"/>
          <w:szCs w:val="84"/>
          <w:highlight w:val="none"/>
          <w:lang w:val="zh-CN"/>
        </w:rPr>
        <w:t>文</w:t>
      </w:r>
    </w:p>
    <w:p w14:paraId="5247AB89">
      <w:pPr>
        <w:jc w:val="center"/>
        <w:rPr>
          <w:color w:val="auto"/>
          <w:sz w:val="84"/>
          <w:szCs w:val="84"/>
          <w:highlight w:val="none"/>
          <w:lang w:val="zh-CN"/>
        </w:rPr>
      </w:pPr>
      <w:r>
        <w:rPr>
          <w:rFonts w:hint="eastAsia"/>
          <w:color w:val="auto"/>
          <w:sz w:val="84"/>
          <w:szCs w:val="84"/>
          <w:highlight w:val="none"/>
          <w:lang w:val="zh-CN"/>
        </w:rPr>
        <w:t>件</w:t>
      </w:r>
    </w:p>
    <w:p w14:paraId="3535827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8F7899A">
      <w:pPr>
        <w:pStyle w:val="19"/>
        <w:rPr>
          <w:color w:val="auto"/>
          <w:highlight w:val="none"/>
        </w:rPr>
      </w:pPr>
    </w:p>
    <w:p w14:paraId="7A3BF1D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p>
    <w:p w14:paraId="5EA47A0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5F61C76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56057A89">
      <w:pPr>
        <w:snapToGrid w:val="0"/>
        <w:spacing w:before="50" w:after="50" w:line="360" w:lineRule="auto"/>
        <w:rPr>
          <w:rFonts w:ascii="仿宋_GB2312" w:hAnsi="宋体" w:eastAsia="仿宋_GB2312"/>
          <w:b/>
          <w:color w:val="auto"/>
          <w:sz w:val="36"/>
          <w:szCs w:val="36"/>
          <w:highlight w:val="none"/>
        </w:rPr>
      </w:pPr>
    </w:p>
    <w:p w14:paraId="48B9C895">
      <w:pPr>
        <w:pStyle w:val="8"/>
        <w:rPr>
          <w:rFonts w:ascii="仿宋_GB2312" w:hAnsi="宋体" w:eastAsia="仿宋_GB2312"/>
          <w:b/>
          <w:color w:val="auto"/>
          <w:sz w:val="36"/>
          <w:szCs w:val="36"/>
          <w:highlight w:val="none"/>
        </w:rPr>
      </w:pPr>
    </w:p>
    <w:p w14:paraId="54F0724D">
      <w:pPr>
        <w:jc w:val="both"/>
        <w:rPr>
          <w:b/>
          <w:bCs/>
          <w:color w:val="auto"/>
          <w:sz w:val="36"/>
          <w:szCs w:val="36"/>
          <w:highlight w:val="none"/>
          <w:lang w:val="zh-CN"/>
        </w:rPr>
      </w:pPr>
      <w:bookmarkStart w:id="55" w:name="_Toc11308_WPSOffice_Level1"/>
      <w:bookmarkStart w:id="56" w:name="_Toc5889_WPSOffice_Level1"/>
    </w:p>
    <w:p w14:paraId="38B75F15">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5"/>
      <w:bookmarkEnd w:id="56"/>
    </w:p>
    <w:p w14:paraId="088177B7">
      <w:pPr>
        <w:spacing w:line="360" w:lineRule="auto"/>
        <w:rPr>
          <w:color w:val="auto"/>
          <w:sz w:val="24"/>
          <w:highlight w:val="none"/>
        </w:rPr>
      </w:pPr>
    </w:p>
    <w:p w14:paraId="1B5C18A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0549E21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（2）技术方案（由供应商根据采购文件和评标办法自行拟定）；</w:t>
      </w:r>
    </w:p>
    <w:p w14:paraId="2412A77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715CB4C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79C9A0B2">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10</w:t>
      </w:r>
      <w:r>
        <w:rPr>
          <w:rFonts w:hint="eastAsia" w:ascii="Calibri" w:hAnsi="Calibri" w:cs="Calibri"/>
          <w:color w:val="auto"/>
          <w:sz w:val="24"/>
          <w:highlight w:val="none"/>
        </w:rPr>
        <w:t>）；</w:t>
      </w:r>
    </w:p>
    <w:p w14:paraId="5CD8A0F9">
      <w:pPr>
        <w:pStyle w:val="8"/>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232B9B22">
      <w:pPr>
        <w:pStyle w:val="8"/>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w:t>
      </w:r>
      <w:bookmarkStart w:id="89" w:name="_GoBack"/>
      <w:bookmarkEnd w:id="89"/>
      <w:r>
        <w:rPr>
          <w:rFonts w:hint="eastAsia" w:ascii="宋体" w:hAnsi="宋体"/>
          <w:bCs/>
          <w:color w:val="auto"/>
          <w:sz w:val="24"/>
          <w:highlight w:val="none"/>
        </w:rPr>
        <w:t>；附件1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17CB1280">
      <w:pPr>
        <w:pStyle w:val="8"/>
        <w:spacing w:line="360" w:lineRule="auto"/>
        <w:ind w:left="420" w:firstLine="0"/>
        <w:rPr>
          <w:color w:val="auto"/>
          <w:sz w:val="28"/>
          <w:szCs w:val="28"/>
          <w:highlight w:val="none"/>
        </w:rPr>
      </w:pPr>
      <w:r>
        <w:rPr>
          <w:rFonts w:hint="eastAsia" w:ascii="宋体" w:hAnsi="宋体"/>
          <w:bCs/>
          <w:color w:val="auto"/>
          <w:sz w:val="24"/>
          <w:highlight w:val="none"/>
        </w:rPr>
        <w:t>（8）符合招标文件规定的其他证明文件及评分标准中涉及的其他材料。</w:t>
      </w:r>
    </w:p>
    <w:p w14:paraId="524C4C4A">
      <w:pPr>
        <w:pStyle w:val="8"/>
        <w:spacing w:line="360" w:lineRule="auto"/>
        <w:ind w:firstLine="0"/>
        <w:rPr>
          <w:rFonts w:ascii="宋体" w:hAnsi="宋体"/>
          <w:bCs/>
          <w:color w:val="auto"/>
          <w:sz w:val="24"/>
          <w:highlight w:val="none"/>
        </w:rPr>
      </w:pPr>
    </w:p>
    <w:p w14:paraId="70FE498A">
      <w:pPr>
        <w:pStyle w:val="8"/>
        <w:spacing w:line="360" w:lineRule="auto"/>
        <w:ind w:firstLine="0"/>
        <w:rPr>
          <w:rFonts w:ascii="宋体" w:hAnsi="宋体"/>
          <w:bCs/>
          <w:color w:val="auto"/>
          <w:sz w:val="24"/>
          <w:highlight w:val="none"/>
        </w:rPr>
      </w:pPr>
    </w:p>
    <w:p w14:paraId="1D428231">
      <w:pPr>
        <w:pStyle w:val="8"/>
        <w:spacing w:line="360" w:lineRule="auto"/>
        <w:ind w:firstLine="0"/>
        <w:rPr>
          <w:rFonts w:ascii="宋体" w:hAnsi="宋体"/>
          <w:bCs/>
          <w:color w:val="auto"/>
          <w:sz w:val="24"/>
          <w:highlight w:val="none"/>
        </w:rPr>
      </w:pPr>
    </w:p>
    <w:p w14:paraId="157E39CB">
      <w:pPr>
        <w:pStyle w:val="8"/>
        <w:spacing w:line="360" w:lineRule="auto"/>
        <w:ind w:firstLine="0"/>
        <w:rPr>
          <w:rFonts w:ascii="宋体" w:hAnsi="宋体"/>
          <w:bCs/>
          <w:color w:val="auto"/>
          <w:sz w:val="24"/>
          <w:highlight w:val="none"/>
        </w:rPr>
      </w:pPr>
    </w:p>
    <w:p w14:paraId="21CF1ADC">
      <w:pPr>
        <w:pStyle w:val="8"/>
        <w:ind w:firstLine="0"/>
        <w:rPr>
          <w:color w:val="auto"/>
          <w:sz w:val="28"/>
          <w:szCs w:val="28"/>
          <w:highlight w:val="none"/>
        </w:rPr>
        <w:sectPr>
          <w:pgSz w:w="11906" w:h="16838"/>
          <w:pgMar w:top="1440" w:right="1800" w:bottom="1440" w:left="1800" w:header="851" w:footer="992" w:gutter="0"/>
          <w:cols w:space="425" w:num="1"/>
          <w:docGrid w:type="lines" w:linePitch="312" w:charSpace="0"/>
        </w:sectPr>
      </w:pPr>
    </w:p>
    <w:p w14:paraId="7769982D">
      <w:pPr>
        <w:pStyle w:val="32"/>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7</w:t>
      </w:r>
    </w:p>
    <w:p w14:paraId="46B6F15D">
      <w:pPr>
        <w:pStyle w:val="3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7" w:name="_Toc13307_WPSOffice_Level1"/>
      <w:bookmarkStart w:id="58" w:name="_Toc14261_WPSOffice_Level1"/>
      <w:r>
        <w:rPr>
          <w:rFonts w:hint="eastAsia"/>
          <w:b/>
          <w:color w:val="auto"/>
          <w:sz w:val="32"/>
          <w:szCs w:val="32"/>
          <w:highlight w:val="none"/>
          <w:lang w:eastAsia="zh-CN"/>
        </w:rPr>
        <w:t>供应商</w:t>
      </w:r>
      <w:r>
        <w:rPr>
          <w:rFonts w:hint="eastAsia"/>
          <w:b/>
          <w:bCs/>
          <w:color w:val="auto"/>
          <w:sz w:val="32"/>
          <w:szCs w:val="32"/>
          <w:highlight w:val="none"/>
        </w:rPr>
        <w:t>基本情况表</w:t>
      </w:r>
      <w:bookmarkEnd w:id="57"/>
      <w:bookmarkEnd w:id="58"/>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5F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08CC6CE4">
            <w:pPr>
              <w:pStyle w:val="32"/>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10607F66">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0A8690AB">
            <w:pPr>
              <w:pStyle w:val="32"/>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38A220BD">
            <w:pPr>
              <w:pStyle w:val="32"/>
              <w:shd w:val="clear" w:color="auto" w:fill="FFFFFF"/>
              <w:spacing w:before="0" w:beforeAutospacing="0" w:after="0" w:afterAutospacing="0"/>
              <w:jc w:val="center"/>
              <w:rPr>
                <w:bCs/>
                <w:color w:val="auto"/>
                <w:highlight w:val="none"/>
              </w:rPr>
            </w:pPr>
          </w:p>
        </w:tc>
      </w:tr>
      <w:tr w14:paraId="5D06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2E2647F7">
            <w:pPr>
              <w:pStyle w:val="32"/>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5FDD130F">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7C22AC5D">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0E955563">
            <w:pPr>
              <w:pStyle w:val="32"/>
              <w:shd w:val="clear" w:color="auto" w:fill="FFFFFF"/>
              <w:spacing w:before="0" w:beforeAutospacing="0" w:after="0" w:afterAutospacing="0"/>
              <w:jc w:val="center"/>
              <w:rPr>
                <w:bCs/>
                <w:color w:val="auto"/>
                <w:highlight w:val="none"/>
              </w:rPr>
            </w:pPr>
          </w:p>
        </w:tc>
      </w:tr>
      <w:tr w14:paraId="0D10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970448A">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6C98858C">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25C08BB">
            <w:pPr>
              <w:pStyle w:val="32"/>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05E63E39">
            <w:pPr>
              <w:widowControl/>
              <w:jc w:val="center"/>
              <w:rPr>
                <w:rFonts w:ascii="宋体" w:hAnsi="宋体" w:cs="宋体"/>
                <w:bCs/>
                <w:color w:val="auto"/>
                <w:kern w:val="0"/>
                <w:sz w:val="24"/>
                <w:highlight w:val="none"/>
              </w:rPr>
            </w:pPr>
          </w:p>
          <w:p w14:paraId="5F6328B4">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C1E749B">
            <w:pPr>
              <w:pStyle w:val="32"/>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1241AA98">
            <w:pPr>
              <w:pStyle w:val="32"/>
              <w:shd w:val="clear" w:color="auto" w:fill="FFFFFF"/>
              <w:spacing w:before="0" w:beforeAutospacing="0" w:after="0" w:afterAutospacing="0"/>
              <w:jc w:val="center"/>
              <w:rPr>
                <w:bCs/>
                <w:color w:val="auto"/>
                <w:highlight w:val="none"/>
              </w:rPr>
            </w:pPr>
          </w:p>
        </w:tc>
      </w:tr>
      <w:tr w14:paraId="3AED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932DCAA">
            <w:pPr>
              <w:pStyle w:val="32"/>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1756EF98">
            <w:pPr>
              <w:pStyle w:val="32"/>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22824742">
            <w:pPr>
              <w:pStyle w:val="32"/>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64363E36">
            <w:pPr>
              <w:widowControl/>
              <w:jc w:val="center"/>
              <w:rPr>
                <w:rFonts w:ascii="宋体" w:hAnsi="宋体" w:cs="宋体"/>
                <w:bCs/>
                <w:color w:val="auto"/>
                <w:kern w:val="0"/>
                <w:sz w:val="24"/>
                <w:highlight w:val="none"/>
              </w:rPr>
            </w:pPr>
          </w:p>
          <w:p w14:paraId="7ACC936C">
            <w:pPr>
              <w:pStyle w:val="32"/>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4A07A9BF">
            <w:pPr>
              <w:pStyle w:val="32"/>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44383724">
            <w:pPr>
              <w:pStyle w:val="32"/>
              <w:shd w:val="clear" w:color="auto" w:fill="FFFFFF"/>
              <w:spacing w:before="0" w:beforeAutospacing="0" w:after="0" w:afterAutospacing="0"/>
              <w:jc w:val="center"/>
              <w:rPr>
                <w:bCs/>
                <w:color w:val="auto"/>
                <w:highlight w:val="none"/>
              </w:rPr>
            </w:pPr>
          </w:p>
        </w:tc>
      </w:tr>
      <w:tr w14:paraId="0C74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746BC404">
            <w:pPr>
              <w:pStyle w:val="32"/>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7090682D">
            <w:pPr>
              <w:pStyle w:val="32"/>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F3AB655">
            <w:pPr>
              <w:pStyle w:val="32"/>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56E9CDF5">
            <w:pPr>
              <w:pStyle w:val="32"/>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1AF71269">
            <w:pPr>
              <w:pStyle w:val="32"/>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422140F6">
            <w:pPr>
              <w:pStyle w:val="32"/>
              <w:shd w:val="clear" w:color="auto" w:fill="FFFFFF"/>
              <w:spacing w:before="0" w:beforeAutospacing="0" w:after="0" w:afterAutospacing="0"/>
              <w:jc w:val="center"/>
              <w:rPr>
                <w:bCs/>
                <w:color w:val="auto"/>
                <w:highlight w:val="none"/>
              </w:rPr>
            </w:pPr>
          </w:p>
        </w:tc>
      </w:tr>
      <w:tr w14:paraId="56CF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BF708AF">
            <w:pPr>
              <w:pStyle w:val="32"/>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262C1B0A">
            <w:pPr>
              <w:pStyle w:val="32"/>
              <w:shd w:val="clear" w:color="auto" w:fill="FFFFFF"/>
              <w:spacing w:before="0" w:beforeAutospacing="0" w:after="0" w:afterAutospacing="0"/>
              <w:jc w:val="center"/>
              <w:rPr>
                <w:bCs/>
                <w:color w:val="auto"/>
                <w:highlight w:val="none"/>
              </w:rPr>
            </w:pPr>
            <w:r>
              <w:rPr>
                <w:rFonts w:hint="eastAsia"/>
                <w:bCs/>
                <w:color w:val="auto"/>
                <w:highlight w:val="none"/>
              </w:rPr>
              <w:t>企</w:t>
            </w:r>
          </w:p>
          <w:p w14:paraId="30F7D21B">
            <w:pPr>
              <w:pStyle w:val="32"/>
              <w:shd w:val="clear" w:color="auto" w:fill="FFFFFF"/>
              <w:spacing w:before="0" w:beforeAutospacing="0" w:after="0" w:afterAutospacing="0"/>
              <w:jc w:val="center"/>
              <w:rPr>
                <w:bCs/>
                <w:color w:val="auto"/>
                <w:highlight w:val="none"/>
              </w:rPr>
            </w:pPr>
            <w:r>
              <w:rPr>
                <w:rFonts w:hint="eastAsia"/>
                <w:bCs/>
                <w:color w:val="auto"/>
                <w:highlight w:val="none"/>
              </w:rPr>
              <w:t>业</w:t>
            </w:r>
          </w:p>
          <w:p w14:paraId="688F412C">
            <w:pPr>
              <w:pStyle w:val="32"/>
              <w:shd w:val="clear" w:color="auto" w:fill="FFFFFF"/>
              <w:spacing w:before="0" w:beforeAutospacing="0" w:after="0" w:afterAutospacing="0"/>
              <w:jc w:val="center"/>
              <w:rPr>
                <w:bCs/>
                <w:color w:val="auto"/>
                <w:highlight w:val="none"/>
              </w:rPr>
            </w:pPr>
            <w:r>
              <w:rPr>
                <w:rFonts w:hint="eastAsia"/>
                <w:bCs/>
                <w:color w:val="auto"/>
                <w:highlight w:val="none"/>
              </w:rPr>
              <w:t>概</w:t>
            </w:r>
          </w:p>
          <w:p w14:paraId="316056DB">
            <w:pPr>
              <w:pStyle w:val="32"/>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37321165">
            <w:pPr>
              <w:pStyle w:val="32"/>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082918FD">
            <w:pPr>
              <w:pStyle w:val="32"/>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99E8FC0">
            <w:pPr>
              <w:pStyle w:val="32"/>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546EB94">
            <w:pPr>
              <w:widowControl/>
              <w:jc w:val="center"/>
              <w:rPr>
                <w:rFonts w:ascii="宋体" w:hAnsi="宋体" w:cs="宋体"/>
                <w:bCs/>
                <w:color w:val="auto"/>
                <w:kern w:val="0"/>
                <w:sz w:val="24"/>
                <w:highlight w:val="none"/>
              </w:rPr>
            </w:pPr>
          </w:p>
          <w:p w14:paraId="1E5728FC">
            <w:pPr>
              <w:widowControl/>
              <w:jc w:val="center"/>
              <w:rPr>
                <w:rFonts w:ascii="宋体" w:hAnsi="宋体" w:cs="宋体"/>
                <w:bCs/>
                <w:color w:val="auto"/>
                <w:kern w:val="0"/>
                <w:sz w:val="24"/>
                <w:highlight w:val="none"/>
              </w:rPr>
            </w:pPr>
          </w:p>
          <w:p w14:paraId="2C38213B">
            <w:pPr>
              <w:pStyle w:val="32"/>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FC0E9B6">
            <w:pPr>
              <w:pStyle w:val="32"/>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6EE1BC80">
            <w:pPr>
              <w:widowControl/>
              <w:jc w:val="center"/>
              <w:rPr>
                <w:rFonts w:ascii="宋体" w:hAnsi="宋体" w:cs="宋体"/>
                <w:bCs/>
                <w:color w:val="auto"/>
                <w:kern w:val="0"/>
                <w:sz w:val="24"/>
                <w:highlight w:val="none"/>
              </w:rPr>
            </w:pPr>
          </w:p>
          <w:p w14:paraId="6A4BB2EA">
            <w:pPr>
              <w:pStyle w:val="32"/>
              <w:shd w:val="clear" w:color="auto" w:fill="FFFFFF"/>
              <w:spacing w:before="0" w:beforeAutospacing="0" w:after="0" w:afterAutospacing="0"/>
              <w:jc w:val="center"/>
              <w:rPr>
                <w:bCs/>
                <w:color w:val="auto"/>
                <w:highlight w:val="none"/>
              </w:rPr>
            </w:pPr>
          </w:p>
        </w:tc>
      </w:tr>
      <w:tr w14:paraId="1318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417B906">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E0E7BA1">
            <w:pPr>
              <w:pStyle w:val="32"/>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5FE47F58">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42C4353">
            <w:pPr>
              <w:pStyle w:val="32"/>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796A5F17">
            <w:pPr>
              <w:pStyle w:val="32"/>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517F112">
            <w:pPr>
              <w:pStyle w:val="32"/>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5710D869">
            <w:pPr>
              <w:pStyle w:val="32"/>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3BF3D614">
            <w:pPr>
              <w:pStyle w:val="32"/>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42D90813">
            <w:pPr>
              <w:pStyle w:val="32"/>
              <w:shd w:val="clear" w:color="auto" w:fill="FFFFFF"/>
              <w:spacing w:before="0" w:beforeAutospacing="0" w:after="0" w:afterAutospacing="0"/>
              <w:jc w:val="center"/>
              <w:rPr>
                <w:bCs/>
                <w:color w:val="auto"/>
                <w:highlight w:val="none"/>
              </w:rPr>
            </w:pPr>
          </w:p>
        </w:tc>
      </w:tr>
      <w:tr w14:paraId="0AB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15516E3">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439CCDB">
            <w:pPr>
              <w:pStyle w:val="32"/>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5BA388CB">
            <w:pPr>
              <w:pStyle w:val="32"/>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0F07E6D2">
            <w:pPr>
              <w:pStyle w:val="32"/>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52FB75AA">
            <w:pPr>
              <w:widowControl/>
              <w:jc w:val="center"/>
              <w:rPr>
                <w:rFonts w:ascii="宋体" w:hAnsi="宋体" w:cs="宋体"/>
                <w:bCs/>
                <w:color w:val="auto"/>
                <w:kern w:val="0"/>
                <w:sz w:val="24"/>
                <w:highlight w:val="none"/>
              </w:rPr>
            </w:pPr>
          </w:p>
          <w:p w14:paraId="06D7A3EC">
            <w:pPr>
              <w:pStyle w:val="32"/>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59D099F0">
            <w:pPr>
              <w:pStyle w:val="32"/>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4CC204E7">
            <w:pPr>
              <w:pStyle w:val="32"/>
              <w:shd w:val="clear" w:color="auto" w:fill="FFFFFF"/>
              <w:spacing w:before="0" w:beforeAutospacing="0" w:after="0" w:afterAutospacing="0"/>
              <w:jc w:val="center"/>
              <w:rPr>
                <w:bCs/>
                <w:color w:val="auto"/>
                <w:highlight w:val="none"/>
              </w:rPr>
            </w:pPr>
          </w:p>
        </w:tc>
      </w:tr>
      <w:tr w14:paraId="5351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7F916807">
            <w:pPr>
              <w:pStyle w:val="32"/>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DBF8C03">
            <w:pPr>
              <w:pStyle w:val="32"/>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03F03DAA">
            <w:pPr>
              <w:pStyle w:val="32"/>
              <w:shd w:val="clear" w:color="auto" w:fill="FFFFFF"/>
              <w:spacing w:before="0" w:beforeAutospacing="0" w:after="0" w:afterAutospacing="0"/>
              <w:jc w:val="center"/>
              <w:rPr>
                <w:bCs/>
                <w:color w:val="auto"/>
                <w:highlight w:val="none"/>
              </w:rPr>
            </w:pPr>
          </w:p>
        </w:tc>
      </w:tr>
      <w:tr w14:paraId="3BF8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D3871F1">
            <w:pPr>
              <w:pStyle w:val="32"/>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656C89D0">
            <w:pPr>
              <w:pStyle w:val="32"/>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794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54841C8">
            <w:pPr>
              <w:pStyle w:val="32"/>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6F6DD8C3">
            <w:pPr>
              <w:pStyle w:val="32"/>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233C13AA">
            <w:pPr>
              <w:pStyle w:val="32"/>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392E3F69">
            <w:pPr>
              <w:pStyle w:val="32"/>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0721A0B8">
            <w:pPr>
              <w:pStyle w:val="32"/>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5463CC45">
            <w:pPr>
              <w:pStyle w:val="32"/>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769688F7">
            <w:pPr>
              <w:pStyle w:val="32"/>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6349FAAF">
            <w:pPr>
              <w:pStyle w:val="32"/>
              <w:spacing w:before="0" w:beforeAutospacing="0" w:after="0" w:afterAutospacing="0"/>
              <w:jc w:val="center"/>
              <w:rPr>
                <w:bCs/>
                <w:color w:val="auto"/>
                <w:highlight w:val="none"/>
              </w:rPr>
            </w:pPr>
            <w:r>
              <w:rPr>
                <w:rFonts w:hint="eastAsia"/>
                <w:bCs/>
                <w:color w:val="auto"/>
                <w:spacing w:val="27"/>
                <w:highlight w:val="none"/>
              </w:rPr>
              <w:t>期限</w:t>
            </w:r>
          </w:p>
        </w:tc>
      </w:tr>
      <w:tr w14:paraId="753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3FC82A9">
            <w:pPr>
              <w:pStyle w:val="32"/>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18C2C31C">
            <w:pPr>
              <w:pStyle w:val="32"/>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43D67E3D">
            <w:pPr>
              <w:pStyle w:val="32"/>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667FF1F1">
            <w:pPr>
              <w:pStyle w:val="32"/>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478EDC23">
            <w:pPr>
              <w:pStyle w:val="32"/>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0D1CC2B7">
            <w:pPr>
              <w:pStyle w:val="32"/>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048FF409">
            <w:pPr>
              <w:pStyle w:val="32"/>
              <w:spacing w:before="0" w:beforeAutospacing="0" w:after="0" w:afterAutospacing="0"/>
              <w:jc w:val="center"/>
              <w:rPr>
                <w:color w:val="auto"/>
                <w:highlight w:val="none"/>
              </w:rPr>
            </w:pPr>
          </w:p>
        </w:tc>
      </w:tr>
      <w:tr w14:paraId="3458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13F35EA7">
            <w:pPr>
              <w:pStyle w:val="32"/>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668E4E5D">
            <w:pPr>
              <w:pStyle w:val="32"/>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2482A53">
            <w:pPr>
              <w:pStyle w:val="32"/>
              <w:shd w:val="clear" w:color="auto" w:fill="FFFFFF"/>
              <w:spacing w:before="0" w:beforeAutospacing="0" w:after="0" w:afterAutospacing="0"/>
              <w:jc w:val="center"/>
              <w:rPr>
                <w:bCs/>
                <w:color w:val="auto"/>
                <w:highlight w:val="none"/>
              </w:rPr>
            </w:pPr>
          </w:p>
        </w:tc>
      </w:tr>
    </w:tbl>
    <w:p w14:paraId="6C134ACE">
      <w:pPr>
        <w:pStyle w:val="3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800349B">
      <w:pPr>
        <w:pStyle w:val="3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31609C7">
      <w:pPr>
        <w:spacing w:line="360" w:lineRule="auto"/>
        <w:rPr>
          <w:rFonts w:ascii="宋体" w:hAnsi="宋体"/>
          <w:color w:val="auto"/>
          <w:sz w:val="24"/>
          <w:highlight w:val="none"/>
        </w:rPr>
      </w:pPr>
    </w:p>
    <w:p w14:paraId="5F7E8194">
      <w:pPr>
        <w:spacing w:line="360" w:lineRule="auto"/>
        <w:rPr>
          <w:rFonts w:ascii="宋体" w:hAnsi="宋体"/>
          <w:color w:val="auto"/>
          <w:sz w:val="24"/>
          <w:highlight w:val="none"/>
        </w:rPr>
      </w:pPr>
    </w:p>
    <w:p w14:paraId="636399B7">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BD7995C">
      <w:pPr>
        <w:spacing w:line="360" w:lineRule="auto"/>
        <w:ind w:left="420"/>
        <w:rPr>
          <w:rFonts w:ascii="宋体" w:hAnsi="宋体"/>
          <w:color w:val="auto"/>
          <w:sz w:val="24"/>
          <w:highlight w:val="none"/>
        </w:rPr>
      </w:pPr>
    </w:p>
    <w:p w14:paraId="6D56A4DF">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60B8FBDA">
      <w:pPr>
        <w:spacing w:line="360" w:lineRule="auto"/>
        <w:ind w:firstLine="435"/>
        <w:rPr>
          <w:rFonts w:ascii="宋体" w:hAnsi="宋体"/>
          <w:color w:val="auto"/>
          <w:sz w:val="24"/>
          <w:highlight w:val="none"/>
        </w:rPr>
      </w:pPr>
    </w:p>
    <w:p w14:paraId="6DE8DBE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6CA836B1">
      <w:pPr>
        <w:spacing w:line="360" w:lineRule="auto"/>
        <w:rPr>
          <w:rFonts w:ascii="宋体" w:hAnsi="宋体"/>
          <w:color w:val="auto"/>
          <w:sz w:val="24"/>
          <w:highlight w:val="none"/>
        </w:rPr>
      </w:pPr>
    </w:p>
    <w:p w14:paraId="1CD47DFA">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2204681">
      <w:pPr>
        <w:spacing w:line="360" w:lineRule="auto"/>
        <w:rPr>
          <w:rFonts w:ascii="宋体" w:hAnsi="宋体"/>
          <w:b/>
          <w:color w:val="auto"/>
          <w:sz w:val="24"/>
          <w:highlight w:val="none"/>
        </w:rPr>
      </w:pPr>
    </w:p>
    <w:p w14:paraId="61C3DCEE">
      <w:pPr>
        <w:spacing w:line="360" w:lineRule="auto"/>
        <w:rPr>
          <w:rFonts w:ascii="宋体" w:hAnsi="宋体"/>
          <w:b/>
          <w:color w:val="auto"/>
          <w:sz w:val="28"/>
          <w:highlight w:val="none"/>
        </w:rPr>
      </w:pPr>
    </w:p>
    <w:p w14:paraId="4BE21808">
      <w:pPr>
        <w:pStyle w:val="19"/>
        <w:ind w:left="0" w:leftChars="0" w:firstLine="0" w:firstLineChars="0"/>
        <w:rPr>
          <w:color w:val="auto"/>
          <w:highlight w:val="none"/>
        </w:rPr>
        <w:sectPr>
          <w:pgSz w:w="11906" w:h="16838"/>
          <w:pgMar w:top="1440" w:right="1800" w:bottom="1440" w:left="1800" w:header="851" w:footer="992" w:gutter="0"/>
          <w:cols w:space="425" w:num="1"/>
          <w:docGrid w:type="lines" w:linePitch="312" w:charSpace="0"/>
        </w:sectPr>
      </w:pPr>
    </w:p>
    <w:p w14:paraId="05CED1C1">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148CA058">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003E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B42A06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B4EFA1">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CB5E04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52F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1325F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089A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0BA742D">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48076299">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46C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CEEEE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BBA9C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52B0448">
            <w:pPr>
              <w:autoSpaceDE w:val="0"/>
              <w:autoSpaceDN w:val="0"/>
              <w:adjustRightInd w:val="0"/>
              <w:snapToGrid w:val="0"/>
              <w:spacing w:line="360" w:lineRule="auto"/>
              <w:jc w:val="center"/>
              <w:rPr>
                <w:rFonts w:ascii="宋体" w:hAnsi="宋体"/>
                <w:color w:val="auto"/>
                <w:highlight w:val="none"/>
                <w:lang w:val="zh-CN"/>
              </w:rPr>
            </w:pPr>
          </w:p>
        </w:tc>
      </w:tr>
      <w:tr w14:paraId="3D95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7A250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335BE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60A647E">
            <w:pPr>
              <w:autoSpaceDE w:val="0"/>
              <w:autoSpaceDN w:val="0"/>
              <w:adjustRightInd w:val="0"/>
              <w:snapToGrid w:val="0"/>
              <w:spacing w:line="360" w:lineRule="auto"/>
              <w:jc w:val="center"/>
              <w:rPr>
                <w:rFonts w:ascii="宋体" w:hAnsi="宋体"/>
                <w:color w:val="auto"/>
                <w:highlight w:val="none"/>
                <w:lang w:val="zh-CN"/>
              </w:rPr>
            </w:pPr>
          </w:p>
        </w:tc>
      </w:tr>
      <w:tr w14:paraId="72CB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5934AB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1F699">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5900F6D">
            <w:pPr>
              <w:autoSpaceDE w:val="0"/>
              <w:autoSpaceDN w:val="0"/>
              <w:adjustRightInd w:val="0"/>
              <w:snapToGrid w:val="0"/>
              <w:spacing w:line="360" w:lineRule="auto"/>
              <w:jc w:val="center"/>
              <w:rPr>
                <w:rFonts w:ascii="宋体" w:hAnsi="宋体"/>
                <w:color w:val="auto"/>
                <w:highlight w:val="none"/>
                <w:lang w:val="zh-CN"/>
              </w:rPr>
            </w:pPr>
          </w:p>
        </w:tc>
      </w:tr>
      <w:tr w14:paraId="35D7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B6EC3B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FA8770">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D15921A">
            <w:pPr>
              <w:autoSpaceDE w:val="0"/>
              <w:autoSpaceDN w:val="0"/>
              <w:adjustRightInd w:val="0"/>
              <w:snapToGrid w:val="0"/>
              <w:spacing w:line="360" w:lineRule="auto"/>
              <w:jc w:val="center"/>
              <w:rPr>
                <w:rFonts w:ascii="宋体" w:hAnsi="宋体"/>
                <w:color w:val="auto"/>
                <w:highlight w:val="none"/>
                <w:lang w:val="zh-CN"/>
              </w:rPr>
            </w:pPr>
          </w:p>
        </w:tc>
      </w:tr>
      <w:tr w14:paraId="08A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CAEF1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334BD8">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552507C">
            <w:pPr>
              <w:autoSpaceDE w:val="0"/>
              <w:autoSpaceDN w:val="0"/>
              <w:adjustRightInd w:val="0"/>
              <w:snapToGrid w:val="0"/>
              <w:spacing w:line="360" w:lineRule="auto"/>
              <w:jc w:val="center"/>
              <w:rPr>
                <w:rFonts w:ascii="宋体" w:hAnsi="宋体"/>
                <w:color w:val="auto"/>
                <w:highlight w:val="none"/>
                <w:lang w:val="zh-CN"/>
              </w:rPr>
            </w:pPr>
          </w:p>
        </w:tc>
      </w:tr>
      <w:tr w14:paraId="52BF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935559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6B24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FDEA15F">
            <w:pPr>
              <w:autoSpaceDE w:val="0"/>
              <w:autoSpaceDN w:val="0"/>
              <w:adjustRightInd w:val="0"/>
              <w:snapToGrid w:val="0"/>
              <w:spacing w:line="360" w:lineRule="auto"/>
              <w:jc w:val="center"/>
              <w:rPr>
                <w:rFonts w:ascii="宋体" w:hAnsi="宋体"/>
                <w:color w:val="auto"/>
                <w:highlight w:val="none"/>
                <w:lang w:val="zh-CN"/>
              </w:rPr>
            </w:pPr>
          </w:p>
        </w:tc>
      </w:tr>
      <w:tr w14:paraId="0C7C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08E1FE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8E72C66">
            <w:pPr>
              <w:autoSpaceDE w:val="0"/>
              <w:autoSpaceDN w:val="0"/>
              <w:adjustRightInd w:val="0"/>
              <w:snapToGrid w:val="0"/>
              <w:spacing w:line="360" w:lineRule="auto"/>
              <w:jc w:val="center"/>
              <w:rPr>
                <w:rFonts w:ascii="宋体" w:hAnsi="宋体"/>
                <w:color w:val="auto"/>
                <w:highlight w:val="none"/>
                <w:lang w:val="zh-CN"/>
              </w:rPr>
            </w:pPr>
          </w:p>
        </w:tc>
      </w:tr>
    </w:tbl>
    <w:p w14:paraId="19A67020">
      <w:pPr>
        <w:spacing w:line="360" w:lineRule="auto"/>
        <w:ind w:left="420"/>
        <w:rPr>
          <w:rFonts w:ascii="宋体" w:hAnsi="宋体"/>
          <w:color w:val="auto"/>
          <w:sz w:val="24"/>
          <w:highlight w:val="none"/>
        </w:rPr>
      </w:pPr>
    </w:p>
    <w:p w14:paraId="41BF494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1710A9C4">
      <w:pPr>
        <w:spacing w:line="360" w:lineRule="auto"/>
        <w:ind w:left="420"/>
        <w:rPr>
          <w:rFonts w:ascii="宋体" w:hAnsi="宋体"/>
          <w:color w:val="auto"/>
          <w:sz w:val="24"/>
          <w:highlight w:val="none"/>
        </w:rPr>
      </w:pPr>
    </w:p>
    <w:p w14:paraId="1DEA92C0">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C931E8">
      <w:pPr>
        <w:spacing w:line="360" w:lineRule="auto"/>
        <w:ind w:firstLine="435"/>
        <w:rPr>
          <w:rFonts w:ascii="宋体" w:hAnsi="宋体"/>
          <w:color w:val="auto"/>
          <w:sz w:val="24"/>
          <w:highlight w:val="none"/>
        </w:rPr>
      </w:pPr>
    </w:p>
    <w:p w14:paraId="280103E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667943F">
      <w:pPr>
        <w:spacing w:line="360" w:lineRule="auto"/>
        <w:ind w:firstLine="435"/>
        <w:rPr>
          <w:rFonts w:ascii="宋体" w:hAnsi="宋体"/>
          <w:color w:val="auto"/>
          <w:sz w:val="24"/>
          <w:highlight w:val="none"/>
        </w:rPr>
      </w:pPr>
    </w:p>
    <w:p w14:paraId="05A71FC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B40E201">
      <w:pPr>
        <w:pStyle w:val="2"/>
        <w:rPr>
          <w:color w:val="auto"/>
          <w:highlight w:val="none"/>
        </w:rPr>
      </w:pPr>
    </w:p>
    <w:p w14:paraId="5A476D9E">
      <w:pPr>
        <w:jc w:val="left"/>
        <w:rPr>
          <w:rFonts w:ascii="宋体" w:hAnsi="宋体"/>
          <w:b/>
          <w:bCs/>
          <w:color w:val="auto"/>
          <w:kern w:val="0"/>
          <w:sz w:val="32"/>
          <w:szCs w:val="32"/>
          <w:highlight w:val="none"/>
        </w:rPr>
      </w:pPr>
      <w:bookmarkStart w:id="59" w:name="_Toc26601_WPSOffice_Level1"/>
      <w:bookmarkStart w:id="60" w:name="_Toc12856_WPSOffice_Level1"/>
      <w:r>
        <w:rPr>
          <w:rFonts w:ascii="宋体" w:hAnsi="宋体"/>
          <w:b/>
          <w:bCs/>
          <w:color w:val="auto"/>
          <w:kern w:val="0"/>
          <w:sz w:val="32"/>
          <w:szCs w:val="32"/>
          <w:highlight w:val="none"/>
        </w:rPr>
        <w:br w:type="page"/>
      </w:r>
    </w:p>
    <w:p w14:paraId="6D363A6D">
      <w:pPr>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7BE6BA9A">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1D062CE">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DAB8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414F4">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967EF6">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D1E00B">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F08A6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665DF6">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909F9F">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F59CB7">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EDE0E2">
            <w:pPr>
              <w:snapToGrid w:val="0"/>
              <w:jc w:val="center"/>
              <w:rPr>
                <w:rFonts w:ascii="宋体" w:hAnsi="宋体"/>
                <w:b/>
                <w:bCs/>
                <w:color w:val="auto"/>
                <w:szCs w:val="21"/>
                <w:highlight w:val="none"/>
              </w:rPr>
            </w:pPr>
            <w:r>
              <w:rPr>
                <w:rFonts w:hint="eastAsia" w:ascii="宋体" w:hAnsi="宋体"/>
                <w:b/>
                <w:bCs/>
                <w:color w:val="auto"/>
                <w:szCs w:val="21"/>
                <w:highlight w:val="none"/>
              </w:rPr>
              <w:t>社保缴纳证明</w:t>
            </w:r>
          </w:p>
        </w:tc>
      </w:tr>
      <w:tr w14:paraId="22C4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5D68A2">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EEEA6C">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480EED">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0191BDC">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32B72F">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E49240">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AE42FE">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0597D2">
            <w:pPr>
              <w:snapToGrid w:val="0"/>
              <w:spacing w:beforeLines="50" w:after="50" w:line="360" w:lineRule="auto"/>
              <w:rPr>
                <w:rFonts w:ascii="宋体" w:hAnsi="宋体"/>
                <w:b/>
                <w:color w:val="auto"/>
                <w:kern w:val="44"/>
                <w:szCs w:val="21"/>
                <w:highlight w:val="none"/>
              </w:rPr>
            </w:pPr>
          </w:p>
        </w:tc>
      </w:tr>
      <w:tr w14:paraId="15767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55A4D4">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C36C9">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BE076F">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916E02">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4C0284">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0DA503">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75AE4D">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0E4FE3">
            <w:pPr>
              <w:snapToGrid w:val="0"/>
              <w:spacing w:beforeLines="50" w:after="50" w:line="360" w:lineRule="auto"/>
              <w:rPr>
                <w:rFonts w:ascii="宋体" w:hAnsi="宋体"/>
                <w:b/>
                <w:color w:val="auto"/>
                <w:kern w:val="44"/>
                <w:szCs w:val="21"/>
                <w:highlight w:val="none"/>
              </w:rPr>
            </w:pPr>
          </w:p>
        </w:tc>
      </w:tr>
      <w:tr w14:paraId="3A53A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3A4F49">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117AB0">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730E78">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692F97">
            <w:pPr>
              <w:pStyle w:val="12"/>
              <w:snapToGrid w:val="0"/>
              <w:spacing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4D5545">
            <w:pPr>
              <w:pStyle w:val="12"/>
              <w:snapToGrid w:val="0"/>
              <w:spacing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E0C73A">
            <w:pPr>
              <w:pStyle w:val="12"/>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0FFB12">
            <w:pP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7A86AF">
            <w:pPr>
              <w:snapToGrid w:val="0"/>
              <w:spacing w:beforeLines="50" w:after="50" w:line="360" w:lineRule="auto"/>
              <w:rPr>
                <w:rFonts w:ascii="宋体" w:hAnsi="宋体"/>
                <w:b/>
                <w:color w:val="auto"/>
                <w:kern w:val="44"/>
                <w:szCs w:val="21"/>
                <w:highlight w:val="none"/>
              </w:rPr>
            </w:pPr>
          </w:p>
        </w:tc>
      </w:tr>
      <w:tr w14:paraId="2ED5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172B0">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F75359">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D40CE">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A47A1">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C39090">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08E118">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BC2742">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587214">
            <w:pPr>
              <w:snapToGrid w:val="0"/>
              <w:spacing w:beforeLines="50" w:after="50" w:line="360" w:lineRule="auto"/>
              <w:rPr>
                <w:rFonts w:ascii="宋体" w:hAnsi="宋体"/>
                <w:b/>
                <w:color w:val="auto"/>
                <w:kern w:val="44"/>
                <w:szCs w:val="21"/>
                <w:highlight w:val="none"/>
              </w:rPr>
            </w:pPr>
          </w:p>
        </w:tc>
      </w:tr>
      <w:tr w14:paraId="09522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31AE83">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736D94">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25C9E3">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F819EF">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69309">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0674A7">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36BEA9">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77E0AF">
            <w:pPr>
              <w:snapToGrid w:val="0"/>
              <w:spacing w:beforeLines="50" w:after="50" w:line="360" w:lineRule="auto"/>
              <w:rPr>
                <w:rFonts w:ascii="宋体" w:hAnsi="宋体"/>
                <w:b/>
                <w:color w:val="auto"/>
                <w:kern w:val="44"/>
                <w:szCs w:val="21"/>
                <w:highlight w:val="none"/>
              </w:rPr>
            </w:pPr>
          </w:p>
        </w:tc>
      </w:tr>
    </w:tbl>
    <w:p w14:paraId="58A2D43C">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2EC4440">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521B4955">
      <w:pPr>
        <w:pStyle w:val="33"/>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0A761093">
      <w:pPr>
        <w:pStyle w:val="33"/>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szCs w:val="21"/>
        </w:rPr>
        <w:t>近三个月任意一个月社保缴纳证明</w:t>
      </w:r>
      <w:r>
        <w:rPr>
          <w:rFonts w:hint="eastAsia" w:ascii="宋体" w:hAnsi="宋体"/>
          <w:color w:val="auto"/>
          <w:szCs w:val="21"/>
          <w:highlight w:val="none"/>
        </w:rPr>
        <w:t>等。</w:t>
      </w:r>
    </w:p>
    <w:p w14:paraId="16781439">
      <w:pPr>
        <w:snapToGrid w:val="0"/>
        <w:spacing w:before="50" w:afterLines="50" w:line="360" w:lineRule="auto"/>
        <w:jc w:val="left"/>
        <w:rPr>
          <w:rFonts w:ascii="宋体" w:hAnsi="宋体"/>
          <w:color w:val="auto"/>
          <w:sz w:val="24"/>
          <w:szCs w:val="20"/>
          <w:highlight w:val="none"/>
        </w:rPr>
      </w:pPr>
    </w:p>
    <w:p w14:paraId="11BBD919">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10DAB1E">
      <w:pPr>
        <w:spacing w:line="360" w:lineRule="auto"/>
        <w:ind w:left="420"/>
        <w:rPr>
          <w:rFonts w:ascii="宋体" w:hAnsi="宋体"/>
          <w:color w:val="auto"/>
          <w:sz w:val="24"/>
          <w:highlight w:val="none"/>
        </w:rPr>
      </w:pPr>
    </w:p>
    <w:p w14:paraId="3A2DC42B">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18D10E7B">
      <w:pPr>
        <w:spacing w:line="360" w:lineRule="auto"/>
        <w:ind w:firstLine="435"/>
        <w:rPr>
          <w:rFonts w:ascii="宋体" w:hAnsi="宋体"/>
          <w:color w:val="auto"/>
          <w:sz w:val="24"/>
          <w:highlight w:val="none"/>
        </w:rPr>
      </w:pPr>
    </w:p>
    <w:p w14:paraId="5CFAFA4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1309BAA">
      <w:pPr>
        <w:spacing w:line="360" w:lineRule="auto"/>
        <w:ind w:firstLine="435"/>
        <w:rPr>
          <w:rFonts w:ascii="宋体" w:hAnsi="宋体"/>
          <w:color w:val="auto"/>
          <w:sz w:val="24"/>
          <w:highlight w:val="none"/>
        </w:rPr>
      </w:pPr>
    </w:p>
    <w:p w14:paraId="63C813E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9FBD5DE">
      <w:pPr>
        <w:jc w:val="left"/>
        <w:rPr>
          <w:rFonts w:ascii="宋体" w:hAnsi="宋体"/>
          <w:b/>
          <w:bCs/>
          <w:color w:val="auto"/>
          <w:kern w:val="0"/>
          <w:sz w:val="32"/>
          <w:szCs w:val="32"/>
          <w:highlight w:val="none"/>
        </w:rPr>
      </w:pPr>
    </w:p>
    <w:p w14:paraId="4BA2C430">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2CCC90C7">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10</w:t>
      </w:r>
    </w:p>
    <w:p w14:paraId="674F2AA1">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3311A772">
      <w:pPr>
        <w:adjustRightInd w:val="0"/>
        <w:snapToGrid w:val="0"/>
        <w:ind w:firstLine="1205" w:firstLineChars="375"/>
        <w:jc w:val="center"/>
        <w:rPr>
          <w:rFonts w:ascii="宋体" w:hAnsi="宋体"/>
          <w:b/>
          <w:color w:val="auto"/>
          <w:kern w:val="0"/>
          <w:sz w:val="32"/>
          <w:szCs w:val="32"/>
          <w:highlight w:val="none"/>
        </w:rPr>
      </w:pPr>
    </w:p>
    <w:tbl>
      <w:tblPr>
        <w:tblStyle w:val="20"/>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52CA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258788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3870" w:type="dxa"/>
            <w:vAlign w:val="center"/>
          </w:tcPr>
          <w:p w14:paraId="605456BB">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vAlign w:val="center"/>
          </w:tcPr>
          <w:p w14:paraId="44A2054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1349" w:type="dxa"/>
            <w:vAlign w:val="center"/>
          </w:tcPr>
          <w:p w14:paraId="268AB86A">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771" w:type="dxa"/>
            <w:vAlign w:val="center"/>
          </w:tcPr>
          <w:p w14:paraId="1F4C9618">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14:paraId="616E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A7B3FA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3870" w:type="dxa"/>
            <w:vAlign w:val="center"/>
          </w:tcPr>
          <w:p w14:paraId="7A4E73FE">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2707" w:type="dxa"/>
            <w:vAlign w:val="center"/>
          </w:tcPr>
          <w:p w14:paraId="4C65FDD5">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8B205A4">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14:paraId="68C3A663">
            <w:pPr>
              <w:adjustRightInd w:val="0"/>
              <w:snapToGrid w:val="0"/>
              <w:spacing w:before="100" w:beforeAutospacing="1" w:after="100" w:afterAutospacing="1"/>
              <w:rPr>
                <w:rFonts w:ascii="宋体" w:hAnsi="宋体"/>
                <w:color w:val="auto"/>
                <w:sz w:val="24"/>
                <w:highlight w:val="none"/>
              </w:rPr>
            </w:pPr>
          </w:p>
        </w:tc>
      </w:tr>
      <w:tr w14:paraId="0302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5DAE4C0">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3870" w:type="dxa"/>
            <w:vAlign w:val="center"/>
          </w:tcPr>
          <w:p w14:paraId="7929BADC">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2707" w:type="dxa"/>
            <w:vAlign w:val="center"/>
          </w:tcPr>
          <w:p w14:paraId="31D7212D">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2D58A81D">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14:paraId="2023B64F">
            <w:pPr>
              <w:adjustRightInd w:val="0"/>
              <w:snapToGrid w:val="0"/>
              <w:spacing w:before="100" w:beforeAutospacing="1" w:after="100" w:afterAutospacing="1"/>
              <w:rPr>
                <w:rFonts w:ascii="宋体" w:hAnsi="宋体"/>
                <w:color w:val="auto"/>
                <w:sz w:val="24"/>
                <w:highlight w:val="none"/>
              </w:rPr>
            </w:pPr>
          </w:p>
        </w:tc>
      </w:tr>
      <w:tr w14:paraId="1FC2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CA8DF5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3870" w:type="dxa"/>
            <w:vAlign w:val="center"/>
          </w:tcPr>
          <w:p w14:paraId="70230E5A">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0E1BE5E9">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31D1303">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6DF91548">
            <w:pPr>
              <w:adjustRightInd w:val="0"/>
              <w:snapToGrid w:val="0"/>
              <w:spacing w:before="100" w:beforeAutospacing="1" w:after="100" w:afterAutospacing="1"/>
              <w:rPr>
                <w:rFonts w:ascii="宋体" w:hAnsi="宋体"/>
                <w:color w:val="auto"/>
                <w:sz w:val="24"/>
                <w:highlight w:val="none"/>
              </w:rPr>
            </w:pPr>
          </w:p>
        </w:tc>
      </w:tr>
      <w:tr w14:paraId="3E20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FF1A35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3870" w:type="dxa"/>
            <w:vAlign w:val="center"/>
          </w:tcPr>
          <w:p w14:paraId="5264B358">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11306D17">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7675573A">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0EA9EE52">
            <w:pPr>
              <w:adjustRightInd w:val="0"/>
              <w:snapToGrid w:val="0"/>
              <w:spacing w:before="100" w:beforeAutospacing="1" w:after="100" w:afterAutospacing="1"/>
              <w:rPr>
                <w:rFonts w:ascii="宋体" w:hAnsi="宋体"/>
                <w:color w:val="auto"/>
                <w:sz w:val="24"/>
                <w:highlight w:val="none"/>
              </w:rPr>
            </w:pPr>
          </w:p>
        </w:tc>
      </w:tr>
      <w:tr w14:paraId="092B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469B91EF">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3870" w:type="dxa"/>
            <w:vAlign w:val="center"/>
          </w:tcPr>
          <w:p w14:paraId="361DF0BF">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49D86433">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60863A4">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718B5FC2">
            <w:pPr>
              <w:adjustRightInd w:val="0"/>
              <w:snapToGrid w:val="0"/>
              <w:spacing w:before="100" w:beforeAutospacing="1" w:after="100" w:afterAutospacing="1"/>
              <w:rPr>
                <w:rFonts w:ascii="宋体" w:hAnsi="宋体"/>
                <w:color w:val="auto"/>
                <w:sz w:val="24"/>
                <w:highlight w:val="none"/>
              </w:rPr>
            </w:pPr>
          </w:p>
        </w:tc>
      </w:tr>
      <w:tr w14:paraId="53A0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440E8F6">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3870" w:type="dxa"/>
            <w:vAlign w:val="center"/>
          </w:tcPr>
          <w:p w14:paraId="5DF57CC9">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65116B40">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3E064183">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3157A940">
            <w:pPr>
              <w:adjustRightInd w:val="0"/>
              <w:snapToGrid w:val="0"/>
              <w:spacing w:before="100" w:beforeAutospacing="1" w:after="100" w:afterAutospacing="1"/>
              <w:rPr>
                <w:rFonts w:ascii="宋体" w:hAnsi="宋体"/>
                <w:color w:val="auto"/>
                <w:sz w:val="24"/>
                <w:highlight w:val="none"/>
              </w:rPr>
            </w:pPr>
          </w:p>
        </w:tc>
      </w:tr>
      <w:tr w14:paraId="4F15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91220A0">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3870" w:type="dxa"/>
            <w:vAlign w:val="center"/>
          </w:tcPr>
          <w:p w14:paraId="610F1C0D">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14:paraId="3026E3C9">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53696F24">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1AB6B93C">
            <w:pPr>
              <w:adjustRightInd w:val="0"/>
              <w:snapToGrid w:val="0"/>
              <w:spacing w:before="100" w:beforeAutospacing="1" w:after="100" w:afterAutospacing="1"/>
              <w:rPr>
                <w:rFonts w:ascii="宋体" w:hAnsi="宋体"/>
                <w:color w:val="auto"/>
                <w:sz w:val="24"/>
                <w:highlight w:val="none"/>
              </w:rPr>
            </w:pPr>
          </w:p>
        </w:tc>
      </w:tr>
      <w:tr w14:paraId="6F3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4007F8CD">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14:paraId="4C13EB2D">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2707" w:type="dxa"/>
            <w:vAlign w:val="center"/>
          </w:tcPr>
          <w:p w14:paraId="35865EA8">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697ACC04">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1A127D3B">
            <w:pPr>
              <w:adjustRightInd w:val="0"/>
              <w:snapToGrid w:val="0"/>
              <w:spacing w:before="100" w:beforeAutospacing="1" w:after="100" w:afterAutospacing="1"/>
              <w:rPr>
                <w:rFonts w:ascii="宋体" w:hAnsi="宋体"/>
                <w:color w:val="auto"/>
                <w:sz w:val="24"/>
                <w:highlight w:val="none"/>
              </w:rPr>
            </w:pPr>
          </w:p>
        </w:tc>
      </w:tr>
      <w:tr w14:paraId="759D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29EE730">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14:paraId="1555AA89">
            <w:pPr>
              <w:adjustRightInd w:val="0"/>
              <w:snapToGrid w:val="0"/>
              <w:spacing w:before="100" w:beforeAutospacing="1" w:after="100" w:afterAutospacing="1"/>
              <w:rPr>
                <w:rFonts w:ascii="宋体" w:hAnsi="宋体"/>
                <w:color w:val="auto"/>
                <w:sz w:val="24"/>
                <w:highlight w:val="none"/>
              </w:rPr>
            </w:pPr>
          </w:p>
        </w:tc>
        <w:tc>
          <w:tcPr>
            <w:tcW w:w="2707" w:type="dxa"/>
            <w:vAlign w:val="center"/>
          </w:tcPr>
          <w:p w14:paraId="04980D75">
            <w:pPr>
              <w:adjustRightInd w:val="0"/>
              <w:snapToGrid w:val="0"/>
              <w:spacing w:before="100" w:beforeAutospacing="1" w:after="100" w:afterAutospacing="1"/>
              <w:rPr>
                <w:rFonts w:ascii="宋体" w:hAnsi="宋体"/>
                <w:color w:val="auto"/>
                <w:sz w:val="24"/>
                <w:highlight w:val="none"/>
              </w:rPr>
            </w:pPr>
          </w:p>
        </w:tc>
        <w:tc>
          <w:tcPr>
            <w:tcW w:w="1349" w:type="dxa"/>
            <w:vAlign w:val="center"/>
          </w:tcPr>
          <w:p w14:paraId="7518DA8F">
            <w:pPr>
              <w:adjustRightInd w:val="0"/>
              <w:snapToGrid w:val="0"/>
              <w:spacing w:before="100" w:beforeAutospacing="1" w:after="100" w:afterAutospacing="1"/>
              <w:rPr>
                <w:rFonts w:ascii="宋体" w:hAnsi="宋体"/>
                <w:color w:val="auto"/>
                <w:sz w:val="24"/>
                <w:highlight w:val="none"/>
              </w:rPr>
            </w:pPr>
          </w:p>
        </w:tc>
        <w:tc>
          <w:tcPr>
            <w:tcW w:w="771" w:type="dxa"/>
            <w:vAlign w:val="center"/>
          </w:tcPr>
          <w:p w14:paraId="064B1D96">
            <w:pPr>
              <w:adjustRightInd w:val="0"/>
              <w:snapToGrid w:val="0"/>
              <w:spacing w:before="100" w:beforeAutospacing="1" w:after="100" w:afterAutospacing="1"/>
              <w:rPr>
                <w:rFonts w:ascii="宋体" w:hAnsi="宋体"/>
                <w:color w:val="auto"/>
                <w:sz w:val="24"/>
                <w:highlight w:val="none"/>
              </w:rPr>
            </w:pPr>
          </w:p>
        </w:tc>
      </w:tr>
    </w:tbl>
    <w:p w14:paraId="28DB0A50">
      <w:pPr>
        <w:pStyle w:val="11"/>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230BD022">
      <w:pPr>
        <w:pStyle w:val="11"/>
        <w:adjustRightInd w:val="0"/>
        <w:snapToGrid w:val="0"/>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5616314F">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59"/>
    <w:bookmarkEnd w:id="60"/>
    <w:p w14:paraId="6B28AEA3">
      <w:pPr>
        <w:spacing w:line="360" w:lineRule="auto"/>
        <w:rPr>
          <w:rFonts w:ascii="宋体" w:hAnsi="宋体"/>
          <w:color w:val="auto"/>
          <w:sz w:val="24"/>
          <w:highlight w:val="none"/>
        </w:rPr>
      </w:pPr>
    </w:p>
    <w:p w14:paraId="5B9FFCAB">
      <w:pPr>
        <w:pStyle w:val="19"/>
        <w:rPr>
          <w:color w:val="auto"/>
          <w:highlight w:val="none"/>
        </w:rPr>
      </w:pPr>
    </w:p>
    <w:p w14:paraId="782A423A">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2300D15">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6E690E1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1027098">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652CF02">
      <w:pPr>
        <w:spacing w:line="360" w:lineRule="auto"/>
        <w:rPr>
          <w:rFonts w:ascii="宋体" w:hAnsi="宋体"/>
          <w:b/>
          <w:color w:val="auto"/>
          <w:sz w:val="28"/>
          <w:highlight w:val="none"/>
        </w:rPr>
      </w:pPr>
    </w:p>
    <w:p w14:paraId="30689F37">
      <w:pPr>
        <w:rPr>
          <w:rFonts w:ascii="宋体" w:hAnsi="宋体"/>
          <w:b/>
          <w:color w:val="auto"/>
          <w:sz w:val="28"/>
          <w:highlight w:val="none"/>
        </w:rPr>
      </w:pPr>
      <w:r>
        <w:rPr>
          <w:rFonts w:hint="eastAsia" w:ascii="宋体" w:hAnsi="宋体"/>
          <w:b/>
          <w:color w:val="auto"/>
          <w:sz w:val="28"/>
          <w:highlight w:val="none"/>
        </w:rPr>
        <w:br w:type="page"/>
      </w:r>
    </w:p>
    <w:p w14:paraId="73F0B34D">
      <w:pPr>
        <w:pStyle w:val="35"/>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60EFB889">
      <w:pPr>
        <w:pStyle w:val="36"/>
        <w:spacing w:line="360" w:lineRule="auto"/>
        <w:jc w:val="center"/>
        <w:rPr>
          <w:rFonts w:ascii="宋体" w:hAnsi="宋体" w:cs="Arial"/>
          <w:color w:val="auto"/>
          <w:sz w:val="28"/>
          <w:szCs w:val="28"/>
          <w:highlight w:val="none"/>
        </w:rPr>
      </w:pPr>
      <w:bookmarkStart w:id="61" w:name="_Toc17604_WPSOffice_Level1"/>
      <w:bookmarkStart w:id="62" w:name="_Toc11030_WPSOffice_Level1"/>
      <w:r>
        <w:rPr>
          <w:rFonts w:hint="eastAsia" w:ascii="宋体" w:hAnsi="宋体"/>
          <w:b/>
          <w:color w:val="auto"/>
          <w:sz w:val="32"/>
          <w:szCs w:val="32"/>
          <w:highlight w:val="none"/>
        </w:rPr>
        <w:t>证书一览表</w:t>
      </w:r>
      <w:bookmarkEnd w:id="61"/>
      <w:bookmarkEnd w:id="62"/>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07469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EAD8FF4">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86C1326">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0B6FD2E8">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1ECE1E8D">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646B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659173D9">
            <w:pPr>
              <w:pStyle w:val="36"/>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6569A42">
            <w:pPr>
              <w:pStyle w:val="36"/>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3C65DA8D">
            <w:pPr>
              <w:pStyle w:val="3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360FDD5A">
            <w:pPr>
              <w:pStyle w:val="36"/>
              <w:spacing w:line="360" w:lineRule="auto"/>
              <w:jc w:val="center"/>
              <w:rPr>
                <w:rFonts w:ascii="宋体" w:hAnsi="宋体" w:cs="Arial"/>
                <w:color w:val="auto"/>
                <w:szCs w:val="21"/>
                <w:highlight w:val="none"/>
              </w:rPr>
            </w:pPr>
          </w:p>
        </w:tc>
      </w:tr>
      <w:tr w14:paraId="74CAAC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BDBD60B">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8E37605">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B2E818A">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8CC427E">
            <w:pPr>
              <w:pStyle w:val="36"/>
              <w:spacing w:line="360" w:lineRule="auto"/>
              <w:jc w:val="center"/>
              <w:rPr>
                <w:rFonts w:ascii="宋体" w:hAnsi="宋体" w:cs="Arial"/>
                <w:color w:val="auto"/>
                <w:szCs w:val="21"/>
                <w:highlight w:val="none"/>
              </w:rPr>
            </w:pPr>
          </w:p>
        </w:tc>
      </w:tr>
      <w:tr w14:paraId="0E9E3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6164073">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71E68A8">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4B0F7CE">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B78923D">
            <w:pPr>
              <w:pStyle w:val="36"/>
              <w:spacing w:line="360" w:lineRule="auto"/>
              <w:jc w:val="center"/>
              <w:rPr>
                <w:rFonts w:ascii="宋体" w:hAnsi="宋体" w:cs="Arial"/>
                <w:color w:val="auto"/>
                <w:szCs w:val="21"/>
                <w:highlight w:val="none"/>
              </w:rPr>
            </w:pPr>
          </w:p>
        </w:tc>
      </w:tr>
      <w:tr w14:paraId="046A9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61AB7269">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34C0AB01">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74A6B9D">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2E90A96">
            <w:pPr>
              <w:pStyle w:val="36"/>
              <w:spacing w:line="360" w:lineRule="auto"/>
              <w:jc w:val="center"/>
              <w:rPr>
                <w:rFonts w:ascii="宋体" w:hAnsi="宋体" w:cs="Arial"/>
                <w:color w:val="auto"/>
                <w:szCs w:val="21"/>
                <w:highlight w:val="none"/>
              </w:rPr>
            </w:pPr>
          </w:p>
        </w:tc>
      </w:tr>
      <w:tr w14:paraId="3C941E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DA1D37F">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B7E5F2D">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0CBFBDD">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A3FB5EE">
            <w:pPr>
              <w:pStyle w:val="36"/>
              <w:spacing w:line="360" w:lineRule="auto"/>
              <w:jc w:val="center"/>
              <w:rPr>
                <w:rFonts w:ascii="宋体" w:hAnsi="宋体" w:cs="Arial"/>
                <w:color w:val="auto"/>
                <w:szCs w:val="21"/>
                <w:highlight w:val="none"/>
              </w:rPr>
            </w:pPr>
          </w:p>
        </w:tc>
      </w:tr>
      <w:tr w14:paraId="5B1B8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2B2C052">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4B95DA4A">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7A00140D">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AA60F9E">
            <w:pPr>
              <w:pStyle w:val="36"/>
              <w:spacing w:line="360" w:lineRule="auto"/>
              <w:jc w:val="center"/>
              <w:rPr>
                <w:rFonts w:ascii="宋体" w:hAnsi="宋体" w:cs="Arial"/>
                <w:color w:val="auto"/>
                <w:szCs w:val="21"/>
                <w:highlight w:val="none"/>
              </w:rPr>
            </w:pPr>
          </w:p>
        </w:tc>
      </w:tr>
      <w:tr w14:paraId="0C2114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06193382">
            <w:pPr>
              <w:pStyle w:val="36"/>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25C67F14">
            <w:pPr>
              <w:pStyle w:val="36"/>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79F41568">
            <w:pPr>
              <w:pStyle w:val="3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42C5D508">
            <w:pPr>
              <w:pStyle w:val="36"/>
              <w:spacing w:line="360" w:lineRule="auto"/>
              <w:jc w:val="center"/>
              <w:rPr>
                <w:rFonts w:ascii="宋体" w:hAnsi="宋体" w:cs="Arial"/>
                <w:color w:val="auto"/>
                <w:szCs w:val="21"/>
                <w:highlight w:val="none"/>
              </w:rPr>
            </w:pPr>
          </w:p>
        </w:tc>
      </w:tr>
    </w:tbl>
    <w:p w14:paraId="3FF3C374">
      <w:pPr>
        <w:pStyle w:val="3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2A7E8483">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8E49AB5">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3FECC689">
      <w:pPr>
        <w:pStyle w:val="36"/>
        <w:tabs>
          <w:tab w:val="left" w:pos="1050"/>
        </w:tabs>
        <w:spacing w:line="360" w:lineRule="auto"/>
        <w:rPr>
          <w:rFonts w:ascii="仿宋_GB2312" w:hAnsi="宋体" w:eastAsia="仿宋_GB2312"/>
          <w:color w:val="auto"/>
          <w:sz w:val="24"/>
          <w:highlight w:val="none"/>
        </w:rPr>
      </w:pPr>
    </w:p>
    <w:p w14:paraId="6D8D4E9C">
      <w:pPr>
        <w:pStyle w:val="36"/>
        <w:tabs>
          <w:tab w:val="left" w:pos="1050"/>
        </w:tabs>
        <w:spacing w:line="360" w:lineRule="auto"/>
        <w:ind w:firstLine="720" w:firstLineChars="300"/>
        <w:rPr>
          <w:rFonts w:ascii="仿宋_GB2312" w:hAnsi="宋体" w:eastAsia="仿宋_GB2312"/>
          <w:color w:val="auto"/>
          <w:sz w:val="24"/>
          <w:highlight w:val="none"/>
        </w:rPr>
      </w:pPr>
    </w:p>
    <w:p w14:paraId="7BEBC8D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25890B3">
      <w:pPr>
        <w:spacing w:line="360" w:lineRule="auto"/>
        <w:ind w:left="420"/>
        <w:rPr>
          <w:rFonts w:ascii="宋体" w:hAnsi="宋体"/>
          <w:color w:val="auto"/>
          <w:sz w:val="24"/>
          <w:highlight w:val="none"/>
        </w:rPr>
      </w:pPr>
    </w:p>
    <w:p w14:paraId="7606D748">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7C36FA40">
      <w:pPr>
        <w:spacing w:line="360" w:lineRule="auto"/>
        <w:ind w:firstLine="435"/>
        <w:rPr>
          <w:rFonts w:ascii="宋体" w:hAnsi="宋体"/>
          <w:color w:val="auto"/>
          <w:sz w:val="24"/>
          <w:highlight w:val="none"/>
        </w:rPr>
      </w:pPr>
    </w:p>
    <w:p w14:paraId="5CBA057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ECF9539">
      <w:pPr>
        <w:spacing w:line="360" w:lineRule="auto"/>
        <w:rPr>
          <w:rFonts w:ascii="宋体" w:hAnsi="宋体"/>
          <w:color w:val="auto"/>
          <w:sz w:val="24"/>
          <w:highlight w:val="none"/>
        </w:rPr>
      </w:pPr>
    </w:p>
    <w:p w14:paraId="718C39BA">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6E464CCF">
      <w:pPr>
        <w:spacing w:line="360" w:lineRule="auto"/>
        <w:rPr>
          <w:rFonts w:ascii="宋体" w:hAnsi="宋体"/>
          <w:b/>
          <w:color w:val="auto"/>
          <w:sz w:val="28"/>
          <w:highlight w:val="none"/>
        </w:rPr>
      </w:pPr>
    </w:p>
    <w:p w14:paraId="09C71CC6">
      <w:pPr>
        <w:pStyle w:val="19"/>
        <w:ind w:left="0" w:leftChars="0" w:firstLine="0" w:firstLineChars="0"/>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14:paraId="4995CFAE">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2C21094A">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72193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2B32DB">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13E5ADB">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4F9692">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69685CB">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0C07747">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合同签订时间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79C1E27">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16248A">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3105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184B3">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747D14">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AC46AD">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92B09F">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628B17">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60386A">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340C70">
            <w:pPr>
              <w:pStyle w:val="35"/>
              <w:spacing w:line="360" w:lineRule="auto"/>
              <w:rPr>
                <w:rFonts w:asciiTheme="minorEastAsia" w:hAnsiTheme="minorEastAsia" w:eastAsiaTheme="minorEastAsia" w:cstheme="minorEastAsia"/>
                <w:color w:val="auto"/>
                <w:szCs w:val="21"/>
                <w:highlight w:val="none"/>
              </w:rPr>
            </w:pPr>
          </w:p>
        </w:tc>
      </w:tr>
      <w:tr w14:paraId="0FD20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0FE26">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5738BC">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9D9072">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0A44B9">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4724B3">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A13B42">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BA21EE">
            <w:pPr>
              <w:pStyle w:val="35"/>
              <w:spacing w:line="360" w:lineRule="auto"/>
              <w:rPr>
                <w:rFonts w:asciiTheme="minorEastAsia" w:hAnsiTheme="minorEastAsia" w:eastAsiaTheme="minorEastAsia" w:cstheme="minorEastAsia"/>
                <w:color w:val="auto"/>
                <w:szCs w:val="21"/>
                <w:highlight w:val="none"/>
              </w:rPr>
            </w:pPr>
          </w:p>
        </w:tc>
      </w:tr>
      <w:tr w14:paraId="1DE2D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D5EF95">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7D013E">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324DC7">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7B30AE">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C91E47">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CE324A">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AE0A8F">
            <w:pPr>
              <w:pStyle w:val="35"/>
              <w:spacing w:line="360" w:lineRule="auto"/>
              <w:rPr>
                <w:rFonts w:asciiTheme="minorEastAsia" w:hAnsiTheme="minorEastAsia" w:eastAsiaTheme="minorEastAsia" w:cstheme="minorEastAsia"/>
                <w:color w:val="auto"/>
                <w:szCs w:val="21"/>
                <w:highlight w:val="none"/>
              </w:rPr>
            </w:pPr>
          </w:p>
        </w:tc>
      </w:tr>
      <w:tr w14:paraId="6F7AC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6C4FC5">
            <w:pPr>
              <w:pStyle w:val="35"/>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BFC2B4">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13CCC8">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84A3E2">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00A083">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674EB9">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6CD7B4">
            <w:pPr>
              <w:pStyle w:val="35"/>
              <w:spacing w:line="360" w:lineRule="auto"/>
              <w:rPr>
                <w:rFonts w:asciiTheme="minorEastAsia" w:hAnsiTheme="minorEastAsia" w:eastAsiaTheme="minorEastAsia" w:cstheme="minorEastAsia"/>
                <w:color w:val="auto"/>
                <w:szCs w:val="21"/>
                <w:highlight w:val="none"/>
              </w:rPr>
            </w:pPr>
          </w:p>
        </w:tc>
      </w:tr>
      <w:tr w14:paraId="38797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08FABC">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B57DE7">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57D519">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606B3B">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BBB8FF">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9E8A49">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BA76CD">
            <w:pPr>
              <w:pStyle w:val="35"/>
              <w:spacing w:line="360" w:lineRule="auto"/>
              <w:rPr>
                <w:rFonts w:asciiTheme="minorEastAsia" w:hAnsiTheme="minorEastAsia" w:eastAsiaTheme="minorEastAsia" w:cstheme="minorEastAsia"/>
                <w:color w:val="auto"/>
                <w:szCs w:val="21"/>
                <w:highlight w:val="none"/>
              </w:rPr>
            </w:pPr>
          </w:p>
        </w:tc>
      </w:tr>
      <w:tr w14:paraId="0ADE3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C752B4">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D8BC0A">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992254">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726CAF">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BD5026">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BF9C74">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F4B883">
            <w:pPr>
              <w:pStyle w:val="35"/>
              <w:spacing w:line="360" w:lineRule="auto"/>
              <w:rPr>
                <w:rFonts w:asciiTheme="minorEastAsia" w:hAnsiTheme="minorEastAsia" w:eastAsiaTheme="minorEastAsia" w:cstheme="minorEastAsia"/>
                <w:color w:val="auto"/>
                <w:szCs w:val="21"/>
                <w:highlight w:val="none"/>
              </w:rPr>
            </w:pPr>
          </w:p>
        </w:tc>
      </w:tr>
      <w:tr w14:paraId="07056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93C49B">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252864">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50F0F9">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0547FF">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C40E36">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285406">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E58258">
            <w:pPr>
              <w:pStyle w:val="35"/>
              <w:spacing w:line="360" w:lineRule="auto"/>
              <w:rPr>
                <w:rFonts w:asciiTheme="minorEastAsia" w:hAnsiTheme="minorEastAsia" w:eastAsiaTheme="minorEastAsia" w:cstheme="minorEastAsia"/>
                <w:color w:val="auto"/>
                <w:szCs w:val="21"/>
                <w:highlight w:val="none"/>
              </w:rPr>
            </w:pPr>
          </w:p>
        </w:tc>
      </w:tr>
    </w:tbl>
    <w:p w14:paraId="65126AD6">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142A6C4F">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AE8DEEF">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50B874CE">
      <w:pPr>
        <w:spacing w:line="360" w:lineRule="auto"/>
        <w:rPr>
          <w:rFonts w:ascii="宋体" w:hAnsi="宋体"/>
          <w:color w:val="auto"/>
          <w:sz w:val="22"/>
          <w:szCs w:val="22"/>
          <w:highlight w:val="none"/>
        </w:rPr>
      </w:pPr>
    </w:p>
    <w:p w14:paraId="765504A7">
      <w:pPr>
        <w:pStyle w:val="19"/>
        <w:rPr>
          <w:color w:val="auto"/>
          <w:highlight w:val="none"/>
        </w:rPr>
      </w:pPr>
    </w:p>
    <w:p w14:paraId="32619192">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4B1C46E5">
      <w:pPr>
        <w:spacing w:line="360" w:lineRule="auto"/>
        <w:ind w:left="420"/>
        <w:rPr>
          <w:rFonts w:ascii="宋体" w:hAnsi="宋体"/>
          <w:color w:val="auto"/>
          <w:sz w:val="24"/>
          <w:highlight w:val="none"/>
        </w:rPr>
      </w:pPr>
    </w:p>
    <w:p w14:paraId="1925600E">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8E5EDE">
      <w:pPr>
        <w:spacing w:line="360" w:lineRule="auto"/>
        <w:ind w:firstLine="435"/>
        <w:rPr>
          <w:rFonts w:ascii="宋体" w:hAnsi="宋体"/>
          <w:color w:val="auto"/>
          <w:sz w:val="24"/>
          <w:highlight w:val="none"/>
        </w:rPr>
      </w:pPr>
    </w:p>
    <w:p w14:paraId="544B9218">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9351219">
      <w:pPr>
        <w:spacing w:line="360" w:lineRule="auto"/>
        <w:rPr>
          <w:rFonts w:ascii="宋体" w:hAnsi="宋体"/>
          <w:color w:val="auto"/>
          <w:sz w:val="24"/>
          <w:highlight w:val="none"/>
        </w:rPr>
      </w:pPr>
    </w:p>
    <w:p w14:paraId="6904F83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901104C">
      <w:pPr>
        <w:jc w:val="center"/>
        <w:rPr>
          <w:rFonts w:ascii="仿宋" w:hAnsi="仿宋" w:eastAsia="仿宋"/>
          <w:snapToGrid w:val="0"/>
          <w:color w:val="auto"/>
          <w:kern w:val="0"/>
          <w:sz w:val="24"/>
          <w:highlight w:val="none"/>
        </w:rPr>
      </w:pPr>
    </w:p>
    <w:p w14:paraId="39A22C68">
      <w:pPr>
        <w:pStyle w:val="36"/>
        <w:tabs>
          <w:tab w:val="left" w:pos="1050"/>
        </w:tabs>
        <w:spacing w:line="360" w:lineRule="auto"/>
        <w:rPr>
          <w:rFonts w:ascii="宋体" w:hAnsi="宋体"/>
          <w:b/>
          <w:color w:val="auto"/>
          <w:sz w:val="28"/>
          <w:highlight w:val="none"/>
        </w:rPr>
      </w:pPr>
    </w:p>
    <w:p w14:paraId="14E948B8">
      <w:pPr>
        <w:pStyle w:val="36"/>
        <w:tabs>
          <w:tab w:val="left" w:pos="1050"/>
        </w:tabs>
        <w:spacing w:line="360" w:lineRule="auto"/>
        <w:rPr>
          <w:rFonts w:ascii="宋体" w:hAnsi="宋体"/>
          <w:b/>
          <w:color w:val="auto"/>
          <w:sz w:val="28"/>
          <w:highlight w:val="none"/>
        </w:rPr>
      </w:pPr>
    </w:p>
    <w:p w14:paraId="7AFF7A2F">
      <w:pPr>
        <w:pStyle w:val="36"/>
        <w:tabs>
          <w:tab w:val="left" w:pos="1050"/>
        </w:tabs>
        <w:spacing w:line="360" w:lineRule="auto"/>
        <w:rPr>
          <w:rFonts w:ascii="宋体" w:hAnsi="宋体"/>
          <w:b/>
          <w:color w:val="auto"/>
          <w:sz w:val="28"/>
          <w:highlight w:val="none"/>
        </w:rPr>
      </w:pPr>
    </w:p>
    <w:p w14:paraId="1AC1A4B5">
      <w:pPr>
        <w:jc w:val="center"/>
        <w:rPr>
          <w:color w:val="auto"/>
          <w:sz w:val="52"/>
          <w:szCs w:val="52"/>
          <w:highlight w:val="none"/>
        </w:rPr>
      </w:pPr>
      <w:bookmarkStart w:id="63" w:name="_Toc30468_WPSOffice_Level1"/>
      <w:bookmarkStart w:id="64" w:name="_Toc21322_WPSOffice_Level1"/>
      <w:bookmarkStart w:id="65" w:name="_Toc4615_WPSOffice_Level1"/>
    </w:p>
    <w:p w14:paraId="392A05DC">
      <w:pPr>
        <w:jc w:val="center"/>
        <w:rPr>
          <w:color w:val="auto"/>
          <w:sz w:val="52"/>
          <w:szCs w:val="52"/>
          <w:highlight w:val="none"/>
        </w:rPr>
      </w:pPr>
      <w:r>
        <w:rPr>
          <w:rFonts w:hint="eastAsia"/>
          <w:color w:val="auto"/>
          <w:sz w:val="52"/>
          <w:szCs w:val="52"/>
          <w:highlight w:val="none"/>
        </w:rPr>
        <w:t>项目名称</w:t>
      </w:r>
      <w:bookmarkEnd w:id="63"/>
      <w:bookmarkEnd w:id="64"/>
      <w:bookmarkEnd w:id="65"/>
    </w:p>
    <w:p w14:paraId="0CBA942B">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14:paraId="7F51C406">
      <w:pPr>
        <w:pStyle w:val="19"/>
        <w:rPr>
          <w:color w:val="auto"/>
          <w:highlight w:val="none"/>
        </w:rPr>
      </w:pPr>
    </w:p>
    <w:p w14:paraId="03784AC5">
      <w:pPr>
        <w:jc w:val="center"/>
        <w:rPr>
          <w:color w:val="auto"/>
          <w:sz w:val="84"/>
          <w:szCs w:val="84"/>
          <w:highlight w:val="none"/>
        </w:rPr>
      </w:pPr>
      <w:bookmarkStart w:id="66" w:name="_Toc8885_WPSOffice_Level1"/>
      <w:bookmarkStart w:id="67" w:name="_Toc9453_WPSOffice_Level1"/>
      <w:r>
        <w:rPr>
          <w:rFonts w:hint="eastAsia"/>
          <w:color w:val="auto"/>
          <w:sz w:val="84"/>
          <w:szCs w:val="84"/>
          <w:highlight w:val="none"/>
        </w:rPr>
        <w:t>报</w:t>
      </w:r>
      <w:bookmarkEnd w:id="66"/>
      <w:bookmarkEnd w:id="67"/>
    </w:p>
    <w:p w14:paraId="744E1E85">
      <w:pPr>
        <w:jc w:val="center"/>
        <w:rPr>
          <w:color w:val="auto"/>
          <w:sz w:val="84"/>
          <w:szCs w:val="84"/>
          <w:highlight w:val="none"/>
        </w:rPr>
      </w:pPr>
      <w:bookmarkStart w:id="68" w:name="_Toc7485_WPSOffice_Level1"/>
      <w:bookmarkStart w:id="69" w:name="_Toc10910_WPSOffice_Level1"/>
      <w:r>
        <w:rPr>
          <w:rFonts w:hint="eastAsia"/>
          <w:color w:val="auto"/>
          <w:sz w:val="84"/>
          <w:szCs w:val="84"/>
          <w:highlight w:val="none"/>
        </w:rPr>
        <w:t>价</w:t>
      </w:r>
      <w:bookmarkEnd w:id="68"/>
      <w:bookmarkEnd w:id="69"/>
    </w:p>
    <w:p w14:paraId="1465E087">
      <w:pPr>
        <w:jc w:val="center"/>
        <w:rPr>
          <w:color w:val="auto"/>
          <w:sz w:val="84"/>
          <w:szCs w:val="84"/>
          <w:highlight w:val="none"/>
        </w:rPr>
      </w:pPr>
      <w:bookmarkStart w:id="70" w:name="_Toc3932_WPSOffice_Level1"/>
      <w:bookmarkStart w:id="71" w:name="_Toc14572_WPSOffice_Level1"/>
      <w:r>
        <w:rPr>
          <w:rFonts w:hint="eastAsia"/>
          <w:color w:val="auto"/>
          <w:sz w:val="84"/>
          <w:szCs w:val="84"/>
          <w:highlight w:val="none"/>
        </w:rPr>
        <w:t>文</w:t>
      </w:r>
      <w:bookmarkEnd w:id="70"/>
      <w:bookmarkEnd w:id="71"/>
    </w:p>
    <w:p w14:paraId="498302D9">
      <w:pPr>
        <w:jc w:val="center"/>
        <w:rPr>
          <w:color w:val="auto"/>
          <w:sz w:val="84"/>
          <w:szCs w:val="84"/>
          <w:highlight w:val="none"/>
        </w:rPr>
      </w:pPr>
      <w:bookmarkStart w:id="72" w:name="_Toc16973_WPSOffice_Level1"/>
      <w:bookmarkStart w:id="73" w:name="_Toc7562_WPSOffice_Level1"/>
      <w:r>
        <w:rPr>
          <w:rFonts w:hint="eastAsia"/>
          <w:color w:val="auto"/>
          <w:sz w:val="84"/>
          <w:szCs w:val="84"/>
          <w:highlight w:val="none"/>
        </w:rPr>
        <w:t>件</w:t>
      </w:r>
      <w:bookmarkEnd w:id="72"/>
      <w:bookmarkEnd w:id="73"/>
    </w:p>
    <w:p w14:paraId="5DC42116">
      <w:pPr>
        <w:spacing w:line="360" w:lineRule="auto"/>
        <w:ind w:right="532"/>
        <w:rPr>
          <w:rFonts w:ascii="宋体" w:hAnsi="宋体"/>
          <w:color w:val="auto"/>
          <w:sz w:val="36"/>
          <w:szCs w:val="36"/>
          <w:highlight w:val="none"/>
        </w:rPr>
      </w:pPr>
    </w:p>
    <w:p w14:paraId="20864F32">
      <w:pPr>
        <w:spacing w:line="360" w:lineRule="auto"/>
        <w:ind w:right="532"/>
        <w:jc w:val="center"/>
        <w:rPr>
          <w:rFonts w:ascii="宋体" w:hAnsi="宋体"/>
          <w:color w:val="auto"/>
          <w:sz w:val="36"/>
          <w:szCs w:val="36"/>
          <w:highlight w:val="none"/>
        </w:rPr>
      </w:pPr>
    </w:p>
    <w:p w14:paraId="3165C411">
      <w:pPr>
        <w:spacing w:line="360" w:lineRule="auto"/>
        <w:ind w:right="532" w:firstLine="720" w:firstLineChars="200"/>
        <w:rPr>
          <w:rFonts w:ascii="宋体" w:hAnsi="宋体"/>
          <w:color w:val="auto"/>
          <w:sz w:val="36"/>
          <w:szCs w:val="36"/>
          <w:highlight w:val="none"/>
        </w:rPr>
      </w:pPr>
      <w:bookmarkStart w:id="74" w:name="_Toc26700_WPSOffice_Level1"/>
      <w:bookmarkStart w:id="75" w:name="_Toc4603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74"/>
      <w:bookmarkEnd w:id="75"/>
    </w:p>
    <w:p w14:paraId="0DDB38DD">
      <w:pPr>
        <w:spacing w:line="360" w:lineRule="auto"/>
        <w:ind w:right="-108" w:firstLine="720" w:firstLineChars="200"/>
        <w:rPr>
          <w:rFonts w:ascii="宋体" w:hAnsi="宋体"/>
          <w:color w:val="auto"/>
          <w:sz w:val="36"/>
          <w:szCs w:val="36"/>
          <w:highlight w:val="none"/>
        </w:rPr>
      </w:pPr>
      <w:bookmarkStart w:id="76" w:name="_Toc32593_WPSOffice_Level1"/>
      <w:bookmarkStart w:id="77" w:name="_Toc1391_WPSOffice_Level1"/>
      <w:r>
        <w:rPr>
          <w:rFonts w:hint="eastAsia" w:ascii="宋体" w:hAnsi="宋体"/>
          <w:color w:val="auto"/>
          <w:sz w:val="36"/>
          <w:szCs w:val="36"/>
          <w:highlight w:val="none"/>
        </w:rPr>
        <w:t>地    址：</w:t>
      </w:r>
      <w:bookmarkEnd w:id="76"/>
      <w:bookmarkEnd w:id="77"/>
    </w:p>
    <w:p w14:paraId="527B813F">
      <w:pPr>
        <w:spacing w:line="360" w:lineRule="auto"/>
        <w:ind w:right="-108" w:firstLine="720" w:firstLineChars="200"/>
        <w:rPr>
          <w:rFonts w:ascii="宋体" w:hAnsi="宋体"/>
          <w:color w:val="auto"/>
          <w:sz w:val="36"/>
          <w:szCs w:val="36"/>
          <w:highlight w:val="none"/>
        </w:rPr>
      </w:pPr>
      <w:bookmarkStart w:id="78" w:name="_Toc20938_WPSOffice_Level1"/>
      <w:bookmarkStart w:id="79" w:name="_Toc3791_WPSOffice_Level1"/>
      <w:r>
        <w:rPr>
          <w:rFonts w:hint="eastAsia" w:ascii="宋体" w:hAnsi="宋体"/>
          <w:color w:val="auto"/>
          <w:sz w:val="36"/>
          <w:szCs w:val="36"/>
          <w:highlight w:val="none"/>
        </w:rPr>
        <w:t>时    间：</w:t>
      </w:r>
      <w:bookmarkEnd w:id="78"/>
      <w:bookmarkEnd w:id="79"/>
    </w:p>
    <w:p w14:paraId="25FF8C7F">
      <w:pPr>
        <w:pStyle w:val="8"/>
        <w:ind w:left="0" w:leftChars="0" w:firstLine="0" w:firstLineChars="0"/>
        <w:rPr>
          <w:rFonts w:ascii="仿宋_GB2312" w:hAnsi="宋体" w:eastAsia="仿宋_GB2312"/>
          <w:b/>
          <w:color w:val="auto"/>
          <w:sz w:val="36"/>
          <w:szCs w:val="36"/>
          <w:highlight w:val="none"/>
        </w:rPr>
        <w:sectPr>
          <w:pgSz w:w="11906" w:h="16838"/>
          <w:pgMar w:top="1440" w:right="1800" w:bottom="1440" w:left="1800" w:header="851" w:footer="992" w:gutter="0"/>
          <w:cols w:space="425" w:num="1"/>
          <w:docGrid w:type="lines" w:linePitch="312" w:charSpace="0"/>
        </w:sectPr>
      </w:pPr>
    </w:p>
    <w:p w14:paraId="61F59C4F">
      <w:pPr>
        <w:pStyle w:val="8"/>
        <w:ind w:left="0" w:leftChars="0" w:firstLine="0" w:firstLineChars="0"/>
        <w:rPr>
          <w:rFonts w:ascii="仿宋_GB2312" w:hAnsi="宋体" w:eastAsia="仿宋_GB2312"/>
          <w:b/>
          <w:color w:val="auto"/>
          <w:sz w:val="36"/>
          <w:szCs w:val="36"/>
          <w:highlight w:val="none"/>
        </w:rPr>
      </w:pPr>
    </w:p>
    <w:p w14:paraId="4A78FCAF">
      <w:pPr>
        <w:spacing w:line="480" w:lineRule="auto"/>
        <w:jc w:val="center"/>
        <w:rPr>
          <w:rFonts w:ascii="宋体" w:hAnsi="宋体"/>
          <w:b/>
          <w:bCs/>
          <w:color w:val="auto"/>
          <w:sz w:val="36"/>
          <w:szCs w:val="36"/>
          <w:highlight w:val="none"/>
        </w:rPr>
      </w:pPr>
      <w:bookmarkStart w:id="80" w:name="_Toc29537_WPSOffice_Level1"/>
      <w:bookmarkStart w:id="81" w:name="_Toc19972_WPSOffice_Level1"/>
      <w:r>
        <w:rPr>
          <w:rFonts w:hint="eastAsia" w:ascii="宋体" w:hAnsi="宋体"/>
          <w:b/>
          <w:bCs/>
          <w:color w:val="auto"/>
          <w:sz w:val="36"/>
          <w:szCs w:val="36"/>
          <w:highlight w:val="none"/>
        </w:rPr>
        <w:t>报价文件目录</w:t>
      </w:r>
      <w:bookmarkEnd w:id="80"/>
      <w:bookmarkEnd w:id="81"/>
    </w:p>
    <w:p w14:paraId="3C778370">
      <w:pPr>
        <w:pStyle w:val="19"/>
        <w:rPr>
          <w:color w:val="auto"/>
          <w:highlight w:val="none"/>
        </w:rPr>
      </w:pPr>
    </w:p>
    <w:p w14:paraId="6ADAED07">
      <w:pPr>
        <w:rPr>
          <w:rFonts w:asciiTheme="minorEastAsia" w:hAnsiTheme="minorEastAsia" w:eastAsiaTheme="minorEastAsia" w:cstheme="minorEastAsia"/>
          <w:color w:val="auto"/>
          <w:sz w:val="28"/>
          <w:szCs w:val="28"/>
          <w:highlight w:val="none"/>
        </w:rPr>
      </w:pPr>
    </w:p>
    <w:p w14:paraId="36F87CB1">
      <w:pPr>
        <w:numPr>
          <w:ilvl w:val="0"/>
          <w:numId w:val="0"/>
        </w:num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bookmarkStart w:id="82" w:name="_Toc29988_WPSOffice_Level1"/>
      <w:bookmarkStart w:id="83" w:name="_Toc6778_WPSOffice_Level1"/>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1</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开标一览表（附件1</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w:t>
      </w:r>
    </w:p>
    <w:p w14:paraId="28DA386D">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（2）报价明细表（附件1</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w:t>
      </w:r>
    </w:p>
    <w:p w14:paraId="0FC74ADF">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认为其他需要说明的。</w:t>
      </w:r>
    </w:p>
    <w:bookmarkEnd w:id="82"/>
    <w:bookmarkEnd w:id="83"/>
    <w:p w14:paraId="5D00662B">
      <w:pPr>
        <w:spacing w:line="360" w:lineRule="auto"/>
        <w:ind w:firstLine="480" w:firstLineChars="200"/>
        <w:rPr>
          <w:color w:val="auto"/>
          <w:sz w:val="24"/>
          <w:highlight w:val="none"/>
        </w:rPr>
      </w:pPr>
    </w:p>
    <w:p w14:paraId="54F1CE12">
      <w:pPr>
        <w:spacing w:line="360" w:lineRule="auto"/>
        <w:ind w:firstLine="482" w:firstLineChars="200"/>
        <w:rPr>
          <w:rFonts w:ascii="宋体" w:hAnsi="宋体"/>
          <w:b/>
          <w:color w:val="auto"/>
          <w:sz w:val="24"/>
          <w:highlight w:val="none"/>
        </w:rPr>
      </w:pPr>
    </w:p>
    <w:p w14:paraId="478DC090">
      <w:pPr>
        <w:spacing w:line="360" w:lineRule="auto"/>
        <w:ind w:left="480"/>
        <w:rPr>
          <w:rFonts w:ascii="宋体" w:hAnsi="宋体"/>
          <w:b/>
          <w:color w:val="auto"/>
          <w:sz w:val="28"/>
          <w:highlight w:val="none"/>
        </w:rPr>
      </w:pPr>
    </w:p>
    <w:p w14:paraId="4531AA24">
      <w:pPr>
        <w:spacing w:line="360" w:lineRule="auto"/>
        <w:ind w:left="480"/>
        <w:rPr>
          <w:rFonts w:ascii="宋体" w:hAnsi="宋体"/>
          <w:b/>
          <w:color w:val="auto"/>
          <w:sz w:val="28"/>
          <w:highlight w:val="none"/>
        </w:rPr>
      </w:pPr>
    </w:p>
    <w:p w14:paraId="03CF1A57">
      <w:pPr>
        <w:spacing w:line="360" w:lineRule="auto"/>
        <w:ind w:left="480"/>
        <w:rPr>
          <w:rFonts w:ascii="宋体" w:hAnsi="宋体"/>
          <w:b/>
          <w:color w:val="auto"/>
          <w:sz w:val="28"/>
          <w:highlight w:val="none"/>
        </w:rPr>
      </w:pPr>
    </w:p>
    <w:p w14:paraId="5F062876">
      <w:pPr>
        <w:spacing w:line="360" w:lineRule="auto"/>
        <w:ind w:left="480"/>
        <w:rPr>
          <w:rFonts w:ascii="宋体" w:hAnsi="宋体"/>
          <w:b/>
          <w:color w:val="auto"/>
          <w:sz w:val="28"/>
          <w:highlight w:val="none"/>
        </w:rPr>
      </w:pPr>
    </w:p>
    <w:p w14:paraId="0B8FCC55">
      <w:pPr>
        <w:spacing w:line="360" w:lineRule="auto"/>
        <w:ind w:left="480"/>
        <w:rPr>
          <w:rFonts w:ascii="宋体" w:hAnsi="宋体"/>
          <w:b/>
          <w:color w:val="auto"/>
          <w:sz w:val="28"/>
          <w:highlight w:val="none"/>
        </w:rPr>
      </w:pPr>
    </w:p>
    <w:p w14:paraId="4B31B501">
      <w:pPr>
        <w:spacing w:line="360" w:lineRule="auto"/>
        <w:ind w:left="480"/>
        <w:rPr>
          <w:rFonts w:ascii="宋体" w:hAnsi="宋体"/>
          <w:b/>
          <w:color w:val="auto"/>
          <w:sz w:val="28"/>
          <w:highlight w:val="none"/>
        </w:rPr>
      </w:pPr>
    </w:p>
    <w:p w14:paraId="157D313F">
      <w:pPr>
        <w:spacing w:line="360" w:lineRule="auto"/>
        <w:ind w:left="480"/>
        <w:rPr>
          <w:rFonts w:ascii="宋体" w:hAnsi="宋体"/>
          <w:b/>
          <w:color w:val="auto"/>
          <w:sz w:val="28"/>
          <w:highlight w:val="none"/>
        </w:rPr>
      </w:pPr>
    </w:p>
    <w:p w14:paraId="01E44D35">
      <w:pPr>
        <w:spacing w:line="360" w:lineRule="auto"/>
        <w:ind w:left="480"/>
        <w:rPr>
          <w:rFonts w:ascii="宋体" w:hAnsi="宋体"/>
          <w:b/>
          <w:color w:val="auto"/>
          <w:sz w:val="28"/>
          <w:highlight w:val="none"/>
        </w:rPr>
      </w:pPr>
    </w:p>
    <w:p w14:paraId="7CBC2ACC">
      <w:pPr>
        <w:spacing w:line="360" w:lineRule="auto"/>
        <w:ind w:left="480"/>
        <w:rPr>
          <w:rFonts w:ascii="宋体" w:hAnsi="宋体"/>
          <w:b/>
          <w:color w:val="auto"/>
          <w:sz w:val="28"/>
          <w:highlight w:val="none"/>
        </w:rPr>
      </w:pPr>
    </w:p>
    <w:p w14:paraId="5BCF38CB">
      <w:pPr>
        <w:spacing w:line="360" w:lineRule="auto"/>
        <w:ind w:left="480"/>
        <w:rPr>
          <w:rFonts w:ascii="宋体" w:hAnsi="宋体"/>
          <w:b/>
          <w:color w:val="auto"/>
          <w:sz w:val="28"/>
          <w:highlight w:val="none"/>
        </w:rPr>
      </w:pPr>
    </w:p>
    <w:p w14:paraId="58759123">
      <w:pPr>
        <w:spacing w:line="360" w:lineRule="auto"/>
        <w:ind w:left="480"/>
        <w:rPr>
          <w:rFonts w:ascii="宋体" w:hAnsi="宋体"/>
          <w:b/>
          <w:color w:val="auto"/>
          <w:sz w:val="28"/>
          <w:highlight w:val="none"/>
        </w:rPr>
      </w:pPr>
    </w:p>
    <w:p w14:paraId="28437552">
      <w:pPr>
        <w:spacing w:line="360" w:lineRule="auto"/>
        <w:ind w:left="480"/>
        <w:rPr>
          <w:rFonts w:ascii="宋体" w:hAnsi="宋体"/>
          <w:b/>
          <w:color w:val="auto"/>
          <w:sz w:val="28"/>
          <w:highlight w:val="none"/>
        </w:rPr>
      </w:pPr>
    </w:p>
    <w:p w14:paraId="28C0E0EA">
      <w:pPr>
        <w:spacing w:line="360" w:lineRule="auto"/>
        <w:ind w:left="480"/>
        <w:rPr>
          <w:rFonts w:ascii="宋体" w:hAnsi="宋体"/>
          <w:b/>
          <w:color w:val="auto"/>
          <w:sz w:val="28"/>
          <w:highlight w:val="none"/>
        </w:rPr>
      </w:pPr>
    </w:p>
    <w:p w14:paraId="5F819139">
      <w:pPr>
        <w:rPr>
          <w:rFonts w:ascii="宋体" w:hAnsi="宋体"/>
          <w:b/>
          <w:color w:val="auto"/>
          <w:sz w:val="28"/>
          <w:highlight w:val="none"/>
        </w:rPr>
      </w:pPr>
      <w:r>
        <w:rPr>
          <w:rFonts w:hint="eastAsia" w:ascii="宋体" w:hAnsi="宋体"/>
          <w:b/>
          <w:color w:val="auto"/>
          <w:sz w:val="28"/>
          <w:highlight w:val="none"/>
        </w:rPr>
        <w:br w:type="page"/>
      </w:r>
    </w:p>
    <w:p w14:paraId="49B4074C">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p>
    <w:p w14:paraId="2206F391">
      <w:pPr>
        <w:spacing w:line="360" w:lineRule="auto"/>
        <w:ind w:left="-2" w:hanging="2"/>
        <w:jc w:val="center"/>
        <w:rPr>
          <w:rFonts w:ascii="宋体" w:hAnsi="宋体"/>
          <w:b/>
          <w:color w:val="auto"/>
          <w:sz w:val="32"/>
          <w:szCs w:val="32"/>
          <w:highlight w:val="none"/>
        </w:rPr>
      </w:pPr>
      <w:bookmarkStart w:id="84" w:name="_Toc30363_WPSOffice_Level1"/>
      <w:bookmarkStart w:id="85" w:name="_Toc16144_WPSOffice_Level1"/>
      <w:r>
        <w:rPr>
          <w:rFonts w:hint="eastAsia" w:ascii="宋体" w:hAnsi="宋体"/>
          <w:b/>
          <w:color w:val="auto"/>
          <w:sz w:val="32"/>
          <w:szCs w:val="32"/>
          <w:highlight w:val="none"/>
        </w:rPr>
        <w:t xml:space="preserve">开标一览表 </w:t>
      </w:r>
      <w:bookmarkEnd w:id="84"/>
      <w:bookmarkEnd w:id="85"/>
    </w:p>
    <w:p w14:paraId="503EFEB1">
      <w:pPr>
        <w:spacing w:line="360" w:lineRule="auto"/>
        <w:ind w:left="-2" w:hanging="2"/>
        <w:jc w:val="center"/>
        <w:rPr>
          <w:rFonts w:ascii="宋体" w:hAnsi="宋体"/>
          <w:b/>
          <w:color w:val="auto"/>
          <w:sz w:val="32"/>
          <w:szCs w:val="32"/>
          <w:highlight w:val="none"/>
        </w:rPr>
      </w:pPr>
    </w:p>
    <w:p w14:paraId="51C4CC23">
      <w:pPr>
        <w:pStyle w:val="11"/>
        <w:spacing w:line="360" w:lineRule="auto"/>
        <w:ind w:firstLine="482" w:firstLineChars="200"/>
        <w:rPr>
          <w:rFonts w:hAnsi="宋体"/>
          <w:b/>
          <w:color w:val="auto"/>
          <w:sz w:val="24"/>
          <w:highlight w:val="none"/>
        </w:rPr>
      </w:pPr>
      <w:r>
        <w:rPr>
          <w:rFonts w:hAnsi="宋体"/>
          <w:b/>
          <w:color w:val="auto"/>
          <w:sz w:val="24"/>
          <w:highlight w:val="none"/>
        </w:rPr>
        <w:t>项目编号：台财采确临[2025]21号</w:t>
      </w:r>
    </w:p>
    <w:p w14:paraId="34E22808">
      <w:pPr>
        <w:pStyle w:val="41"/>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rPr>
        <w:t>202</w:t>
      </w:r>
      <w:r>
        <w:rPr>
          <w:rFonts w:hint="eastAsia" w:hAnsi="宋体"/>
          <w:b/>
          <w:color w:val="auto"/>
          <w:sz w:val="24"/>
          <w:highlight w:val="none"/>
          <w:lang w:val="en-US" w:eastAsia="zh-CN"/>
        </w:rPr>
        <w:t>5</w:t>
      </w:r>
      <w:r>
        <w:rPr>
          <w:rFonts w:hint="eastAsia" w:hAnsi="宋体"/>
          <w:b/>
          <w:color w:val="auto"/>
          <w:sz w:val="24"/>
          <w:highlight w:val="none"/>
        </w:rPr>
        <w:t>年松材线虫病除治质量抽样检测项目</w:t>
      </w:r>
      <w:r>
        <w:rPr>
          <w:rFonts w:hint="eastAsia" w:ascii="宋体" w:hAnsi="宋体"/>
          <w:color w:val="auto"/>
          <w:sz w:val="24"/>
          <w:highlight w:val="none"/>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2D86F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A07C576">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16230E5">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E7FB0D4">
            <w:pPr>
              <w:autoSpaceDE w:val="0"/>
              <w:autoSpaceDN w:val="0"/>
              <w:spacing w:line="450" w:lineRule="exact"/>
              <w:jc w:val="center"/>
              <w:textAlignment w:val="bottom"/>
              <w:rPr>
                <w:rFonts w:ascii="宋体" w:hAnsi="宋体"/>
                <w:color w:val="auto"/>
                <w:szCs w:val="21"/>
                <w:highlight w:val="none"/>
              </w:rPr>
            </w:pPr>
          </w:p>
        </w:tc>
      </w:tr>
      <w:tr w14:paraId="456687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98F409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CD7424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0A97231">
            <w:pPr>
              <w:autoSpaceDE w:val="0"/>
              <w:autoSpaceDN w:val="0"/>
              <w:spacing w:line="450" w:lineRule="exact"/>
              <w:jc w:val="center"/>
              <w:textAlignment w:val="bottom"/>
              <w:rPr>
                <w:rFonts w:ascii="宋体" w:hAnsi="宋体"/>
                <w:color w:val="auto"/>
                <w:szCs w:val="21"/>
                <w:highlight w:val="none"/>
              </w:rPr>
            </w:pPr>
          </w:p>
        </w:tc>
      </w:tr>
    </w:tbl>
    <w:p w14:paraId="05FE6580">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宋体" w:hAnsi="宋体"/>
          <w:color w:val="auto"/>
          <w:szCs w:val="21"/>
          <w:highlight w:val="none"/>
        </w:rPr>
        <w:t>投标报价包括本项目采购需求和投入使用的所有费用，包括但不限于人工、服务、材料费、管理费、利润、规费、保险、税金及完成本项目所涉及的所有费用及采购代理服务费。各投标人应根据招标人提供的招标需求，以及本项目实际情况和自身的综合实力，竞报投标报价。总报价以人民币元计。投标人在投标报价时综合考虑，以后不作任何调整。</w:t>
      </w:r>
    </w:p>
    <w:p w14:paraId="45534AD7">
      <w:pPr>
        <w:pStyle w:val="19"/>
        <w:ind w:left="0" w:leftChars="0" w:firstLine="0"/>
        <w:rPr>
          <w:rFonts w:ascii="宋体" w:hAnsi="宋体"/>
          <w:color w:val="auto"/>
          <w:sz w:val="24"/>
          <w:highlight w:val="none"/>
        </w:rPr>
      </w:pPr>
    </w:p>
    <w:p w14:paraId="686E5C02">
      <w:pPr>
        <w:pStyle w:val="19"/>
        <w:ind w:left="0" w:leftChars="0" w:firstLine="0"/>
        <w:rPr>
          <w:rFonts w:ascii="宋体" w:hAnsi="宋体"/>
          <w:color w:val="auto"/>
          <w:sz w:val="24"/>
          <w:highlight w:val="none"/>
        </w:rPr>
      </w:pPr>
    </w:p>
    <w:p w14:paraId="7212AD7F">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7D54D23">
      <w:pPr>
        <w:spacing w:line="360" w:lineRule="auto"/>
        <w:ind w:left="420"/>
        <w:rPr>
          <w:rFonts w:ascii="宋体" w:hAnsi="宋体"/>
          <w:color w:val="auto"/>
          <w:sz w:val="24"/>
          <w:highlight w:val="none"/>
        </w:rPr>
      </w:pPr>
    </w:p>
    <w:p w14:paraId="55E57FD8">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7CD1A0D7">
      <w:pPr>
        <w:spacing w:line="360" w:lineRule="auto"/>
        <w:ind w:firstLine="435"/>
        <w:rPr>
          <w:rFonts w:ascii="宋体" w:hAnsi="宋体"/>
          <w:color w:val="auto"/>
          <w:sz w:val="24"/>
          <w:highlight w:val="none"/>
        </w:rPr>
      </w:pPr>
    </w:p>
    <w:p w14:paraId="2C46527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869259C">
      <w:pPr>
        <w:spacing w:line="360" w:lineRule="auto"/>
        <w:rPr>
          <w:rFonts w:ascii="宋体" w:hAnsi="宋体"/>
          <w:color w:val="auto"/>
          <w:sz w:val="24"/>
          <w:highlight w:val="none"/>
        </w:rPr>
      </w:pPr>
    </w:p>
    <w:p w14:paraId="4FC1C7C8">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C457EA9">
      <w:pPr>
        <w:spacing w:line="360" w:lineRule="auto"/>
        <w:rPr>
          <w:rFonts w:ascii="宋体" w:hAnsi="宋体"/>
          <w:b/>
          <w:color w:val="auto"/>
          <w:sz w:val="28"/>
          <w:highlight w:val="none"/>
        </w:rPr>
      </w:pPr>
    </w:p>
    <w:p w14:paraId="6E0CFFFE">
      <w:pPr>
        <w:spacing w:line="360" w:lineRule="auto"/>
        <w:rPr>
          <w:rFonts w:ascii="宋体" w:hAnsi="宋体"/>
          <w:b/>
          <w:color w:val="auto"/>
          <w:sz w:val="28"/>
          <w:highlight w:val="none"/>
        </w:rPr>
      </w:pPr>
    </w:p>
    <w:p w14:paraId="79383042">
      <w:pPr>
        <w:snapToGrid w:val="0"/>
        <w:spacing w:beforeLines="50" w:after="50" w:line="360" w:lineRule="auto"/>
        <w:rPr>
          <w:rFonts w:ascii="宋体" w:hAnsi="宋体"/>
          <w:b/>
          <w:color w:val="auto"/>
          <w:sz w:val="28"/>
          <w:highlight w:val="none"/>
        </w:rPr>
      </w:pPr>
    </w:p>
    <w:p w14:paraId="7BB8C2E0">
      <w:pPr>
        <w:snapToGrid w:val="0"/>
        <w:spacing w:beforeLines="50" w:after="50" w:line="360" w:lineRule="auto"/>
        <w:rPr>
          <w:rFonts w:hint="eastAsia" w:ascii="仿宋" w:hAnsi="仿宋" w:eastAsia="宋体" w:cs="仿宋"/>
          <w:b/>
          <w:color w:val="auto"/>
          <w:kern w:val="0"/>
          <w:sz w:val="32"/>
          <w:szCs w:val="32"/>
          <w:highlight w:val="none"/>
          <w:lang w:val="en-US" w:eastAsia="zh-CN"/>
        </w:rPr>
      </w:pPr>
      <w:bookmarkStart w:id="86" w:name="_Toc48647113"/>
      <w:bookmarkStart w:id="87" w:name="_Toc7737_WPSOffice_Level2"/>
      <w:bookmarkStart w:id="88" w:name="_Toc27854_WPSOffice_Level2"/>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14:paraId="13A0DDAA">
      <w:pPr>
        <w:snapToGrid w:val="0"/>
        <w:spacing w:line="360" w:lineRule="auto"/>
        <w:ind w:right="480"/>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二、报价明细表</w:t>
      </w:r>
      <w:bookmarkEnd w:id="86"/>
      <w:bookmarkEnd w:id="87"/>
      <w:bookmarkEnd w:id="88"/>
    </w:p>
    <w:tbl>
      <w:tblPr>
        <w:tblStyle w:val="20"/>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31"/>
        <w:gridCol w:w="1421"/>
        <w:gridCol w:w="710"/>
        <w:gridCol w:w="1184"/>
        <w:gridCol w:w="1184"/>
        <w:gridCol w:w="1185"/>
        <w:gridCol w:w="724"/>
      </w:tblGrid>
      <w:tr w14:paraId="6C3D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10" w:type="dxa"/>
            <w:tcBorders>
              <w:top w:val="single" w:color="auto" w:sz="4" w:space="0"/>
              <w:left w:val="single" w:color="auto" w:sz="4" w:space="0"/>
              <w:bottom w:val="single" w:color="auto" w:sz="4" w:space="0"/>
              <w:right w:val="single" w:color="auto" w:sz="4" w:space="0"/>
            </w:tcBorders>
            <w:vAlign w:val="center"/>
          </w:tcPr>
          <w:p w14:paraId="66889BB0">
            <w:pPr>
              <w:tabs>
                <w:tab w:val="left" w:pos="8280"/>
              </w:tabs>
              <w:autoSpaceDE w:val="0"/>
              <w:autoSpaceDN w:val="0"/>
              <w:adjustRightInd w:val="0"/>
              <w:jc w:val="center"/>
              <w:rPr>
                <w:rFonts w:ascii="仿宋" w:hAnsi="仿宋" w:eastAsia="仿宋" w:cs="宋体"/>
                <w:b/>
                <w:color w:val="auto"/>
                <w:sz w:val="24"/>
                <w:highlight w:val="none"/>
              </w:rPr>
            </w:pPr>
            <w:r>
              <w:rPr>
                <w:rFonts w:hint="eastAsia" w:ascii="宋体" w:hAnsi="宋体" w:eastAsia="仿宋"/>
                <w:b/>
                <w:color w:val="auto"/>
                <w:szCs w:val="21"/>
                <w:highlight w:val="none"/>
              </w:rPr>
              <w:t>序号</w:t>
            </w:r>
          </w:p>
        </w:tc>
        <w:tc>
          <w:tcPr>
            <w:tcW w:w="2131" w:type="dxa"/>
            <w:tcBorders>
              <w:top w:val="single" w:color="auto" w:sz="4" w:space="0"/>
              <w:left w:val="single" w:color="auto" w:sz="4" w:space="0"/>
              <w:bottom w:val="single" w:color="auto" w:sz="4" w:space="0"/>
              <w:right w:val="single" w:color="auto" w:sz="4" w:space="0"/>
            </w:tcBorders>
            <w:vAlign w:val="center"/>
          </w:tcPr>
          <w:p w14:paraId="3214939A">
            <w:pPr>
              <w:tabs>
                <w:tab w:val="left" w:pos="8280"/>
              </w:tabs>
              <w:autoSpaceDE w:val="0"/>
              <w:autoSpaceDN w:val="0"/>
              <w:adjustRightInd w:val="0"/>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项目名称</w:t>
            </w:r>
          </w:p>
        </w:tc>
        <w:tc>
          <w:tcPr>
            <w:tcW w:w="1421" w:type="dxa"/>
            <w:tcBorders>
              <w:top w:val="single" w:color="auto" w:sz="4" w:space="0"/>
              <w:left w:val="single" w:color="auto" w:sz="4" w:space="0"/>
              <w:bottom w:val="single" w:color="auto" w:sz="4" w:space="0"/>
              <w:right w:val="single" w:color="auto" w:sz="4" w:space="0"/>
            </w:tcBorders>
            <w:vAlign w:val="center"/>
          </w:tcPr>
          <w:p w14:paraId="686426E0">
            <w:pPr>
              <w:tabs>
                <w:tab w:val="left" w:pos="8280"/>
              </w:tabs>
              <w:autoSpaceDE w:val="0"/>
              <w:autoSpaceDN w:val="0"/>
              <w:adjustRightInd w:val="0"/>
              <w:jc w:val="center"/>
              <w:rPr>
                <w:rFonts w:ascii="仿宋" w:hAnsi="仿宋" w:cs="宋体"/>
                <w:b/>
                <w:color w:val="auto"/>
                <w:sz w:val="24"/>
                <w:highlight w:val="none"/>
              </w:rPr>
            </w:pPr>
            <w:r>
              <w:rPr>
                <w:rFonts w:hint="eastAsia" w:ascii="宋体" w:hAnsi="宋体"/>
                <w:b/>
                <w:color w:val="auto"/>
                <w:szCs w:val="21"/>
                <w:highlight w:val="none"/>
              </w:rPr>
              <w:t>数量（约）</w:t>
            </w:r>
          </w:p>
        </w:tc>
        <w:tc>
          <w:tcPr>
            <w:tcW w:w="710" w:type="dxa"/>
            <w:tcBorders>
              <w:top w:val="single" w:color="auto" w:sz="4" w:space="0"/>
              <w:left w:val="single" w:color="auto" w:sz="4" w:space="0"/>
              <w:bottom w:val="single" w:color="auto" w:sz="4" w:space="0"/>
              <w:right w:val="single" w:color="auto" w:sz="4" w:space="0"/>
            </w:tcBorders>
            <w:vAlign w:val="center"/>
          </w:tcPr>
          <w:p w14:paraId="596A67F8">
            <w:pPr>
              <w:tabs>
                <w:tab w:val="left" w:pos="8280"/>
              </w:tabs>
              <w:autoSpaceDE w:val="0"/>
              <w:autoSpaceDN w:val="0"/>
              <w:adjustRightInd w:val="0"/>
              <w:jc w:val="center"/>
              <w:rPr>
                <w:rFonts w:ascii="仿宋" w:hAnsi="仿宋" w:eastAsia="仿宋" w:cs="宋体"/>
                <w:b/>
                <w:color w:val="auto"/>
                <w:sz w:val="24"/>
                <w:highlight w:val="none"/>
              </w:rPr>
            </w:pPr>
            <w:r>
              <w:rPr>
                <w:rFonts w:hint="eastAsia" w:ascii="宋体" w:hAnsi="宋体"/>
                <w:b/>
                <w:color w:val="auto"/>
                <w:szCs w:val="21"/>
                <w:highlight w:val="none"/>
              </w:rPr>
              <w:t>单位</w:t>
            </w:r>
          </w:p>
        </w:tc>
        <w:tc>
          <w:tcPr>
            <w:tcW w:w="1184" w:type="dxa"/>
            <w:tcBorders>
              <w:top w:val="single" w:color="auto" w:sz="4" w:space="0"/>
              <w:left w:val="single" w:color="auto" w:sz="4" w:space="0"/>
              <w:bottom w:val="single" w:color="auto" w:sz="4" w:space="0"/>
              <w:right w:val="single" w:color="auto" w:sz="4" w:space="0"/>
            </w:tcBorders>
            <w:vAlign w:val="center"/>
          </w:tcPr>
          <w:p w14:paraId="6610FF77">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单价报价</w:t>
            </w:r>
          </w:p>
          <w:p w14:paraId="24C780F5">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（元）</w:t>
            </w:r>
          </w:p>
        </w:tc>
        <w:tc>
          <w:tcPr>
            <w:tcW w:w="1184" w:type="dxa"/>
            <w:tcBorders>
              <w:top w:val="single" w:color="auto" w:sz="4" w:space="0"/>
              <w:left w:val="single" w:color="auto" w:sz="4" w:space="0"/>
              <w:bottom w:val="single" w:color="auto" w:sz="4" w:space="0"/>
              <w:right w:val="single" w:color="auto" w:sz="4" w:space="0"/>
            </w:tcBorders>
            <w:vAlign w:val="center"/>
          </w:tcPr>
          <w:p w14:paraId="326C5CD5">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最高限价</w:t>
            </w:r>
          </w:p>
          <w:p w14:paraId="09DDF6E1">
            <w:pPr>
              <w:tabs>
                <w:tab w:val="left" w:pos="8280"/>
              </w:tabs>
              <w:autoSpaceDE w:val="0"/>
              <w:autoSpaceDN w:val="0"/>
              <w:adjustRightInd w:val="0"/>
              <w:jc w:val="center"/>
              <w:rPr>
                <w:rFonts w:ascii="仿宋" w:hAnsi="仿宋" w:eastAsia="仿宋" w:cs="宋体"/>
                <w:b/>
                <w:color w:val="auto"/>
                <w:sz w:val="24"/>
                <w:highlight w:val="none"/>
              </w:rPr>
            </w:pPr>
            <w:r>
              <w:rPr>
                <w:rFonts w:hint="eastAsia" w:ascii="宋体" w:hAnsi="宋体"/>
                <w:b/>
                <w:color w:val="auto"/>
                <w:szCs w:val="21"/>
                <w:highlight w:val="none"/>
              </w:rPr>
              <w:t>（万元）</w:t>
            </w:r>
          </w:p>
        </w:tc>
        <w:tc>
          <w:tcPr>
            <w:tcW w:w="1185" w:type="dxa"/>
            <w:tcBorders>
              <w:top w:val="single" w:color="auto" w:sz="4" w:space="0"/>
              <w:left w:val="single" w:color="auto" w:sz="4" w:space="0"/>
              <w:bottom w:val="single" w:color="auto" w:sz="4" w:space="0"/>
              <w:right w:val="single" w:color="auto" w:sz="4" w:space="0"/>
            </w:tcBorders>
            <w:vAlign w:val="center"/>
          </w:tcPr>
          <w:p w14:paraId="2A76C6EC">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投标报价</w:t>
            </w:r>
          </w:p>
          <w:p w14:paraId="2DB73185">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（万元）</w:t>
            </w:r>
          </w:p>
        </w:tc>
        <w:tc>
          <w:tcPr>
            <w:tcW w:w="724" w:type="dxa"/>
            <w:tcBorders>
              <w:top w:val="single" w:color="auto" w:sz="4" w:space="0"/>
              <w:left w:val="single" w:color="auto" w:sz="4" w:space="0"/>
              <w:bottom w:val="single" w:color="auto" w:sz="4" w:space="0"/>
              <w:right w:val="single" w:color="auto" w:sz="4" w:space="0"/>
            </w:tcBorders>
            <w:vAlign w:val="center"/>
          </w:tcPr>
          <w:p w14:paraId="710E29AD">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备注</w:t>
            </w:r>
          </w:p>
        </w:tc>
      </w:tr>
      <w:tr w14:paraId="612C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10" w:type="dxa"/>
            <w:tcBorders>
              <w:top w:val="single" w:color="auto" w:sz="4" w:space="0"/>
              <w:left w:val="single" w:color="auto" w:sz="4" w:space="0"/>
              <w:bottom w:val="single" w:color="auto" w:sz="4" w:space="0"/>
              <w:right w:val="single" w:color="auto" w:sz="4" w:space="0"/>
            </w:tcBorders>
            <w:vAlign w:val="center"/>
          </w:tcPr>
          <w:p w14:paraId="2EBF9424">
            <w:pPr>
              <w:tabs>
                <w:tab w:val="left" w:pos="8280"/>
              </w:tabs>
              <w:autoSpaceDE w:val="0"/>
              <w:autoSpaceDN w:val="0"/>
              <w:adjustRightInd w:val="0"/>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2131" w:type="dxa"/>
            <w:tcBorders>
              <w:top w:val="single" w:color="auto" w:sz="4" w:space="0"/>
              <w:left w:val="single" w:color="auto" w:sz="4" w:space="0"/>
              <w:bottom w:val="single" w:color="auto" w:sz="4" w:space="0"/>
              <w:right w:val="single" w:color="auto" w:sz="4" w:space="0"/>
            </w:tcBorders>
            <w:vAlign w:val="center"/>
          </w:tcPr>
          <w:p w14:paraId="5B6B72F7">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轮抽样检测费用</w:t>
            </w:r>
          </w:p>
        </w:tc>
        <w:tc>
          <w:tcPr>
            <w:tcW w:w="1421" w:type="dxa"/>
            <w:tcBorders>
              <w:top w:val="single" w:color="auto" w:sz="4" w:space="0"/>
              <w:left w:val="single" w:color="auto" w:sz="4" w:space="0"/>
              <w:bottom w:val="single" w:color="auto" w:sz="4" w:space="0"/>
              <w:right w:val="single" w:color="auto" w:sz="4" w:space="0"/>
            </w:tcBorders>
            <w:vAlign w:val="center"/>
          </w:tcPr>
          <w:p w14:paraId="596BAEE1">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7</w:t>
            </w:r>
          </w:p>
        </w:tc>
        <w:tc>
          <w:tcPr>
            <w:tcW w:w="710" w:type="dxa"/>
            <w:tcBorders>
              <w:top w:val="single" w:color="auto" w:sz="4" w:space="0"/>
              <w:left w:val="single" w:color="auto" w:sz="4" w:space="0"/>
              <w:bottom w:val="single" w:color="auto" w:sz="4" w:space="0"/>
              <w:right w:val="single" w:color="auto" w:sz="4" w:space="0"/>
            </w:tcBorders>
            <w:vAlign w:val="center"/>
          </w:tcPr>
          <w:p w14:paraId="6D823980">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轮</w:t>
            </w:r>
          </w:p>
        </w:tc>
        <w:tc>
          <w:tcPr>
            <w:tcW w:w="1184" w:type="dxa"/>
            <w:tcBorders>
              <w:top w:val="single" w:color="auto" w:sz="4" w:space="0"/>
              <w:left w:val="single" w:color="auto" w:sz="4" w:space="0"/>
              <w:bottom w:val="single" w:color="auto" w:sz="4" w:space="0"/>
              <w:right w:val="single" w:color="auto" w:sz="4" w:space="0"/>
            </w:tcBorders>
            <w:vAlign w:val="center"/>
          </w:tcPr>
          <w:p w14:paraId="5AD9083E">
            <w:pPr>
              <w:tabs>
                <w:tab w:val="left" w:pos="8280"/>
              </w:tabs>
              <w:autoSpaceDE w:val="0"/>
              <w:autoSpaceDN w:val="0"/>
              <w:adjustRightInd w:val="0"/>
              <w:jc w:val="center"/>
              <w:rPr>
                <w:rFonts w:ascii="宋体" w:hAnsi="宋体" w:cs="宋体"/>
                <w:bCs/>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32819A6">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30</w:t>
            </w:r>
          </w:p>
        </w:tc>
        <w:tc>
          <w:tcPr>
            <w:tcW w:w="1185" w:type="dxa"/>
            <w:tcBorders>
              <w:top w:val="single" w:color="auto" w:sz="4" w:space="0"/>
              <w:left w:val="single" w:color="auto" w:sz="4" w:space="0"/>
              <w:bottom w:val="single" w:color="auto" w:sz="4" w:space="0"/>
              <w:right w:val="single" w:color="auto" w:sz="4" w:space="0"/>
            </w:tcBorders>
            <w:vAlign w:val="center"/>
          </w:tcPr>
          <w:p w14:paraId="0C3F30DC">
            <w:pPr>
              <w:tabs>
                <w:tab w:val="left" w:pos="8280"/>
              </w:tabs>
              <w:autoSpaceDE w:val="0"/>
              <w:autoSpaceDN w:val="0"/>
              <w:adjustRightInd w:val="0"/>
              <w:jc w:val="center"/>
              <w:rPr>
                <w:rFonts w:ascii="宋体" w:hAnsi="宋体" w:cs="宋体"/>
                <w:bCs/>
                <w:color w:val="auto"/>
                <w:szCs w:val="21"/>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7792DFFC">
            <w:pPr>
              <w:tabs>
                <w:tab w:val="left" w:pos="8280"/>
              </w:tabs>
              <w:autoSpaceDE w:val="0"/>
              <w:autoSpaceDN w:val="0"/>
              <w:adjustRightInd w:val="0"/>
              <w:jc w:val="center"/>
              <w:rPr>
                <w:rFonts w:ascii="宋体" w:hAnsi="宋体" w:cs="宋体"/>
                <w:bCs/>
                <w:color w:val="auto"/>
                <w:szCs w:val="21"/>
                <w:highlight w:val="none"/>
              </w:rPr>
            </w:pPr>
          </w:p>
        </w:tc>
      </w:tr>
      <w:tr w14:paraId="4FB6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10" w:type="dxa"/>
            <w:tcBorders>
              <w:top w:val="single" w:color="auto" w:sz="4" w:space="0"/>
              <w:left w:val="single" w:color="auto" w:sz="4" w:space="0"/>
              <w:bottom w:val="single" w:color="auto" w:sz="4" w:space="0"/>
              <w:right w:val="single" w:color="auto" w:sz="4" w:space="0"/>
            </w:tcBorders>
            <w:vAlign w:val="center"/>
          </w:tcPr>
          <w:p w14:paraId="0090E9AD">
            <w:pPr>
              <w:tabs>
                <w:tab w:val="left" w:pos="8280"/>
              </w:tabs>
              <w:autoSpaceDE w:val="0"/>
              <w:autoSpaceDN w:val="0"/>
              <w:adjustRightInd w:val="0"/>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2131" w:type="dxa"/>
            <w:tcBorders>
              <w:top w:val="single" w:color="auto" w:sz="4" w:space="0"/>
              <w:left w:val="single" w:color="auto" w:sz="4" w:space="0"/>
              <w:bottom w:val="single" w:color="auto" w:sz="4" w:space="0"/>
              <w:right w:val="single" w:color="auto" w:sz="4" w:space="0"/>
            </w:tcBorders>
            <w:vAlign w:val="center"/>
          </w:tcPr>
          <w:p w14:paraId="7C204D69">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
                <w:bCs/>
                <w:color w:val="auto"/>
                <w:szCs w:val="21"/>
                <w:highlight w:val="none"/>
              </w:rPr>
              <w:t>发现问题绩效</w:t>
            </w:r>
          </w:p>
        </w:tc>
        <w:tc>
          <w:tcPr>
            <w:tcW w:w="1421" w:type="dxa"/>
            <w:tcBorders>
              <w:top w:val="single" w:color="auto" w:sz="4" w:space="0"/>
              <w:left w:val="single" w:color="auto" w:sz="4" w:space="0"/>
              <w:bottom w:val="single" w:color="auto" w:sz="4" w:space="0"/>
              <w:right w:val="single" w:color="auto" w:sz="4" w:space="0"/>
            </w:tcBorders>
            <w:vAlign w:val="center"/>
          </w:tcPr>
          <w:p w14:paraId="47B98F7A">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3000</w:t>
            </w:r>
          </w:p>
        </w:tc>
        <w:tc>
          <w:tcPr>
            <w:tcW w:w="710" w:type="dxa"/>
            <w:tcBorders>
              <w:top w:val="single" w:color="auto" w:sz="4" w:space="0"/>
              <w:left w:val="single" w:color="auto" w:sz="4" w:space="0"/>
              <w:bottom w:val="single" w:color="auto" w:sz="4" w:space="0"/>
              <w:right w:val="single" w:color="auto" w:sz="4" w:space="0"/>
            </w:tcBorders>
            <w:vAlign w:val="center"/>
          </w:tcPr>
          <w:p w14:paraId="4EF25757">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个</w:t>
            </w:r>
          </w:p>
        </w:tc>
        <w:tc>
          <w:tcPr>
            <w:tcW w:w="1184" w:type="dxa"/>
            <w:tcBorders>
              <w:top w:val="single" w:color="auto" w:sz="4" w:space="0"/>
              <w:left w:val="single" w:color="auto" w:sz="4" w:space="0"/>
              <w:bottom w:val="single" w:color="auto" w:sz="4" w:space="0"/>
              <w:right w:val="single" w:color="auto" w:sz="4" w:space="0"/>
            </w:tcBorders>
            <w:vAlign w:val="center"/>
          </w:tcPr>
          <w:p w14:paraId="62F1593F">
            <w:pPr>
              <w:tabs>
                <w:tab w:val="left" w:pos="8280"/>
              </w:tabs>
              <w:autoSpaceDE w:val="0"/>
              <w:autoSpaceDN w:val="0"/>
              <w:adjustRightInd w:val="0"/>
              <w:jc w:val="center"/>
              <w:rPr>
                <w:rFonts w:ascii="宋体" w:hAnsi="宋体" w:cs="宋体"/>
                <w:bCs/>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7A022FD6">
            <w:pPr>
              <w:tabs>
                <w:tab w:val="left" w:pos="8280"/>
              </w:tabs>
              <w:autoSpaceDE w:val="0"/>
              <w:autoSpaceDN w:val="0"/>
              <w:adjustRightInd w:val="0"/>
              <w:jc w:val="center"/>
              <w:rPr>
                <w:rFonts w:ascii="仿宋" w:hAnsi="仿宋" w:eastAsia="仿宋" w:cs="宋体"/>
                <w:color w:val="auto"/>
                <w:sz w:val="24"/>
                <w:highlight w:val="none"/>
              </w:rPr>
            </w:pPr>
            <w:r>
              <w:rPr>
                <w:rFonts w:hint="eastAsia" w:ascii="宋体" w:hAnsi="宋体" w:cs="宋体"/>
                <w:bCs/>
                <w:color w:val="auto"/>
                <w:szCs w:val="21"/>
                <w:highlight w:val="none"/>
              </w:rPr>
              <w:t>30</w:t>
            </w:r>
          </w:p>
        </w:tc>
        <w:tc>
          <w:tcPr>
            <w:tcW w:w="1185" w:type="dxa"/>
            <w:tcBorders>
              <w:top w:val="single" w:color="auto" w:sz="4" w:space="0"/>
              <w:left w:val="single" w:color="auto" w:sz="4" w:space="0"/>
              <w:bottom w:val="single" w:color="auto" w:sz="4" w:space="0"/>
              <w:right w:val="single" w:color="auto" w:sz="4" w:space="0"/>
            </w:tcBorders>
            <w:vAlign w:val="center"/>
          </w:tcPr>
          <w:p w14:paraId="4C8C5815">
            <w:pPr>
              <w:tabs>
                <w:tab w:val="left" w:pos="8280"/>
              </w:tabs>
              <w:autoSpaceDE w:val="0"/>
              <w:autoSpaceDN w:val="0"/>
              <w:adjustRightInd w:val="0"/>
              <w:jc w:val="center"/>
              <w:rPr>
                <w:rFonts w:ascii="宋体" w:hAnsi="宋体" w:cs="宋体"/>
                <w:bCs/>
                <w:color w:val="auto"/>
                <w:szCs w:val="21"/>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49AC903A">
            <w:pPr>
              <w:tabs>
                <w:tab w:val="left" w:pos="8280"/>
              </w:tabs>
              <w:autoSpaceDE w:val="0"/>
              <w:autoSpaceDN w:val="0"/>
              <w:adjustRightInd w:val="0"/>
              <w:jc w:val="center"/>
              <w:rPr>
                <w:rFonts w:ascii="宋体" w:hAnsi="宋体" w:cs="宋体"/>
                <w:bCs/>
                <w:color w:val="auto"/>
                <w:szCs w:val="21"/>
                <w:highlight w:val="none"/>
              </w:rPr>
            </w:pPr>
          </w:p>
        </w:tc>
      </w:tr>
      <w:tr w14:paraId="0863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841" w:type="dxa"/>
            <w:gridSpan w:val="2"/>
            <w:tcBorders>
              <w:top w:val="single" w:color="auto" w:sz="4" w:space="0"/>
              <w:left w:val="single" w:color="auto" w:sz="4" w:space="0"/>
              <w:bottom w:val="single" w:color="auto" w:sz="4" w:space="0"/>
              <w:right w:val="single" w:color="auto" w:sz="4" w:space="0"/>
            </w:tcBorders>
            <w:vAlign w:val="center"/>
          </w:tcPr>
          <w:p w14:paraId="3BD8C3D4">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总报价合计</w:t>
            </w:r>
          </w:p>
        </w:tc>
        <w:tc>
          <w:tcPr>
            <w:tcW w:w="6408" w:type="dxa"/>
            <w:gridSpan w:val="6"/>
            <w:tcBorders>
              <w:top w:val="single" w:color="auto" w:sz="4" w:space="0"/>
              <w:left w:val="single" w:color="auto" w:sz="4" w:space="0"/>
              <w:bottom w:val="single" w:color="auto" w:sz="4" w:space="0"/>
              <w:right w:val="single" w:color="auto" w:sz="4" w:space="0"/>
            </w:tcBorders>
            <w:vAlign w:val="center"/>
          </w:tcPr>
          <w:p w14:paraId="57578CF5">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w:t>
            </w:r>
          </w:p>
        </w:tc>
      </w:tr>
    </w:tbl>
    <w:p w14:paraId="1E66B5B0">
      <w:pPr>
        <w:spacing w:line="360" w:lineRule="auto"/>
        <w:rPr>
          <w:rFonts w:ascii="仿宋" w:hAnsi="仿宋" w:eastAsia="仿宋"/>
          <w:color w:val="auto"/>
          <w:highlight w:val="none"/>
        </w:rPr>
      </w:pPr>
    </w:p>
    <w:p w14:paraId="110944F8">
      <w:pPr>
        <w:spacing w:line="360" w:lineRule="auto"/>
        <w:ind w:left="15" w:firstLine="440" w:firstLineChars="200"/>
        <w:rPr>
          <w:rFonts w:ascii="宋体" w:hAnsi="宋体"/>
          <w:color w:val="auto"/>
          <w:sz w:val="22"/>
          <w:szCs w:val="18"/>
          <w:highlight w:val="none"/>
        </w:rPr>
      </w:pPr>
      <w:r>
        <w:rPr>
          <w:rFonts w:hint="eastAsia" w:ascii="宋体" w:hAnsi="宋体"/>
          <w:color w:val="auto"/>
          <w:sz w:val="22"/>
          <w:szCs w:val="18"/>
          <w:highlight w:val="none"/>
        </w:rPr>
        <w:t>1.本表为《开标一览表》的报价明细表，如有缺项、漏项，视为投标报价中已包含相关费用，采购人无需另外支付任何费用。</w:t>
      </w:r>
    </w:p>
    <w:p w14:paraId="41214C9B">
      <w:pPr>
        <w:spacing w:line="360" w:lineRule="auto"/>
        <w:ind w:left="15" w:firstLine="440" w:firstLineChars="200"/>
        <w:rPr>
          <w:rFonts w:ascii="宋体"/>
          <w:color w:val="auto"/>
          <w:sz w:val="22"/>
          <w:szCs w:val="18"/>
          <w:highlight w:val="none"/>
          <w:lang w:val="zh-CN"/>
        </w:rPr>
      </w:pPr>
      <w:r>
        <w:rPr>
          <w:rFonts w:hint="eastAsia" w:ascii="宋体" w:hAnsi="宋体"/>
          <w:color w:val="auto"/>
          <w:sz w:val="22"/>
          <w:szCs w:val="18"/>
          <w:highlight w:val="none"/>
        </w:rPr>
        <w:t>2.</w:t>
      </w:r>
      <w:r>
        <w:rPr>
          <w:rFonts w:hint="eastAsia" w:ascii="宋体"/>
          <w:color w:val="auto"/>
          <w:sz w:val="22"/>
          <w:szCs w:val="18"/>
          <w:highlight w:val="none"/>
          <w:lang w:val="zh-CN"/>
        </w:rPr>
        <w:t>“报价明细表”中的报价合计应与“开标一览表”中的投标总报价相一致，不一致时，以开标一览表为准。</w:t>
      </w:r>
    </w:p>
    <w:p w14:paraId="6C8A1C25">
      <w:pPr>
        <w:spacing w:line="360" w:lineRule="auto"/>
        <w:ind w:firstLine="440" w:firstLineChars="200"/>
        <w:rPr>
          <w:rFonts w:ascii="仿宋" w:hAnsi="仿宋" w:eastAsia="仿宋" w:cs="宋体"/>
          <w:b/>
          <w:color w:val="auto"/>
          <w:highlight w:val="none"/>
        </w:rPr>
      </w:pPr>
      <w:r>
        <w:rPr>
          <w:rFonts w:hint="eastAsia" w:ascii="宋体"/>
          <w:color w:val="auto"/>
          <w:sz w:val="22"/>
          <w:szCs w:val="18"/>
          <w:highlight w:val="none"/>
        </w:rPr>
        <w:t>3.</w:t>
      </w:r>
      <w:r>
        <w:rPr>
          <w:rFonts w:hint="eastAsia" w:ascii="宋体"/>
          <w:color w:val="auto"/>
          <w:sz w:val="22"/>
          <w:szCs w:val="18"/>
          <w:highlight w:val="none"/>
          <w:lang w:val="zh-CN"/>
        </w:rPr>
        <w:t>投标报价明细表所填内容按</w:t>
      </w:r>
      <w:r>
        <w:rPr>
          <w:rFonts w:hint="eastAsia" w:ascii="宋体"/>
          <w:color w:val="auto"/>
          <w:sz w:val="22"/>
          <w:szCs w:val="18"/>
          <w:highlight w:val="none"/>
        </w:rPr>
        <w:t>采购</w:t>
      </w:r>
      <w:r>
        <w:rPr>
          <w:rFonts w:hint="eastAsia" w:ascii="宋体"/>
          <w:color w:val="auto"/>
          <w:sz w:val="22"/>
          <w:szCs w:val="18"/>
          <w:highlight w:val="none"/>
          <w:lang w:val="zh-CN"/>
        </w:rPr>
        <w:t>文件采购清单要求为准。如有漏报的，视同已包含在投标总价内或已作优惠处理。有重大缺项的将作无效标处理。</w:t>
      </w:r>
    </w:p>
    <w:p w14:paraId="65E79950">
      <w:pPr>
        <w:spacing w:line="360" w:lineRule="auto"/>
        <w:rPr>
          <w:rFonts w:ascii="宋体" w:hAnsi="宋体"/>
          <w:color w:val="auto"/>
          <w:sz w:val="24"/>
          <w:highlight w:val="none"/>
        </w:rPr>
      </w:pPr>
    </w:p>
    <w:p w14:paraId="3FFEEDD1">
      <w:pPr>
        <w:spacing w:line="360" w:lineRule="auto"/>
        <w:rPr>
          <w:rFonts w:ascii="宋体" w:hAnsi="宋体"/>
          <w:color w:val="auto"/>
          <w:sz w:val="24"/>
          <w:highlight w:val="none"/>
        </w:rPr>
      </w:pPr>
    </w:p>
    <w:p w14:paraId="5F750393">
      <w:pPr>
        <w:spacing w:line="360" w:lineRule="auto"/>
        <w:rPr>
          <w:rFonts w:ascii="宋体" w:hAnsi="宋体"/>
          <w:color w:val="auto"/>
          <w:sz w:val="24"/>
          <w:highlight w:val="none"/>
        </w:rPr>
      </w:pPr>
    </w:p>
    <w:p w14:paraId="3A62F0FD">
      <w:pPr>
        <w:spacing w:line="360" w:lineRule="auto"/>
        <w:rPr>
          <w:rFonts w:ascii="宋体" w:hAnsi="宋体"/>
          <w:color w:val="auto"/>
          <w:sz w:val="24"/>
          <w:highlight w:val="none"/>
        </w:rPr>
      </w:pPr>
    </w:p>
    <w:p w14:paraId="3ACB09AA">
      <w:pPr>
        <w:spacing w:line="360" w:lineRule="auto"/>
        <w:rPr>
          <w:rFonts w:ascii="宋体" w:hAnsi="宋体"/>
          <w:color w:val="auto"/>
          <w:sz w:val="24"/>
          <w:highlight w:val="none"/>
        </w:rPr>
      </w:pPr>
    </w:p>
    <w:p w14:paraId="567B85EB">
      <w:pPr>
        <w:spacing w:line="360" w:lineRule="auto"/>
        <w:rPr>
          <w:rFonts w:ascii="宋体" w:hAnsi="宋体"/>
          <w:color w:val="auto"/>
          <w:sz w:val="24"/>
          <w:highlight w:val="none"/>
          <w:u w:val="single"/>
        </w:rPr>
      </w:pPr>
      <w:r>
        <w:rPr>
          <w:rFonts w:hint="eastAsia" w:ascii="宋体" w:hAnsi="宋体"/>
          <w:color w:val="auto"/>
          <w:sz w:val="24"/>
          <w:highlight w:val="none"/>
        </w:rPr>
        <w:t>供应商名称（公章）：</w:t>
      </w:r>
    </w:p>
    <w:p w14:paraId="5DFED1A2">
      <w:pPr>
        <w:spacing w:line="360" w:lineRule="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0F80630F">
      <w:pPr>
        <w:spacing w:line="360" w:lineRule="auto"/>
        <w:rPr>
          <w:rFonts w:ascii="宋体" w:hAnsi="宋体"/>
          <w:color w:val="auto"/>
          <w:sz w:val="24"/>
          <w:highlight w:val="none"/>
        </w:rPr>
      </w:pPr>
      <w:r>
        <w:rPr>
          <w:rFonts w:hint="eastAsia" w:ascii="宋体" w:hAnsi="宋体"/>
          <w:color w:val="auto"/>
          <w:sz w:val="24"/>
          <w:highlight w:val="none"/>
        </w:rPr>
        <w:t>职        务：</w:t>
      </w:r>
    </w:p>
    <w:p w14:paraId="0BA66A43">
      <w:pPr>
        <w:snapToGrid w:val="0"/>
        <w:spacing w:beforeLines="50" w:after="50" w:line="360" w:lineRule="auto"/>
        <w:rPr>
          <w:rFonts w:ascii="宋体" w:hAnsi="宋体"/>
          <w:b/>
          <w:color w:val="auto"/>
          <w:sz w:val="28"/>
          <w:highlight w:val="none"/>
        </w:rPr>
      </w:pPr>
      <w:r>
        <w:rPr>
          <w:rFonts w:hint="eastAsia" w:ascii="宋体" w:hAnsi="宋体"/>
          <w:color w:val="auto"/>
          <w:sz w:val="24"/>
          <w:highlight w:val="none"/>
        </w:rPr>
        <w:t>日        期：</w:t>
      </w:r>
    </w:p>
    <w:p w14:paraId="742FC802">
      <w:pPr>
        <w:snapToGrid w:val="0"/>
        <w:spacing w:beforeLines="50" w:after="50" w:line="360" w:lineRule="auto"/>
        <w:rPr>
          <w:rFonts w:ascii="宋体" w:hAnsi="宋体"/>
          <w:b/>
          <w:color w:val="auto"/>
          <w:sz w:val="28"/>
          <w:highlight w:val="none"/>
        </w:rPr>
      </w:pPr>
    </w:p>
    <w:p w14:paraId="0124EE1D">
      <w:pPr>
        <w:snapToGrid w:val="0"/>
        <w:spacing w:beforeLines="50" w:after="50" w:line="360" w:lineRule="auto"/>
        <w:rPr>
          <w:rFonts w:ascii="宋体" w:hAnsi="宋体"/>
          <w:b/>
          <w:color w:val="auto"/>
          <w:sz w:val="28"/>
          <w:highlight w:val="none"/>
        </w:rPr>
      </w:pPr>
    </w:p>
    <w:p w14:paraId="14478F86">
      <w:pPr>
        <w:snapToGrid w:val="0"/>
        <w:spacing w:beforeLines="50" w:after="50" w:line="360" w:lineRule="auto"/>
        <w:rPr>
          <w:rFonts w:ascii="宋体" w:hAnsi="宋体"/>
          <w:b/>
          <w:color w:val="auto"/>
          <w:sz w:val="28"/>
          <w:highlight w:val="none"/>
        </w:rPr>
      </w:pPr>
    </w:p>
    <w:p w14:paraId="610AF03F">
      <w:pPr>
        <w:snapToGrid w:val="0"/>
        <w:spacing w:beforeLines="50" w:after="50" w:line="360" w:lineRule="auto"/>
        <w:rPr>
          <w:rFonts w:ascii="宋体" w:hAnsi="宋体"/>
          <w:b/>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43E3CB-4759-460C-98D7-5BE966F9891E}"/>
  </w:font>
  <w:font w:name="黑体">
    <w:panose1 w:val="02010609060101010101"/>
    <w:charset w:val="86"/>
    <w:family w:val="auto"/>
    <w:pitch w:val="default"/>
    <w:sig w:usb0="800002BF" w:usb1="38CF7CFA" w:usb2="00000016" w:usb3="00000000" w:csb0="00040001" w:csb1="00000000"/>
    <w:embedRegular r:id="rId2" w:fontKey="{F243D9AF-A0EA-423E-AEF8-4B3EADD80E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469B94A-13F4-4B54-9E12-A50C8BFA838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A0EAACF5-E553-487F-B9EB-917E8D6CD961}"/>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5" w:fontKey="{489823FF-B910-40E1-BEA8-6D38AF40344E}"/>
  </w:font>
  <w:font w:name="Wingdings 2">
    <w:panose1 w:val="05020102010507070707"/>
    <w:charset w:val="00"/>
    <w:family w:val="auto"/>
    <w:pitch w:val="default"/>
    <w:sig w:usb0="00000000" w:usb1="00000000" w:usb2="00000000" w:usb3="00000000" w:csb0="80000000" w:csb1="00000000"/>
    <w:embedRegular r:id="rId6" w:fontKey="{1E9EDE8A-6B3C-4082-8E23-2A98B70F3810}"/>
  </w:font>
  <w:font w:name="仿宋_GB2312">
    <w:panose1 w:val="02010609030101010101"/>
    <w:charset w:val="86"/>
    <w:family w:val="modern"/>
    <w:pitch w:val="default"/>
    <w:sig w:usb0="00000001" w:usb1="080E0000" w:usb2="00000000" w:usb3="00000000" w:csb0="00040000" w:csb1="00000000"/>
    <w:embedRegular r:id="rId7" w:fontKey="{549BCDC9-51B8-46B4-A641-20E283229C78}"/>
  </w:font>
  <w:font w:name="方正仿宋_GB2312">
    <w:panose1 w:val="02000000000000000000"/>
    <w:charset w:val="86"/>
    <w:family w:val="auto"/>
    <w:pitch w:val="default"/>
    <w:sig w:usb0="A00002BF" w:usb1="184F6CFA" w:usb2="00000012" w:usb3="00000000" w:csb0="00040001" w:csb1="00000000"/>
    <w:embedRegular r:id="rId8" w:fontKey="{BCF07490-9175-4B46-8B25-E6AD69A6D9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9F9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E9DD51">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4E9DD51">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1EC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7A9452">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F7A9452">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0DA33">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5ED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C985">
    <w:pPr>
      <w:pStyle w:val="15"/>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76022"/>
    <w:multiLevelType w:val="singleLevel"/>
    <w:tmpl w:val="8B076022"/>
    <w:lvl w:ilvl="0" w:tentative="0">
      <w:start w:val="1"/>
      <w:numFmt w:val="decimal"/>
      <w:lvlText w:val="%1."/>
      <w:lvlJc w:val="left"/>
      <w:pPr>
        <w:tabs>
          <w:tab w:val="left" w:pos="312"/>
        </w:tabs>
      </w:p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A7DF5B2"/>
    <w:multiLevelType w:val="singleLevel"/>
    <w:tmpl w:val="EA7DF5B2"/>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3CEB21C5"/>
    <w:multiLevelType w:val="singleLevel"/>
    <w:tmpl w:val="3CEB21C5"/>
    <w:lvl w:ilvl="0" w:tentative="0">
      <w:start w:val="1"/>
      <w:numFmt w:val="decimal"/>
      <w:lvlText w:val="%1."/>
      <w:lvlJc w:val="left"/>
      <w:pPr>
        <w:tabs>
          <w:tab w:val="left" w:pos="312"/>
        </w:tabs>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3F985B4"/>
    <w:multiLevelType w:val="singleLevel"/>
    <w:tmpl w:val="53F985B4"/>
    <w:lvl w:ilvl="0" w:tentative="0">
      <w:start w:val="1"/>
      <w:numFmt w:val="decimal"/>
      <w:lvlText w:val="%1."/>
      <w:lvlJc w:val="left"/>
      <w:pPr>
        <w:tabs>
          <w:tab w:val="left" w:pos="312"/>
        </w:tabs>
      </w:p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num w:numId="1">
    <w:abstractNumId w:val="8"/>
  </w:num>
  <w:num w:numId="2">
    <w:abstractNumId w:val="3"/>
  </w:num>
  <w:num w:numId="3">
    <w:abstractNumId w:val="9"/>
  </w:num>
  <w:num w:numId="4">
    <w:abstractNumId w:val="5"/>
  </w:num>
  <w:num w:numId="5">
    <w:abstractNumId w:val="10"/>
  </w:num>
  <w:num w:numId="6">
    <w:abstractNumId w:val="1"/>
  </w:num>
  <w:num w:numId="7">
    <w:abstractNumId w:val="2"/>
  </w:num>
  <w:num w:numId="8">
    <w:abstractNumId w:val="4"/>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YzAxMGY2NzAwNjdmZjcxZmM4YjVkYzY0MmI2N2QifQ=="/>
  </w:docVars>
  <w:rsids>
    <w:rsidRoot w:val="685F2B0C"/>
    <w:rsid w:val="00030D77"/>
    <w:rsid w:val="00063432"/>
    <w:rsid w:val="00071BA1"/>
    <w:rsid w:val="000A2B60"/>
    <w:rsid w:val="001146EF"/>
    <w:rsid w:val="00165EE9"/>
    <w:rsid w:val="00186236"/>
    <w:rsid w:val="00291503"/>
    <w:rsid w:val="002A3D6E"/>
    <w:rsid w:val="00315916"/>
    <w:rsid w:val="003E75DC"/>
    <w:rsid w:val="0049548B"/>
    <w:rsid w:val="004D1BD8"/>
    <w:rsid w:val="004E77B0"/>
    <w:rsid w:val="005D0DD1"/>
    <w:rsid w:val="00667357"/>
    <w:rsid w:val="006A6AE7"/>
    <w:rsid w:val="006B39D2"/>
    <w:rsid w:val="006D0434"/>
    <w:rsid w:val="006D5C96"/>
    <w:rsid w:val="00736F7D"/>
    <w:rsid w:val="007477AD"/>
    <w:rsid w:val="008248FA"/>
    <w:rsid w:val="00874B40"/>
    <w:rsid w:val="00905DA1"/>
    <w:rsid w:val="00987EDA"/>
    <w:rsid w:val="009D46C4"/>
    <w:rsid w:val="009D6A9E"/>
    <w:rsid w:val="00A5256C"/>
    <w:rsid w:val="00A85AC9"/>
    <w:rsid w:val="00A921FD"/>
    <w:rsid w:val="00AA503A"/>
    <w:rsid w:val="00AB072A"/>
    <w:rsid w:val="00AB49B7"/>
    <w:rsid w:val="00B34B47"/>
    <w:rsid w:val="00C061A0"/>
    <w:rsid w:val="00C50B60"/>
    <w:rsid w:val="00C52A0D"/>
    <w:rsid w:val="00CA2C6C"/>
    <w:rsid w:val="00D0009A"/>
    <w:rsid w:val="00D14AD5"/>
    <w:rsid w:val="00D325EC"/>
    <w:rsid w:val="00D40771"/>
    <w:rsid w:val="00D81728"/>
    <w:rsid w:val="00DB1553"/>
    <w:rsid w:val="00E42018"/>
    <w:rsid w:val="00FC1E7F"/>
    <w:rsid w:val="00FC5C25"/>
    <w:rsid w:val="00FF7A94"/>
    <w:rsid w:val="010742D5"/>
    <w:rsid w:val="010F7B98"/>
    <w:rsid w:val="01270A4D"/>
    <w:rsid w:val="017E2A82"/>
    <w:rsid w:val="01851778"/>
    <w:rsid w:val="01A729ED"/>
    <w:rsid w:val="01AE11E6"/>
    <w:rsid w:val="01B729F0"/>
    <w:rsid w:val="01E96BCD"/>
    <w:rsid w:val="01F53A09"/>
    <w:rsid w:val="02222883"/>
    <w:rsid w:val="02233590"/>
    <w:rsid w:val="02A01370"/>
    <w:rsid w:val="02C62BA9"/>
    <w:rsid w:val="030A7540"/>
    <w:rsid w:val="03157E20"/>
    <w:rsid w:val="034C79A8"/>
    <w:rsid w:val="035E327D"/>
    <w:rsid w:val="03624C71"/>
    <w:rsid w:val="037171B2"/>
    <w:rsid w:val="03723D7D"/>
    <w:rsid w:val="03A55E37"/>
    <w:rsid w:val="04071573"/>
    <w:rsid w:val="04172FFC"/>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134407"/>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4D7C2D"/>
    <w:rsid w:val="086230FE"/>
    <w:rsid w:val="08696EDC"/>
    <w:rsid w:val="08705B4A"/>
    <w:rsid w:val="087A7753"/>
    <w:rsid w:val="08814CE3"/>
    <w:rsid w:val="08884C10"/>
    <w:rsid w:val="08986544"/>
    <w:rsid w:val="08BB6846"/>
    <w:rsid w:val="08D55A74"/>
    <w:rsid w:val="08DC3175"/>
    <w:rsid w:val="08E052CE"/>
    <w:rsid w:val="08FB2C0B"/>
    <w:rsid w:val="08FD3C48"/>
    <w:rsid w:val="08FF6B9F"/>
    <w:rsid w:val="09161D47"/>
    <w:rsid w:val="093D3ABC"/>
    <w:rsid w:val="09CE19BC"/>
    <w:rsid w:val="09E56383"/>
    <w:rsid w:val="09E70A54"/>
    <w:rsid w:val="09E84CCD"/>
    <w:rsid w:val="0A051115"/>
    <w:rsid w:val="0A3A5C5D"/>
    <w:rsid w:val="0A516BF8"/>
    <w:rsid w:val="0A8528D5"/>
    <w:rsid w:val="0A8A0A3A"/>
    <w:rsid w:val="0AB52BD8"/>
    <w:rsid w:val="0AD56F1F"/>
    <w:rsid w:val="0AEA3C8C"/>
    <w:rsid w:val="0B1E0CF0"/>
    <w:rsid w:val="0B1E2894"/>
    <w:rsid w:val="0B3A637F"/>
    <w:rsid w:val="0BCE1370"/>
    <w:rsid w:val="0BCF240A"/>
    <w:rsid w:val="0BD84E5C"/>
    <w:rsid w:val="0BE34CD8"/>
    <w:rsid w:val="0BE43E2A"/>
    <w:rsid w:val="0BE83010"/>
    <w:rsid w:val="0BF47D4E"/>
    <w:rsid w:val="0BF86799"/>
    <w:rsid w:val="0C377F1F"/>
    <w:rsid w:val="0C516743"/>
    <w:rsid w:val="0C5D1BDB"/>
    <w:rsid w:val="0C7E2237"/>
    <w:rsid w:val="0C84658A"/>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F0D0D2C"/>
    <w:rsid w:val="0F3376FF"/>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82AD3"/>
    <w:rsid w:val="11DE5C79"/>
    <w:rsid w:val="12101447"/>
    <w:rsid w:val="12215961"/>
    <w:rsid w:val="125735A8"/>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5558C5"/>
    <w:rsid w:val="149D3DC9"/>
    <w:rsid w:val="149E1778"/>
    <w:rsid w:val="14AD4839"/>
    <w:rsid w:val="14E135FC"/>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BB4D23"/>
    <w:rsid w:val="16C11894"/>
    <w:rsid w:val="16C377D3"/>
    <w:rsid w:val="171F0861"/>
    <w:rsid w:val="1731374B"/>
    <w:rsid w:val="173B1F0E"/>
    <w:rsid w:val="173D243C"/>
    <w:rsid w:val="175340D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BC1F42"/>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C5181"/>
    <w:rsid w:val="1ACE692C"/>
    <w:rsid w:val="1AE33064"/>
    <w:rsid w:val="1AF357C2"/>
    <w:rsid w:val="1B3B15AA"/>
    <w:rsid w:val="1B6A3FBF"/>
    <w:rsid w:val="1B8C6B7B"/>
    <w:rsid w:val="1B9E29B4"/>
    <w:rsid w:val="1BBF65FB"/>
    <w:rsid w:val="1BC2281C"/>
    <w:rsid w:val="1BC7024B"/>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8632EE"/>
    <w:rsid w:val="1EAD27E8"/>
    <w:rsid w:val="1EC35424"/>
    <w:rsid w:val="1ED462A6"/>
    <w:rsid w:val="1ED734FA"/>
    <w:rsid w:val="1EDB21B2"/>
    <w:rsid w:val="1EE21D29"/>
    <w:rsid w:val="1EE72005"/>
    <w:rsid w:val="1F185E6D"/>
    <w:rsid w:val="1F2F246F"/>
    <w:rsid w:val="1F325180"/>
    <w:rsid w:val="1F3E1D5D"/>
    <w:rsid w:val="1F6E3177"/>
    <w:rsid w:val="1F6F04BA"/>
    <w:rsid w:val="1F8129BD"/>
    <w:rsid w:val="1FF57F5C"/>
    <w:rsid w:val="20027E74"/>
    <w:rsid w:val="2024650C"/>
    <w:rsid w:val="20436F2E"/>
    <w:rsid w:val="204663FA"/>
    <w:rsid w:val="20624FA2"/>
    <w:rsid w:val="206A1137"/>
    <w:rsid w:val="20712D17"/>
    <w:rsid w:val="20835E3C"/>
    <w:rsid w:val="20AA1825"/>
    <w:rsid w:val="20BB1EB1"/>
    <w:rsid w:val="21144C23"/>
    <w:rsid w:val="212A75E7"/>
    <w:rsid w:val="214E67BA"/>
    <w:rsid w:val="21593740"/>
    <w:rsid w:val="215C6880"/>
    <w:rsid w:val="2163612C"/>
    <w:rsid w:val="217039C6"/>
    <w:rsid w:val="21754AF5"/>
    <w:rsid w:val="217E7700"/>
    <w:rsid w:val="218158E0"/>
    <w:rsid w:val="218F0080"/>
    <w:rsid w:val="21BA53F5"/>
    <w:rsid w:val="21E169EA"/>
    <w:rsid w:val="21E919C2"/>
    <w:rsid w:val="220B781D"/>
    <w:rsid w:val="221C660E"/>
    <w:rsid w:val="2220525E"/>
    <w:rsid w:val="224449F5"/>
    <w:rsid w:val="225D16C1"/>
    <w:rsid w:val="2266010D"/>
    <w:rsid w:val="226E674C"/>
    <w:rsid w:val="22712A0D"/>
    <w:rsid w:val="22734646"/>
    <w:rsid w:val="229E2B2D"/>
    <w:rsid w:val="22B609EC"/>
    <w:rsid w:val="22C23296"/>
    <w:rsid w:val="22CF4727"/>
    <w:rsid w:val="22E35CB6"/>
    <w:rsid w:val="2322375E"/>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272322"/>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6FB00EF"/>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96BAD"/>
    <w:rsid w:val="2CFA06CC"/>
    <w:rsid w:val="2D3F090C"/>
    <w:rsid w:val="2D473273"/>
    <w:rsid w:val="2D6409BA"/>
    <w:rsid w:val="2D8167C0"/>
    <w:rsid w:val="2D8873D6"/>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2DC6B74"/>
    <w:rsid w:val="33091096"/>
    <w:rsid w:val="331B7B37"/>
    <w:rsid w:val="33232830"/>
    <w:rsid w:val="3341533E"/>
    <w:rsid w:val="33802506"/>
    <w:rsid w:val="33843CA1"/>
    <w:rsid w:val="3443530F"/>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D16DB7"/>
    <w:rsid w:val="36FC06E4"/>
    <w:rsid w:val="370B0055"/>
    <w:rsid w:val="374976F8"/>
    <w:rsid w:val="37533A9C"/>
    <w:rsid w:val="37821544"/>
    <w:rsid w:val="3787676D"/>
    <w:rsid w:val="37953793"/>
    <w:rsid w:val="37977E1F"/>
    <w:rsid w:val="37A53093"/>
    <w:rsid w:val="37D921E5"/>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3084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0905EE"/>
    <w:rsid w:val="40340044"/>
    <w:rsid w:val="40661E5E"/>
    <w:rsid w:val="406E45AD"/>
    <w:rsid w:val="407C0CAD"/>
    <w:rsid w:val="40924D64"/>
    <w:rsid w:val="40963A57"/>
    <w:rsid w:val="40D16C5D"/>
    <w:rsid w:val="4105404B"/>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7631F"/>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3A4512"/>
    <w:rsid w:val="44437D45"/>
    <w:rsid w:val="44460A9F"/>
    <w:rsid w:val="4478624B"/>
    <w:rsid w:val="4493367B"/>
    <w:rsid w:val="44A72843"/>
    <w:rsid w:val="44AB74B4"/>
    <w:rsid w:val="44B2771E"/>
    <w:rsid w:val="44B8368E"/>
    <w:rsid w:val="44E20E2E"/>
    <w:rsid w:val="452905F3"/>
    <w:rsid w:val="4531085A"/>
    <w:rsid w:val="456A35B3"/>
    <w:rsid w:val="45A45439"/>
    <w:rsid w:val="45CA7348"/>
    <w:rsid w:val="45CB72CE"/>
    <w:rsid w:val="461F4864"/>
    <w:rsid w:val="462B6DAB"/>
    <w:rsid w:val="4678218A"/>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EA0C50"/>
    <w:rsid w:val="47F77566"/>
    <w:rsid w:val="48131737"/>
    <w:rsid w:val="481C1F20"/>
    <w:rsid w:val="482932B2"/>
    <w:rsid w:val="48353471"/>
    <w:rsid w:val="48452D6C"/>
    <w:rsid w:val="48490177"/>
    <w:rsid w:val="48547396"/>
    <w:rsid w:val="48734131"/>
    <w:rsid w:val="48801F0A"/>
    <w:rsid w:val="489C4879"/>
    <w:rsid w:val="489C7EA5"/>
    <w:rsid w:val="49276E58"/>
    <w:rsid w:val="494B4338"/>
    <w:rsid w:val="497C5511"/>
    <w:rsid w:val="49B65DC9"/>
    <w:rsid w:val="49F04484"/>
    <w:rsid w:val="4A131AB1"/>
    <w:rsid w:val="4A34760C"/>
    <w:rsid w:val="4A64259A"/>
    <w:rsid w:val="4AA4128B"/>
    <w:rsid w:val="4AA658AC"/>
    <w:rsid w:val="4AAA7028"/>
    <w:rsid w:val="4AD50D4A"/>
    <w:rsid w:val="4ADC75C4"/>
    <w:rsid w:val="4B2977E3"/>
    <w:rsid w:val="4B3A3263"/>
    <w:rsid w:val="4B404F96"/>
    <w:rsid w:val="4B5F395F"/>
    <w:rsid w:val="4BB73A13"/>
    <w:rsid w:val="4BE22955"/>
    <w:rsid w:val="4C491FB6"/>
    <w:rsid w:val="4C60411D"/>
    <w:rsid w:val="4C942727"/>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4032BA"/>
    <w:rsid w:val="505D795E"/>
    <w:rsid w:val="50630959"/>
    <w:rsid w:val="50BB64D4"/>
    <w:rsid w:val="50D37CC2"/>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26154"/>
    <w:rsid w:val="53561F88"/>
    <w:rsid w:val="536B5C40"/>
    <w:rsid w:val="53A41C0C"/>
    <w:rsid w:val="53BC34C4"/>
    <w:rsid w:val="53CE29B7"/>
    <w:rsid w:val="53E93F16"/>
    <w:rsid w:val="53F04BF7"/>
    <w:rsid w:val="540337E7"/>
    <w:rsid w:val="54142032"/>
    <w:rsid w:val="54143B82"/>
    <w:rsid w:val="54451376"/>
    <w:rsid w:val="54776BE8"/>
    <w:rsid w:val="547B2C44"/>
    <w:rsid w:val="547F7066"/>
    <w:rsid w:val="548C0083"/>
    <w:rsid w:val="54AB5420"/>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267823"/>
    <w:rsid w:val="593C1329"/>
    <w:rsid w:val="595A34E9"/>
    <w:rsid w:val="595B7937"/>
    <w:rsid w:val="597C7365"/>
    <w:rsid w:val="597F7369"/>
    <w:rsid w:val="59997155"/>
    <w:rsid w:val="59A2414B"/>
    <w:rsid w:val="59FE08FA"/>
    <w:rsid w:val="5A060D86"/>
    <w:rsid w:val="5A886394"/>
    <w:rsid w:val="5A9F6060"/>
    <w:rsid w:val="5ACF7403"/>
    <w:rsid w:val="5B2A6B46"/>
    <w:rsid w:val="5B46719F"/>
    <w:rsid w:val="5B5437AD"/>
    <w:rsid w:val="5B737DCF"/>
    <w:rsid w:val="5BA42A14"/>
    <w:rsid w:val="5BB47CCC"/>
    <w:rsid w:val="5BD05B9D"/>
    <w:rsid w:val="5BD343E6"/>
    <w:rsid w:val="5BE00F61"/>
    <w:rsid w:val="5BFB5206"/>
    <w:rsid w:val="5C6930FC"/>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F164D5E"/>
    <w:rsid w:val="5F2D2E3D"/>
    <w:rsid w:val="5F511649"/>
    <w:rsid w:val="5F685E6D"/>
    <w:rsid w:val="5F741C71"/>
    <w:rsid w:val="5F884475"/>
    <w:rsid w:val="5F940261"/>
    <w:rsid w:val="5FAC17B4"/>
    <w:rsid w:val="5FBE713C"/>
    <w:rsid w:val="5FDA399F"/>
    <w:rsid w:val="5FFA79ED"/>
    <w:rsid w:val="60350249"/>
    <w:rsid w:val="60591866"/>
    <w:rsid w:val="606D0EF6"/>
    <w:rsid w:val="60806A99"/>
    <w:rsid w:val="60B442A8"/>
    <w:rsid w:val="60FD7810"/>
    <w:rsid w:val="61013040"/>
    <w:rsid w:val="610E310A"/>
    <w:rsid w:val="611C35B8"/>
    <w:rsid w:val="611D1C0E"/>
    <w:rsid w:val="614D09BF"/>
    <w:rsid w:val="61A25580"/>
    <w:rsid w:val="61AE7556"/>
    <w:rsid w:val="61C55F7F"/>
    <w:rsid w:val="61CA3612"/>
    <w:rsid w:val="61D41854"/>
    <w:rsid w:val="61F46458"/>
    <w:rsid w:val="62282B27"/>
    <w:rsid w:val="625A6442"/>
    <w:rsid w:val="62C31135"/>
    <w:rsid w:val="62C76106"/>
    <w:rsid w:val="62CC474C"/>
    <w:rsid w:val="62FF72FE"/>
    <w:rsid w:val="637B0B27"/>
    <w:rsid w:val="63874046"/>
    <w:rsid w:val="638B4892"/>
    <w:rsid w:val="63BB45AD"/>
    <w:rsid w:val="63C73E6D"/>
    <w:rsid w:val="63DD4529"/>
    <w:rsid w:val="63FC0611"/>
    <w:rsid w:val="64010633"/>
    <w:rsid w:val="641222ED"/>
    <w:rsid w:val="642B5582"/>
    <w:rsid w:val="644878A5"/>
    <w:rsid w:val="64516BFF"/>
    <w:rsid w:val="64643953"/>
    <w:rsid w:val="64963CFA"/>
    <w:rsid w:val="649A62D1"/>
    <w:rsid w:val="64B30D99"/>
    <w:rsid w:val="64B31A3E"/>
    <w:rsid w:val="64BB7086"/>
    <w:rsid w:val="64DF720B"/>
    <w:rsid w:val="64FB2F8F"/>
    <w:rsid w:val="6502750F"/>
    <w:rsid w:val="655769D7"/>
    <w:rsid w:val="658C66C4"/>
    <w:rsid w:val="65B76CC0"/>
    <w:rsid w:val="65C86337"/>
    <w:rsid w:val="65DC6542"/>
    <w:rsid w:val="65FE3124"/>
    <w:rsid w:val="66475BEE"/>
    <w:rsid w:val="667C4500"/>
    <w:rsid w:val="66921396"/>
    <w:rsid w:val="669A00A1"/>
    <w:rsid w:val="669A0A1D"/>
    <w:rsid w:val="66A41F06"/>
    <w:rsid w:val="66C77EC3"/>
    <w:rsid w:val="66CD32EE"/>
    <w:rsid w:val="66EF31C1"/>
    <w:rsid w:val="67286643"/>
    <w:rsid w:val="67340A1D"/>
    <w:rsid w:val="67415D12"/>
    <w:rsid w:val="67645CC5"/>
    <w:rsid w:val="679D0438"/>
    <w:rsid w:val="679F02B4"/>
    <w:rsid w:val="679F14A6"/>
    <w:rsid w:val="67A7594A"/>
    <w:rsid w:val="67DA14DE"/>
    <w:rsid w:val="67F71CAA"/>
    <w:rsid w:val="68110444"/>
    <w:rsid w:val="6825181E"/>
    <w:rsid w:val="6833136E"/>
    <w:rsid w:val="68374646"/>
    <w:rsid w:val="6851003F"/>
    <w:rsid w:val="68532F31"/>
    <w:rsid w:val="685D1197"/>
    <w:rsid w:val="685F2B0C"/>
    <w:rsid w:val="686A5890"/>
    <w:rsid w:val="686E4CA0"/>
    <w:rsid w:val="6870598D"/>
    <w:rsid w:val="68A015B4"/>
    <w:rsid w:val="68CD56D6"/>
    <w:rsid w:val="68CE0878"/>
    <w:rsid w:val="68DF3F07"/>
    <w:rsid w:val="68E14DD2"/>
    <w:rsid w:val="68F3360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57537F"/>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1F17B50"/>
    <w:rsid w:val="720506A4"/>
    <w:rsid w:val="72143E26"/>
    <w:rsid w:val="722B6EAC"/>
    <w:rsid w:val="7235573F"/>
    <w:rsid w:val="723629FF"/>
    <w:rsid w:val="723E08BB"/>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A071C"/>
    <w:rsid w:val="758C4CA2"/>
    <w:rsid w:val="75B01AD0"/>
    <w:rsid w:val="75C45800"/>
    <w:rsid w:val="75D40046"/>
    <w:rsid w:val="75D96E3B"/>
    <w:rsid w:val="762F29E5"/>
    <w:rsid w:val="764374F1"/>
    <w:rsid w:val="76944E76"/>
    <w:rsid w:val="769A26CA"/>
    <w:rsid w:val="76AE6010"/>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401D6F"/>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AB5214"/>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0D7808"/>
    <w:rsid w:val="7D1948FD"/>
    <w:rsid w:val="7D2C6F9F"/>
    <w:rsid w:val="7D543264"/>
    <w:rsid w:val="7D6D7156"/>
    <w:rsid w:val="7D7115AD"/>
    <w:rsid w:val="7DAE4568"/>
    <w:rsid w:val="7DC85A4E"/>
    <w:rsid w:val="7DF550BA"/>
    <w:rsid w:val="7E531FFF"/>
    <w:rsid w:val="7E5E764B"/>
    <w:rsid w:val="7EA44BEF"/>
    <w:rsid w:val="7ECB55B8"/>
    <w:rsid w:val="7EE626A2"/>
    <w:rsid w:val="7EEC63E7"/>
    <w:rsid w:val="7EF54C4F"/>
    <w:rsid w:val="7EFB3937"/>
    <w:rsid w:val="7F020EC4"/>
    <w:rsid w:val="7F381A2F"/>
    <w:rsid w:val="7F5957B0"/>
    <w:rsid w:val="7F9846AE"/>
    <w:rsid w:val="7F9A7F46"/>
    <w:rsid w:val="7FAD0277"/>
    <w:rsid w:val="7FBD28C5"/>
    <w:rsid w:val="7FC50214"/>
    <w:rsid w:val="7FEF69C1"/>
    <w:rsid w:val="7FEF71EF"/>
    <w:rsid w:val="DDD57D28"/>
    <w:rsid w:val="DFEB3F42"/>
    <w:rsid w:val="FF7FD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ind w:firstLine="200" w:firstLineChars="200"/>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10"/>
    <w:pPr>
      <w:jc w:val="center"/>
      <w:outlineLvl w:val="0"/>
    </w:pPr>
    <w:rPr>
      <w:rFonts w:ascii="Arial" w:hAnsi="Arial"/>
      <w:b/>
      <w:sz w:val="32"/>
    </w:rPr>
  </w:style>
  <w:style w:type="paragraph" w:styleId="19">
    <w:name w:val="Body Text First Indent 2"/>
    <w:basedOn w:val="10"/>
    <w:next w:val="1"/>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章正文"/>
    <w:basedOn w:val="1"/>
    <w:qFormat/>
    <w:uiPriority w:val="0"/>
    <w:pPr>
      <w:spacing w:beforeLines="50" w:after="120" w:line="300" w:lineRule="auto"/>
      <w:ind w:firstLine="480"/>
    </w:pPr>
    <w:rPr>
      <w:rFonts w:ascii="Helvetica" w:hAnsi="Helvetica"/>
      <w:kern w:val="0"/>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4、正文"/>
    <w:basedOn w:val="1"/>
    <w:qFormat/>
    <w:uiPriority w:val="0"/>
    <w:pPr>
      <w:ind w:firstLine="200" w:firstLineChars="200"/>
    </w:pPr>
    <w:rPr>
      <w:rFonts w:ascii="宋体"/>
      <w:sz w:val="24"/>
      <w:szCs w:val="28"/>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2"/>
    <w:qFormat/>
    <w:uiPriority w:val="0"/>
    <w:rPr>
      <w:rFonts w:hint="default" w:ascii="Arial" w:hAnsi="Arial" w:cs="Arial"/>
      <w:color w:val="000000"/>
      <w:sz w:val="20"/>
      <w:szCs w:val="20"/>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2"/>
    <w:link w:val="13"/>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段落"/>
    <w:basedOn w:val="1"/>
    <w:qFormat/>
    <w:uiPriority w:val="0"/>
    <w:pPr>
      <w:spacing w:line="360" w:lineRule="auto"/>
      <w:ind w:firstLine="200" w:firstLineChars="200"/>
    </w:pPr>
    <w:rPr>
      <w:rFonts w:eastAsia="仿宋"/>
      <w:sz w:val="28"/>
    </w:rPr>
  </w:style>
  <w:style w:type="paragraph" w:customStyle="1" w:styleId="57">
    <w:name w:val="Normal Indent1"/>
    <w:basedOn w:val="1"/>
    <w:qFormat/>
    <w:uiPriority w:val="0"/>
    <w:pPr>
      <w:ind w:firstLine="420" w:firstLineChars="200"/>
    </w:pPr>
  </w:style>
  <w:style w:type="paragraph" w:customStyle="1" w:styleId="58">
    <w:name w:val="表格文字"/>
    <w:basedOn w:val="1"/>
    <w:next w:val="2"/>
    <w:qFormat/>
    <w:uiPriority w:val="0"/>
    <w:pPr>
      <w:jc w:val="left"/>
      <w:textAlignment w:val="top"/>
    </w:pPr>
    <w:rPr>
      <w:sz w:val="18"/>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18800</Words>
  <Characters>19487</Characters>
  <Lines>189</Lines>
  <Paragraphs>53</Paragraphs>
  <TotalTime>3</TotalTime>
  <ScaleCrop>false</ScaleCrop>
  <LinksUpToDate>false</LinksUpToDate>
  <CharactersWithSpaces>19962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2022-03-08T06:17:00Z</dcterms:created>
  <dc:creator>Thorpe521</dc:creator>
  <cp:lastModifiedBy>葛俊</cp:lastModifiedBy>
  <cp:lastPrinted>2025-01-09T01:23:00Z</cp:lastPrinted>
  <dcterms:modified xsi:type="dcterms:W3CDTF">2025-01-14T09:32:39Z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08EE1C83ECFF4617B59418316C0C750A_13</vt:lpwstr>
  </property>
  <property fmtid="{D5CDD505-2E9C-101B-9397-08002B2CF9AE}" pid="4" name="KSOTemplateDocerSaveRecord">
    <vt:lpwstr>eyJoZGlkIjoiOTUyOTRlNDQwN2RiMGI2ODUyYWJjZmU0NTlmYTYzZWEiLCJ1c2VySWQiOiIyMDQ1ODk4OTUifQ==</vt:lpwstr>
  </property>
</Properties>
</file>