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F87F">
      <w:pPr>
        <w:spacing w:line="360" w:lineRule="auto"/>
        <w:rPr>
          <w:color w:val="000000" w:themeColor="text1"/>
          <w:highlight w:val="none"/>
          <w14:textFill>
            <w14:solidFill>
              <w14:schemeClr w14:val="tx1"/>
            </w14:solidFill>
          </w14:textFill>
        </w:rPr>
      </w:pPr>
    </w:p>
    <w:p w14:paraId="6559FB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4819DA8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22E0E7A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1424940" cy="1235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4940" cy="1235075"/>
                    </a:xfrm>
                    <a:prstGeom prst="rect">
                      <a:avLst/>
                    </a:prstGeom>
                    <a:noFill/>
                    <a:ln>
                      <a:noFill/>
                    </a:ln>
                  </pic:spPr>
                </pic:pic>
              </a:graphicData>
            </a:graphic>
          </wp:inline>
        </w:drawing>
      </w:r>
    </w:p>
    <w:p w14:paraId="2923A22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color w:val="000000" w:themeColor="text1"/>
          <w:highlight w:val="none"/>
          <w14:textFill>
            <w14:solidFill>
              <w14:schemeClr w14:val="tx1"/>
            </w14:solidFill>
          </w14:textFill>
        </w:rPr>
      </w:pPr>
    </w:p>
    <w:p w14:paraId="5710534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b/>
          <w:color w:val="000000" w:themeColor="text1"/>
          <w:kern w:val="0"/>
          <w:sz w:val="52"/>
          <w:szCs w:val="52"/>
          <w:highlight w:val="none"/>
          <w14:textFill>
            <w14:solidFill>
              <w14:schemeClr w14:val="tx1"/>
            </w14:solidFill>
          </w14:textFill>
        </w:rPr>
      </w:pPr>
      <w:r>
        <w:rPr>
          <w:b/>
          <w:color w:val="000000" w:themeColor="text1"/>
          <w:kern w:val="0"/>
          <w:sz w:val="52"/>
          <w:szCs w:val="52"/>
          <w:highlight w:val="none"/>
          <w14:textFill>
            <w14:solidFill>
              <w14:schemeClr w14:val="tx1"/>
            </w14:solidFill>
          </w14:textFill>
        </w:rPr>
        <w:t>竞争性磋商文件</w:t>
      </w:r>
    </w:p>
    <w:p w14:paraId="2857FC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sz w:val="32"/>
          <w:szCs w:val="32"/>
          <w:highlight w:val="none"/>
          <w14:textFill>
            <w14:solidFill>
              <w14:schemeClr w14:val="tx1"/>
            </w14:solidFill>
          </w14:textFill>
        </w:rPr>
      </w:pPr>
      <w:r>
        <w:rPr>
          <w:color w:val="000000" w:themeColor="text1"/>
          <w:sz w:val="24"/>
          <w:highlight w:val="none"/>
          <w14:textFill>
            <w14:solidFill>
              <w14:schemeClr w14:val="tx1"/>
            </w14:solidFill>
          </w14:textFill>
        </w:rPr>
        <w:t>（线上电子招投标）</w:t>
      </w:r>
    </w:p>
    <w:p w14:paraId="5276D5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b/>
          <w:bCs/>
          <w:color w:val="000000" w:themeColor="text1"/>
          <w:kern w:val="0"/>
          <w:sz w:val="32"/>
          <w:szCs w:val="32"/>
          <w:highlight w:val="none"/>
          <w14:textFill>
            <w14:solidFill>
              <w14:schemeClr w14:val="tx1"/>
            </w14:solidFill>
          </w14:textFill>
        </w:rPr>
      </w:pPr>
      <w:r>
        <w:rPr>
          <w:b/>
          <w:bCs/>
          <w:color w:val="000000" w:themeColor="text1"/>
          <w:kern w:val="0"/>
          <w:sz w:val="32"/>
          <w:szCs w:val="32"/>
          <w:highlight w:val="none"/>
          <w14:textFill>
            <w14:solidFill>
              <w14:schemeClr w14:val="tx1"/>
            </w14:solidFill>
          </w14:textFill>
        </w:rPr>
        <w:t>WLCG-2024-CS046号</w:t>
      </w:r>
    </w:p>
    <w:p w14:paraId="33DE5E2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color w:val="000000" w:themeColor="text1"/>
          <w:kern w:val="0"/>
          <w:sz w:val="30"/>
          <w:szCs w:val="30"/>
          <w:highlight w:val="none"/>
          <w14:textFill>
            <w14:solidFill>
              <w14:schemeClr w14:val="tx1"/>
            </w14:solidFill>
          </w14:textFill>
        </w:rPr>
      </w:pPr>
    </w:p>
    <w:p w14:paraId="74CE8F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color w:val="000000" w:themeColor="text1"/>
          <w:kern w:val="0"/>
          <w:sz w:val="30"/>
          <w:szCs w:val="30"/>
          <w:highlight w:val="none"/>
          <w14:textFill>
            <w14:solidFill>
              <w14:schemeClr w14:val="tx1"/>
            </w14:solidFill>
          </w14:textFill>
        </w:rPr>
      </w:pPr>
    </w:p>
    <w:p w14:paraId="337732AF">
      <w:pPr>
        <w:autoSpaceDE w:val="0"/>
        <w:autoSpaceDN w:val="0"/>
        <w:adjustRightInd w:val="0"/>
        <w:spacing w:line="360" w:lineRule="auto"/>
        <w:ind w:firstLine="1120" w:firstLineChars="400"/>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采购项目：2024年椒江区五个乡镇空气站运维项目</w:t>
      </w:r>
    </w:p>
    <w:p w14:paraId="7EE01F97">
      <w:pPr>
        <w:spacing w:line="312" w:lineRule="auto"/>
        <w:ind w:firstLine="1120" w:firstLineChars="400"/>
        <w:jc w:val="left"/>
        <w:rPr>
          <w:color w:val="000000" w:themeColor="text1"/>
          <w:sz w:val="28"/>
          <w:szCs w:val="28"/>
          <w:highlight w:val="none"/>
          <w14:textFill>
            <w14:solidFill>
              <w14:schemeClr w14:val="tx1"/>
            </w14:solidFill>
          </w14:textFill>
        </w:rPr>
      </w:pPr>
      <w:r>
        <w:rPr>
          <w:color w:val="000000" w:themeColor="text1"/>
          <w:kern w:val="0"/>
          <w:sz w:val="28"/>
          <w:highlight w:val="none"/>
          <w14:textFill>
            <w14:solidFill>
              <w14:schemeClr w14:val="tx1"/>
            </w14:solidFill>
          </w14:textFill>
        </w:rPr>
        <w:t>采 购 人：台州市生态环境局椒江分局</w:t>
      </w:r>
    </w:p>
    <w:p w14:paraId="7728D0A6">
      <w:pPr>
        <w:pStyle w:val="13"/>
        <w:rPr>
          <w:highlight w:val="none"/>
        </w:rPr>
      </w:pPr>
    </w:p>
    <w:p w14:paraId="73D9669D">
      <w:pPr>
        <w:pStyle w:val="13"/>
        <w:rPr>
          <w:highlight w:val="none"/>
        </w:rPr>
      </w:pPr>
    </w:p>
    <w:p w14:paraId="76428E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p>
    <w:p w14:paraId="72502352">
      <w:pPr>
        <w:pStyle w:val="19"/>
        <w:rPr>
          <w:highlight w:val="none"/>
        </w:rPr>
      </w:pPr>
    </w:p>
    <w:p w14:paraId="0767ED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color w:val="000000" w:themeColor="text1"/>
          <w:kern w:val="0"/>
          <w:sz w:val="28"/>
          <w:szCs w:val="28"/>
          <w:highlight w:val="none"/>
          <w14:textFill>
            <w14:solidFill>
              <w14:schemeClr w14:val="tx1"/>
            </w14:solidFill>
          </w14:textFill>
        </w:rPr>
      </w:pPr>
      <w:r>
        <w:rPr>
          <w:color w:val="000000" w:themeColor="text1"/>
          <w:kern w:val="0"/>
          <w:sz w:val="28"/>
          <w:szCs w:val="28"/>
          <w:highlight w:val="none"/>
          <w14:textFill>
            <w14:solidFill>
              <w14:schemeClr w14:val="tx1"/>
            </w14:solidFill>
          </w14:textFill>
        </w:rPr>
        <w:t xml:space="preserve"> 台州蔚蓝投资咨询有限公司</w:t>
      </w:r>
    </w:p>
    <w:p w14:paraId="3904042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2024年10月</w:t>
      </w:r>
    </w:p>
    <w:p w14:paraId="6A2087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7CE964E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kern w:val="0"/>
          <w:sz w:val="28"/>
          <w:szCs w:val="28"/>
          <w:highlight w:val="none"/>
          <w14:textFill>
            <w14:solidFill>
              <w14:schemeClr w14:val="tx1"/>
            </w14:solidFill>
          </w14:textFill>
        </w:rPr>
      </w:pPr>
    </w:p>
    <w:p w14:paraId="20D186DB">
      <w:pPr>
        <w:pStyle w:val="13"/>
        <w:rPr>
          <w:b/>
          <w:bCs/>
          <w:color w:val="000000" w:themeColor="text1"/>
          <w:sz w:val="36"/>
          <w:szCs w:val="36"/>
          <w:highlight w:val="none"/>
          <w14:textFill>
            <w14:solidFill>
              <w14:schemeClr w14:val="tx1"/>
            </w14:solidFill>
          </w14:textFill>
        </w:rPr>
      </w:pPr>
    </w:p>
    <w:p w14:paraId="212F4039">
      <w:pPr>
        <w:spacing w:line="360"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目    录</w:t>
      </w:r>
    </w:p>
    <w:p w14:paraId="2CBF9B2E">
      <w:pPr>
        <w:spacing w:line="360" w:lineRule="auto"/>
        <w:ind w:left="960"/>
        <w:rPr>
          <w:color w:val="000000" w:themeColor="text1"/>
          <w:sz w:val="10"/>
          <w:highlight w:val="none"/>
          <w14:textFill>
            <w14:solidFill>
              <w14:schemeClr w14:val="tx1"/>
            </w14:solidFill>
          </w14:textFill>
        </w:rPr>
      </w:pPr>
    </w:p>
    <w:p w14:paraId="4DB110B2">
      <w:pPr>
        <w:spacing w:line="360" w:lineRule="auto"/>
        <w:ind w:left="960"/>
        <w:rPr>
          <w:color w:val="000000" w:themeColor="text1"/>
          <w:sz w:val="10"/>
          <w:highlight w:val="none"/>
          <w14:textFill>
            <w14:solidFill>
              <w14:schemeClr w14:val="tx1"/>
            </w14:solidFill>
          </w14:textFill>
        </w:rPr>
      </w:pPr>
    </w:p>
    <w:p w14:paraId="1CDA6677">
      <w:pPr>
        <w:spacing w:line="360" w:lineRule="auto"/>
        <w:ind w:left="960"/>
        <w:rPr>
          <w:color w:val="000000" w:themeColor="text1"/>
          <w:sz w:val="10"/>
          <w:highlight w:val="none"/>
          <w14:textFill>
            <w14:solidFill>
              <w14:schemeClr w14:val="tx1"/>
            </w14:solidFill>
          </w14:textFill>
        </w:rPr>
      </w:pPr>
    </w:p>
    <w:p w14:paraId="0199A8FE">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一、竞争性磋商公告</w:t>
      </w:r>
    </w:p>
    <w:p w14:paraId="7EF4CFDE">
      <w:pPr>
        <w:spacing w:line="360" w:lineRule="auto"/>
        <w:ind w:left="359" w:leftChars="171" w:firstLine="481" w:firstLineChars="171"/>
        <w:rPr>
          <w:b/>
          <w:color w:val="000000" w:themeColor="text1"/>
          <w:kern w:val="0"/>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二、</w:t>
      </w:r>
      <w:r>
        <w:rPr>
          <w:b/>
          <w:color w:val="000000" w:themeColor="text1"/>
          <w:kern w:val="0"/>
          <w:sz w:val="28"/>
          <w:szCs w:val="28"/>
          <w:highlight w:val="none"/>
          <w14:textFill>
            <w14:solidFill>
              <w14:schemeClr w14:val="tx1"/>
            </w14:solidFill>
          </w14:textFill>
        </w:rPr>
        <w:t>项目需求</w:t>
      </w:r>
    </w:p>
    <w:p w14:paraId="10D76F50">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三、供应商须知</w:t>
      </w:r>
    </w:p>
    <w:p w14:paraId="33D6123A">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四、评审办法及评审标准</w:t>
      </w:r>
    </w:p>
    <w:p w14:paraId="3685FD75">
      <w:pPr>
        <w:spacing w:line="360" w:lineRule="auto"/>
        <w:ind w:firstLine="703" w:firstLineChars="250"/>
        <w:jc w:val="left"/>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 xml:space="preserve"> 五、政府采购合同主要条款指引</w:t>
      </w:r>
    </w:p>
    <w:p w14:paraId="4D5948CB">
      <w:pPr>
        <w:spacing w:line="360" w:lineRule="auto"/>
        <w:ind w:left="359" w:leftChars="171" w:firstLine="481" w:firstLineChars="171"/>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六、响应文件格式附件</w:t>
      </w:r>
    </w:p>
    <w:p w14:paraId="754A8509">
      <w:pPr>
        <w:spacing w:line="360" w:lineRule="auto"/>
        <w:rPr>
          <w:b/>
          <w:color w:val="000000" w:themeColor="text1"/>
          <w:sz w:val="28"/>
          <w:szCs w:val="28"/>
          <w:highlight w:val="none"/>
          <w14:textFill>
            <w14:solidFill>
              <w14:schemeClr w14:val="tx1"/>
            </w14:solidFill>
          </w14:textFill>
        </w:rPr>
      </w:pPr>
    </w:p>
    <w:p w14:paraId="46DE9C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52DCD7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29317E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000000" w:themeColor="text1"/>
          <w:kern w:val="0"/>
          <w:sz w:val="30"/>
          <w:szCs w:val="30"/>
          <w:highlight w:val="none"/>
          <w14:textFill>
            <w14:solidFill>
              <w14:schemeClr w14:val="tx1"/>
            </w14:solidFill>
          </w14:textFill>
        </w:rPr>
      </w:pPr>
    </w:p>
    <w:p w14:paraId="6ADCDC8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3605AECB">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0F639C">
      <w:pPr>
        <w:pStyle w:val="2"/>
        <w:ind w:firstLine="560"/>
        <w:rPr>
          <w:rFonts w:hint="eastAsia"/>
          <w:highlight w:val="none"/>
        </w:rPr>
      </w:pPr>
    </w:p>
    <w:p w14:paraId="506D248C">
      <w:pPr>
        <w:pStyle w:val="2"/>
        <w:ind w:firstLine="560"/>
        <w:rPr>
          <w:rFonts w:hint="eastAsia"/>
          <w:highlight w:val="none"/>
        </w:rPr>
      </w:pPr>
    </w:p>
    <w:p w14:paraId="061FF6A4">
      <w:pPr>
        <w:tabs>
          <w:tab w:val="left" w:pos="180"/>
          <w:tab w:val="left" w:pos="360"/>
          <w:tab w:val="left" w:pos="540"/>
          <w:tab w:val="left" w:pos="8280"/>
        </w:tabs>
        <w:autoSpaceDE w:val="0"/>
        <w:autoSpaceDN w:val="0"/>
        <w:adjustRightInd w:val="0"/>
        <w:spacing w:line="360" w:lineRule="auto"/>
        <w:ind w:right="23"/>
        <w:jc w:val="center"/>
        <w:rPr>
          <w:b/>
          <w:color w:val="000000" w:themeColor="text1"/>
          <w:kern w:val="0"/>
          <w:sz w:val="36"/>
          <w:szCs w:val="36"/>
          <w:highlight w:val="none"/>
          <w14:textFill>
            <w14:solidFill>
              <w14:schemeClr w14:val="tx1"/>
            </w14:solidFill>
          </w14:textFill>
        </w:rPr>
      </w:pPr>
    </w:p>
    <w:p w14:paraId="134594A6">
      <w:pPr>
        <w:pStyle w:val="13"/>
        <w:rPr>
          <w:color w:val="000000" w:themeColor="text1"/>
          <w:highlight w:val="none"/>
          <w14:textFill>
            <w14:solidFill>
              <w14:schemeClr w14:val="tx1"/>
            </w14:solidFill>
          </w14:textFill>
        </w:rPr>
      </w:pPr>
    </w:p>
    <w:p w14:paraId="6F645814">
      <w:pPr>
        <w:pStyle w:val="4"/>
        <w:tabs>
          <w:tab w:val="left" w:pos="0"/>
        </w:tabs>
        <w:autoSpaceDE w:val="0"/>
        <w:autoSpaceDN w:val="0"/>
        <w:adjustRightInd w:val="0"/>
        <w:spacing w:before="0" w:after="0" w:line="360" w:lineRule="auto"/>
        <w:jc w:val="center"/>
        <w:rPr>
          <w:color w:val="000000" w:themeColor="text1"/>
          <w:sz w:val="36"/>
          <w:szCs w:val="36"/>
          <w:highlight w:val="none"/>
          <w14:textFill>
            <w14:solidFill>
              <w14:schemeClr w14:val="tx1"/>
            </w14:solidFill>
          </w14:textFill>
        </w:rPr>
      </w:pPr>
      <w:bookmarkStart w:id="0" w:name="_Toc35393797"/>
      <w:bookmarkStart w:id="1" w:name="_Toc28359011"/>
      <w:r>
        <w:rPr>
          <w:color w:val="000000" w:themeColor="text1"/>
          <w:sz w:val="36"/>
          <w:szCs w:val="36"/>
          <w:highlight w:val="none"/>
          <w14:textFill>
            <w14:solidFill>
              <w14:schemeClr w14:val="tx1"/>
            </w14:solidFill>
          </w14:textFill>
        </w:rPr>
        <w:t>第一章   竞争性磋商公告</w:t>
      </w:r>
      <w:bookmarkEnd w:id="0"/>
      <w:bookmarkEnd w:id="1"/>
    </w:p>
    <w:p w14:paraId="7793E4CF">
      <w:pPr>
        <w:rPr>
          <w:color w:val="000000" w:themeColor="text1"/>
          <w:highlight w:val="none"/>
          <w14:textFill>
            <w14:solidFill>
              <w14:schemeClr w14:val="tx1"/>
            </w14:solidFill>
          </w14:textFill>
        </w:rPr>
      </w:pPr>
    </w:p>
    <w:p w14:paraId="7FBDC89D">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项目概况</w:t>
      </w:r>
    </w:p>
    <w:p w14:paraId="2EC63323">
      <w:pPr>
        <w:pBdr>
          <w:top w:val="single" w:color="auto" w:sz="4" w:space="1"/>
          <w:left w:val="single" w:color="auto" w:sz="4" w:space="4"/>
          <w:bottom w:val="single" w:color="auto" w:sz="4" w:space="1"/>
          <w:right w:val="single" w:color="auto" w:sz="4" w:space="4"/>
        </w:pBdr>
        <w:ind w:firstLine="560" w:firstLineChars="200"/>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2024年椒江区五个乡镇空气站运维项目的潜在供应商应在</w:t>
      </w:r>
      <w:r>
        <w:rPr>
          <w:color w:val="000000" w:themeColor="text1"/>
          <w:sz w:val="28"/>
          <w:szCs w:val="28"/>
          <w:highlight w:val="none"/>
          <w:u w:val="single"/>
          <w14:textFill>
            <w14:solidFill>
              <w14:schemeClr w14:val="tx1"/>
            </w14:solidFill>
          </w14:textFill>
        </w:rPr>
        <w:t>浙江政府采购网（http://zfcg.czt.zj.gov.cn）</w:t>
      </w:r>
      <w:r>
        <w:rPr>
          <w:color w:val="000000" w:themeColor="text1"/>
          <w:sz w:val="28"/>
          <w:szCs w:val="28"/>
          <w:highlight w:val="none"/>
          <w14:textFill>
            <w14:solidFill>
              <w14:schemeClr w14:val="tx1"/>
            </w14:solidFill>
          </w14:textFill>
        </w:rPr>
        <w:t>获取（下载）采购文件，并于</w:t>
      </w:r>
      <w:r>
        <w:rPr>
          <w:color w:val="000000" w:themeColor="text1"/>
          <w:sz w:val="28"/>
          <w:szCs w:val="28"/>
          <w:highlight w:val="none"/>
          <w:u w:val="single"/>
          <w14:textFill>
            <w14:solidFill>
              <w14:schemeClr w14:val="tx1"/>
            </w14:solidFill>
          </w14:textFill>
        </w:rPr>
        <w:t>2024年</w:t>
      </w:r>
      <w:r>
        <w:rPr>
          <w:rFonts w:hint="eastAsia"/>
          <w:color w:val="000000" w:themeColor="text1"/>
          <w:sz w:val="28"/>
          <w:szCs w:val="28"/>
          <w:highlight w:val="none"/>
          <w:u w:val="single"/>
          <w:lang w:val="en-US" w:eastAsia="zh-CN"/>
          <w14:textFill>
            <w14:solidFill>
              <w14:schemeClr w14:val="tx1"/>
            </w14:solidFill>
          </w14:textFill>
        </w:rPr>
        <w:t>11</w:t>
      </w:r>
      <w:r>
        <w:rPr>
          <w:color w:val="000000" w:themeColor="text1"/>
          <w:sz w:val="28"/>
          <w:szCs w:val="28"/>
          <w:highlight w:val="none"/>
          <w:u w:val="single"/>
          <w14:textFill>
            <w14:solidFill>
              <w14:schemeClr w14:val="tx1"/>
            </w14:solidFill>
          </w14:textFill>
        </w:rPr>
        <w:t>月</w:t>
      </w:r>
      <w:r>
        <w:rPr>
          <w:rFonts w:hint="eastAsia"/>
          <w:color w:val="000000" w:themeColor="text1"/>
          <w:sz w:val="28"/>
          <w:szCs w:val="28"/>
          <w:highlight w:val="none"/>
          <w:u w:val="single"/>
          <w:lang w:val="en-US" w:eastAsia="zh-CN"/>
          <w14:textFill>
            <w14:solidFill>
              <w14:schemeClr w14:val="tx1"/>
            </w14:solidFill>
          </w14:textFill>
        </w:rPr>
        <w:t>8</w:t>
      </w:r>
      <w:r>
        <w:rPr>
          <w:color w:val="000000" w:themeColor="text1"/>
          <w:sz w:val="28"/>
          <w:szCs w:val="28"/>
          <w:highlight w:val="none"/>
          <w:u w:val="single"/>
          <w14:textFill>
            <w14:solidFill>
              <w14:schemeClr w14:val="tx1"/>
            </w14:solidFill>
          </w14:textFill>
        </w:rPr>
        <w:t>日9点00分</w:t>
      </w:r>
      <w:r>
        <w:rPr>
          <w:bCs/>
          <w:color w:val="000000" w:themeColor="text1"/>
          <w:sz w:val="28"/>
          <w:szCs w:val="28"/>
          <w:highlight w:val="none"/>
          <w14:textFill>
            <w14:solidFill>
              <w14:schemeClr w14:val="tx1"/>
            </w14:solidFill>
          </w14:textFill>
        </w:rPr>
        <w:t>（北京时间）前递交（上传）响应文件</w:t>
      </w:r>
      <w:r>
        <w:rPr>
          <w:color w:val="000000" w:themeColor="text1"/>
          <w:sz w:val="28"/>
          <w:szCs w:val="28"/>
          <w:highlight w:val="none"/>
          <w14:textFill>
            <w14:solidFill>
              <w14:schemeClr w14:val="tx1"/>
            </w14:solidFill>
          </w14:textFill>
        </w:rPr>
        <w:t>。</w:t>
      </w:r>
    </w:p>
    <w:p w14:paraId="04A48230">
      <w:pPr>
        <w:rPr>
          <w:color w:val="000000" w:themeColor="text1"/>
          <w:sz w:val="24"/>
          <w:highlight w:val="none"/>
          <w14:textFill>
            <w14:solidFill>
              <w14:schemeClr w14:val="tx1"/>
            </w14:solidFill>
          </w14:textFill>
        </w:rPr>
      </w:pPr>
    </w:p>
    <w:p w14:paraId="36230EF4">
      <w:pPr>
        <w:pStyle w:val="5"/>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 w:name="_Toc28359089"/>
      <w:bookmarkStart w:id="3" w:name="_Toc35393798"/>
      <w:bookmarkStart w:id="4" w:name="_Toc35393629"/>
      <w:bookmarkStart w:id="5" w:name="_Toc28359012"/>
      <w:r>
        <w:rPr>
          <w:rFonts w:ascii="Times New Roman" w:hAnsi="Times New Roman" w:eastAsia="宋体" w:cs="Times New Roman"/>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7A01843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项目编号：WLCG-2024-CS046号</w:t>
      </w:r>
    </w:p>
    <w:p w14:paraId="273A79E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项目名称：2024年椒江区五个乡镇空气站运维项目</w:t>
      </w:r>
    </w:p>
    <w:p w14:paraId="0962EAF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采购方式：竞争性磋商</w:t>
      </w:r>
    </w:p>
    <w:p w14:paraId="32DD80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预算金额：39万元</w:t>
      </w:r>
    </w:p>
    <w:p w14:paraId="7689C09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最高限价：30万元</w:t>
      </w:r>
    </w:p>
    <w:p w14:paraId="1DAD4C3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3AB3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1C510BFC">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6C4572A6">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3F4C3BAC">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6A9A089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2480077">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23BD2DF9">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投标上限价</w:t>
            </w:r>
          </w:p>
        </w:tc>
        <w:tc>
          <w:tcPr>
            <w:tcW w:w="1914" w:type="dxa"/>
            <w:vAlign w:val="center"/>
          </w:tcPr>
          <w:p w14:paraId="2B997F4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31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16256974">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2024年椒江区五个乡镇空气站运维项目</w:t>
            </w:r>
          </w:p>
        </w:tc>
        <w:tc>
          <w:tcPr>
            <w:tcW w:w="2054" w:type="dxa"/>
            <w:vAlign w:val="center"/>
          </w:tcPr>
          <w:p w14:paraId="344B412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460EA5D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3AFC356B">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789A125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30万元</w:t>
            </w:r>
          </w:p>
        </w:tc>
        <w:tc>
          <w:tcPr>
            <w:tcW w:w="1914" w:type="dxa"/>
            <w:vAlign w:val="center"/>
          </w:tcPr>
          <w:p w14:paraId="49BDECCB">
            <w:pPr>
              <w:snapToGrid w:val="0"/>
              <w:spacing w:line="312" w:lineRule="auto"/>
              <w:jc w:val="center"/>
              <w:rPr>
                <w:color w:val="000000" w:themeColor="text1"/>
                <w:sz w:val="24"/>
                <w:highlight w:val="none"/>
                <w14:textFill>
                  <w14:solidFill>
                    <w14:schemeClr w14:val="tx1"/>
                  </w14:solidFill>
                </w14:textFill>
              </w:rPr>
            </w:pPr>
            <w:r>
              <w:rPr>
                <w:kern w:val="0"/>
                <w:sz w:val="24"/>
                <w:highlight w:val="none"/>
                <w:lang w:bidi="ar"/>
              </w:rPr>
              <w:t>合同签订生效之日起开始计算，为期1年</w:t>
            </w:r>
          </w:p>
        </w:tc>
      </w:tr>
    </w:tbl>
    <w:p w14:paraId="16F52EDB">
      <w:pPr>
        <w:spacing w:line="360" w:lineRule="auto"/>
        <w:ind w:firstLine="480" w:firstLineChars="200"/>
        <w:rPr>
          <w:color w:val="000000" w:themeColor="text1"/>
          <w:sz w:val="24"/>
          <w:highlight w:val="none"/>
          <w14:textFill>
            <w14:solidFill>
              <w14:schemeClr w14:val="tx1"/>
            </w14:solidFill>
          </w14:textFill>
        </w:rPr>
      </w:pPr>
      <w:bookmarkStart w:id="6" w:name="_Toc35393630"/>
      <w:bookmarkStart w:id="7" w:name="_Toc28359090"/>
      <w:bookmarkStart w:id="8" w:name="_Toc28359013"/>
      <w:bookmarkStart w:id="9" w:name="_Toc35393799"/>
      <w:r>
        <w:rPr>
          <w:color w:val="000000" w:themeColor="text1"/>
          <w:sz w:val="24"/>
          <w:highlight w:val="none"/>
          <w14:textFill>
            <w14:solidFill>
              <w14:schemeClr w14:val="tx1"/>
            </w14:solidFill>
          </w14:textFill>
        </w:rPr>
        <w:t>合同履行期限：详见项目需求</w:t>
      </w:r>
    </w:p>
    <w:p w14:paraId="1BE8AA9C">
      <w:pPr>
        <w:pStyle w:val="5"/>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二、申请人的资格要求：</w:t>
      </w:r>
      <w:bookmarkEnd w:id="6"/>
      <w:bookmarkEnd w:id="7"/>
      <w:bookmarkEnd w:id="8"/>
      <w:bookmarkEnd w:id="9"/>
    </w:p>
    <w:p w14:paraId="47E5EFE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B3214FD">
      <w:pPr>
        <w:spacing w:line="360" w:lineRule="auto"/>
        <w:ind w:firstLine="480" w:firstLineChars="200"/>
        <w:rPr>
          <w:sz w:val="24"/>
          <w:highlight w:val="none"/>
          <w:u w:val="single"/>
        </w:rPr>
      </w:pPr>
      <w:bookmarkStart w:id="10" w:name="_Toc28359014"/>
      <w:bookmarkStart w:id="11" w:name="_Toc28359091"/>
      <w:r>
        <w:rPr>
          <w:color w:val="000000" w:themeColor="text1"/>
          <w:sz w:val="24"/>
          <w:highlight w:val="none"/>
          <w14:textFill>
            <w14:solidFill>
              <w14:schemeClr w14:val="tx1"/>
            </w14:solidFill>
          </w14:textFill>
        </w:rPr>
        <w:t>2.落实政府采购政策需满足的资格要求：</w:t>
      </w:r>
      <w:r>
        <w:rPr>
          <w:sz w:val="24"/>
          <w:highlight w:val="none"/>
          <w:u w:val="single"/>
        </w:rPr>
        <w:t xml:space="preserve">本项目专门面向中小企业采购，在本次政府采购活动中，供应商所提供的服务符合《政府采购促进中小企业发展管理办法》（财库【2020】46号）第四条（三）款情形的，享受该办法规定对中小企业的扶持政策。残疾人福利性单位和监狱企业视同小型、微型企业。  </w:t>
      </w:r>
    </w:p>
    <w:p w14:paraId="2B5C0919">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3.本项目的特定资格要求：</w:t>
      </w:r>
      <w:r>
        <w:rPr>
          <w:color w:val="000000" w:themeColor="text1"/>
          <w:sz w:val="24"/>
          <w:highlight w:val="none"/>
          <w:u w:val="single"/>
          <w14:textFill>
            <w14:solidFill>
              <w14:schemeClr w14:val="tx1"/>
            </w14:solidFill>
          </w14:textFill>
        </w:rPr>
        <w:t>无</w:t>
      </w:r>
    </w:p>
    <w:p w14:paraId="04D5E0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4.本项目不接受联合体磋商</w:t>
      </w:r>
    </w:p>
    <w:p w14:paraId="1C02D4A9">
      <w:pPr>
        <w:pStyle w:val="5"/>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2" w:name="_Toc35393631"/>
      <w:bookmarkStart w:id="13" w:name="_Toc35393800"/>
      <w:r>
        <w:rPr>
          <w:rFonts w:ascii="Times New Roman" w:hAnsi="Times New Roman" w:eastAsia="宋体" w:cs="Times New Roman"/>
          <w:bCs w:val="0"/>
          <w:color w:val="000000" w:themeColor="text1"/>
          <w:sz w:val="24"/>
          <w:szCs w:val="24"/>
          <w:highlight w:val="none"/>
          <w14:textFill>
            <w14:solidFill>
              <w14:schemeClr w14:val="tx1"/>
            </w14:solidFill>
          </w14:textFill>
        </w:rPr>
        <w:t>三、获取采购文件</w:t>
      </w:r>
      <w:bookmarkEnd w:id="10"/>
      <w:bookmarkEnd w:id="11"/>
      <w:bookmarkEnd w:id="12"/>
      <w:bookmarkEnd w:id="13"/>
    </w:p>
    <w:p w14:paraId="33A50600">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时间：2024年10月</w:t>
      </w:r>
      <w:r>
        <w:rPr>
          <w:rFonts w:hint="eastAsia"/>
          <w:color w:val="000000" w:themeColor="text1"/>
          <w:sz w:val="24"/>
          <w:highlight w:val="none"/>
          <w:lang w:val="en-US" w:eastAsia="zh-CN"/>
          <w14:textFill>
            <w14:solidFill>
              <w14:schemeClr w14:val="tx1"/>
            </w14:solidFill>
          </w14:textFill>
        </w:rPr>
        <w:t>26</w:t>
      </w:r>
      <w:r>
        <w:rPr>
          <w:color w:val="000000" w:themeColor="text1"/>
          <w:sz w:val="24"/>
          <w:highlight w:val="none"/>
          <w14:textFill>
            <w14:solidFill>
              <w14:schemeClr w14:val="tx1"/>
            </w14:solidFill>
          </w14:textFill>
        </w:rPr>
        <w:t>日至2024年1</w:t>
      </w: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日</w:t>
      </w:r>
    </w:p>
    <w:p w14:paraId="5CE40717">
      <w:pPr>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32F0D612">
      <w:pPr>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C514CC6">
      <w:pPr>
        <w:snapToGrid w:val="0"/>
        <w:spacing w:line="360" w:lineRule="auto"/>
        <w:ind w:firstLine="54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提示：磋商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磋商响应文件将被拒绝。</w:t>
      </w:r>
    </w:p>
    <w:p w14:paraId="35FB38C6">
      <w:pPr>
        <w:snapToGrid w:val="0"/>
        <w:spacing w:line="360" w:lineRule="auto"/>
        <w:ind w:firstLine="5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售价：0元</w:t>
      </w:r>
    </w:p>
    <w:p w14:paraId="01BDCC8A">
      <w:pPr>
        <w:pStyle w:val="5"/>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4" w:name="_Toc28359015"/>
      <w:bookmarkStart w:id="15" w:name="_Toc35393632"/>
      <w:bookmarkStart w:id="16" w:name="_Toc35393801"/>
      <w:bookmarkStart w:id="17" w:name="_Toc28359092"/>
      <w:r>
        <w:rPr>
          <w:rFonts w:ascii="Times New Roman" w:hAnsi="Times New Roman" w:eastAsia="宋体" w:cs="Times New Roman"/>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695C7DFB">
      <w:pPr>
        <w:snapToGrid w:val="0"/>
        <w:spacing w:line="360" w:lineRule="auto"/>
        <w:ind w:firstLine="480"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截止时间：2024年</w:t>
      </w:r>
      <w:r>
        <w:rPr>
          <w:rFonts w:hint="eastAsia"/>
          <w:color w:val="000000" w:themeColor="text1"/>
          <w:sz w:val="24"/>
          <w:highlight w:val="none"/>
          <w:lang w:val="en-US" w:eastAsia="zh-CN"/>
          <w14:textFill>
            <w14:solidFill>
              <w14:schemeClr w14:val="tx1"/>
            </w14:solidFill>
          </w14:textFill>
        </w:rPr>
        <w:t>11</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1C59FAB4">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地点：“政府采购云平台”在线投标响应。</w:t>
      </w:r>
    </w:p>
    <w:p w14:paraId="42F380D1">
      <w:pPr>
        <w:pStyle w:val="5"/>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18" w:name="_Toc28359016"/>
      <w:bookmarkStart w:id="19" w:name="_Toc28359093"/>
      <w:bookmarkStart w:id="20" w:name="_Toc35393802"/>
      <w:bookmarkStart w:id="21" w:name="_Toc35393633"/>
      <w:r>
        <w:rPr>
          <w:rFonts w:ascii="Times New Roman" w:hAnsi="Times New Roman" w:eastAsia="宋体" w:cs="Times New Roman"/>
          <w:bCs w:val="0"/>
          <w:color w:val="000000" w:themeColor="text1"/>
          <w:sz w:val="24"/>
          <w:szCs w:val="24"/>
          <w:highlight w:val="none"/>
          <w14:textFill>
            <w14:solidFill>
              <w14:schemeClr w14:val="tx1"/>
            </w14:solidFill>
          </w14:textFill>
        </w:rPr>
        <w:t>五、开启</w:t>
      </w:r>
      <w:bookmarkEnd w:id="18"/>
      <w:bookmarkEnd w:id="19"/>
      <w:bookmarkEnd w:id="20"/>
      <w:bookmarkEnd w:id="21"/>
    </w:p>
    <w:p w14:paraId="12A198F6">
      <w:pPr>
        <w:snapToGrid w:val="0"/>
        <w:spacing w:line="360" w:lineRule="auto"/>
        <w:ind w:firstLine="480" w:firstLineChars="200"/>
        <w:rPr>
          <w:bCs/>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时间：2024年</w:t>
      </w:r>
      <w:r>
        <w:rPr>
          <w:rFonts w:hint="eastAsia"/>
          <w:color w:val="000000" w:themeColor="text1"/>
          <w:sz w:val="24"/>
          <w:highlight w:val="none"/>
          <w:lang w:val="en-US" w:eastAsia="zh-CN"/>
          <w14:textFill>
            <w14:solidFill>
              <w14:schemeClr w14:val="tx1"/>
            </w14:solidFill>
          </w14:textFill>
        </w:rPr>
        <w:t>11</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日9时00分</w:t>
      </w:r>
      <w:r>
        <w:rPr>
          <w:bCs/>
          <w:color w:val="000000" w:themeColor="text1"/>
          <w:sz w:val="24"/>
          <w:highlight w:val="none"/>
          <w14:textFill>
            <w14:solidFill>
              <w14:schemeClr w14:val="tx1"/>
            </w14:solidFill>
          </w14:textFill>
        </w:rPr>
        <w:t>（北京时间）</w:t>
      </w:r>
    </w:p>
    <w:p w14:paraId="5C75D056">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地点：通过“政府采购云平台”实现在线投标响应。请在开标开始当日</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:00至</w:t>
      </w:r>
      <w:r>
        <w:rPr>
          <w:rFonts w:hint="eastAsia"/>
          <w:color w:val="000000" w:themeColor="text1"/>
          <w:sz w:val="24"/>
          <w:highlight w:val="none"/>
          <w:lang w:val="en-US" w:eastAsia="zh-CN"/>
          <w14:textFill>
            <w14:solidFill>
              <w14:schemeClr w14:val="tx1"/>
            </w14:solidFill>
          </w14:textFill>
        </w:rPr>
        <w:t>9</w:t>
      </w:r>
      <w:r>
        <w:rPr>
          <w:color w:val="000000" w:themeColor="text1"/>
          <w:sz w:val="24"/>
          <w:highlight w:val="none"/>
          <w14:textFill>
            <w14:solidFill>
              <w14:schemeClr w14:val="tx1"/>
            </w14:solidFill>
          </w14:textFill>
        </w:rPr>
        <w:t>:30将投标响应文件自行完成远程解密。</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投标响应文件未按时解密，</w:t>
      </w:r>
      <w:r>
        <w:rPr>
          <w:sz w:val="24"/>
          <w:highlight w:val="none"/>
        </w:rPr>
        <w:t>投标无效</w:t>
      </w:r>
      <w:r>
        <w:rPr>
          <w:color w:val="000000" w:themeColor="text1"/>
          <w:sz w:val="24"/>
          <w:highlight w:val="none"/>
          <w14:textFill>
            <w14:solidFill>
              <w14:schemeClr w14:val="tx1"/>
            </w14:solidFill>
          </w14:textFill>
        </w:rPr>
        <w:t>。</w:t>
      </w:r>
    </w:p>
    <w:p w14:paraId="2EC64B36">
      <w:pPr>
        <w:pStyle w:val="5"/>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2" w:name="_Toc35393634"/>
      <w:bookmarkStart w:id="23" w:name="_Toc35393803"/>
      <w:bookmarkStart w:id="24" w:name="_Toc28359094"/>
      <w:bookmarkStart w:id="25" w:name="_Toc28359017"/>
      <w:r>
        <w:rPr>
          <w:rFonts w:ascii="Times New Roman" w:hAnsi="Times New Roman" w:eastAsia="宋体" w:cs="Times New Roman"/>
          <w:bCs w:val="0"/>
          <w:color w:val="000000" w:themeColor="text1"/>
          <w:sz w:val="24"/>
          <w:szCs w:val="24"/>
          <w:highlight w:val="none"/>
          <w14:textFill>
            <w14:solidFill>
              <w14:schemeClr w14:val="tx1"/>
            </w14:solidFill>
          </w14:textFill>
        </w:rPr>
        <w:t>六、公告期限</w:t>
      </w:r>
      <w:bookmarkEnd w:id="22"/>
      <w:bookmarkEnd w:id="23"/>
      <w:bookmarkEnd w:id="24"/>
      <w:bookmarkEnd w:id="25"/>
    </w:p>
    <w:p w14:paraId="0840138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自本公告发布之日起3个工作日。</w:t>
      </w:r>
    </w:p>
    <w:p w14:paraId="1D3A3C19">
      <w:pPr>
        <w:pStyle w:val="5"/>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26" w:name="_Toc35393635"/>
      <w:bookmarkStart w:id="27" w:name="_Toc35393804"/>
      <w:r>
        <w:rPr>
          <w:rFonts w:ascii="Times New Roman" w:hAnsi="Times New Roman" w:eastAsia="宋体" w:cs="Times New Roman"/>
          <w:bCs w:val="0"/>
          <w:color w:val="000000" w:themeColor="text1"/>
          <w:sz w:val="24"/>
          <w:szCs w:val="24"/>
          <w:highlight w:val="none"/>
          <w14:textFill>
            <w14:solidFill>
              <w14:schemeClr w14:val="tx1"/>
            </w14:solidFill>
          </w14:textFill>
        </w:rPr>
        <w:t>七、其他补充事宜</w:t>
      </w:r>
      <w:bookmarkEnd w:id="26"/>
      <w:bookmarkEnd w:id="27"/>
    </w:p>
    <w:p w14:paraId="5E204FF1">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后续就采购过程、采购结果提出质疑的，也应在同一环节一次性提出</w:t>
      </w:r>
      <w:r>
        <w:rPr>
          <w:rFonts w:hint="eastAsia" w:ascii="宋体" w:hAnsi="宋体" w:cs="宋体"/>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否则，被质疑人可不予接受。质疑供应商对采购人、采构代理机构的答复不满意或者采购人、采构代理机构未在规定的时间内作出答复的，可以在答复期满后十五个工作日内向同级政府采购监督管理部门投诉。</w:t>
      </w:r>
    </w:p>
    <w:p w14:paraId="18A7A79F">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（二） 在线投标响应（电子投标）说明</w:t>
      </w:r>
    </w:p>
    <w:p w14:paraId="72D634C8">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1EB3DB7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74F6180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color w:val="000000" w:themeColor="text1"/>
          <w:kern w:val="0"/>
          <w:sz w:val="24"/>
          <w:highlight w:val="none"/>
          <w14:textFill>
            <w14:solidFill>
              <w14:schemeClr w14:val="tx1"/>
            </w14:solidFill>
          </w14:textFill>
        </w:rPr>
        <w:t>CA驱动和申领流程</w:t>
      </w:r>
      <w:r>
        <w:rPr>
          <w:color w:val="000000" w:themeColor="text1"/>
          <w:kern w:val="0"/>
          <w:sz w:val="24"/>
          <w:highlight w:val="none"/>
          <w14:textFill>
            <w14:solidFill>
              <w14:schemeClr w14:val="tx1"/>
            </w14:solidFill>
          </w14:textFill>
        </w:rPr>
        <w:fldChar w:fldCharType="end"/>
      </w:r>
      <w:r>
        <w:rPr>
          <w:color w:val="000000" w:themeColor="text1"/>
          <w:kern w:val="0"/>
          <w:sz w:val="24"/>
          <w:highlight w:val="none"/>
          <w14:textFill>
            <w14:solidFill>
              <w14:schemeClr w14:val="tx1"/>
            </w14:solidFill>
          </w14:textFill>
        </w:rPr>
        <w:t>”进行查阅；</w:t>
      </w:r>
    </w:p>
    <w:p w14:paraId="200585B0">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0EE67833">
      <w:pPr>
        <w:spacing w:line="360" w:lineRule="auto"/>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 xml:space="preserve">    4、投标供应商在“政府采购云平台”完成“电子加密投标文件”的上传递交后，还可以（</w:t>
      </w:r>
      <w:r>
        <w:rPr>
          <w:rFonts w:hint="eastAsia" w:ascii="宋体" w:hAnsi="宋体" w:cs="宋体"/>
          <w:color w:val="000000" w:themeColor="text1"/>
          <w:kern w:val="0"/>
          <w:sz w:val="24"/>
          <w:highlight w:val="none"/>
          <w:lang w:val="en-US" w:eastAsia="zh-CN"/>
          <w14:textFill>
            <w14:solidFill>
              <w14:schemeClr w14:val="tx1"/>
            </w14:solidFill>
          </w14:textFill>
        </w:rPr>
        <w:t>建议使用</w:t>
      </w:r>
      <w:r>
        <w:rPr>
          <w:color w:val="000000" w:themeColor="text1"/>
          <w:kern w:val="0"/>
          <w:sz w:val="24"/>
          <w:highlight w:val="none"/>
          <w14:textFill>
            <w14:solidFill>
              <w14:schemeClr w14:val="tx1"/>
            </w14:solidFill>
          </w14:textFill>
        </w:rPr>
        <w:t>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14:paraId="3A9DE60A">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568ED93C">
      <w:pPr>
        <w:snapToGri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6、▲未传输递交电子投标文件的，投标无效。▲未按规定提供相应的备份投标文件，造成项目开评标活动无法进行下去的，投标无效。</w:t>
      </w:r>
    </w:p>
    <w:p w14:paraId="4130B733">
      <w:pPr>
        <w:snapToGrid w:val="0"/>
        <w:spacing w:line="360" w:lineRule="auto"/>
        <w:ind w:firstLine="240" w:firstLineChars="1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（三）中标供应商如有融资需求，可使用附件中银行政采贷服务。</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105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4F108A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银行</w:t>
            </w:r>
          </w:p>
        </w:tc>
        <w:tc>
          <w:tcPr>
            <w:tcW w:w="1873" w:type="dxa"/>
            <w:vAlign w:val="center"/>
          </w:tcPr>
          <w:p w14:paraId="2DE5C270">
            <w:pPr>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贷款年利率</w:t>
            </w:r>
          </w:p>
        </w:tc>
        <w:tc>
          <w:tcPr>
            <w:tcW w:w="1688" w:type="dxa"/>
            <w:vAlign w:val="center"/>
          </w:tcPr>
          <w:p w14:paraId="62611F5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联系人</w:t>
            </w:r>
          </w:p>
        </w:tc>
        <w:tc>
          <w:tcPr>
            <w:tcW w:w="2131" w:type="dxa"/>
            <w:vAlign w:val="center"/>
          </w:tcPr>
          <w:p w14:paraId="42FD73C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联系电话</w:t>
            </w:r>
          </w:p>
        </w:tc>
      </w:tr>
      <w:tr w14:paraId="107B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4F529F0">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中国工商银行</w:t>
            </w:r>
          </w:p>
        </w:tc>
        <w:tc>
          <w:tcPr>
            <w:tcW w:w="1873" w:type="dxa"/>
            <w:vAlign w:val="center"/>
          </w:tcPr>
          <w:p w14:paraId="7C56E1E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2C26708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卢嘉诚</w:t>
            </w:r>
          </w:p>
        </w:tc>
        <w:tc>
          <w:tcPr>
            <w:tcW w:w="2131" w:type="dxa"/>
            <w:vAlign w:val="center"/>
          </w:tcPr>
          <w:p w14:paraId="59B6E73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88588246</w:t>
            </w:r>
          </w:p>
          <w:p w14:paraId="58D22251">
            <w:pPr>
              <w:ind w:firstLine="240" w:firstLineChars="100"/>
              <w:rPr>
                <w:highlight w:val="none"/>
              </w:rPr>
            </w:pPr>
            <w:r>
              <w:rPr>
                <w:bCs/>
                <w:color w:val="000000" w:themeColor="text1"/>
                <w:sz w:val="24"/>
                <w:highlight w:val="none"/>
                <w14:textFill>
                  <w14:solidFill>
                    <w14:schemeClr w14:val="tx1"/>
                  </w14:solidFill>
                </w14:textFill>
              </w:rPr>
              <w:t>13867658508</w:t>
            </w:r>
          </w:p>
        </w:tc>
      </w:tr>
      <w:tr w14:paraId="2DE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B13EC3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中国农业银行</w:t>
            </w:r>
          </w:p>
        </w:tc>
        <w:tc>
          <w:tcPr>
            <w:tcW w:w="1873" w:type="dxa"/>
            <w:vAlign w:val="center"/>
          </w:tcPr>
          <w:p w14:paraId="765A73B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07161D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龚盛</w:t>
            </w:r>
          </w:p>
        </w:tc>
        <w:tc>
          <w:tcPr>
            <w:tcW w:w="2131" w:type="dxa"/>
            <w:vAlign w:val="center"/>
          </w:tcPr>
          <w:p w14:paraId="7665796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15858682216</w:t>
            </w:r>
          </w:p>
        </w:tc>
      </w:tr>
      <w:tr w14:paraId="54EC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979C2A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中国建设银行</w:t>
            </w:r>
          </w:p>
        </w:tc>
        <w:tc>
          <w:tcPr>
            <w:tcW w:w="1873" w:type="dxa"/>
            <w:vAlign w:val="center"/>
          </w:tcPr>
          <w:p w14:paraId="3F2E285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3.8%起</w:t>
            </w:r>
          </w:p>
        </w:tc>
        <w:tc>
          <w:tcPr>
            <w:tcW w:w="1688" w:type="dxa"/>
            <w:vAlign w:val="center"/>
          </w:tcPr>
          <w:p w14:paraId="68CE3BA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梅晶晶</w:t>
            </w:r>
          </w:p>
        </w:tc>
        <w:tc>
          <w:tcPr>
            <w:tcW w:w="2131" w:type="dxa"/>
            <w:vAlign w:val="center"/>
          </w:tcPr>
          <w:p w14:paraId="4AD2D898">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88525339</w:t>
            </w:r>
          </w:p>
          <w:p w14:paraId="15CC2D2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13736585303</w:t>
            </w:r>
          </w:p>
        </w:tc>
      </w:tr>
      <w:tr w14:paraId="73A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07C275A">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中国银行</w:t>
            </w:r>
          </w:p>
        </w:tc>
        <w:tc>
          <w:tcPr>
            <w:tcW w:w="1873" w:type="dxa"/>
            <w:vAlign w:val="center"/>
          </w:tcPr>
          <w:p w14:paraId="05FE673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0BCB43D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任茜</w:t>
            </w:r>
          </w:p>
        </w:tc>
        <w:tc>
          <w:tcPr>
            <w:tcW w:w="2131" w:type="dxa"/>
            <w:vAlign w:val="center"/>
          </w:tcPr>
          <w:p w14:paraId="0FF636D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13857695378</w:t>
            </w:r>
          </w:p>
        </w:tc>
      </w:tr>
      <w:tr w14:paraId="28A7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252E4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浦发银行台州分行</w:t>
            </w:r>
          </w:p>
        </w:tc>
        <w:tc>
          <w:tcPr>
            <w:tcW w:w="1873" w:type="dxa"/>
            <w:vAlign w:val="center"/>
          </w:tcPr>
          <w:p w14:paraId="6102C0A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1A688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王渊</w:t>
            </w:r>
          </w:p>
        </w:tc>
        <w:tc>
          <w:tcPr>
            <w:tcW w:w="2131" w:type="dxa"/>
            <w:vAlign w:val="center"/>
          </w:tcPr>
          <w:p w14:paraId="2CCBFCA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13616676319</w:t>
            </w:r>
          </w:p>
        </w:tc>
      </w:tr>
      <w:tr w14:paraId="6694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9291B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浦发银行椒江分行</w:t>
            </w:r>
          </w:p>
        </w:tc>
        <w:tc>
          <w:tcPr>
            <w:tcW w:w="1873" w:type="dxa"/>
            <w:vAlign w:val="center"/>
          </w:tcPr>
          <w:p w14:paraId="7FEC6DDE">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2C3FE8C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孙瑞华</w:t>
            </w:r>
          </w:p>
        </w:tc>
        <w:tc>
          <w:tcPr>
            <w:tcW w:w="2131" w:type="dxa"/>
            <w:vAlign w:val="center"/>
          </w:tcPr>
          <w:p w14:paraId="2AD2731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13857688081</w:t>
            </w:r>
          </w:p>
        </w:tc>
      </w:tr>
      <w:tr w14:paraId="2E35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B390859">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交通银行台州分行</w:t>
            </w:r>
          </w:p>
        </w:tc>
        <w:tc>
          <w:tcPr>
            <w:tcW w:w="1873" w:type="dxa"/>
            <w:vAlign w:val="center"/>
          </w:tcPr>
          <w:p w14:paraId="560247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3.75%起</w:t>
            </w:r>
          </w:p>
        </w:tc>
        <w:tc>
          <w:tcPr>
            <w:tcW w:w="1688" w:type="dxa"/>
            <w:vAlign w:val="center"/>
          </w:tcPr>
          <w:p w14:paraId="30876FA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周翔宇</w:t>
            </w:r>
          </w:p>
        </w:tc>
        <w:tc>
          <w:tcPr>
            <w:tcW w:w="2131" w:type="dxa"/>
            <w:vAlign w:val="center"/>
          </w:tcPr>
          <w:p w14:paraId="56D46BB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13867697018</w:t>
            </w:r>
          </w:p>
        </w:tc>
      </w:tr>
      <w:tr w14:paraId="099A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2D29656">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招商银行台州分行</w:t>
            </w:r>
          </w:p>
        </w:tc>
        <w:tc>
          <w:tcPr>
            <w:tcW w:w="1873" w:type="dxa"/>
            <w:vAlign w:val="center"/>
          </w:tcPr>
          <w:p w14:paraId="43DE4A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4.32%起</w:t>
            </w:r>
          </w:p>
        </w:tc>
        <w:tc>
          <w:tcPr>
            <w:tcW w:w="1688" w:type="dxa"/>
            <w:vAlign w:val="center"/>
          </w:tcPr>
          <w:p w14:paraId="41CC4C7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王海玲</w:t>
            </w:r>
          </w:p>
        </w:tc>
        <w:tc>
          <w:tcPr>
            <w:tcW w:w="2131" w:type="dxa"/>
            <w:vAlign w:val="center"/>
          </w:tcPr>
          <w:p w14:paraId="559D2B7E">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13566413827</w:t>
            </w:r>
          </w:p>
        </w:tc>
      </w:tr>
      <w:tr w14:paraId="3D5D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03FA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浙商银行台州分行</w:t>
            </w:r>
          </w:p>
        </w:tc>
        <w:tc>
          <w:tcPr>
            <w:tcW w:w="1873" w:type="dxa"/>
            <w:vAlign w:val="center"/>
          </w:tcPr>
          <w:p w14:paraId="72A658BB">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5.01%起</w:t>
            </w:r>
          </w:p>
        </w:tc>
        <w:tc>
          <w:tcPr>
            <w:tcW w:w="1688" w:type="dxa"/>
            <w:vAlign w:val="center"/>
          </w:tcPr>
          <w:p w14:paraId="72A6FC2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章涉漪</w:t>
            </w:r>
          </w:p>
        </w:tc>
        <w:tc>
          <w:tcPr>
            <w:tcW w:w="2131" w:type="dxa"/>
            <w:vAlign w:val="center"/>
          </w:tcPr>
          <w:p w14:paraId="0B2599D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81880185</w:t>
            </w:r>
          </w:p>
          <w:p w14:paraId="3C8B0C25">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13606681262</w:t>
            </w:r>
          </w:p>
        </w:tc>
      </w:tr>
      <w:tr w14:paraId="5361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06B8C5">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中信银行台州分行</w:t>
            </w:r>
          </w:p>
        </w:tc>
        <w:tc>
          <w:tcPr>
            <w:tcW w:w="1873" w:type="dxa"/>
            <w:vAlign w:val="center"/>
          </w:tcPr>
          <w:p w14:paraId="72EB4B69">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4.15%起</w:t>
            </w:r>
          </w:p>
        </w:tc>
        <w:tc>
          <w:tcPr>
            <w:tcW w:w="1688" w:type="dxa"/>
            <w:vAlign w:val="center"/>
          </w:tcPr>
          <w:p w14:paraId="47B8DFEC">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陈金园</w:t>
            </w:r>
          </w:p>
        </w:tc>
        <w:tc>
          <w:tcPr>
            <w:tcW w:w="2131" w:type="dxa"/>
            <w:vAlign w:val="center"/>
          </w:tcPr>
          <w:p w14:paraId="1A73466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13586052161</w:t>
            </w:r>
          </w:p>
        </w:tc>
      </w:tr>
      <w:tr w14:paraId="3CA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EAE6C0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华夏银行台州分行</w:t>
            </w:r>
          </w:p>
        </w:tc>
        <w:tc>
          <w:tcPr>
            <w:tcW w:w="1873" w:type="dxa"/>
            <w:vAlign w:val="center"/>
          </w:tcPr>
          <w:p w14:paraId="1472B88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4.5%起</w:t>
            </w:r>
          </w:p>
        </w:tc>
        <w:tc>
          <w:tcPr>
            <w:tcW w:w="1688" w:type="dxa"/>
            <w:vAlign w:val="center"/>
          </w:tcPr>
          <w:p w14:paraId="101D320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邱明达</w:t>
            </w:r>
          </w:p>
        </w:tc>
        <w:tc>
          <w:tcPr>
            <w:tcW w:w="2131" w:type="dxa"/>
            <w:vAlign w:val="center"/>
          </w:tcPr>
          <w:p w14:paraId="4B146E50">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81871518</w:t>
            </w:r>
          </w:p>
          <w:p w14:paraId="69D8C901">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13736252233</w:t>
            </w:r>
          </w:p>
        </w:tc>
      </w:tr>
      <w:tr w14:paraId="3046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D5F76ED">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泰隆银行开发区支行</w:t>
            </w:r>
          </w:p>
        </w:tc>
        <w:tc>
          <w:tcPr>
            <w:tcW w:w="1873" w:type="dxa"/>
            <w:vAlign w:val="center"/>
          </w:tcPr>
          <w:p w14:paraId="5262699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2478C91A">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梁宛莉</w:t>
            </w:r>
          </w:p>
        </w:tc>
        <w:tc>
          <w:tcPr>
            <w:tcW w:w="2131" w:type="dxa"/>
            <w:vAlign w:val="center"/>
          </w:tcPr>
          <w:p w14:paraId="48C7B3BA">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13306869100</w:t>
            </w:r>
          </w:p>
        </w:tc>
      </w:tr>
      <w:tr w14:paraId="7BD3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345255B">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民泰银行椒江支行</w:t>
            </w:r>
          </w:p>
        </w:tc>
        <w:tc>
          <w:tcPr>
            <w:tcW w:w="1873" w:type="dxa"/>
            <w:vAlign w:val="center"/>
          </w:tcPr>
          <w:p w14:paraId="2EB6DC3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5.8%起</w:t>
            </w:r>
          </w:p>
        </w:tc>
        <w:tc>
          <w:tcPr>
            <w:tcW w:w="1688" w:type="dxa"/>
            <w:vAlign w:val="center"/>
          </w:tcPr>
          <w:p w14:paraId="382B00C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陈慧珠</w:t>
            </w:r>
          </w:p>
        </w:tc>
        <w:tc>
          <w:tcPr>
            <w:tcW w:w="2131" w:type="dxa"/>
            <w:vAlign w:val="center"/>
          </w:tcPr>
          <w:p w14:paraId="64C88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13857699669</w:t>
            </w:r>
          </w:p>
        </w:tc>
      </w:tr>
      <w:tr w14:paraId="4626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DD86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绍兴银行台州分行</w:t>
            </w:r>
          </w:p>
        </w:tc>
        <w:tc>
          <w:tcPr>
            <w:tcW w:w="1873" w:type="dxa"/>
            <w:vAlign w:val="center"/>
          </w:tcPr>
          <w:p w14:paraId="4D796D17">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5.1%起</w:t>
            </w:r>
          </w:p>
        </w:tc>
        <w:tc>
          <w:tcPr>
            <w:tcW w:w="1688" w:type="dxa"/>
            <w:vAlign w:val="center"/>
          </w:tcPr>
          <w:p w14:paraId="465ADF20">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郭庭斌</w:t>
            </w:r>
          </w:p>
        </w:tc>
        <w:tc>
          <w:tcPr>
            <w:tcW w:w="2131" w:type="dxa"/>
            <w:vAlign w:val="center"/>
          </w:tcPr>
          <w:p w14:paraId="272EB6C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15958633119</w:t>
            </w:r>
          </w:p>
        </w:tc>
      </w:tr>
      <w:tr w14:paraId="1696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628AE6C">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温州银行台州分行</w:t>
            </w:r>
          </w:p>
        </w:tc>
        <w:tc>
          <w:tcPr>
            <w:tcW w:w="1873" w:type="dxa"/>
            <w:vAlign w:val="center"/>
          </w:tcPr>
          <w:p w14:paraId="71B854A6">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4.55%起</w:t>
            </w:r>
          </w:p>
        </w:tc>
        <w:tc>
          <w:tcPr>
            <w:tcW w:w="1688" w:type="dxa"/>
            <w:vAlign w:val="center"/>
          </w:tcPr>
          <w:p w14:paraId="47946854">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王晓波</w:t>
            </w:r>
          </w:p>
        </w:tc>
        <w:tc>
          <w:tcPr>
            <w:tcW w:w="2131" w:type="dxa"/>
            <w:vAlign w:val="center"/>
          </w:tcPr>
          <w:p w14:paraId="23733A74">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15824005475</w:t>
            </w:r>
          </w:p>
        </w:tc>
      </w:tr>
      <w:tr w14:paraId="0169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7F904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平安银行台州分行</w:t>
            </w:r>
          </w:p>
        </w:tc>
        <w:tc>
          <w:tcPr>
            <w:tcW w:w="1873" w:type="dxa"/>
            <w:vAlign w:val="center"/>
          </w:tcPr>
          <w:p w14:paraId="1ECE330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6.53%起</w:t>
            </w:r>
          </w:p>
        </w:tc>
        <w:tc>
          <w:tcPr>
            <w:tcW w:w="1688" w:type="dxa"/>
            <w:vAlign w:val="center"/>
          </w:tcPr>
          <w:p w14:paraId="67897C5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李俊丽</w:t>
            </w:r>
          </w:p>
        </w:tc>
        <w:tc>
          <w:tcPr>
            <w:tcW w:w="2131" w:type="dxa"/>
            <w:vAlign w:val="center"/>
          </w:tcPr>
          <w:p w14:paraId="207346A2">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15906861025</w:t>
            </w:r>
          </w:p>
        </w:tc>
      </w:tr>
      <w:tr w14:paraId="7A6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6FECBB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宁波银行台州分行</w:t>
            </w:r>
          </w:p>
        </w:tc>
        <w:tc>
          <w:tcPr>
            <w:tcW w:w="1873" w:type="dxa"/>
            <w:vAlign w:val="center"/>
          </w:tcPr>
          <w:p w14:paraId="37DA1FFF">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4.35%起</w:t>
            </w:r>
          </w:p>
        </w:tc>
        <w:tc>
          <w:tcPr>
            <w:tcW w:w="1688" w:type="dxa"/>
            <w:vAlign w:val="center"/>
          </w:tcPr>
          <w:p w14:paraId="460A49E3">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戴莉丽</w:t>
            </w:r>
          </w:p>
        </w:tc>
        <w:tc>
          <w:tcPr>
            <w:tcW w:w="2131" w:type="dxa"/>
            <w:vAlign w:val="center"/>
          </w:tcPr>
          <w:p w14:paraId="13C1518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13566627207</w:t>
            </w:r>
          </w:p>
        </w:tc>
      </w:tr>
      <w:tr w14:paraId="4DEF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FE1308">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金华银行台州分行</w:t>
            </w:r>
          </w:p>
        </w:tc>
        <w:tc>
          <w:tcPr>
            <w:tcW w:w="1873" w:type="dxa"/>
            <w:vAlign w:val="center"/>
          </w:tcPr>
          <w:p w14:paraId="422CDC11">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4.05%起</w:t>
            </w:r>
          </w:p>
        </w:tc>
        <w:tc>
          <w:tcPr>
            <w:tcW w:w="1688" w:type="dxa"/>
            <w:vAlign w:val="center"/>
          </w:tcPr>
          <w:p w14:paraId="4E0360ED">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金雪婷</w:t>
            </w:r>
          </w:p>
        </w:tc>
        <w:tc>
          <w:tcPr>
            <w:tcW w:w="2131" w:type="dxa"/>
            <w:vAlign w:val="center"/>
          </w:tcPr>
          <w:p w14:paraId="72AA3B6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81886670</w:t>
            </w:r>
          </w:p>
          <w:p w14:paraId="07B53643">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15968661569</w:t>
            </w:r>
          </w:p>
        </w:tc>
      </w:tr>
      <w:tr w14:paraId="2935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914A64">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台州银行</w:t>
            </w:r>
          </w:p>
        </w:tc>
        <w:tc>
          <w:tcPr>
            <w:tcW w:w="1873" w:type="dxa"/>
            <w:vAlign w:val="center"/>
          </w:tcPr>
          <w:p w14:paraId="10DFD51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5.6%起</w:t>
            </w:r>
          </w:p>
        </w:tc>
        <w:tc>
          <w:tcPr>
            <w:tcW w:w="1688" w:type="dxa"/>
            <w:vAlign w:val="center"/>
          </w:tcPr>
          <w:p w14:paraId="75FEA97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洪婷</w:t>
            </w:r>
          </w:p>
        </w:tc>
        <w:tc>
          <w:tcPr>
            <w:tcW w:w="2131" w:type="dxa"/>
            <w:vAlign w:val="center"/>
          </w:tcPr>
          <w:p w14:paraId="45B76F4D">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15858624999</w:t>
            </w:r>
          </w:p>
        </w:tc>
      </w:tr>
      <w:tr w14:paraId="0794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EC40371">
            <w:pPr>
              <w:ind w:firstLine="480" w:firstLineChars="200"/>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邮储银行台州分行</w:t>
            </w:r>
          </w:p>
        </w:tc>
        <w:tc>
          <w:tcPr>
            <w:tcW w:w="1873" w:type="dxa"/>
            <w:vAlign w:val="center"/>
          </w:tcPr>
          <w:p w14:paraId="10C4C212">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3.85%起</w:t>
            </w:r>
          </w:p>
        </w:tc>
        <w:tc>
          <w:tcPr>
            <w:tcW w:w="1688" w:type="dxa"/>
            <w:vAlign w:val="center"/>
          </w:tcPr>
          <w:p w14:paraId="6755F2F8">
            <w:pPr>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董庆</w:t>
            </w:r>
          </w:p>
        </w:tc>
        <w:tc>
          <w:tcPr>
            <w:tcW w:w="2131" w:type="dxa"/>
            <w:vAlign w:val="center"/>
          </w:tcPr>
          <w:p w14:paraId="67570A67">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81888982</w:t>
            </w:r>
          </w:p>
          <w:p w14:paraId="11370A5B">
            <w:pPr>
              <w:ind w:firstLine="240" w:firstLineChars="1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18957683735</w:t>
            </w:r>
          </w:p>
        </w:tc>
      </w:tr>
    </w:tbl>
    <w:p w14:paraId="7A06A651">
      <w:pPr>
        <w:pStyle w:val="5"/>
        <w:keepNext w:val="0"/>
        <w:keepLines w:val="0"/>
        <w:snapToGrid w:val="0"/>
        <w:spacing w:before="0" w:after="0" w:line="360" w:lineRule="auto"/>
        <w:ind w:firstLine="240" w:firstLineChars="100"/>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pPr>
      <w:bookmarkStart w:id="28" w:name="_Toc35393636"/>
      <w:bookmarkStart w:id="29" w:name="_Toc28359018"/>
      <w:bookmarkStart w:id="30" w:name="_Toc28359095"/>
      <w:bookmarkStart w:id="31" w:name="_Toc35393805"/>
      <w:r>
        <w:rPr>
          <w:rFonts w:ascii="Times New Roman" w:hAnsi="Times New Roman" w:eastAsia="宋体" w:cs="Times New Roman"/>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6C276809">
      <w:pPr>
        <w:ind w:firstLine="3000" w:firstLineChars="125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合同履约保函联系方式</w:t>
      </w:r>
    </w:p>
    <w:tbl>
      <w:tblPr>
        <w:tblStyle w:val="30"/>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688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ECF0FCA">
            <w:pPr>
              <w:jc w:val="center"/>
              <w:rPr>
                <w:sz w:val="24"/>
                <w:highlight w:val="none"/>
              </w:rPr>
            </w:pPr>
            <w:r>
              <w:rPr>
                <w:sz w:val="24"/>
                <w:highlight w:val="none"/>
              </w:rPr>
              <w:t>保险公司名称</w:t>
            </w:r>
          </w:p>
        </w:tc>
        <w:tc>
          <w:tcPr>
            <w:tcW w:w="2264" w:type="dxa"/>
            <w:vAlign w:val="center"/>
          </w:tcPr>
          <w:p w14:paraId="289D8F3A">
            <w:pPr>
              <w:jc w:val="center"/>
              <w:rPr>
                <w:sz w:val="24"/>
                <w:highlight w:val="none"/>
              </w:rPr>
            </w:pPr>
            <w:r>
              <w:rPr>
                <w:sz w:val="24"/>
                <w:highlight w:val="none"/>
              </w:rPr>
              <w:t>保费率</w:t>
            </w:r>
          </w:p>
        </w:tc>
        <w:tc>
          <w:tcPr>
            <w:tcW w:w="1003" w:type="dxa"/>
            <w:vAlign w:val="center"/>
          </w:tcPr>
          <w:p w14:paraId="3F8C6B8D">
            <w:pPr>
              <w:jc w:val="center"/>
              <w:rPr>
                <w:sz w:val="24"/>
                <w:highlight w:val="none"/>
              </w:rPr>
            </w:pPr>
            <w:r>
              <w:rPr>
                <w:sz w:val="24"/>
                <w:highlight w:val="none"/>
              </w:rPr>
              <w:t>联系人</w:t>
            </w:r>
          </w:p>
        </w:tc>
        <w:tc>
          <w:tcPr>
            <w:tcW w:w="1536" w:type="dxa"/>
            <w:vAlign w:val="center"/>
          </w:tcPr>
          <w:p w14:paraId="0906E501">
            <w:pPr>
              <w:jc w:val="center"/>
              <w:rPr>
                <w:sz w:val="24"/>
                <w:highlight w:val="none"/>
              </w:rPr>
            </w:pPr>
            <w:r>
              <w:rPr>
                <w:sz w:val="24"/>
                <w:highlight w:val="none"/>
              </w:rPr>
              <w:t>联系电话</w:t>
            </w:r>
          </w:p>
        </w:tc>
      </w:tr>
      <w:tr w14:paraId="5AD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14BF779">
            <w:pPr>
              <w:rPr>
                <w:sz w:val="24"/>
                <w:highlight w:val="none"/>
              </w:rPr>
            </w:pPr>
            <w:r>
              <w:rPr>
                <w:sz w:val="24"/>
                <w:highlight w:val="none"/>
              </w:rPr>
              <w:t>中国人寿财产保险股份有限公司台州中心支公司</w:t>
            </w:r>
          </w:p>
        </w:tc>
        <w:tc>
          <w:tcPr>
            <w:tcW w:w="2264" w:type="dxa"/>
          </w:tcPr>
          <w:p w14:paraId="3A61BB84">
            <w:pPr>
              <w:rPr>
                <w:sz w:val="24"/>
                <w:highlight w:val="none"/>
              </w:rPr>
            </w:pPr>
            <w:r>
              <w:rPr>
                <w:sz w:val="24"/>
                <w:highlight w:val="none"/>
              </w:rPr>
              <w:t>年费率1%，最低保费500元</w:t>
            </w:r>
          </w:p>
        </w:tc>
        <w:tc>
          <w:tcPr>
            <w:tcW w:w="1003" w:type="dxa"/>
          </w:tcPr>
          <w:p w14:paraId="526399A2">
            <w:pPr>
              <w:rPr>
                <w:sz w:val="24"/>
                <w:highlight w:val="none"/>
              </w:rPr>
            </w:pPr>
            <w:r>
              <w:rPr>
                <w:sz w:val="24"/>
                <w:highlight w:val="none"/>
              </w:rPr>
              <w:t>徐凌</w:t>
            </w:r>
          </w:p>
        </w:tc>
        <w:tc>
          <w:tcPr>
            <w:tcW w:w="1536" w:type="dxa"/>
          </w:tcPr>
          <w:p w14:paraId="5209BE28">
            <w:pPr>
              <w:rPr>
                <w:sz w:val="24"/>
                <w:highlight w:val="none"/>
              </w:rPr>
            </w:pPr>
            <w:r>
              <w:rPr>
                <w:sz w:val="24"/>
                <w:highlight w:val="none"/>
              </w:rPr>
              <w:t>13905168070</w:t>
            </w:r>
          </w:p>
        </w:tc>
      </w:tr>
      <w:tr w14:paraId="578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BBB9F7E">
            <w:pPr>
              <w:rPr>
                <w:sz w:val="24"/>
                <w:highlight w:val="none"/>
              </w:rPr>
            </w:pPr>
            <w:r>
              <w:rPr>
                <w:sz w:val="24"/>
                <w:highlight w:val="none"/>
              </w:rPr>
              <w:t>永诚财产保险股份有限公司台州分公司</w:t>
            </w:r>
          </w:p>
        </w:tc>
        <w:tc>
          <w:tcPr>
            <w:tcW w:w="2264" w:type="dxa"/>
          </w:tcPr>
          <w:p w14:paraId="07E276F9">
            <w:pPr>
              <w:rPr>
                <w:sz w:val="24"/>
                <w:highlight w:val="none"/>
              </w:rPr>
            </w:pPr>
            <w:r>
              <w:rPr>
                <w:sz w:val="24"/>
                <w:highlight w:val="none"/>
              </w:rPr>
              <w:t>年费率1%，最低保费1000元</w:t>
            </w:r>
          </w:p>
        </w:tc>
        <w:tc>
          <w:tcPr>
            <w:tcW w:w="1003" w:type="dxa"/>
          </w:tcPr>
          <w:p w14:paraId="15FAEBE7">
            <w:pPr>
              <w:rPr>
                <w:sz w:val="24"/>
                <w:highlight w:val="none"/>
              </w:rPr>
            </w:pPr>
            <w:r>
              <w:rPr>
                <w:sz w:val="24"/>
                <w:highlight w:val="none"/>
              </w:rPr>
              <w:t>尹刚强</w:t>
            </w:r>
          </w:p>
        </w:tc>
        <w:tc>
          <w:tcPr>
            <w:tcW w:w="1536" w:type="dxa"/>
          </w:tcPr>
          <w:p w14:paraId="5638AE4B">
            <w:pPr>
              <w:rPr>
                <w:sz w:val="24"/>
                <w:highlight w:val="none"/>
              </w:rPr>
            </w:pPr>
            <w:r>
              <w:rPr>
                <w:sz w:val="24"/>
                <w:highlight w:val="none"/>
              </w:rPr>
              <w:t>13750668184</w:t>
            </w:r>
          </w:p>
        </w:tc>
      </w:tr>
      <w:tr w14:paraId="50E2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6739083C">
            <w:pPr>
              <w:rPr>
                <w:sz w:val="24"/>
                <w:highlight w:val="none"/>
              </w:rPr>
            </w:pPr>
            <w:r>
              <w:rPr>
                <w:sz w:val="24"/>
                <w:highlight w:val="none"/>
              </w:rPr>
              <w:t>华泰财产保险有限公司台州中心支公司</w:t>
            </w:r>
          </w:p>
        </w:tc>
        <w:tc>
          <w:tcPr>
            <w:tcW w:w="2264" w:type="dxa"/>
          </w:tcPr>
          <w:p w14:paraId="11FDCFE6">
            <w:pPr>
              <w:rPr>
                <w:sz w:val="24"/>
                <w:highlight w:val="none"/>
              </w:rPr>
            </w:pPr>
            <w:r>
              <w:rPr>
                <w:sz w:val="24"/>
                <w:highlight w:val="none"/>
              </w:rPr>
              <w:t>年费率0.5%，最低保费1000元</w:t>
            </w:r>
          </w:p>
        </w:tc>
        <w:tc>
          <w:tcPr>
            <w:tcW w:w="1003" w:type="dxa"/>
          </w:tcPr>
          <w:p w14:paraId="511D65D2">
            <w:pPr>
              <w:rPr>
                <w:sz w:val="24"/>
                <w:highlight w:val="none"/>
              </w:rPr>
            </w:pPr>
            <w:r>
              <w:rPr>
                <w:sz w:val="24"/>
                <w:highlight w:val="none"/>
              </w:rPr>
              <w:t>王灵芳</w:t>
            </w:r>
          </w:p>
        </w:tc>
        <w:tc>
          <w:tcPr>
            <w:tcW w:w="1536" w:type="dxa"/>
          </w:tcPr>
          <w:p w14:paraId="6FD81D20">
            <w:pPr>
              <w:rPr>
                <w:sz w:val="24"/>
                <w:highlight w:val="none"/>
              </w:rPr>
            </w:pPr>
            <w:r>
              <w:rPr>
                <w:sz w:val="24"/>
                <w:highlight w:val="none"/>
              </w:rPr>
              <w:t>88869818 13586123199</w:t>
            </w:r>
          </w:p>
        </w:tc>
      </w:tr>
      <w:tr w14:paraId="625C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14CEE6EC">
            <w:pPr>
              <w:rPr>
                <w:sz w:val="24"/>
                <w:highlight w:val="none"/>
              </w:rPr>
            </w:pPr>
            <w:r>
              <w:rPr>
                <w:sz w:val="24"/>
                <w:highlight w:val="none"/>
              </w:rPr>
              <w:t>中国大地财产保险股份有限公司台州中心支公司</w:t>
            </w:r>
          </w:p>
        </w:tc>
        <w:tc>
          <w:tcPr>
            <w:tcW w:w="2264" w:type="dxa"/>
          </w:tcPr>
          <w:p w14:paraId="607DA979">
            <w:pPr>
              <w:rPr>
                <w:sz w:val="24"/>
                <w:highlight w:val="none"/>
              </w:rPr>
            </w:pPr>
            <w:r>
              <w:rPr>
                <w:sz w:val="24"/>
                <w:highlight w:val="none"/>
              </w:rPr>
              <w:t>年费率1.5%，最低保费1000元</w:t>
            </w:r>
          </w:p>
        </w:tc>
        <w:tc>
          <w:tcPr>
            <w:tcW w:w="1003" w:type="dxa"/>
          </w:tcPr>
          <w:p w14:paraId="4FDB7A92">
            <w:pPr>
              <w:rPr>
                <w:sz w:val="24"/>
                <w:highlight w:val="none"/>
              </w:rPr>
            </w:pPr>
            <w:r>
              <w:rPr>
                <w:sz w:val="24"/>
                <w:highlight w:val="none"/>
              </w:rPr>
              <w:t>徐小明</w:t>
            </w:r>
          </w:p>
        </w:tc>
        <w:tc>
          <w:tcPr>
            <w:tcW w:w="1536" w:type="dxa"/>
          </w:tcPr>
          <w:p w14:paraId="31FA174B">
            <w:pPr>
              <w:rPr>
                <w:sz w:val="24"/>
                <w:highlight w:val="none"/>
              </w:rPr>
            </w:pPr>
            <w:r>
              <w:rPr>
                <w:sz w:val="24"/>
                <w:highlight w:val="none"/>
              </w:rPr>
              <w:t>88552788      13968603112</w:t>
            </w:r>
          </w:p>
        </w:tc>
      </w:tr>
      <w:tr w14:paraId="08DE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FC54557">
            <w:pPr>
              <w:rPr>
                <w:sz w:val="24"/>
                <w:highlight w:val="none"/>
              </w:rPr>
            </w:pPr>
            <w:r>
              <w:rPr>
                <w:sz w:val="24"/>
                <w:highlight w:val="none"/>
              </w:rPr>
              <w:t>阳光保险台州中心支公司</w:t>
            </w:r>
          </w:p>
        </w:tc>
        <w:tc>
          <w:tcPr>
            <w:tcW w:w="2264" w:type="dxa"/>
          </w:tcPr>
          <w:p w14:paraId="1E01D02E">
            <w:pPr>
              <w:rPr>
                <w:sz w:val="24"/>
                <w:highlight w:val="none"/>
              </w:rPr>
            </w:pPr>
            <w:r>
              <w:rPr>
                <w:sz w:val="24"/>
                <w:highlight w:val="none"/>
              </w:rPr>
              <w:t>年费率1%，最低保费500元</w:t>
            </w:r>
          </w:p>
        </w:tc>
        <w:tc>
          <w:tcPr>
            <w:tcW w:w="1003" w:type="dxa"/>
          </w:tcPr>
          <w:p w14:paraId="469C49AE">
            <w:pPr>
              <w:rPr>
                <w:sz w:val="24"/>
                <w:highlight w:val="none"/>
              </w:rPr>
            </w:pPr>
            <w:r>
              <w:rPr>
                <w:sz w:val="24"/>
                <w:highlight w:val="none"/>
              </w:rPr>
              <w:t>林高明</w:t>
            </w:r>
          </w:p>
        </w:tc>
        <w:tc>
          <w:tcPr>
            <w:tcW w:w="1536" w:type="dxa"/>
          </w:tcPr>
          <w:p w14:paraId="74C3714C">
            <w:pPr>
              <w:rPr>
                <w:sz w:val="24"/>
                <w:highlight w:val="none"/>
              </w:rPr>
            </w:pPr>
            <w:r>
              <w:rPr>
                <w:sz w:val="24"/>
                <w:highlight w:val="none"/>
              </w:rPr>
              <w:t>15888682693</w:t>
            </w:r>
          </w:p>
        </w:tc>
      </w:tr>
      <w:tr w14:paraId="2D85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86F8F2C">
            <w:pPr>
              <w:rPr>
                <w:sz w:val="24"/>
                <w:highlight w:val="none"/>
              </w:rPr>
            </w:pPr>
            <w:r>
              <w:rPr>
                <w:sz w:val="24"/>
                <w:highlight w:val="none"/>
              </w:rPr>
              <w:t>中华联合财产保险股份有限公司台州中心支公司</w:t>
            </w:r>
          </w:p>
        </w:tc>
        <w:tc>
          <w:tcPr>
            <w:tcW w:w="2264" w:type="dxa"/>
          </w:tcPr>
          <w:p w14:paraId="4AD47BD3">
            <w:pPr>
              <w:rPr>
                <w:sz w:val="24"/>
                <w:highlight w:val="none"/>
              </w:rPr>
            </w:pPr>
            <w:r>
              <w:rPr>
                <w:sz w:val="24"/>
                <w:highlight w:val="none"/>
              </w:rPr>
              <w:t>年费率2%，最低保费500元</w:t>
            </w:r>
          </w:p>
        </w:tc>
        <w:tc>
          <w:tcPr>
            <w:tcW w:w="1003" w:type="dxa"/>
          </w:tcPr>
          <w:p w14:paraId="549F3C9F">
            <w:pPr>
              <w:rPr>
                <w:sz w:val="24"/>
                <w:highlight w:val="none"/>
              </w:rPr>
            </w:pPr>
            <w:r>
              <w:rPr>
                <w:sz w:val="24"/>
                <w:highlight w:val="none"/>
              </w:rPr>
              <w:t>王仙高</w:t>
            </w:r>
          </w:p>
        </w:tc>
        <w:tc>
          <w:tcPr>
            <w:tcW w:w="1536" w:type="dxa"/>
          </w:tcPr>
          <w:p w14:paraId="7BE579F9">
            <w:pPr>
              <w:rPr>
                <w:sz w:val="24"/>
                <w:highlight w:val="none"/>
              </w:rPr>
            </w:pPr>
            <w:r>
              <w:rPr>
                <w:sz w:val="24"/>
                <w:highlight w:val="none"/>
              </w:rPr>
              <w:t>13858600221</w:t>
            </w:r>
          </w:p>
        </w:tc>
      </w:tr>
      <w:tr w14:paraId="67A0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6B0DCA50">
            <w:pPr>
              <w:rPr>
                <w:sz w:val="24"/>
                <w:highlight w:val="none"/>
              </w:rPr>
            </w:pPr>
            <w:r>
              <w:rPr>
                <w:sz w:val="24"/>
                <w:highlight w:val="none"/>
              </w:rPr>
              <w:t>中国人民财产保险股份有限公司台州中心支公司</w:t>
            </w:r>
          </w:p>
        </w:tc>
        <w:tc>
          <w:tcPr>
            <w:tcW w:w="2264" w:type="dxa"/>
          </w:tcPr>
          <w:p w14:paraId="0B175C7F">
            <w:pPr>
              <w:rPr>
                <w:sz w:val="24"/>
                <w:highlight w:val="none"/>
              </w:rPr>
            </w:pPr>
            <w:r>
              <w:rPr>
                <w:sz w:val="24"/>
                <w:highlight w:val="none"/>
              </w:rPr>
              <w:t>年费率0.3%，最低保费1000元</w:t>
            </w:r>
          </w:p>
        </w:tc>
        <w:tc>
          <w:tcPr>
            <w:tcW w:w="1003" w:type="dxa"/>
          </w:tcPr>
          <w:p w14:paraId="1A442A50">
            <w:pPr>
              <w:rPr>
                <w:sz w:val="24"/>
                <w:highlight w:val="none"/>
              </w:rPr>
            </w:pPr>
            <w:r>
              <w:rPr>
                <w:sz w:val="24"/>
                <w:highlight w:val="none"/>
              </w:rPr>
              <w:t>王仙春</w:t>
            </w:r>
          </w:p>
        </w:tc>
        <w:tc>
          <w:tcPr>
            <w:tcW w:w="1536" w:type="dxa"/>
          </w:tcPr>
          <w:p w14:paraId="4417FF0D">
            <w:pPr>
              <w:rPr>
                <w:sz w:val="24"/>
                <w:highlight w:val="none"/>
              </w:rPr>
            </w:pPr>
            <w:r>
              <w:rPr>
                <w:sz w:val="24"/>
                <w:highlight w:val="none"/>
              </w:rPr>
              <w:t>13515769179</w:t>
            </w:r>
          </w:p>
        </w:tc>
      </w:tr>
      <w:tr w14:paraId="0B7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1196F0F8">
            <w:pPr>
              <w:jc w:val="left"/>
              <w:rPr>
                <w:sz w:val="24"/>
                <w:highlight w:val="none"/>
              </w:rPr>
            </w:pPr>
            <w:r>
              <w:rPr>
                <w:sz w:val="24"/>
                <w:highlight w:val="none"/>
              </w:rPr>
              <w:t>永安财产保险股份有限公司台州中心支公司</w:t>
            </w:r>
          </w:p>
        </w:tc>
        <w:tc>
          <w:tcPr>
            <w:tcW w:w="2264" w:type="dxa"/>
          </w:tcPr>
          <w:p w14:paraId="66A71A28">
            <w:pPr>
              <w:jc w:val="left"/>
              <w:rPr>
                <w:sz w:val="24"/>
                <w:highlight w:val="none"/>
              </w:rPr>
            </w:pPr>
            <w:r>
              <w:rPr>
                <w:sz w:val="24"/>
                <w:highlight w:val="none"/>
              </w:rPr>
              <w:t>年费率0.3%，最低保费1000</w:t>
            </w:r>
          </w:p>
        </w:tc>
        <w:tc>
          <w:tcPr>
            <w:tcW w:w="1003" w:type="dxa"/>
          </w:tcPr>
          <w:p w14:paraId="33A355FC">
            <w:pPr>
              <w:jc w:val="left"/>
              <w:rPr>
                <w:sz w:val="24"/>
                <w:highlight w:val="none"/>
              </w:rPr>
            </w:pPr>
            <w:r>
              <w:rPr>
                <w:sz w:val="24"/>
                <w:highlight w:val="none"/>
              </w:rPr>
              <w:t>王春宇</w:t>
            </w:r>
          </w:p>
        </w:tc>
        <w:tc>
          <w:tcPr>
            <w:tcW w:w="1536" w:type="dxa"/>
          </w:tcPr>
          <w:p w14:paraId="1C267C24">
            <w:pPr>
              <w:jc w:val="left"/>
              <w:rPr>
                <w:sz w:val="24"/>
                <w:highlight w:val="none"/>
              </w:rPr>
            </w:pPr>
            <w:r>
              <w:rPr>
                <w:sz w:val="24"/>
                <w:highlight w:val="none"/>
              </w:rPr>
              <w:t>13676675331</w:t>
            </w:r>
          </w:p>
        </w:tc>
      </w:tr>
    </w:tbl>
    <w:p w14:paraId="29F976E3">
      <w:pPr>
        <w:spacing w:line="360" w:lineRule="auto"/>
        <w:ind w:left="6307" w:leftChars="2200" w:hanging="1687" w:hangingChars="700"/>
        <w:rPr>
          <w:b/>
          <w:sz w:val="24"/>
          <w:highlight w:val="none"/>
        </w:rPr>
      </w:pPr>
    </w:p>
    <w:p w14:paraId="6252A573">
      <w:pPr>
        <w:ind w:firstLine="3360" w:firstLineChars="14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预付款保函联系方式</w:t>
      </w:r>
    </w:p>
    <w:tbl>
      <w:tblPr>
        <w:tblStyle w:val="30"/>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357"/>
        <w:gridCol w:w="1003"/>
        <w:gridCol w:w="1536"/>
      </w:tblGrid>
      <w:tr w14:paraId="2F6B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3765" w:type="dxa"/>
            <w:vAlign w:val="center"/>
          </w:tcPr>
          <w:p w14:paraId="17A21574">
            <w:pPr>
              <w:jc w:val="center"/>
              <w:rPr>
                <w:sz w:val="24"/>
                <w:highlight w:val="none"/>
              </w:rPr>
            </w:pPr>
            <w:r>
              <w:rPr>
                <w:sz w:val="24"/>
                <w:highlight w:val="none"/>
              </w:rPr>
              <w:t>保险公司名称</w:t>
            </w:r>
          </w:p>
        </w:tc>
        <w:tc>
          <w:tcPr>
            <w:tcW w:w="2357" w:type="dxa"/>
            <w:vAlign w:val="center"/>
          </w:tcPr>
          <w:p w14:paraId="401DD377">
            <w:pPr>
              <w:jc w:val="center"/>
              <w:rPr>
                <w:sz w:val="24"/>
                <w:highlight w:val="none"/>
              </w:rPr>
            </w:pPr>
            <w:r>
              <w:rPr>
                <w:sz w:val="24"/>
                <w:highlight w:val="none"/>
              </w:rPr>
              <w:t>保费率</w:t>
            </w:r>
          </w:p>
        </w:tc>
        <w:tc>
          <w:tcPr>
            <w:tcW w:w="1003" w:type="dxa"/>
            <w:vAlign w:val="center"/>
          </w:tcPr>
          <w:p w14:paraId="53464B47">
            <w:pPr>
              <w:jc w:val="center"/>
              <w:rPr>
                <w:sz w:val="24"/>
                <w:highlight w:val="none"/>
              </w:rPr>
            </w:pPr>
            <w:r>
              <w:rPr>
                <w:sz w:val="24"/>
                <w:highlight w:val="none"/>
              </w:rPr>
              <w:t>联系人</w:t>
            </w:r>
          </w:p>
        </w:tc>
        <w:tc>
          <w:tcPr>
            <w:tcW w:w="1536" w:type="dxa"/>
            <w:vAlign w:val="center"/>
          </w:tcPr>
          <w:p w14:paraId="4AC2D4D5">
            <w:pPr>
              <w:jc w:val="center"/>
              <w:rPr>
                <w:sz w:val="24"/>
                <w:highlight w:val="none"/>
              </w:rPr>
            </w:pPr>
            <w:r>
              <w:rPr>
                <w:sz w:val="24"/>
                <w:highlight w:val="none"/>
              </w:rPr>
              <w:t>联系电话</w:t>
            </w:r>
          </w:p>
        </w:tc>
      </w:tr>
      <w:tr w14:paraId="1573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57B3DCC1">
            <w:pPr>
              <w:rPr>
                <w:sz w:val="24"/>
                <w:highlight w:val="none"/>
              </w:rPr>
            </w:pPr>
            <w:r>
              <w:rPr>
                <w:sz w:val="24"/>
                <w:highlight w:val="none"/>
              </w:rPr>
              <w:t>中国人寿财产保险股份有限公司台州中心支公司</w:t>
            </w:r>
          </w:p>
        </w:tc>
        <w:tc>
          <w:tcPr>
            <w:tcW w:w="2357" w:type="dxa"/>
          </w:tcPr>
          <w:p w14:paraId="2A28AC42">
            <w:pPr>
              <w:rPr>
                <w:sz w:val="24"/>
                <w:highlight w:val="none"/>
              </w:rPr>
            </w:pPr>
            <w:r>
              <w:rPr>
                <w:sz w:val="24"/>
                <w:highlight w:val="none"/>
              </w:rPr>
              <w:t>年费率3%，最低保费500元</w:t>
            </w:r>
          </w:p>
        </w:tc>
        <w:tc>
          <w:tcPr>
            <w:tcW w:w="1003" w:type="dxa"/>
          </w:tcPr>
          <w:p w14:paraId="75653923">
            <w:pPr>
              <w:rPr>
                <w:sz w:val="24"/>
                <w:highlight w:val="none"/>
              </w:rPr>
            </w:pPr>
            <w:r>
              <w:rPr>
                <w:sz w:val="24"/>
                <w:highlight w:val="none"/>
              </w:rPr>
              <w:t>徐凌</w:t>
            </w:r>
          </w:p>
        </w:tc>
        <w:tc>
          <w:tcPr>
            <w:tcW w:w="1536" w:type="dxa"/>
          </w:tcPr>
          <w:p w14:paraId="474DF9C3">
            <w:pPr>
              <w:rPr>
                <w:sz w:val="24"/>
                <w:highlight w:val="none"/>
              </w:rPr>
            </w:pPr>
            <w:r>
              <w:rPr>
                <w:sz w:val="24"/>
                <w:highlight w:val="none"/>
              </w:rPr>
              <w:t>13905168070</w:t>
            </w:r>
          </w:p>
        </w:tc>
      </w:tr>
      <w:tr w14:paraId="3E6E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14:paraId="0BE9B2BB">
            <w:pPr>
              <w:rPr>
                <w:sz w:val="24"/>
                <w:highlight w:val="none"/>
              </w:rPr>
            </w:pPr>
            <w:r>
              <w:rPr>
                <w:sz w:val="24"/>
                <w:highlight w:val="none"/>
              </w:rPr>
              <w:t>阳光保险台州中心支公司</w:t>
            </w:r>
          </w:p>
        </w:tc>
        <w:tc>
          <w:tcPr>
            <w:tcW w:w="2357" w:type="dxa"/>
          </w:tcPr>
          <w:p w14:paraId="1F7A70E6">
            <w:pPr>
              <w:rPr>
                <w:sz w:val="24"/>
                <w:highlight w:val="none"/>
              </w:rPr>
            </w:pPr>
            <w:r>
              <w:rPr>
                <w:sz w:val="24"/>
                <w:highlight w:val="none"/>
              </w:rPr>
              <w:t>年费率1%，最低保费500元</w:t>
            </w:r>
          </w:p>
        </w:tc>
        <w:tc>
          <w:tcPr>
            <w:tcW w:w="1003" w:type="dxa"/>
          </w:tcPr>
          <w:p w14:paraId="3749ED8A">
            <w:pPr>
              <w:rPr>
                <w:sz w:val="24"/>
                <w:highlight w:val="none"/>
              </w:rPr>
            </w:pPr>
            <w:r>
              <w:rPr>
                <w:sz w:val="24"/>
                <w:highlight w:val="none"/>
              </w:rPr>
              <w:t>林高明</w:t>
            </w:r>
          </w:p>
        </w:tc>
        <w:tc>
          <w:tcPr>
            <w:tcW w:w="1536" w:type="dxa"/>
          </w:tcPr>
          <w:p w14:paraId="2A2A93A3">
            <w:pPr>
              <w:rPr>
                <w:sz w:val="24"/>
                <w:highlight w:val="none"/>
              </w:rPr>
            </w:pPr>
            <w:r>
              <w:rPr>
                <w:sz w:val="24"/>
                <w:highlight w:val="none"/>
              </w:rPr>
              <w:t>15888682693</w:t>
            </w:r>
          </w:p>
        </w:tc>
      </w:tr>
      <w:tr w14:paraId="65B6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65" w:type="dxa"/>
          </w:tcPr>
          <w:p w14:paraId="33F624D7">
            <w:pPr>
              <w:rPr>
                <w:sz w:val="24"/>
                <w:highlight w:val="none"/>
              </w:rPr>
            </w:pPr>
            <w:r>
              <w:rPr>
                <w:sz w:val="24"/>
                <w:highlight w:val="none"/>
              </w:rPr>
              <w:t>天安财产保险股份有限公司台州中心支公司</w:t>
            </w:r>
          </w:p>
        </w:tc>
        <w:tc>
          <w:tcPr>
            <w:tcW w:w="2357" w:type="dxa"/>
          </w:tcPr>
          <w:p w14:paraId="04F02460">
            <w:pPr>
              <w:rPr>
                <w:sz w:val="24"/>
                <w:highlight w:val="none"/>
              </w:rPr>
            </w:pPr>
            <w:r>
              <w:rPr>
                <w:sz w:val="24"/>
                <w:highlight w:val="none"/>
              </w:rPr>
              <w:t>年费率1%-2%，最低保费500元</w:t>
            </w:r>
          </w:p>
        </w:tc>
        <w:tc>
          <w:tcPr>
            <w:tcW w:w="1003" w:type="dxa"/>
          </w:tcPr>
          <w:p w14:paraId="0BB0294E">
            <w:pPr>
              <w:rPr>
                <w:sz w:val="24"/>
                <w:highlight w:val="none"/>
              </w:rPr>
            </w:pPr>
            <w:r>
              <w:rPr>
                <w:sz w:val="24"/>
                <w:highlight w:val="none"/>
              </w:rPr>
              <w:t>罗赛</w:t>
            </w:r>
          </w:p>
        </w:tc>
        <w:tc>
          <w:tcPr>
            <w:tcW w:w="1536" w:type="dxa"/>
          </w:tcPr>
          <w:p w14:paraId="002D522F">
            <w:pPr>
              <w:rPr>
                <w:sz w:val="24"/>
                <w:highlight w:val="none"/>
              </w:rPr>
            </w:pPr>
            <w:r>
              <w:rPr>
                <w:sz w:val="24"/>
                <w:highlight w:val="none"/>
              </w:rPr>
              <w:t>13736605643</w:t>
            </w:r>
          </w:p>
        </w:tc>
      </w:tr>
    </w:tbl>
    <w:p w14:paraId="23B5FC8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rPr>
          <w:highlight w:val="none"/>
        </w:rPr>
      </w:pPr>
    </w:p>
    <w:p w14:paraId="17A55F66">
      <w:pPr>
        <w:pStyle w:val="5"/>
        <w:keepNext w:val="0"/>
        <w:keepLines w:val="0"/>
        <w:snapToGrid w:val="0"/>
        <w:spacing w:before="0" w:after="0" w:line="360" w:lineRule="auto"/>
        <w:rPr>
          <w:rFonts w:ascii="Times New Roman" w:hAnsi="Times New Roman" w:eastAsia="宋体" w:cs="Times New Roman"/>
          <w:bCs w:val="0"/>
          <w:color w:val="000000" w:themeColor="text1"/>
          <w:sz w:val="24"/>
          <w:szCs w:val="24"/>
          <w:highlight w:val="none"/>
          <w14:textFill>
            <w14:solidFill>
              <w14:schemeClr w14:val="tx1"/>
            </w14:solidFill>
          </w14:textFill>
        </w:rPr>
      </w:pPr>
      <w:r>
        <w:rPr>
          <w:rFonts w:ascii="Times New Roman" w:hAnsi="Times New Roman" w:eastAsia="宋体" w:cs="Times New Roman"/>
          <w:bCs w:val="0"/>
          <w:color w:val="000000" w:themeColor="text1"/>
          <w:sz w:val="24"/>
          <w:szCs w:val="24"/>
          <w:highlight w:val="none"/>
          <w14:textFill>
            <w14:solidFill>
              <w14:schemeClr w14:val="tx1"/>
            </w14:solidFill>
          </w14:textFill>
        </w:rPr>
        <w:t>八、凡对本次采购提出询问，请按以下方式联系。</w:t>
      </w:r>
      <w:bookmarkEnd w:id="28"/>
      <w:bookmarkEnd w:id="29"/>
      <w:bookmarkEnd w:id="30"/>
      <w:bookmarkEnd w:id="31"/>
    </w:p>
    <w:p w14:paraId="3E4980CE">
      <w:pPr>
        <w:pStyle w:val="5"/>
        <w:spacing w:before="0" w:after="0" w:line="360" w:lineRule="auto"/>
        <w:ind w:firstLine="482"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bookmarkStart w:id="32" w:name="_Toc28359019"/>
      <w:bookmarkStart w:id="33" w:name="_Toc28359096"/>
      <w:bookmarkStart w:id="34" w:name="_Toc35393806"/>
      <w:bookmarkStart w:id="35" w:name="_Toc35393637"/>
      <w:r>
        <w:rPr>
          <w:rFonts w:ascii="Times New Roman" w:hAnsi="Times New Roman" w:eastAsia="宋体" w:cs="Times New Roman"/>
          <w:bCs w:val="0"/>
          <w:color w:val="000000" w:themeColor="text1"/>
          <w:sz w:val="24"/>
          <w:szCs w:val="24"/>
          <w:highlight w:val="none"/>
          <w14:textFill>
            <w14:solidFill>
              <w14:schemeClr w14:val="tx1"/>
            </w14:solidFill>
          </w14:textFill>
        </w:rPr>
        <w:t>1</w:t>
      </w:r>
      <w:r>
        <w:rPr>
          <w:rFonts w:ascii="Times New Roman" w:hAnsi="Times New Roman" w:eastAsia="宋体" w:cs="Times New Roman"/>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35393807"/>
      <w:bookmarkStart w:id="37" w:name="_Toc35393638"/>
      <w:bookmarkStart w:id="38" w:name="_Toc28359097"/>
      <w:bookmarkStart w:id="39" w:name="_Toc28359020"/>
      <w:r>
        <w:rPr>
          <w:rFonts w:ascii="Times New Roman" w:hAnsi="Times New Roman" w:eastAsia="宋体" w:cs="Times New Roman"/>
          <w:b w:val="0"/>
          <w:bCs w:val="0"/>
          <w:color w:val="000000" w:themeColor="text1"/>
          <w:sz w:val="24"/>
          <w:szCs w:val="24"/>
          <w:highlight w:val="none"/>
          <w14:textFill>
            <w14:solidFill>
              <w14:schemeClr w14:val="tx1"/>
            </w14:solidFill>
          </w14:textFill>
        </w:rPr>
        <w:t>采购人信息</w:t>
      </w:r>
    </w:p>
    <w:p w14:paraId="24DF33E2">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    称：</w:t>
      </w:r>
      <w:r>
        <w:rPr>
          <w:color w:val="000000"/>
          <w:sz w:val="24"/>
          <w:highlight w:val="none"/>
        </w:rPr>
        <w:t xml:space="preserve">台州市生态环境局椒江分局 </w:t>
      </w:r>
    </w:p>
    <w:p w14:paraId="21D61ECC">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地    址： </w:t>
      </w:r>
      <w:r>
        <w:rPr>
          <w:color w:val="000000"/>
          <w:sz w:val="24"/>
          <w:highlight w:val="none"/>
        </w:rPr>
        <w:t>台州市椒江区建设路7号</w:t>
      </w:r>
    </w:p>
    <w:p w14:paraId="2E684CB4">
      <w:pPr>
        <w:spacing w:line="360" w:lineRule="auto"/>
        <w:ind w:left="1079" w:leftChars="371" w:hanging="300" w:hangingChars="125"/>
        <w:jc w:val="left"/>
        <w:rPr>
          <w:rFonts w:eastAsia="仿宋"/>
          <w:color w:val="000000"/>
          <w:sz w:val="27"/>
          <w:szCs w:val="27"/>
          <w:highlight w:val="none"/>
        </w:rPr>
      </w:pPr>
      <w:r>
        <w:rPr>
          <w:color w:val="000000" w:themeColor="text1"/>
          <w:sz w:val="24"/>
          <w:highlight w:val="none"/>
          <w14:textFill>
            <w14:solidFill>
              <w14:schemeClr w14:val="tx1"/>
            </w14:solidFill>
          </w14:textFill>
        </w:rPr>
        <w:t>项目联系人：</w:t>
      </w:r>
      <w:r>
        <w:rPr>
          <w:color w:val="000000"/>
          <w:sz w:val="24"/>
          <w:highlight w:val="none"/>
        </w:rPr>
        <w:t>刘老师</w:t>
      </w:r>
    </w:p>
    <w:p w14:paraId="72537200">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r>
        <w:rPr>
          <w:color w:val="000000"/>
          <w:sz w:val="24"/>
          <w:highlight w:val="none"/>
        </w:rPr>
        <w:t>0576-</w:t>
      </w:r>
      <w:r>
        <w:rPr>
          <w:rFonts w:hint="eastAsia"/>
          <w:color w:val="000000"/>
          <w:sz w:val="24"/>
          <w:highlight w:val="none"/>
        </w:rPr>
        <w:t>88897903</w:t>
      </w:r>
    </w:p>
    <w:p w14:paraId="06495753">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质疑联系人：</w:t>
      </w:r>
      <w:r>
        <w:rPr>
          <w:color w:val="000000"/>
          <w:sz w:val="24"/>
          <w:highlight w:val="none"/>
        </w:rPr>
        <w:t>贺老师 </w:t>
      </w:r>
    </w:p>
    <w:p w14:paraId="46A7BF3A">
      <w:pPr>
        <w:spacing w:line="360" w:lineRule="auto"/>
        <w:ind w:left="1079" w:leftChars="371" w:hanging="300" w:hangingChars="125"/>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w:t>
      </w:r>
      <w:r>
        <w:rPr>
          <w:color w:val="000000"/>
          <w:sz w:val="24"/>
          <w:highlight w:val="none"/>
        </w:rPr>
        <w:t>17857065188  </w:t>
      </w:r>
    </w:p>
    <w:p w14:paraId="2C5FF721">
      <w:pPr>
        <w:pStyle w:val="5"/>
        <w:keepNext w:val="0"/>
        <w:keepLines w:val="0"/>
        <w:snapToGrid w:val="0"/>
        <w:spacing w:before="0" w:after="0" w:line="360" w:lineRule="auto"/>
        <w:ind w:firstLine="480" w:firstLineChars="200"/>
        <w:rPr>
          <w:rFonts w:ascii="Times New Roman" w:hAnsi="Times New Roman" w:eastAsia="宋体" w:cs="Times New Roman"/>
          <w:b w:val="0"/>
          <w:bCs w:val="0"/>
          <w:color w:val="000000" w:themeColor="text1"/>
          <w:sz w:val="24"/>
          <w:szCs w:val="24"/>
          <w:highlight w:val="none"/>
          <w14:textFill>
            <w14:solidFill>
              <w14:schemeClr w14:val="tx1"/>
            </w14:solidFill>
          </w14:textFill>
        </w:rPr>
      </w:pPr>
      <w:r>
        <w:rPr>
          <w:rFonts w:ascii="Times New Roman" w:hAnsi="Times New Roman" w:eastAsia="宋体" w:cs="Times New Roman"/>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78986568">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    称：台州蔚蓝投资咨询有限公司</w:t>
      </w:r>
    </w:p>
    <w:p w14:paraId="09773E5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　　址：台州市椒江区开元路299号</w:t>
      </w:r>
    </w:p>
    <w:p w14:paraId="3EA07217">
      <w:pPr>
        <w:snapToGrid w:val="0"/>
        <w:spacing w:after="0"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项目联系人：李工</w:t>
      </w:r>
    </w:p>
    <w:p w14:paraId="2C45C34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联系方式：0576-88508578</w:t>
      </w:r>
    </w:p>
    <w:p w14:paraId="0B627735">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质疑联系人：冯工</w:t>
      </w:r>
    </w:p>
    <w:p w14:paraId="5B83E6FF">
      <w:pPr>
        <w:snapToGrid w:val="0"/>
        <w:spacing w:line="360" w:lineRule="auto"/>
        <w:ind w:firstLine="720"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联系方式：0576-88508578</w:t>
      </w:r>
    </w:p>
    <w:p w14:paraId="6E41AE0F">
      <w:pPr>
        <w:pStyle w:val="5"/>
        <w:spacing w:before="0" w:after="0" w:line="360" w:lineRule="auto"/>
        <w:ind w:firstLine="482" w:firstLineChars="200"/>
        <w:rPr>
          <w:rFonts w:ascii="Times New Roman" w:hAnsi="Times New Roman" w:eastAsia="宋体" w:cs="Times New Roman"/>
          <w:bCs w:val="0"/>
          <w:color w:val="000000" w:themeColor="text1"/>
          <w:sz w:val="24"/>
          <w:szCs w:val="24"/>
          <w:highlight w:val="none"/>
          <w14:textFill>
            <w14:solidFill>
              <w14:schemeClr w14:val="tx1"/>
            </w14:solidFill>
          </w14:textFill>
        </w:rPr>
      </w:pPr>
      <w:bookmarkStart w:id="40" w:name="_Toc35393639"/>
      <w:bookmarkStart w:id="41" w:name="_Toc28359021"/>
      <w:bookmarkStart w:id="42" w:name="_Toc28359098"/>
      <w:bookmarkStart w:id="43" w:name="_Toc35393808"/>
      <w:r>
        <w:rPr>
          <w:rFonts w:ascii="Times New Roman" w:hAnsi="Times New Roman" w:eastAsia="宋体" w:cs="Times New Roman"/>
          <w:bCs w:val="0"/>
          <w:color w:val="000000" w:themeColor="text1"/>
          <w:sz w:val="24"/>
          <w:szCs w:val="24"/>
          <w:highlight w:val="none"/>
          <w14:textFill>
            <w14:solidFill>
              <w14:schemeClr w14:val="tx1"/>
            </w14:solidFill>
          </w14:textFill>
        </w:rPr>
        <w:t>3.</w:t>
      </w:r>
      <w:bookmarkEnd w:id="40"/>
      <w:bookmarkEnd w:id="41"/>
      <w:bookmarkEnd w:id="42"/>
      <w:bookmarkEnd w:id="43"/>
      <w:r>
        <w:rPr>
          <w:rFonts w:ascii="Times New Roman" w:hAnsi="Times New Roman" w:eastAsia="宋体" w:cs="Times New Roman"/>
          <w:bCs w:val="0"/>
          <w:color w:val="000000" w:themeColor="text1"/>
          <w:sz w:val="24"/>
          <w:szCs w:val="24"/>
          <w:highlight w:val="none"/>
          <w14:textFill>
            <w14:solidFill>
              <w14:schemeClr w14:val="tx1"/>
            </w14:solidFill>
          </w14:textFill>
        </w:rPr>
        <w:t>同级政府采购监督管理部门</w:t>
      </w:r>
    </w:p>
    <w:p w14:paraId="68BF651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名称：椒江区</w:t>
      </w:r>
      <w:r>
        <w:rPr>
          <w:rFonts w:hint="eastAsia"/>
          <w:bCs/>
          <w:color w:val="000000" w:themeColor="text1"/>
          <w:sz w:val="24"/>
          <w:highlight w:val="none"/>
          <w:lang w:val="en-US" w:eastAsia="zh-CN"/>
          <w14:textFill>
            <w14:solidFill>
              <w14:schemeClr w14:val="tx1"/>
            </w14:solidFill>
          </w14:textFill>
        </w:rPr>
        <w:t>财政局</w:t>
      </w:r>
      <w:r>
        <w:rPr>
          <w:bCs/>
          <w:color w:val="000000" w:themeColor="text1"/>
          <w:sz w:val="24"/>
          <w:highlight w:val="none"/>
          <w14:textFill>
            <w14:solidFill>
              <w14:schemeClr w14:val="tx1"/>
            </w14:solidFill>
          </w14:textFill>
        </w:rPr>
        <w:t>政府采购监管科</w:t>
      </w:r>
    </w:p>
    <w:p w14:paraId="1196161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联系人：王老师</w:t>
      </w:r>
    </w:p>
    <w:p w14:paraId="45D98DE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监督投诉电话：0576-88225817   </w:t>
      </w:r>
    </w:p>
    <w:p w14:paraId="462596D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地    址：浙江省台州市椒江区建设路6号</w:t>
      </w:r>
    </w:p>
    <w:p w14:paraId="2B1840E6">
      <w:pPr>
        <w:pStyle w:val="13"/>
        <w:rPr>
          <w:highlight w:val="none"/>
        </w:rPr>
      </w:pPr>
    </w:p>
    <w:p w14:paraId="5C7E7106">
      <w:pPr>
        <w:pStyle w:val="13"/>
        <w:rPr>
          <w:highlight w:val="none"/>
        </w:rPr>
      </w:pPr>
    </w:p>
    <w:p w14:paraId="79C2D93B">
      <w:pPr>
        <w:pStyle w:val="13"/>
        <w:rPr>
          <w:highlight w:val="none"/>
        </w:rPr>
      </w:pPr>
    </w:p>
    <w:p w14:paraId="43149569">
      <w:pPr>
        <w:pStyle w:val="13"/>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p>
    <w:p w14:paraId="07B4A30E">
      <w:pPr>
        <w:pStyle w:val="65"/>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2024年</w:t>
      </w:r>
      <w:r>
        <w:rPr>
          <w:rFonts w:hint="eastAsia"/>
          <w:color w:val="000000" w:themeColor="text1"/>
          <w:sz w:val="24"/>
          <w:highlight w:val="none"/>
          <w:lang w:val="en-US" w:eastAsia="zh-CN"/>
          <w14:textFill>
            <w14:solidFill>
              <w14:schemeClr w14:val="tx1"/>
            </w14:solidFill>
          </w14:textFill>
        </w:rPr>
        <w:t>10</w:t>
      </w:r>
      <w:r>
        <w:rPr>
          <w:color w:val="000000" w:themeColor="text1"/>
          <w:sz w:val="24"/>
          <w:highlight w:val="none"/>
          <w14:textFill>
            <w14:solidFill>
              <w14:schemeClr w14:val="tx1"/>
            </w14:solidFill>
          </w14:textFill>
        </w:rPr>
        <w:t>月</w:t>
      </w:r>
    </w:p>
    <w:p w14:paraId="37E0159F">
      <w:pPr>
        <w:pStyle w:val="5"/>
        <w:keepNext w:val="0"/>
        <w:keepLines w:val="0"/>
        <w:snapToGrid w:val="0"/>
        <w:spacing w:before="0" w:after="0" w:line="288" w:lineRule="auto"/>
        <w:jc w:val="center"/>
        <w:rPr>
          <w:rFonts w:ascii="Times New Roman" w:hAnsi="Times New Roman" w:eastAsia="宋体" w:cs="Times New Roman"/>
          <w:b w:val="0"/>
          <w:color w:val="000000" w:themeColor="text1"/>
          <w:sz w:val="28"/>
          <w:szCs w:val="28"/>
          <w:highlight w:val="none"/>
          <w14:textFill>
            <w14:solidFill>
              <w14:schemeClr w14:val="tx1"/>
            </w14:solidFill>
          </w14:textFill>
        </w:rPr>
      </w:pPr>
      <w:r>
        <w:rPr>
          <w:rFonts w:ascii="Times New Roman" w:hAnsi="Times New Roman" w:eastAsia="宋体" w:cs="Times New Roman"/>
          <w:b w:val="0"/>
          <w:color w:val="000000" w:themeColor="text1"/>
          <w:sz w:val="28"/>
          <w:szCs w:val="28"/>
          <w:highlight w:val="none"/>
          <w14:textFill>
            <w14:solidFill>
              <w14:schemeClr w14:val="tx1"/>
            </w14:solidFill>
          </w14:textFill>
        </w:rPr>
        <w:br w:type="page"/>
      </w:r>
      <w:r>
        <w:rPr>
          <w:rFonts w:ascii="Times New Roman" w:hAnsi="Times New Roman" w:eastAsia="宋体" w:cs="Times New Roman"/>
          <w:color w:val="000000" w:themeColor="text1"/>
          <w:sz w:val="36"/>
          <w:szCs w:val="36"/>
          <w:highlight w:val="none"/>
          <w14:textFill>
            <w14:solidFill>
              <w14:schemeClr w14:val="tx1"/>
            </w14:solidFill>
          </w14:textFill>
        </w:rPr>
        <w:t xml:space="preserve">第二章  </w:t>
      </w:r>
      <w:bookmarkStart w:id="44" w:name="_Hlk34662782"/>
      <w:r>
        <w:rPr>
          <w:rFonts w:ascii="Times New Roman" w:hAnsi="Times New Roman" w:eastAsia="宋体" w:cs="Times New Roman"/>
          <w:color w:val="000000" w:themeColor="text1"/>
          <w:sz w:val="36"/>
          <w:szCs w:val="36"/>
          <w:highlight w:val="none"/>
          <w14:textFill>
            <w14:solidFill>
              <w14:schemeClr w14:val="tx1"/>
            </w14:solidFill>
          </w14:textFill>
        </w:rPr>
        <w:t>项目需求</w:t>
      </w:r>
      <w:bookmarkEnd w:id="44"/>
    </w:p>
    <w:p w14:paraId="2AAA3DD2">
      <w:pPr>
        <w:pStyle w:val="13"/>
        <w:rPr>
          <w:color w:val="000000" w:themeColor="text1"/>
          <w:highlight w:val="none"/>
          <w14:textFill>
            <w14:solidFill>
              <w14:schemeClr w14:val="tx1"/>
            </w14:solidFill>
          </w14:textFill>
        </w:rPr>
      </w:pPr>
    </w:p>
    <w:p w14:paraId="60125896">
      <w:pPr>
        <w:spacing w:line="360" w:lineRule="auto"/>
        <w:rPr>
          <w:b/>
          <w:color w:val="000000"/>
          <w:sz w:val="24"/>
          <w:highlight w:val="none"/>
        </w:rPr>
      </w:pPr>
      <w:r>
        <w:rPr>
          <w:rFonts w:eastAsiaTheme="minorEastAsia"/>
          <w:b/>
          <w:color w:val="000000"/>
          <w:sz w:val="24"/>
          <w:highlight w:val="none"/>
        </w:rPr>
        <w:t>一、</w:t>
      </w:r>
      <w:r>
        <w:rPr>
          <w:b/>
          <w:color w:val="000000"/>
          <w:sz w:val="24"/>
          <w:highlight w:val="none"/>
        </w:rPr>
        <w:t>招标项目一览表</w:t>
      </w:r>
    </w:p>
    <w:p w14:paraId="3ADD4E48">
      <w:pPr>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本次招标共1个标段，具体内容如下表：</w:t>
      </w:r>
    </w:p>
    <w:tbl>
      <w:tblPr>
        <w:tblStyle w:val="29"/>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054"/>
        <w:gridCol w:w="957"/>
        <w:gridCol w:w="866"/>
        <w:gridCol w:w="1869"/>
        <w:gridCol w:w="1914"/>
      </w:tblGrid>
      <w:tr w14:paraId="6A3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75" w:type="dxa"/>
            <w:vAlign w:val="center"/>
          </w:tcPr>
          <w:p w14:paraId="5710E730">
            <w:pPr>
              <w:tabs>
                <w:tab w:val="left" w:pos="8280"/>
              </w:tabs>
              <w:autoSpaceDE w:val="0"/>
              <w:autoSpaceDN w:val="0"/>
              <w:adjustRightInd w:val="0"/>
              <w:snapToGrid w:val="0"/>
              <w:spacing w:line="312" w:lineRule="auto"/>
              <w:ind w:right="23" w:firstLine="120" w:firstLineChars="5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项目名称</w:t>
            </w:r>
          </w:p>
        </w:tc>
        <w:tc>
          <w:tcPr>
            <w:tcW w:w="2054" w:type="dxa"/>
            <w:vAlign w:val="center"/>
          </w:tcPr>
          <w:p w14:paraId="3E81FDC5">
            <w:pPr>
              <w:tabs>
                <w:tab w:val="left" w:pos="8280"/>
              </w:tabs>
              <w:autoSpaceDE w:val="0"/>
              <w:autoSpaceDN w:val="0"/>
              <w:adjustRightInd w:val="0"/>
              <w:snapToGrid w:val="0"/>
              <w:spacing w:line="312" w:lineRule="auto"/>
              <w:ind w:right="23"/>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简要技术</w:t>
            </w:r>
          </w:p>
          <w:p w14:paraId="1BF14689">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要求</w:t>
            </w:r>
          </w:p>
        </w:tc>
        <w:tc>
          <w:tcPr>
            <w:tcW w:w="957" w:type="dxa"/>
            <w:vAlign w:val="center"/>
          </w:tcPr>
          <w:p w14:paraId="122BB2B0">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866" w:type="dxa"/>
            <w:vAlign w:val="center"/>
          </w:tcPr>
          <w:p w14:paraId="3172D744">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1869" w:type="dxa"/>
            <w:vAlign w:val="center"/>
          </w:tcPr>
          <w:p w14:paraId="5FBD3B61">
            <w:pPr>
              <w:tabs>
                <w:tab w:val="left" w:pos="8280"/>
              </w:tabs>
              <w:autoSpaceDE w:val="0"/>
              <w:autoSpaceDN w:val="0"/>
              <w:adjustRightInd w:val="0"/>
              <w:snapToGrid w:val="0"/>
              <w:spacing w:line="312" w:lineRule="auto"/>
              <w:ind w:left="-105" w:leftChars="-50" w:right="-105" w:rightChars="-50"/>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投标上限价</w:t>
            </w:r>
          </w:p>
        </w:tc>
        <w:tc>
          <w:tcPr>
            <w:tcW w:w="1914" w:type="dxa"/>
            <w:vAlign w:val="center"/>
          </w:tcPr>
          <w:p w14:paraId="799BD49F">
            <w:pPr>
              <w:tabs>
                <w:tab w:val="left" w:pos="8280"/>
              </w:tabs>
              <w:autoSpaceDE w:val="0"/>
              <w:autoSpaceDN w:val="0"/>
              <w:adjustRightInd w:val="0"/>
              <w:snapToGrid w:val="0"/>
              <w:spacing w:line="312" w:lineRule="auto"/>
              <w:ind w:right="23"/>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服务期</w:t>
            </w:r>
          </w:p>
        </w:tc>
      </w:tr>
      <w:tr w14:paraId="16E1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75" w:type="dxa"/>
            <w:vAlign w:val="center"/>
          </w:tcPr>
          <w:p w14:paraId="218B52DD">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2024年椒江区五个乡镇空气站运维项目</w:t>
            </w:r>
          </w:p>
        </w:tc>
        <w:tc>
          <w:tcPr>
            <w:tcW w:w="2054" w:type="dxa"/>
            <w:vAlign w:val="center"/>
          </w:tcPr>
          <w:p w14:paraId="78F69CE2">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详见项目需求</w:t>
            </w:r>
          </w:p>
        </w:tc>
        <w:tc>
          <w:tcPr>
            <w:tcW w:w="957" w:type="dxa"/>
            <w:vAlign w:val="center"/>
          </w:tcPr>
          <w:p w14:paraId="27ED7793">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866" w:type="dxa"/>
            <w:vAlign w:val="center"/>
          </w:tcPr>
          <w:p w14:paraId="5C11046A">
            <w:pPr>
              <w:snapToGrid w:val="0"/>
              <w:spacing w:line="312"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w:t>
            </w:r>
          </w:p>
        </w:tc>
        <w:tc>
          <w:tcPr>
            <w:tcW w:w="1869" w:type="dxa"/>
            <w:vAlign w:val="center"/>
          </w:tcPr>
          <w:p w14:paraId="13E3315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30万元</w:t>
            </w:r>
          </w:p>
        </w:tc>
        <w:tc>
          <w:tcPr>
            <w:tcW w:w="1914" w:type="dxa"/>
            <w:vAlign w:val="center"/>
          </w:tcPr>
          <w:p w14:paraId="0DE7F653">
            <w:pPr>
              <w:snapToGrid w:val="0"/>
              <w:spacing w:line="312" w:lineRule="auto"/>
              <w:jc w:val="center"/>
              <w:rPr>
                <w:color w:val="000000" w:themeColor="text1"/>
                <w:sz w:val="24"/>
                <w:highlight w:val="none"/>
                <w14:textFill>
                  <w14:solidFill>
                    <w14:schemeClr w14:val="tx1"/>
                  </w14:solidFill>
                </w14:textFill>
              </w:rPr>
            </w:pPr>
            <w:r>
              <w:rPr>
                <w:kern w:val="0"/>
                <w:sz w:val="24"/>
                <w:highlight w:val="none"/>
                <w:lang w:bidi="ar"/>
              </w:rPr>
              <w:t>合同签订生效之日起开始计算，为期1年</w:t>
            </w:r>
          </w:p>
        </w:tc>
      </w:tr>
    </w:tbl>
    <w:p w14:paraId="679DC7F9">
      <w:pPr>
        <w:rPr>
          <w:highlight w:val="none"/>
        </w:rPr>
      </w:pPr>
    </w:p>
    <w:p w14:paraId="2B0D8628">
      <w:pPr>
        <w:spacing w:line="360" w:lineRule="auto"/>
        <w:rPr>
          <w:b/>
          <w:color w:val="000000"/>
          <w:sz w:val="24"/>
          <w:highlight w:val="none"/>
        </w:rPr>
      </w:pPr>
      <w:r>
        <w:rPr>
          <w:highlight w:val="none"/>
        </w:rPr>
        <w:t>二、</w:t>
      </w:r>
      <w:r>
        <w:rPr>
          <w:b/>
          <w:color w:val="000000"/>
          <w:sz w:val="24"/>
          <w:highlight w:val="none"/>
        </w:rPr>
        <w:t>项目概况</w:t>
      </w:r>
    </w:p>
    <w:p w14:paraId="40E0792F">
      <w:pPr>
        <w:widowControl/>
        <w:spacing w:after="0" w:line="360" w:lineRule="auto"/>
        <w:ind w:firstLine="480" w:firstLineChars="200"/>
        <w:jc w:val="left"/>
        <w:rPr>
          <w:kern w:val="0"/>
          <w:sz w:val="24"/>
          <w:highlight w:val="none"/>
          <w:lang w:bidi="ar"/>
        </w:rPr>
      </w:pPr>
      <w:r>
        <w:rPr>
          <w:kern w:val="0"/>
          <w:sz w:val="24"/>
          <w:highlight w:val="none"/>
          <w:lang w:bidi="ar"/>
        </w:rPr>
        <w:t>台州市椒江区于 2019 年新建了5个乡镇（街道）空气自动监测站，为保证站点运行良好，现采取委托第三方运行维护方式对台州市椒江区5个</w:t>
      </w:r>
      <w:r>
        <w:rPr>
          <w:kern w:val="0"/>
          <w:sz w:val="24"/>
          <w:highlight w:val="none"/>
          <w:lang w:eastAsia="zh-Hans" w:bidi="ar"/>
        </w:rPr>
        <w:t>乡镇（街道）</w:t>
      </w:r>
      <w:r>
        <w:rPr>
          <w:kern w:val="0"/>
          <w:sz w:val="24"/>
          <w:highlight w:val="none"/>
          <w:lang w:bidi="ar"/>
        </w:rPr>
        <w:t>空气自动监测站点进行全托管运维管理。</w:t>
      </w:r>
    </w:p>
    <w:p w14:paraId="7E95D2F1">
      <w:pPr>
        <w:pStyle w:val="94"/>
        <w:spacing w:line="360" w:lineRule="auto"/>
        <w:ind w:firstLine="480" w:firstLineChars="200"/>
        <w:rPr>
          <w:kern w:val="0"/>
          <w:sz w:val="24"/>
          <w:szCs w:val="24"/>
          <w:highlight w:val="none"/>
          <w:lang w:bidi="ar"/>
        </w:rPr>
      </w:pPr>
      <w:r>
        <w:rPr>
          <w:kern w:val="0"/>
          <w:sz w:val="24"/>
          <w:szCs w:val="24"/>
          <w:highlight w:val="none"/>
          <w:lang w:bidi="ar"/>
        </w:rPr>
        <w:t>（一）项目运维站点及预算</w:t>
      </w:r>
    </w:p>
    <w:tbl>
      <w:tblPr>
        <w:tblStyle w:val="29"/>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211"/>
        <w:gridCol w:w="1104"/>
        <w:gridCol w:w="2691"/>
        <w:gridCol w:w="1672"/>
      </w:tblGrid>
      <w:tr w14:paraId="6D34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54CA63B5">
            <w:pPr>
              <w:spacing w:after="0" w:line="360" w:lineRule="auto"/>
              <w:jc w:val="center"/>
              <w:rPr>
                <w:szCs w:val="21"/>
                <w:highlight w:val="none"/>
              </w:rPr>
            </w:pPr>
            <w:bookmarkStart w:id="45" w:name="_Hlk507438467"/>
            <w:r>
              <w:rPr>
                <w:szCs w:val="21"/>
                <w:highlight w:val="none"/>
              </w:rPr>
              <w:t>序号</w:t>
            </w:r>
          </w:p>
        </w:tc>
        <w:tc>
          <w:tcPr>
            <w:tcW w:w="1322" w:type="pct"/>
            <w:tcBorders>
              <w:top w:val="single" w:color="auto" w:sz="4" w:space="0"/>
              <w:left w:val="single" w:color="auto" w:sz="4" w:space="0"/>
              <w:bottom w:val="single" w:color="auto" w:sz="4" w:space="0"/>
              <w:right w:val="single" w:color="auto" w:sz="4" w:space="0"/>
            </w:tcBorders>
            <w:vAlign w:val="center"/>
          </w:tcPr>
          <w:p w14:paraId="735FEFD7">
            <w:pPr>
              <w:spacing w:after="0" w:line="360" w:lineRule="auto"/>
              <w:jc w:val="center"/>
              <w:rPr>
                <w:szCs w:val="21"/>
                <w:highlight w:val="none"/>
              </w:rPr>
            </w:pPr>
            <w:r>
              <w:rPr>
                <w:szCs w:val="21"/>
                <w:highlight w:val="none"/>
              </w:rPr>
              <w:t>站点名称</w:t>
            </w:r>
          </w:p>
        </w:tc>
        <w:tc>
          <w:tcPr>
            <w:tcW w:w="660" w:type="pct"/>
            <w:tcBorders>
              <w:top w:val="single" w:color="auto" w:sz="4" w:space="0"/>
              <w:left w:val="single" w:color="auto" w:sz="4" w:space="0"/>
              <w:bottom w:val="single" w:color="auto" w:sz="4" w:space="0"/>
              <w:right w:val="single" w:color="auto" w:sz="4" w:space="0"/>
            </w:tcBorders>
            <w:vAlign w:val="center"/>
          </w:tcPr>
          <w:p w14:paraId="42810A2F">
            <w:pPr>
              <w:spacing w:after="0" w:line="360" w:lineRule="auto"/>
              <w:jc w:val="center"/>
              <w:rPr>
                <w:szCs w:val="21"/>
                <w:highlight w:val="none"/>
              </w:rPr>
            </w:pPr>
            <w:r>
              <w:rPr>
                <w:szCs w:val="21"/>
                <w:highlight w:val="none"/>
              </w:rPr>
              <w:t>数量</w:t>
            </w:r>
          </w:p>
        </w:tc>
        <w:tc>
          <w:tcPr>
            <w:tcW w:w="1609" w:type="pct"/>
            <w:tcBorders>
              <w:top w:val="single" w:color="auto" w:sz="4" w:space="0"/>
              <w:left w:val="single" w:color="auto" w:sz="4" w:space="0"/>
              <w:bottom w:val="single" w:color="auto" w:sz="4" w:space="0"/>
              <w:right w:val="single" w:color="auto" w:sz="4" w:space="0"/>
            </w:tcBorders>
            <w:vAlign w:val="center"/>
          </w:tcPr>
          <w:p w14:paraId="6B70894F">
            <w:pPr>
              <w:spacing w:after="0" w:line="360" w:lineRule="auto"/>
              <w:jc w:val="center"/>
              <w:rPr>
                <w:szCs w:val="21"/>
                <w:highlight w:val="none"/>
              </w:rPr>
            </w:pPr>
            <w:r>
              <w:rPr>
                <w:kern w:val="0"/>
                <w:szCs w:val="21"/>
                <w:highlight w:val="none"/>
                <w:lang w:bidi="ar"/>
              </w:rPr>
              <w:t>运维时间</w:t>
            </w:r>
          </w:p>
        </w:tc>
        <w:tc>
          <w:tcPr>
            <w:tcW w:w="998" w:type="pct"/>
            <w:tcBorders>
              <w:top w:val="single" w:color="auto" w:sz="4" w:space="0"/>
              <w:left w:val="single" w:color="auto" w:sz="4" w:space="0"/>
              <w:bottom w:val="single" w:color="auto" w:sz="4" w:space="0"/>
              <w:right w:val="single" w:color="auto" w:sz="4" w:space="0"/>
            </w:tcBorders>
            <w:vAlign w:val="center"/>
          </w:tcPr>
          <w:p w14:paraId="482C7940">
            <w:pPr>
              <w:spacing w:after="0" w:line="360" w:lineRule="auto"/>
              <w:jc w:val="center"/>
              <w:rPr>
                <w:szCs w:val="21"/>
                <w:highlight w:val="none"/>
              </w:rPr>
            </w:pPr>
            <w:r>
              <w:rPr>
                <w:szCs w:val="21"/>
                <w:highlight w:val="none"/>
              </w:rPr>
              <w:t>投标上限价</w:t>
            </w:r>
          </w:p>
        </w:tc>
      </w:tr>
      <w:tr w14:paraId="21F2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10625954">
            <w:pPr>
              <w:widowControl/>
              <w:spacing w:after="0" w:line="360" w:lineRule="auto"/>
              <w:jc w:val="center"/>
              <w:rPr>
                <w:szCs w:val="21"/>
                <w:highlight w:val="none"/>
              </w:rPr>
            </w:pPr>
            <w:r>
              <w:rPr>
                <w:kern w:val="0"/>
                <w:szCs w:val="21"/>
                <w:highlight w:val="none"/>
              </w:rPr>
              <w:t>1</w:t>
            </w:r>
          </w:p>
        </w:tc>
        <w:tc>
          <w:tcPr>
            <w:tcW w:w="1322" w:type="pct"/>
            <w:tcBorders>
              <w:top w:val="single" w:color="auto" w:sz="4" w:space="0"/>
              <w:left w:val="single" w:color="auto" w:sz="4" w:space="0"/>
              <w:bottom w:val="single" w:color="auto" w:sz="4" w:space="0"/>
              <w:right w:val="single" w:color="auto" w:sz="4" w:space="0"/>
            </w:tcBorders>
            <w:vAlign w:val="center"/>
          </w:tcPr>
          <w:p w14:paraId="2809B120">
            <w:pPr>
              <w:widowControl/>
              <w:spacing w:after="0" w:line="360" w:lineRule="auto"/>
              <w:jc w:val="center"/>
              <w:rPr>
                <w:kern w:val="0"/>
                <w:szCs w:val="21"/>
                <w:highlight w:val="none"/>
              </w:rPr>
            </w:pPr>
            <w:r>
              <w:rPr>
                <w:kern w:val="0"/>
                <w:szCs w:val="21"/>
                <w:highlight w:val="none"/>
              </w:rPr>
              <w:t>葭沚街道办事处</w:t>
            </w:r>
          </w:p>
        </w:tc>
        <w:tc>
          <w:tcPr>
            <w:tcW w:w="660" w:type="pct"/>
            <w:tcBorders>
              <w:top w:val="single" w:color="auto" w:sz="4" w:space="0"/>
              <w:left w:val="single" w:color="auto" w:sz="4" w:space="0"/>
              <w:bottom w:val="single" w:color="auto" w:sz="4" w:space="0"/>
              <w:right w:val="single" w:color="auto" w:sz="4" w:space="0"/>
            </w:tcBorders>
            <w:vAlign w:val="center"/>
          </w:tcPr>
          <w:p w14:paraId="16DCE8A7">
            <w:pPr>
              <w:spacing w:after="0" w:line="360" w:lineRule="auto"/>
              <w:jc w:val="center"/>
              <w:rPr>
                <w:szCs w:val="21"/>
                <w:highlight w:val="none"/>
              </w:rPr>
            </w:pPr>
            <w:r>
              <w:rPr>
                <w:szCs w:val="21"/>
                <w:highlight w:val="none"/>
              </w:rPr>
              <w:t>1</w:t>
            </w:r>
          </w:p>
        </w:tc>
        <w:tc>
          <w:tcPr>
            <w:tcW w:w="1609" w:type="pct"/>
            <w:tcBorders>
              <w:top w:val="single" w:color="auto" w:sz="4" w:space="0"/>
              <w:left w:val="single" w:color="auto" w:sz="4" w:space="0"/>
              <w:bottom w:val="single" w:color="auto" w:sz="4" w:space="0"/>
              <w:right w:val="single" w:color="auto" w:sz="4" w:space="0"/>
            </w:tcBorders>
            <w:vAlign w:val="center"/>
          </w:tcPr>
          <w:p w14:paraId="33D601D8">
            <w:pPr>
              <w:spacing w:after="0" w:line="360" w:lineRule="auto"/>
              <w:jc w:val="center"/>
              <w:rPr>
                <w:szCs w:val="21"/>
                <w:highlight w:val="none"/>
              </w:rPr>
            </w:pPr>
            <w:r>
              <w:rPr>
                <w:szCs w:val="21"/>
                <w:highlight w:val="none"/>
              </w:rPr>
              <w:t>1年</w:t>
            </w:r>
          </w:p>
        </w:tc>
        <w:tc>
          <w:tcPr>
            <w:tcW w:w="998" w:type="pct"/>
            <w:vMerge w:val="restart"/>
            <w:tcBorders>
              <w:top w:val="single" w:color="auto" w:sz="4" w:space="0"/>
              <w:left w:val="single" w:color="auto" w:sz="4" w:space="0"/>
              <w:right w:val="single" w:color="auto" w:sz="4" w:space="0"/>
            </w:tcBorders>
            <w:vAlign w:val="center"/>
          </w:tcPr>
          <w:p w14:paraId="341197A2">
            <w:pPr>
              <w:spacing w:after="0" w:line="360" w:lineRule="auto"/>
              <w:jc w:val="center"/>
              <w:rPr>
                <w:szCs w:val="21"/>
                <w:highlight w:val="none"/>
              </w:rPr>
            </w:pPr>
            <w:r>
              <w:rPr>
                <w:szCs w:val="21"/>
                <w:highlight w:val="none"/>
              </w:rPr>
              <w:t>30万元</w:t>
            </w:r>
          </w:p>
        </w:tc>
      </w:tr>
      <w:tr w14:paraId="7527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7E55ED82">
            <w:pPr>
              <w:widowControl/>
              <w:spacing w:after="0" w:line="360" w:lineRule="auto"/>
              <w:jc w:val="center"/>
              <w:rPr>
                <w:szCs w:val="21"/>
                <w:highlight w:val="none"/>
              </w:rPr>
            </w:pPr>
            <w:r>
              <w:rPr>
                <w:kern w:val="0"/>
                <w:szCs w:val="21"/>
                <w:highlight w:val="none"/>
              </w:rPr>
              <w:t>2</w:t>
            </w:r>
          </w:p>
        </w:tc>
        <w:tc>
          <w:tcPr>
            <w:tcW w:w="1322" w:type="pct"/>
            <w:tcBorders>
              <w:top w:val="single" w:color="auto" w:sz="4" w:space="0"/>
              <w:left w:val="single" w:color="auto" w:sz="4" w:space="0"/>
              <w:bottom w:val="single" w:color="auto" w:sz="4" w:space="0"/>
              <w:right w:val="single" w:color="auto" w:sz="4" w:space="0"/>
            </w:tcBorders>
            <w:vAlign w:val="center"/>
          </w:tcPr>
          <w:p w14:paraId="4185946E">
            <w:pPr>
              <w:widowControl/>
              <w:spacing w:after="0" w:line="360" w:lineRule="auto"/>
              <w:jc w:val="center"/>
              <w:rPr>
                <w:kern w:val="0"/>
                <w:szCs w:val="21"/>
                <w:highlight w:val="none"/>
              </w:rPr>
            </w:pPr>
            <w:r>
              <w:rPr>
                <w:kern w:val="0"/>
                <w:szCs w:val="21"/>
                <w:highlight w:val="none"/>
              </w:rPr>
              <w:t>洪家街道办事处</w:t>
            </w:r>
          </w:p>
        </w:tc>
        <w:tc>
          <w:tcPr>
            <w:tcW w:w="660" w:type="pct"/>
            <w:tcBorders>
              <w:top w:val="single" w:color="auto" w:sz="4" w:space="0"/>
              <w:left w:val="single" w:color="auto" w:sz="4" w:space="0"/>
              <w:bottom w:val="single" w:color="auto" w:sz="4" w:space="0"/>
              <w:right w:val="single" w:color="auto" w:sz="4" w:space="0"/>
            </w:tcBorders>
            <w:vAlign w:val="center"/>
          </w:tcPr>
          <w:p w14:paraId="3C9C11B5">
            <w:pPr>
              <w:spacing w:after="0" w:line="360" w:lineRule="auto"/>
              <w:jc w:val="center"/>
              <w:rPr>
                <w:szCs w:val="21"/>
                <w:highlight w:val="none"/>
              </w:rPr>
            </w:pPr>
            <w:r>
              <w:rPr>
                <w:szCs w:val="21"/>
                <w:highlight w:val="none"/>
              </w:rPr>
              <w:t>1</w:t>
            </w:r>
          </w:p>
        </w:tc>
        <w:tc>
          <w:tcPr>
            <w:tcW w:w="1609" w:type="pct"/>
            <w:tcBorders>
              <w:top w:val="single" w:color="auto" w:sz="4" w:space="0"/>
              <w:left w:val="single" w:color="auto" w:sz="4" w:space="0"/>
              <w:bottom w:val="single" w:color="auto" w:sz="4" w:space="0"/>
              <w:right w:val="single" w:color="auto" w:sz="4" w:space="0"/>
            </w:tcBorders>
            <w:vAlign w:val="center"/>
          </w:tcPr>
          <w:p w14:paraId="4A602D1D">
            <w:pPr>
              <w:spacing w:after="0" w:line="360" w:lineRule="auto"/>
              <w:jc w:val="center"/>
              <w:rPr>
                <w:szCs w:val="21"/>
                <w:highlight w:val="none"/>
              </w:rPr>
            </w:pPr>
            <w:r>
              <w:rPr>
                <w:szCs w:val="21"/>
                <w:highlight w:val="none"/>
              </w:rPr>
              <w:t>1年</w:t>
            </w:r>
          </w:p>
        </w:tc>
        <w:tc>
          <w:tcPr>
            <w:tcW w:w="998" w:type="pct"/>
            <w:vMerge w:val="continue"/>
            <w:tcBorders>
              <w:left w:val="single" w:color="auto" w:sz="4" w:space="0"/>
              <w:right w:val="single" w:color="auto" w:sz="4" w:space="0"/>
            </w:tcBorders>
            <w:vAlign w:val="center"/>
          </w:tcPr>
          <w:p w14:paraId="66AF7BA3">
            <w:pPr>
              <w:widowControl/>
              <w:spacing w:after="0" w:line="360" w:lineRule="auto"/>
              <w:jc w:val="center"/>
              <w:rPr>
                <w:szCs w:val="21"/>
                <w:highlight w:val="none"/>
              </w:rPr>
            </w:pPr>
          </w:p>
        </w:tc>
      </w:tr>
      <w:tr w14:paraId="796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766BFE35">
            <w:pPr>
              <w:widowControl/>
              <w:spacing w:after="0" w:line="360" w:lineRule="auto"/>
              <w:jc w:val="center"/>
              <w:rPr>
                <w:szCs w:val="21"/>
                <w:highlight w:val="none"/>
              </w:rPr>
            </w:pPr>
            <w:r>
              <w:rPr>
                <w:kern w:val="0"/>
                <w:szCs w:val="21"/>
                <w:highlight w:val="none"/>
              </w:rPr>
              <w:t>3</w:t>
            </w:r>
          </w:p>
        </w:tc>
        <w:tc>
          <w:tcPr>
            <w:tcW w:w="1322" w:type="pct"/>
            <w:tcBorders>
              <w:top w:val="single" w:color="auto" w:sz="4" w:space="0"/>
              <w:left w:val="single" w:color="auto" w:sz="4" w:space="0"/>
              <w:bottom w:val="single" w:color="auto" w:sz="4" w:space="0"/>
              <w:right w:val="single" w:color="auto" w:sz="4" w:space="0"/>
            </w:tcBorders>
            <w:vAlign w:val="center"/>
          </w:tcPr>
          <w:p w14:paraId="280429F9">
            <w:pPr>
              <w:widowControl/>
              <w:spacing w:after="0" w:line="360" w:lineRule="auto"/>
              <w:jc w:val="center"/>
              <w:rPr>
                <w:kern w:val="0"/>
                <w:szCs w:val="21"/>
                <w:highlight w:val="none"/>
              </w:rPr>
            </w:pPr>
            <w:r>
              <w:rPr>
                <w:kern w:val="0"/>
                <w:szCs w:val="21"/>
                <w:highlight w:val="none"/>
              </w:rPr>
              <w:t>前所街道办事处</w:t>
            </w:r>
          </w:p>
        </w:tc>
        <w:tc>
          <w:tcPr>
            <w:tcW w:w="660" w:type="pct"/>
            <w:tcBorders>
              <w:top w:val="single" w:color="auto" w:sz="4" w:space="0"/>
              <w:left w:val="single" w:color="auto" w:sz="4" w:space="0"/>
              <w:bottom w:val="single" w:color="auto" w:sz="4" w:space="0"/>
              <w:right w:val="single" w:color="auto" w:sz="4" w:space="0"/>
            </w:tcBorders>
            <w:vAlign w:val="center"/>
          </w:tcPr>
          <w:p w14:paraId="42CAEC88">
            <w:pPr>
              <w:spacing w:after="0" w:line="360" w:lineRule="auto"/>
              <w:jc w:val="center"/>
              <w:rPr>
                <w:szCs w:val="21"/>
                <w:highlight w:val="none"/>
              </w:rPr>
            </w:pPr>
            <w:r>
              <w:rPr>
                <w:szCs w:val="21"/>
                <w:highlight w:val="none"/>
              </w:rPr>
              <w:t>1</w:t>
            </w:r>
          </w:p>
        </w:tc>
        <w:tc>
          <w:tcPr>
            <w:tcW w:w="1609" w:type="pct"/>
            <w:tcBorders>
              <w:top w:val="single" w:color="auto" w:sz="4" w:space="0"/>
              <w:left w:val="single" w:color="auto" w:sz="4" w:space="0"/>
              <w:bottom w:val="single" w:color="auto" w:sz="4" w:space="0"/>
              <w:right w:val="single" w:color="auto" w:sz="4" w:space="0"/>
            </w:tcBorders>
            <w:vAlign w:val="center"/>
          </w:tcPr>
          <w:p w14:paraId="7DE0E449">
            <w:pPr>
              <w:spacing w:after="0" w:line="360" w:lineRule="auto"/>
              <w:jc w:val="center"/>
              <w:rPr>
                <w:szCs w:val="21"/>
                <w:highlight w:val="none"/>
              </w:rPr>
            </w:pPr>
            <w:r>
              <w:rPr>
                <w:szCs w:val="21"/>
                <w:highlight w:val="none"/>
              </w:rPr>
              <w:t>1年</w:t>
            </w:r>
          </w:p>
        </w:tc>
        <w:tc>
          <w:tcPr>
            <w:tcW w:w="998" w:type="pct"/>
            <w:vMerge w:val="continue"/>
            <w:tcBorders>
              <w:left w:val="single" w:color="auto" w:sz="4" w:space="0"/>
              <w:right w:val="single" w:color="auto" w:sz="4" w:space="0"/>
            </w:tcBorders>
            <w:vAlign w:val="center"/>
          </w:tcPr>
          <w:p w14:paraId="37A2BE47">
            <w:pPr>
              <w:widowControl/>
              <w:spacing w:after="0" w:line="360" w:lineRule="auto"/>
              <w:jc w:val="center"/>
              <w:rPr>
                <w:szCs w:val="21"/>
                <w:highlight w:val="none"/>
              </w:rPr>
            </w:pPr>
          </w:p>
        </w:tc>
      </w:tr>
      <w:tr w14:paraId="665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73FE468">
            <w:pPr>
              <w:widowControl/>
              <w:spacing w:after="0" w:line="360" w:lineRule="auto"/>
              <w:jc w:val="center"/>
              <w:rPr>
                <w:szCs w:val="21"/>
                <w:highlight w:val="none"/>
              </w:rPr>
            </w:pPr>
            <w:r>
              <w:rPr>
                <w:kern w:val="0"/>
                <w:szCs w:val="21"/>
                <w:highlight w:val="none"/>
              </w:rPr>
              <w:t>4</w:t>
            </w:r>
          </w:p>
        </w:tc>
        <w:tc>
          <w:tcPr>
            <w:tcW w:w="1322" w:type="pct"/>
            <w:tcBorders>
              <w:top w:val="single" w:color="auto" w:sz="4" w:space="0"/>
              <w:left w:val="single" w:color="auto" w:sz="4" w:space="0"/>
              <w:bottom w:val="single" w:color="auto" w:sz="4" w:space="0"/>
              <w:right w:val="single" w:color="auto" w:sz="4" w:space="0"/>
            </w:tcBorders>
            <w:vAlign w:val="center"/>
          </w:tcPr>
          <w:p w14:paraId="392A13AB">
            <w:pPr>
              <w:widowControl/>
              <w:spacing w:after="0" w:line="360" w:lineRule="auto"/>
              <w:jc w:val="center"/>
              <w:rPr>
                <w:kern w:val="0"/>
                <w:szCs w:val="21"/>
                <w:highlight w:val="none"/>
              </w:rPr>
            </w:pPr>
            <w:r>
              <w:rPr>
                <w:kern w:val="0"/>
                <w:szCs w:val="21"/>
                <w:highlight w:val="none"/>
              </w:rPr>
              <w:t>下陈街道办事处</w:t>
            </w:r>
          </w:p>
        </w:tc>
        <w:tc>
          <w:tcPr>
            <w:tcW w:w="660" w:type="pct"/>
            <w:tcBorders>
              <w:top w:val="single" w:color="auto" w:sz="4" w:space="0"/>
              <w:left w:val="single" w:color="auto" w:sz="4" w:space="0"/>
              <w:bottom w:val="single" w:color="auto" w:sz="4" w:space="0"/>
              <w:right w:val="single" w:color="auto" w:sz="4" w:space="0"/>
            </w:tcBorders>
            <w:vAlign w:val="center"/>
          </w:tcPr>
          <w:p w14:paraId="1E414F34">
            <w:pPr>
              <w:spacing w:after="0" w:line="360" w:lineRule="auto"/>
              <w:jc w:val="center"/>
              <w:rPr>
                <w:szCs w:val="21"/>
                <w:highlight w:val="none"/>
              </w:rPr>
            </w:pPr>
            <w:r>
              <w:rPr>
                <w:szCs w:val="21"/>
                <w:highlight w:val="none"/>
              </w:rPr>
              <w:t>1</w:t>
            </w:r>
          </w:p>
        </w:tc>
        <w:tc>
          <w:tcPr>
            <w:tcW w:w="1609" w:type="pct"/>
            <w:tcBorders>
              <w:top w:val="single" w:color="auto" w:sz="4" w:space="0"/>
              <w:left w:val="single" w:color="auto" w:sz="4" w:space="0"/>
              <w:bottom w:val="single" w:color="auto" w:sz="4" w:space="0"/>
              <w:right w:val="single" w:color="auto" w:sz="4" w:space="0"/>
            </w:tcBorders>
            <w:vAlign w:val="center"/>
          </w:tcPr>
          <w:p w14:paraId="4A884DB0">
            <w:pPr>
              <w:spacing w:after="0" w:line="360" w:lineRule="auto"/>
              <w:jc w:val="center"/>
              <w:rPr>
                <w:szCs w:val="21"/>
                <w:highlight w:val="none"/>
              </w:rPr>
            </w:pPr>
            <w:r>
              <w:rPr>
                <w:szCs w:val="21"/>
                <w:highlight w:val="none"/>
              </w:rPr>
              <w:t>1年</w:t>
            </w:r>
          </w:p>
        </w:tc>
        <w:tc>
          <w:tcPr>
            <w:tcW w:w="998" w:type="pct"/>
            <w:vMerge w:val="continue"/>
            <w:tcBorders>
              <w:left w:val="single" w:color="auto" w:sz="4" w:space="0"/>
              <w:right w:val="single" w:color="auto" w:sz="4" w:space="0"/>
            </w:tcBorders>
            <w:vAlign w:val="center"/>
          </w:tcPr>
          <w:p w14:paraId="6A1943EF">
            <w:pPr>
              <w:widowControl/>
              <w:spacing w:after="0" w:line="360" w:lineRule="auto"/>
              <w:jc w:val="center"/>
              <w:rPr>
                <w:szCs w:val="21"/>
                <w:highlight w:val="none"/>
              </w:rPr>
            </w:pPr>
          </w:p>
        </w:tc>
      </w:tr>
      <w:tr w14:paraId="3C32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28900F15">
            <w:pPr>
              <w:widowControl/>
              <w:spacing w:after="0" w:line="360" w:lineRule="auto"/>
              <w:jc w:val="center"/>
              <w:rPr>
                <w:szCs w:val="21"/>
                <w:highlight w:val="none"/>
              </w:rPr>
            </w:pPr>
            <w:r>
              <w:rPr>
                <w:kern w:val="0"/>
                <w:szCs w:val="21"/>
                <w:highlight w:val="none"/>
              </w:rPr>
              <w:t>5</w:t>
            </w:r>
          </w:p>
        </w:tc>
        <w:tc>
          <w:tcPr>
            <w:tcW w:w="1322" w:type="pct"/>
            <w:tcBorders>
              <w:top w:val="single" w:color="auto" w:sz="4" w:space="0"/>
              <w:left w:val="single" w:color="auto" w:sz="4" w:space="0"/>
              <w:bottom w:val="single" w:color="auto" w:sz="4" w:space="0"/>
              <w:right w:val="single" w:color="auto" w:sz="4" w:space="0"/>
            </w:tcBorders>
            <w:vAlign w:val="center"/>
          </w:tcPr>
          <w:p w14:paraId="399F6FEC">
            <w:pPr>
              <w:widowControl/>
              <w:spacing w:after="0" w:line="360" w:lineRule="auto"/>
              <w:jc w:val="center"/>
              <w:rPr>
                <w:kern w:val="0"/>
                <w:szCs w:val="21"/>
                <w:highlight w:val="none"/>
              </w:rPr>
            </w:pPr>
            <w:r>
              <w:rPr>
                <w:kern w:val="0"/>
                <w:szCs w:val="21"/>
                <w:highlight w:val="none"/>
              </w:rPr>
              <w:t>大陈镇人民政府</w:t>
            </w:r>
          </w:p>
        </w:tc>
        <w:tc>
          <w:tcPr>
            <w:tcW w:w="660" w:type="pct"/>
            <w:tcBorders>
              <w:top w:val="single" w:color="auto" w:sz="4" w:space="0"/>
              <w:left w:val="single" w:color="auto" w:sz="4" w:space="0"/>
              <w:bottom w:val="single" w:color="auto" w:sz="4" w:space="0"/>
              <w:right w:val="single" w:color="auto" w:sz="4" w:space="0"/>
            </w:tcBorders>
            <w:vAlign w:val="center"/>
          </w:tcPr>
          <w:p w14:paraId="34957BAA">
            <w:pPr>
              <w:spacing w:after="0" w:line="360" w:lineRule="auto"/>
              <w:jc w:val="center"/>
              <w:rPr>
                <w:szCs w:val="21"/>
                <w:highlight w:val="none"/>
              </w:rPr>
            </w:pPr>
            <w:r>
              <w:rPr>
                <w:szCs w:val="21"/>
                <w:highlight w:val="none"/>
              </w:rPr>
              <w:t>1</w:t>
            </w:r>
          </w:p>
        </w:tc>
        <w:tc>
          <w:tcPr>
            <w:tcW w:w="1609" w:type="pct"/>
            <w:tcBorders>
              <w:top w:val="single" w:color="auto" w:sz="4" w:space="0"/>
              <w:left w:val="single" w:color="auto" w:sz="4" w:space="0"/>
              <w:bottom w:val="single" w:color="auto" w:sz="4" w:space="0"/>
              <w:right w:val="single" w:color="auto" w:sz="4" w:space="0"/>
            </w:tcBorders>
            <w:vAlign w:val="center"/>
          </w:tcPr>
          <w:p w14:paraId="65B5F4CF">
            <w:pPr>
              <w:spacing w:after="0" w:line="360" w:lineRule="auto"/>
              <w:jc w:val="center"/>
              <w:rPr>
                <w:szCs w:val="21"/>
                <w:highlight w:val="none"/>
              </w:rPr>
            </w:pPr>
            <w:r>
              <w:rPr>
                <w:szCs w:val="21"/>
                <w:highlight w:val="none"/>
              </w:rPr>
              <w:t>1年</w:t>
            </w:r>
          </w:p>
        </w:tc>
        <w:tc>
          <w:tcPr>
            <w:tcW w:w="998" w:type="pct"/>
            <w:vMerge w:val="continue"/>
            <w:tcBorders>
              <w:left w:val="single" w:color="auto" w:sz="4" w:space="0"/>
              <w:right w:val="single" w:color="auto" w:sz="4" w:space="0"/>
            </w:tcBorders>
            <w:vAlign w:val="center"/>
          </w:tcPr>
          <w:p w14:paraId="107D910E">
            <w:pPr>
              <w:widowControl/>
              <w:spacing w:after="0" w:line="360" w:lineRule="auto"/>
              <w:jc w:val="center"/>
              <w:rPr>
                <w:szCs w:val="21"/>
                <w:highlight w:val="none"/>
              </w:rPr>
            </w:pPr>
          </w:p>
        </w:tc>
      </w:tr>
      <w:bookmarkEnd w:id="45"/>
      <w:tr w14:paraId="18FD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6042B47">
            <w:pPr>
              <w:spacing w:after="0" w:line="360" w:lineRule="auto"/>
              <w:jc w:val="left"/>
              <w:rPr>
                <w:szCs w:val="21"/>
                <w:highlight w:val="none"/>
              </w:rPr>
            </w:pPr>
            <w:r>
              <w:rPr>
                <w:szCs w:val="21"/>
                <w:highlight w:val="none"/>
              </w:rPr>
              <w:t>（备注：至合同签订日的运维费用由中标单位按中标价折算支付给原维护单位，各投标人需做出承诺。）</w:t>
            </w:r>
          </w:p>
        </w:tc>
      </w:tr>
    </w:tbl>
    <w:p w14:paraId="4442A1F0">
      <w:pPr>
        <w:pStyle w:val="94"/>
        <w:spacing w:line="360" w:lineRule="auto"/>
        <w:ind w:firstLine="480" w:firstLineChars="200"/>
        <w:rPr>
          <w:kern w:val="0"/>
          <w:sz w:val="24"/>
          <w:szCs w:val="24"/>
          <w:highlight w:val="none"/>
          <w:lang w:bidi="ar"/>
        </w:rPr>
      </w:pPr>
      <w:r>
        <w:rPr>
          <w:kern w:val="0"/>
          <w:sz w:val="24"/>
          <w:szCs w:val="24"/>
          <w:highlight w:val="none"/>
          <w:lang w:bidi="ar"/>
        </w:rPr>
        <w:t>（二）监测站点现有仪器情况</w:t>
      </w:r>
    </w:p>
    <w:tbl>
      <w:tblPr>
        <w:tblStyle w:val="29"/>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2041"/>
        <w:gridCol w:w="2100"/>
        <w:gridCol w:w="1965"/>
      </w:tblGrid>
      <w:tr w14:paraId="5E17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50" w:type="pct"/>
            <w:tcBorders>
              <w:top w:val="single" w:color="auto" w:sz="4" w:space="0"/>
              <w:left w:val="single" w:color="auto" w:sz="4" w:space="0"/>
              <w:bottom w:val="single" w:color="auto" w:sz="4" w:space="0"/>
              <w:right w:val="single" w:color="auto" w:sz="4" w:space="0"/>
            </w:tcBorders>
            <w:vAlign w:val="center"/>
          </w:tcPr>
          <w:p w14:paraId="4B4B5CA3">
            <w:pPr>
              <w:spacing w:after="0" w:line="360" w:lineRule="auto"/>
              <w:jc w:val="center"/>
              <w:rPr>
                <w:szCs w:val="21"/>
                <w:highlight w:val="none"/>
              </w:rPr>
            </w:pPr>
            <w:r>
              <w:rPr>
                <w:kern w:val="0"/>
                <w:szCs w:val="21"/>
                <w:highlight w:val="none"/>
                <w:lang w:bidi="ar"/>
              </w:rPr>
              <w:t>主要内容</w:t>
            </w:r>
          </w:p>
        </w:tc>
        <w:tc>
          <w:tcPr>
            <w:tcW w:w="1253" w:type="pct"/>
            <w:tcBorders>
              <w:top w:val="single" w:color="auto" w:sz="4" w:space="0"/>
              <w:left w:val="single" w:color="auto" w:sz="4" w:space="0"/>
              <w:bottom w:val="single" w:color="auto" w:sz="4" w:space="0"/>
              <w:right w:val="single" w:color="auto" w:sz="4" w:space="0"/>
            </w:tcBorders>
            <w:vAlign w:val="center"/>
          </w:tcPr>
          <w:p w14:paraId="252DBB00">
            <w:pPr>
              <w:spacing w:after="0" w:line="360" w:lineRule="auto"/>
              <w:jc w:val="center"/>
              <w:rPr>
                <w:szCs w:val="21"/>
                <w:highlight w:val="none"/>
              </w:rPr>
            </w:pPr>
            <w:r>
              <w:rPr>
                <w:kern w:val="0"/>
                <w:szCs w:val="21"/>
                <w:highlight w:val="none"/>
                <w:lang w:bidi="ar"/>
              </w:rPr>
              <w:t>仪器型号</w:t>
            </w:r>
          </w:p>
        </w:tc>
        <w:tc>
          <w:tcPr>
            <w:tcW w:w="1289" w:type="pct"/>
            <w:tcBorders>
              <w:top w:val="single" w:color="auto" w:sz="4" w:space="0"/>
              <w:left w:val="single" w:color="auto" w:sz="4" w:space="0"/>
              <w:bottom w:val="single" w:color="auto" w:sz="4" w:space="0"/>
              <w:right w:val="single" w:color="auto" w:sz="4" w:space="0"/>
            </w:tcBorders>
            <w:vAlign w:val="center"/>
          </w:tcPr>
          <w:p w14:paraId="666BA40C">
            <w:pPr>
              <w:spacing w:after="0" w:line="360" w:lineRule="auto"/>
              <w:jc w:val="center"/>
              <w:rPr>
                <w:kern w:val="0"/>
                <w:szCs w:val="21"/>
                <w:highlight w:val="none"/>
                <w:lang w:bidi="ar"/>
              </w:rPr>
            </w:pPr>
            <w:r>
              <w:rPr>
                <w:kern w:val="0"/>
                <w:szCs w:val="21"/>
                <w:highlight w:val="none"/>
                <w:lang w:bidi="ar"/>
              </w:rPr>
              <w:t>数量(台/套)</w:t>
            </w:r>
          </w:p>
        </w:tc>
        <w:tc>
          <w:tcPr>
            <w:tcW w:w="1206" w:type="pct"/>
            <w:tcBorders>
              <w:top w:val="single" w:color="auto" w:sz="4" w:space="0"/>
              <w:left w:val="single" w:color="auto" w:sz="4" w:space="0"/>
              <w:bottom w:val="single" w:color="auto" w:sz="4" w:space="0"/>
              <w:right w:val="single" w:color="auto" w:sz="4" w:space="0"/>
            </w:tcBorders>
            <w:vAlign w:val="center"/>
          </w:tcPr>
          <w:p w14:paraId="4A815147">
            <w:pPr>
              <w:spacing w:after="0" w:line="360" w:lineRule="auto"/>
              <w:jc w:val="center"/>
              <w:rPr>
                <w:szCs w:val="21"/>
                <w:highlight w:val="none"/>
              </w:rPr>
            </w:pPr>
            <w:r>
              <w:rPr>
                <w:kern w:val="0"/>
                <w:szCs w:val="21"/>
                <w:highlight w:val="none"/>
                <w:lang w:bidi="ar"/>
              </w:rPr>
              <w:t>生产厂家</w:t>
            </w:r>
          </w:p>
        </w:tc>
      </w:tr>
      <w:tr w14:paraId="6731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55074C3D">
            <w:pPr>
              <w:spacing w:after="0" w:line="360" w:lineRule="auto"/>
              <w:jc w:val="center"/>
              <w:rPr>
                <w:szCs w:val="21"/>
                <w:highlight w:val="none"/>
              </w:rPr>
            </w:pPr>
            <w:r>
              <w:rPr>
                <w:szCs w:val="21"/>
                <w:highlight w:val="none"/>
              </w:rPr>
              <w:t>PM2.5分析仪</w:t>
            </w:r>
          </w:p>
        </w:tc>
        <w:tc>
          <w:tcPr>
            <w:tcW w:w="1253" w:type="pct"/>
            <w:tcBorders>
              <w:top w:val="single" w:color="auto" w:sz="4" w:space="0"/>
              <w:left w:val="single" w:color="auto" w:sz="4" w:space="0"/>
              <w:bottom w:val="single" w:color="auto" w:sz="4" w:space="0"/>
              <w:right w:val="single" w:color="auto" w:sz="4" w:space="0"/>
            </w:tcBorders>
            <w:vAlign w:val="center"/>
          </w:tcPr>
          <w:p w14:paraId="1404B50D">
            <w:pPr>
              <w:spacing w:after="0" w:line="360" w:lineRule="auto"/>
              <w:jc w:val="center"/>
              <w:rPr>
                <w:szCs w:val="21"/>
                <w:highlight w:val="none"/>
              </w:rPr>
            </w:pPr>
            <w:r>
              <w:rPr>
                <w:szCs w:val="21"/>
                <w:highlight w:val="none"/>
              </w:rPr>
              <w:t>5030i</w:t>
            </w:r>
          </w:p>
        </w:tc>
        <w:tc>
          <w:tcPr>
            <w:tcW w:w="1289" w:type="pct"/>
            <w:tcBorders>
              <w:top w:val="single" w:color="auto" w:sz="4" w:space="0"/>
              <w:left w:val="single" w:color="auto" w:sz="4" w:space="0"/>
              <w:bottom w:val="single" w:color="auto" w:sz="4" w:space="0"/>
              <w:right w:val="single" w:color="auto" w:sz="4" w:space="0"/>
            </w:tcBorders>
            <w:vAlign w:val="center"/>
          </w:tcPr>
          <w:p w14:paraId="13A274FD">
            <w:pPr>
              <w:spacing w:after="0" w:line="360" w:lineRule="auto"/>
              <w:jc w:val="center"/>
              <w:rPr>
                <w:szCs w:val="21"/>
                <w:highlight w:val="none"/>
              </w:rPr>
            </w:pPr>
            <w:r>
              <w:rPr>
                <w:szCs w:val="21"/>
                <w:highlight w:val="none"/>
              </w:rPr>
              <w:t>5</w:t>
            </w:r>
          </w:p>
        </w:tc>
        <w:tc>
          <w:tcPr>
            <w:tcW w:w="1206" w:type="pct"/>
            <w:tcBorders>
              <w:top w:val="single" w:color="auto" w:sz="4" w:space="0"/>
              <w:left w:val="single" w:color="auto" w:sz="4" w:space="0"/>
              <w:right w:val="single" w:color="auto" w:sz="4" w:space="0"/>
            </w:tcBorders>
            <w:vAlign w:val="center"/>
          </w:tcPr>
          <w:p w14:paraId="5A6EC967">
            <w:pPr>
              <w:widowControl/>
              <w:spacing w:after="0" w:line="360" w:lineRule="auto"/>
              <w:jc w:val="center"/>
              <w:textAlignment w:val="center"/>
              <w:rPr>
                <w:szCs w:val="21"/>
                <w:highlight w:val="none"/>
              </w:rPr>
            </w:pPr>
            <w:r>
              <w:rPr>
                <w:szCs w:val="21"/>
                <w:highlight w:val="none"/>
              </w:rPr>
              <w:t>赛默飞</w:t>
            </w:r>
          </w:p>
        </w:tc>
      </w:tr>
      <w:tr w14:paraId="3A2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ADBBCE7">
            <w:pPr>
              <w:spacing w:after="0" w:line="360" w:lineRule="auto"/>
              <w:jc w:val="center"/>
              <w:rPr>
                <w:szCs w:val="21"/>
                <w:highlight w:val="none"/>
              </w:rPr>
            </w:pPr>
            <w:r>
              <w:rPr>
                <w:szCs w:val="21"/>
                <w:highlight w:val="none"/>
              </w:rPr>
              <w:t>PM10分析仪</w:t>
            </w:r>
          </w:p>
        </w:tc>
        <w:tc>
          <w:tcPr>
            <w:tcW w:w="1253" w:type="pct"/>
            <w:tcBorders>
              <w:top w:val="single" w:color="auto" w:sz="4" w:space="0"/>
              <w:left w:val="single" w:color="auto" w:sz="4" w:space="0"/>
              <w:bottom w:val="single" w:color="auto" w:sz="4" w:space="0"/>
              <w:right w:val="single" w:color="auto" w:sz="4" w:space="0"/>
            </w:tcBorders>
            <w:vAlign w:val="center"/>
          </w:tcPr>
          <w:p w14:paraId="0AEAE03C">
            <w:pPr>
              <w:spacing w:after="0" w:line="360" w:lineRule="auto"/>
              <w:jc w:val="center"/>
              <w:rPr>
                <w:szCs w:val="21"/>
                <w:highlight w:val="none"/>
              </w:rPr>
            </w:pPr>
            <w:r>
              <w:rPr>
                <w:szCs w:val="21"/>
                <w:highlight w:val="none"/>
              </w:rPr>
              <w:t>5030i</w:t>
            </w:r>
          </w:p>
        </w:tc>
        <w:tc>
          <w:tcPr>
            <w:tcW w:w="1289" w:type="pct"/>
            <w:tcBorders>
              <w:top w:val="single" w:color="auto" w:sz="4" w:space="0"/>
              <w:left w:val="single" w:color="auto" w:sz="4" w:space="0"/>
              <w:bottom w:val="single" w:color="auto" w:sz="4" w:space="0"/>
              <w:right w:val="single" w:color="auto" w:sz="4" w:space="0"/>
            </w:tcBorders>
            <w:vAlign w:val="center"/>
          </w:tcPr>
          <w:p w14:paraId="6FA90A14">
            <w:pPr>
              <w:spacing w:after="0" w:line="360" w:lineRule="auto"/>
              <w:jc w:val="center"/>
              <w:rPr>
                <w:szCs w:val="21"/>
                <w:highlight w:val="none"/>
              </w:rPr>
            </w:pPr>
            <w:r>
              <w:rPr>
                <w:szCs w:val="21"/>
                <w:highlight w:val="none"/>
              </w:rPr>
              <w:t>5</w:t>
            </w:r>
          </w:p>
        </w:tc>
        <w:tc>
          <w:tcPr>
            <w:tcW w:w="1206" w:type="pct"/>
            <w:tcBorders>
              <w:top w:val="single" w:color="auto" w:sz="4" w:space="0"/>
              <w:left w:val="single" w:color="auto" w:sz="4" w:space="0"/>
              <w:right w:val="single" w:color="auto" w:sz="4" w:space="0"/>
            </w:tcBorders>
            <w:vAlign w:val="center"/>
          </w:tcPr>
          <w:p w14:paraId="42F48884">
            <w:pPr>
              <w:widowControl/>
              <w:spacing w:after="0" w:line="360" w:lineRule="auto"/>
              <w:jc w:val="center"/>
              <w:textAlignment w:val="center"/>
              <w:rPr>
                <w:szCs w:val="21"/>
                <w:highlight w:val="none"/>
              </w:rPr>
            </w:pPr>
            <w:r>
              <w:rPr>
                <w:szCs w:val="21"/>
                <w:highlight w:val="none"/>
              </w:rPr>
              <w:t>赛默飞</w:t>
            </w:r>
          </w:p>
        </w:tc>
      </w:tr>
      <w:tr w14:paraId="730E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6212EE3E">
            <w:pPr>
              <w:spacing w:after="0" w:line="360" w:lineRule="auto"/>
              <w:jc w:val="center"/>
              <w:rPr>
                <w:szCs w:val="21"/>
                <w:highlight w:val="none"/>
              </w:rPr>
            </w:pPr>
            <w:r>
              <w:rPr>
                <w:szCs w:val="21"/>
                <w:highlight w:val="none"/>
              </w:rPr>
              <w:t>臭氧分析仪</w:t>
            </w:r>
          </w:p>
        </w:tc>
        <w:tc>
          <w:tcPr>
            <w:tcW w:w="1253" w:type="pct"/>
            <w:tcBorders>
              <w:top w:val="single" w:color="auto" w:sz="4" w:space="0"/>
              <w:left w:val="single" w:color="auto" w:sz="4" w:space="0"/>
              <w:bottom w:val="single" w:color="auto" w:sz="4" w:space="0"/>
              <w:right w:val="single" w:color="auto" w:sz="4" w:space="0"/>
            </w:tcBorders>
            <w:vAlign w:val="center"/>
          </w:tcPr>
          <w:p w14:paraId="0B4AA335">
            <w:pPr>
              <w:spacing w:after="0" w:line="360" w:lineRule="auto"/>
              <w:jc w:val="center"/>
              <w:rPr>
                <w:szCs w:val="21"/>
                <w:highlight w:val="none"/>
                <w:lang w:val="zh-CN"/>
              </w:rPr>
            </w:pPr>
            <w:r>
              <w:rPr>
                <w:szCs w:val="21"/>
                <w:highlight w:val="none"/>
                <w:lang w:val="zh-CN"/>
              </w:rPr>
              <w:t>49i</w:t>
            </w:r>
          </w:p>
        </w:tc>
        <w:tc>
          <w:tcPr>
            <w:tcW w:w="1289" w:type="pct"/>
            <w:tcBorders>
              <w:top w:val="single" w:color="auto" w:sz="4" w:space="0"/>
              <w:left w:val="single" w:color="auto" w:sz="4" w:space="0"/>
              <w:bottom w:val="single" w:color="auto" w:sz="4" w:space="0"/>
              <w:right w:val="single" w:color="auto" w:sz="4" w:space="0"/>
            </w:tcBorders>
            <w:vAlign w:val="center"/>
          </w:tcPr>
          <w:p w14:paraId="4963E432">
            <w:pPr>
              <w:spacing w:after="0" w:line="360" w:lineRule="auto"/>
              <w:jc w:val="center"/>
              <w:rPr>
                <w:szCs w:val="21"/>
                <w:highlight w:val="none"/>
              </w:rPr>
            </w:pPr>
            <w:r>
              <w:rPr>
                <w:szCs w:val="21"/>
                <w:highlight w:val="none"/>
              </w:rPr>
              <w:t>5</w:t>
            </w:r>
          </w:p>
        </w:tc>
        <w:tc>
          <w:tcPr>
            <w:tcW w:w="1206" w:type="pct"/>
            <w:tcBorders>
              <w:top w:val="single" w:color="auto" w:sz="4" w:space="0"/>
              <w:left w:val="single" w:color="auto" w:sz="4" w:space="0"/>
              <w:right w:val="single" w:color="auto" w:sz="4" w:space="0"/>
            </w:tcBorders>
            <w:vAlign w:val="center"/>
          </w:tcPr>
          <w:p w14:paraId="183637FF">
            <w:pPr>
              <w:widowControl/>
              <w:spacing w:after="0" w:line="360" w:lineRule="auto"/>
              <w:jc w:val="center"/>
              <w:textAlignment w:val="center"/>
              <w:rPr>
                <w:szCs w:val="21"/>
                <w:highlight w:val="none"/>
              </w:rPr>
            </w:pPr>
            <w:r>
              <w:rPr>
                <w:szCs w:val="21"/>
                <w:highlight w:val="none"/>
              </w:rPr>
              <w:t>赛默飞</w:t>
            </w:r>
          </w:p>
        </w:tc>
      </w:tr>
      <w:tr w14:paraId="25A7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1C9B052B">
            <w:pPr>
              <w:spacing w:after="0" w:line="360" w:lineRule="auto"/>
              <w:jc w:val="center"/>
              <w:rPr>
                <w:szCs w:val="21"/>
                <w:highlight w:val="none"/>
              </w:rPr>
            </w:pPr>
            <w:r>
              <w:rPr>
                <w:szCs w:val="21"/>
                <w:highlight w:val="none"/>
              </w:rPr>
              <w:t>臭氧校准仪</w:t>
            </w:r>
          </w:p>
        </w:tc>
        <w:tc>
          <w:tcPr>
            <w:tcW w:w="1253" w:type="pct"/>
            <w:tcBorders>
              <w:top w:val="single" w:color="auto" w:sz="4" w:space="0"/>
              <w:left w:val="single" w:color="auto" w:sz="4" w:space="0"/>
              <w:bottom w:val="single" w:color="auto" w:sz="4" w:space="0"/>
              <w:right w:val="single" w:color="auto" w:sz="4" w:space="0"/>
            </w:tcBorders>
            <w:vAlign w:val="center"/>
          </w:tcPr>
          <w:p w14:paraId="02220024">
            <w:pPr>
              <w:spacing w:after="0" w:line="360" w:lineRule="auto"/>
              <w:jc w:val="center"/>
              <w:rPr>
                <w:szCs w:val="21"/>
                <w:highlight w:val="none"/>
              </w:rPr>
            </w:pPr>
            <w:r>
              <w:rPr>
                <w:szCs w:val="21"/>
                <w:highlight w:val="none"/>
                <w:lang w:val="zh-CN"/>
              </w:rPr>
              <w:t>49i</w:t>
            </w:r>
            <w:r>
              <w:rPr>
                <w:szCs w:val="21"/>
                <w:highlight w:val="none"/>
              </w:rPr>
              <w:t>-PS</w:t>
            </w:r>
          </w:p>
        </w:tc>
        <w:tc>
          <w:tcPr>
            <w:tcW w:w="1289" w:type="pct"/>
            <w:tcBorders>
              <w:top w:val="single" w:color="auto" w:sz="4" w:space="0"/>
              <w:left w:val="single" w:color="auto" w:sz="4" w:space="0"/>
              <w:bottom w:val="single" w:color="auto" w:sz="4" w:space="0"/>
              <w:right w:val="single" w:color="auto" w:sz="4" w:space="0"/>
            </w:tcBorders>
            <w:vAlign w:val="center"/>
          </w:tcPr>
          <w:p w14:paraId="6D6C1D6C">
            <w:pPr>
              <w:spacing w:after="0" w:line="360" w:lineRule="auto"/>
              <w:jc w:val="center"/>
              <w:rPr>
                <w:szCs w:val="21"/>
                <w:highlight w:val="none"/>
              </w:rPr>
            </w:pPr>
            <w:r>
              <w:rPr>
                <w:szCs w:val="21"/>
                <w:highlight w:val="none"/>
              </w:rPr>
              <w:t>1</w:t>
            </w:r>
          </w:p>
        </w:tc>
        <w:tc>
          <w:tcPr>
            <w:tcW w:w="1206" w:type="pct"/>
            <w:tcBorders>
              <w:top w:val="single" w:color="auto" w:sz="4" w:space="0"/>
              <w:left w:val="single" w:color="auto" w:sz="4" w:space="0"/>
              <w:right w:val="single" w:color="auto" w:sz="4" w:space="0"/>
            </w:tcBorders>
            <w:vAlign w:val="center"/>
          </w:tcPr>
          <w:p w14:paraId="67B1A8DA">
            <w:pPr>
              <w:widowControl/>
              <w:spacing w:after="0" w:line="360" w:lineRule="auto"/>
              <w:jc w:val="center"/>
              <w:textAlignment w:val="center"/>
              <w:rPr>
                <w:szCs w:val="21"/>
                <w:highlight w:val="none"/>
              </w:rPr>
            </w:pPr>
            <w:r>
              <w:rPr>
                <w:szCs w:val="21"/>
                <w:highlight w:val="none"/>
              </w:rPr>
              <w:t>赛默飞</w:t>
            </w:r>
          </w:p>
        </w:tc>
      </w:tr>
      <w:tr w14:paraId="15FF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2B557BDA">
            <w:pPr>
              <w:widowControl/>
              <w:spacing w:after="0" w:line="360" w:lineRule="auto"/>
              <w:jc w:val="center"/>
              <w:rPr>
                <w:szCs w:val="21"/>
                <w:highlight w:val="none"/>
              </w:rPr>
            </w:pPr>
            <w:r>
              <w:rPr>
                <w:szCs w:val="21"/>
                <w:highlight w:val="none"/>
              </w:rPr>
              <w:t>气象六参数</w:t>
            </w:r>
          </w:p>
        </w:tc>
        <w:tc>
          <w:tcPr>
            <w:tcW w:w="1253" w:type="pct"/>
            <w:tcBorders>
              <w:top w:val="single" w:color="auto" w:sz="4" w:space="0"/>
              <w:left w:val="single" w:color="auto" w:sz="4" w:space="0"/>
              <w:bottom w:val="single" w:color="auto" w:sz="4" w:space="0"/>
              <w:right w:val="single" w:color="auto" w:sz="4" w:space="0"/>
            </w:tcBorders>
            <w:vAlign w:val="center"/>
          </w:tcPr>
          <w:p w14:paraId="097D280D">
            <w:pPr>
              <w:widowControl/>
              <w:spacing w:after="0" w:line="360" w:lineRule="auto"/>
              <w:jc w:val="center"/>
              <w:textAlignment w:val="center"/>
              <w:rPr>
                <w:szCs w:val="21"/>
                <w:highlight w:val="none"/>
              </w:rPr>
            </w:pPr>
            <w:r>
              <w:rPr>
                <w:highlight w:val="none"/>
              </w:rPr>
              <w:t>WXT536</w:t>
            </w:r>
          </w:p>
        </w:tc>
        <w:tc>
          <w:tcPr>
            <w:tcW w:w="1289" w:type="pct"/>
            <w:tcBorders>
              <w:top w:val="single" w:color="auto" w:sz="4" w:space="0"/>
              <w:left w:val="single" w:color="auto" w:sz="4" w:space="0"/>
              <w:bottom w:val="single" w:color="auto" w:sz="4" w:space="0"/>
              <w:right w:val="single" w:color="auto" w:sz="4" w:space="0"/>
            </w:tcBorders>
            <w:vAlign w:val="center"/>
          </w:tcPr>
          <w:p w14:paraId="217623A3">
            <w:pPr>
              <w:widowControl/>
              <w:spacing w:after="0" w:line="360" w:lineRule="auto"/>
              <w:jc w:val="center"/>
              <w:textAlignment w:val="center"/>
              <w:rPr>
                <w:kern w:val="0"/>
                <w:szCs w:val="21"/>
                <w:highlight w:val="none"/>
                <w:lang w:bidi="ar"/>
              </w:rPr>
            </w:pPr>
            <w:r>
              <w:rPr>
                <w:kern w:val="0"/>
                <w:szCs w:val="21"/>
                <w:highlight w:val="none"/>
                <w:lang w:bidi="ar"/>
              </w:rPr>
              <w:t>5</w:t>
            </w:r>
          </w:p>
        </w:tc>
        <w:tc>
          <w:tcPr>
            <w:tcW w:w="1206" w:type="pct"/>
            <w:tcBorders>
              <w:top w:val="single" w:color="auto" w:sz="4" w:space="0"/>
              <w:left w:val="single" w:color="auto" w:sz="4" w:space="0"/>
              <w:bottom w:val="single" w:color="auto" w:sz="4" w:space="0"/>
              <w:right w:val="single" w:color="auto" w:sz="4" w:space="0"/>
            </w:tcBorders>
            <w:vAlign w:val="center"/>
          </w:tcPr>
          <w:p w14:paraId="4C41DE6F">
            <w:pPr>
              <w:widowControl/>
              <w:spacing w:after="0" w:line="360" w:lineRule="auto"/>
              <w:jc w:val="center"/>
              <w:rPr>
                <w:szCs w:val="21"/>
                <w:highlight w:val="none"/>
              </w:rPr>
            </w:pPr>
            <w:r>
              <w:rPr>
                <w:szCs w:val="21"/>
                <w:highlight w:val="none"/>
              </w:rPr>
              <w:t>芬兰维萨拉</w:t>
            </w:r>
          </w:p>
        </w:tc>
      </w:tr>
    </w:tbl>
    <w:p w14:paraId="7894CE01">
      <w:pPr>
        <w:pStyle w:val="94"/>
        <w:spacing w:line="360" w:lineRule="auto"/>
        <w:ind w:firstLine="480" w:firstLineChars="200"/>
        <w:rPr>
          <w:kern w:val="0"/>
          <w:sz w:val="24"/>
          <w:szCs w:val="24"/>
          <w:highlight w:val="none"/>
          <w:lang w:bidi="ar"/>
        </w:rPr>
      </w:pPr>
      <w:r>
        <w:rPr>
          <w:kern w:val="0"/>
          <w:sz w:val="24"/>
          <w:szCs w:val="24"/>
          <w:highlight w:val="none"/>
          <w:lang w:bidi="ar"/>
        </w:rPr>
        <w:t>（三）仪器年度运行质量目标</w:t>
      </w:r>
    </w:p>
    <w:p w14:paraId="7FAFEC4D">
      <w:pPr>
        <w:pStyle w:val="94"/>
        <w:spacing w:line="360" w:lineRule="auto"/>
        <w:ind w:firstLine="480" w:firstLineChars="200"/>
        <w:rPr>
          <w:kern w:val="0"/>
          <w:sz w:val="24"/>
          <w:szCs w:val="24"/>
          <w:highlight w:val="none"/>
          <w:lang w:bidi="ar"/>
        </w:rPr>
      </w:pPr>
      <w:r>
        <w:rPr>
          <w:kern w:val="0"/>
          <w:sz w:val="24"/>
          <w:szCs w:val="24"/>
          <w:highlight w:val="none"/>
          <w:lang w:bidi="ar"/>
        </w:rPr>
        <w:t>中标人必须建立完善的运行维护工作规范与质量管理体系，确保提供及时、准确、有效的监测数据，站点的运行质量应达到以下指标：</w:t>
      </w:r>
    </w:p>
    <w:tbl>
      <w:tblPr>
        <w:tblStyle w:val="29"/>
        <w:tblW w:w="47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4"/>
        <w:gridCol w:w="4040"/>
      </w:tblGrid>
      <w:tr w14:paraId="5A51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8" w:type="pct"/>
            <w:tcBorders>
              <w:top w:val="single" w:color="auto" w:sz="4" w:space="0"/>
              <w:left w:val="single" w:color="auto" w:sz="4" w:space="0"/>
              <w:bottom w:val="single" w:color="auto" w:sz="4" w:space="0"/>
              <w:right w:val="single" w:color="auto" w:sz="4" w:space="0"/>
            </w:tcBorders>
            <w:vAlign w:val="center"/>
          </w:tcPr>
          <w:p w14:paraId="1B095490">
            <w:pPr>
              <w:widowControl/>
              <w:spacing w:after="0" w:line="360" w:lineRule="auto"/>
              <w:jc w:val="center"/>
              <w:rPr>
                <w:bCs/>
                <w:szCs w:val="21"/>
                <w:highlight w:val="none"/>
              </w:rPr>
            </w:pPr>
            <w:r>
              <w:rPr>
                <w:bCs/>
                <w:szCs w:val="21"/>
                <w:highlight w:val="none"/>
              </w:rPr>
              <w:t>设备名称</w:t>
            </w:r>
          </w:p>
        </w:tc>
        <w:tc>
          <w:tcPr>
            <w:tcW w:w="2501" w:type="pct"/>
            <w:tcBorders>
              <w:top w:val="single" w:color="auto" w:sz="4" w:space="0"/>
              <w:left w:val="single" w:color="auto" w:sz="4" w:space="0"/>
              <w:bottom w:val="single" w:color="auto" w:sz="4" w:space="0"/>
              <w:right w:val="single" w:color="auto" w:sz="4" w:space="0"/>
            </w:tcBorders>
            <w:vAlign w:val="center"/>
          </w:tcPr>
          <w:p w14:paraId="4FFDE543">
            <w:pPr>
              <w:widowControl/>
              <w:spacing w:after="0" w:line="360" w:lineRule="auto"/>
              <w:jc w:val="center"/>
              <w:rPr>
                <w:bCs/>
                <w:szCs w:val="21"/>
                <w:highlight w:val="none"/>
              </w:rPr>
            </w:pPr>
            <w:r>
              <w:rPr>
                <w:bCs/>
                <w:szCs w:val="21"/>
                <w:highlight w:val="none"/>
              </w:rPr>
              <w:t>有效数据获取率（不低于）</w:t>
            </w:r>
          </w:p>
        </w:tc>
      </w:tr>
      <w:tr w14:paraId="2763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76C8534C">
            <w:pPr>
              <w:spacing w:after="0" w:line="360" w:lineRule="auto"/>
              <w:jc w:val="center"/>
              <w:rPr>
                <w:szCs w:val="21"/>
                <w:highlight w:val="none"/>
              </w:rPr>
            </w:pPr>
            <w:r>
              <w:rPr>
                <w:szCs w:val="21"/>
                <w:highlight w:val="none"/>
              </w:rPr>
              <w:t>PM2.5分析仪</w:t>
            </w:r>
          </w:p>
        </w:tc>
        <w:tc>
          <w:tcPr>
            <w:tcW w:w="2501" w:type="pct"/>
            <w:tcBorders>
              <w:top w:val="single" w:color="auto" w:sz="4" w:space="0"/>
              <w:left w:val="single" w:color="auto" w:sz="4" w:space="0"/>
              <w:bottom w:val="single" w:color="auto" w:sz="4" w:space="0"/>
              <w:right w:val="single" w:color="auto" w:sz="4" w:space="0"/>
            </w:tcBorders>
            <w:vAlign w:val="center"/>
          </w:tcPr>
          <w:p w14:paraId="7E308B7C">
            <w:pPr>
              <w:widowControl/>
              <w:spacing w:after="0" w:line="360" w:lineRule="auto"/>
              <w:jc w:val="center"/>
              <w:rPr>
                <w:szCs w:val="21"/>
                <w:highlight w:val="none"/>
              </w:rPr>
            </w:pPr>
            <w:r>
              <w:rPr>
                <w:szCs w:val="21"/>
                <w:highlight w:val="none"/>
              </w:rPr>
              <w:t>90%</w:t>
            </w:r>
          </w:p>
        </w:tc>
      </w:tr>
      <w:tr w14:paraId="19BD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216D347">
            <w:pPr>
              <w:spacing w:after="0" w:line="360" w:lineRule="auto"/>
              <w:jc w:val="center"/>
              <w:rPr>
                <w:szCs w:val="21"/>
                <w:highlight w:val="none"/>
              </w:rPr>
            </w:pPr>
            <w:r>
              <w:rPr>
                <w:szCs w:val="21"/>
                <w:highlight w:val="none"/>
              </w:rPr>
              <w:t>PM10分析仪</w:t>
            </w:r>
          </w:p>
        </w:tc>
        <w:tc>
          <w:tcPr>
            <w:tcW w:w="2501" w:type="pct"/>
            <w:tcBorders>
              <w:top w:val="single" w:color="auto" w:sz="4" w:space="0"/>
              <w:left w:val="single" w:color="auto" w:sz="4" w:space="0"/>
              <w:bottom w:val="single" w:color="auto" w:sz="4" w:space="0"/>
              <w:right w:val="single" w:color="auto" w:sz="4" w:space="0"/>
            </w:tcBorders>
            <w:vAlign w:val="center"/>
          </w:tcPr>
          <w:p w14:paraId="00B4235D">
            <w:pPr>
              <w:widowControl/>
              <w:spacing w:after="0" w:line="360" w:lineRule="auto"/>
              <w:jc w:val="center"/>
              <w:rPr>
                <w:szCs w:val="21"/>
                <w:highlight w:val="none"/>
              </w:rPr>
            </w:pPr>
            <w:r>
              <w:rPr>
                <w:szCs w:val="21"/>
                <w:highlight w:val="none"/>
              </w:rPr>
              <w:t>90%</w:t>
            </w:r>
          </w:p>
        </w:tc>
      </w:tr>
      <w:tr w14:paraId="546E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E81E1EF">
            <w:pPr>
              <w:spacing w:after="0" w:line="360" w:lineRule="auto"/>
              <w:jc w:val="center"/>
              <w:rPr>
                <w:szCs w:val="21"/>
                <w:highlight w:val="none"/>
              </w:rPr>
            </w:pPr>
            <w:r>
              <w:rPr>
                <w:szCs w:val="21"/>
                <w:highlight w:val="none"/>
              </w:rPr>
              <w:t>臭氧分析仪</w:t>
            </w:r>
          </w:p>
        </w:tc>
        <w:tc>
          <w:tcPr>
            <w:tcW w:w="2501" w:type="pct"/>
            <w:tcBorders>
              <w:top w:val="single" w:color="auto" w:sz="4" w:space="0"/>
              <w:left w:val="single" w:color="auto" w:sz="4" w:space="0"/>
              <w:bottom w:val="single" w:color="auto" w:sz="4" w:space="0"/>
              <w:right w:val="single" w:color="auto" w:sz="4" w:space="0"/>
            </w:tcBorders>
            <w:vAlign w:val="center"/>
          </w:tcPr>
          <w:p w14:paraId="27C53AD2">
            <w:pPr>
              <w:widowControl/>
              <w:spacing w:after="0" w:line="360" w:lineRule="auto"/>
              <w:jc w:val="center"/>
              <w:rPr>
                <w:szCs w:val="21"/>
                <w:highlight w:val="none"/>
              </w:rPr>
            </w:pPr>
            <w:r>
              <w:rPr>
                <w:szCs w:val="21"/>
                <w:highlight w:val="none"/>
              </w:rPr>
              <w:t>90%</w:t>
            </w:r>
          </w:p>
        </w:tc>
      </w:tr>
      <w:tr w14:paraId="406D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2792E3CA">
            <w:pPr>
              <w:widowControl/>
              <w:spacing w:after="0" w:line="360" w:lineRule="auto"/>
              <w:jc w:val="center"/>
              <w:rPr>
                <w:szCs w:val="21"/>
                <w:highlight w:val="none"/>
              </w:rPr>
            </w:pPr>
            <w:r>
              <w:rPr>
                <w:szCs w:val="21"/>
                <w:highlight w:val="none"/>
              </w:rPr>
              <w:t>气象六参数</w:t>
            </w:r>
          </w:p>
        </w:tc>
        <w:tc>
          <w:tcPr>
            <w:tcW w:w="2501" w:type="pct"/>
            <w:tcBorders>
              <w:top w:val="single" w:color="auto" w:sz="4" w:space="0"/>
              <w:left w:val="single" w:color="auto" w:sz="4" w:space="0"/>
              <w:bottom w:val="single" w:color="auto" w:sz="4" w:space="0"/>
              <w:right w:val="single" w:color="auto" w:sz="4" w:space="0"/>
            </w:tcBorders>
            <w:vAlign w:val="center"/>
          </w:tcPr>
          <w:p w14:paraId="4939909A">
            <w:pPr>
              <w:widowControl/>
              <w:spacing w:after="0" w:line="360" w:lineRule="auto"/>
              <w:jc w:val="center"/>
              <w:rPr>
                <w:szCs w:val="21"/>
                <w:highlight w:val="none"/>
              </w:rPr>
            </w:pPr>
            <w:r>
              <w:rPr>
                <w:szCs w:val="21"/>
                <w:highlight w:val="none"/>
              </w:rPr>
              <w:t>90%</w:t>
            </w:r>
          </w:p>
        </w:tc>
      </w:tr>
    </w:tbl>
    <w:p w14:paraId="3AD98ED4">
      <w:pPr>
        <w:rPr>
          <w:highlight w:val="none"/>
        </w:rPr>
      </w:pPr>
    </w:p>
    <w:p w14:paraId="47493381">
      <w:pPr>
        <w:tabs>
          <w:tab w:val="left" w:pos="1440"/>
        </w:tabs>
        <w:spacing w:line="360" w:lineRule="auto"/>
        <w:jc w:val="left"/>
        <w:outlineLvl w:val="2"/>
        <w:rPr>
          <w:b/>
          <w:sz w:val="24"/>
          <w:highlight w:val="none"/>
        </w:rPr>
      </w:pPr>
      <w:r>
        <w:rPr>
          <w:b/>
          <w:sz w:val="24"/>
          <w:highlight w:val="none"/>
        </w:rPr>
        <w:t>三、运行维护工作要求</w:t>
      </w:r>
    </w:p>
    <w:p w14:paraId="5E49C98F">
      <w:pPr>
        <w:widowControl/>
        <w:spacing w:after="0" w:line="360" w:lineRule="auto"/>
        <w:ind w:firstLine="480" w:firstLineChars="200"/>
        <w:jc w:val="left"/>
        <w:rPr>
          <w:kern w:val="0"/>
          <w:sz w:val="24"/>
          <w:highlight w:val="none"/>
          <w:lang w:bidi="ar"/>
        </w:rPr>
      </w:pPr>
      <w:r>
        <w:rPr>
          <w:rFonts w:hint="eastAsia"/>
          <w:kern w:val="0"/>
          <w:sz w:val="24"/>
          <w:highlight w:val="none"/>
          <w:lang w:bidi="ar"/>
        </w:rPr>
        <w:t>（一）</w:t>
      </w:r>
      <w:r>
        <w:rPr>
          <w:kern w:val="0"/>
          <w:sz w:val="24"/>
          <w:highlight w:val="none"/>
          <w:lang w:bidi="ar"/>
        </w:rPr>
        <w:t>项目实施规范</w:t>
      </w:r>
    </w:p>
    <w:p w14:paraId="4FC649CA">
      <w:pPr>
        <w:widowControl/>
        <w:spacing w:after="0" w:line="360" w:lineRule="auto"/>
        <w:ind w:firstLine="480" w:firstLineChars="200"/>
        <w:jc w:val="left"/>
        <w:rPr>
          <w:kern w:val="0"/>
          <w:sz w:val="24"/>
          <w:highlight w:val="none"/>
          <w:lang w:bidi="ar"/>
        </w:rPr>
      </w:pPr>
      <w:r>
        <w:rPr>
          <w:kern w:val="0"/>
          <w:sz w:val="24"/>
          <w:highlight w:val="none"/>
          <w:lang w:bidi="ar"/>
        </w:rPr>
        <w:t>按《环境空气气态污染物（SO2、NO2、O3、CO）连续自动监测系统运行与质控技术规范》（HJ818-2018）、《环境空气颗粒物（PM10和PM2.5)连续自动监测系统运行和质控技术规范》（HJ817-2018）、《国家环境空气监测网环境空气挥发性有机物连续自动监测质量控制技术规定(试行)》、《国家环境空气质量监测网城市站运行管理实施细则》、《浙江省环境空气质量自动监测系统运行管理细则》、《浙江省生态环境监测中心关于加强全省环境空气自动监测系统相关工作的通知》和《浙江省省控环境空气自动监测站及重点工业园区环境空气自动监测站管理实施细则》（浙环监函[2021]12号）、《浙江省城市环境空气自动监测系统运维检查和质控考核工作方案》（浙环监发[2020]18号）等相关技术规范和管理细则要求进行运行维护及管理；</w:t>
      </w:r>
    </w:p>
    <w:p w14:paraId="0509B83B">
      <w:pPr>
        <w:widowControl/>
        <w:spacing w:after="0" w:line="360" w:lineRule="auto"/>
        <w:ind w:firstLine="480" w:firstLineChars="200"/>
        <w:jc w:val="left"/>
        <w:rPr>
          <w:kern w:val="0"/>
          <w:sz w:val="24"/>
          <w:highlight w:val="none"/>
          <w:lang w:bidi="ar"/>
        </w:rPr>
      </w:pPr>
      <w:r>
        <w:rPr>
          <w:rFonts w:hint="eastAsia"/>
          <w:kern w:val="0"/>
          <w:sz w:val="24"/>
          <w:highlight w:val="none"/>
          <w:lang w:bidi="ar"/>
        </w:rPr>
        <w:t>（二）</w:t>
      </w:r>
      <w:r>
        <w:rPr>
          <w:kern w:val="0"/>
          <w:sz w:val="24"/>
          <w:highlight w:val="none"/>
          <w:lang w:bidi="ar"/>
        </w:rPr>
        <w:t>全托管运行维护服务要求</w:t>
      </w:r>
    </w:p>
    <w:p w14:paraId="60ED6DD9">
      <w:pPr>
        <w:widowControl/>
        <w:spacing w:after="0" w:line="360" w:lineRule="auto"/>
        <w:ind w:firstLine="480" w:firstLineChars="200"/>
        <w:jc w:val="left"/>
        <w:rPr>
          <w:kern w:val="0"/>
          <w:sz w:val="24"/>
          <w:highlight w:val="none"/>
          <w:lang w:bidi="ar"/>
        </w:rPr>
      </w:pPr>
      <w:r>
        <w:rPr>
          <w:kern w:val="0"/>
          <w:sz w:val="24"/>
          <w:highlight w:val="none"/>
          <w:lang w:bidi="ar"/>
        </w:rPr>
        <w:t>在运营维护及管理期间，中标单位必须遵守国家的有关法律、法规及其他规定，本着为采购人负责的精神，依照规范，科学管理，使各监测监控系统运行达到采购人要求的考核指标要求，使空气自动监测系统运行真正发挥其效能和作用。</w:t>
      </w:r>
    </w:p>
    <w:p w14:paraId="0F9C0370">
      <w:pPr>
        <w:widowControl/>
        <w:spacing w:after="0" w:line="360" w:lineRule="auto"/>
        <w:ind w:firstLine="480" w:firstLineChars="200"/>
        <w:jc w:val="left"/>
        <w:rPr>
          <w:kern w:val="0"/>
          <w:sz w:val="24"/>
          <w:highlight w:val="none"/>
          <w:lang w:bidi="ar"/>
        </w:rPr>
      </w:pPr>
      <w:r>
        <w:rPr>
          <w:kern w:val="0"/>
          <w:sz w:val="24"/>
          <w:highlight w:val="none"/>
          <w:lang w:bidi="ar"/>
        </w:rPr>
        <w:t>1、投标人必须承诺在台州市已有分子公司或售后服务机构，或中标后 7 个工作日内为本项目在台州市设立服务点或办事机构，聘用2名及以上的运行维护专业技术人员（取得省级以上的环保部门颁发的空气站运行维护培训合格证书），同时配置运维车辆 1 辆。专业技术人员队伍应保持相对稳定，应了解掌握本项目所含站点所有仪器的运行状况，专业技术人员必须熟悉掌握本项目所含主要分析仪器的日常维护和常见故障诊断方法。</w:t>
      </w:r>
    </w:p>
    <w:p w14:paraId="6F3C9ED9">
      <w:pPr>
        <w:widowControl/>
        <w:spacing w:after="0" w:line="360" w:lineRule="auto"/>
        <w:ind w:firstLine="480" w:firstLineChars="200"/>
        <w:jc w:val="left"/>
        <w:rPr>
          <w:kern w:val="0"/>
          <w:sz w:val="24"/>
          <w:highlight w:val="none"/>
          <w:lang w:bidi="ar"/>
        </w:rPr>
      </w:pPr>
      <w:r>
        <w:rPr>
          <w:kern w:val="0"/>
          <w:sz w:val="24"/>
          <w:highlight w:val="none"/>
          <w:lang w:bidi="ar"/>
        </w:rPr>
        <w:t>2、投标人应具备完善的仪器设备配件供应渠道。投标人必须提供技术服务专线电话，2 小时电话响应，4 小时内赶到现场，提供 7×24 小时的全天候服务。</w:t>
      </w:r>
    </w:p>
    <w:p w14:paraId="03A6EFC2">
      <w:pPr>
        <w:widowControl/>
        <w:spacing w:after="0" w:line="360" w:lineRule="auto"/>
        <w:ind w:firstLine="480" w:firstLineChars="200"/>
        <w:jc w:val="left"/>
        <w:rPr>
          <w:kern w:val="0"/>
          <w:sz w:val="24"/>
          <w:highlight w:val="none"/>
          <w:lang w:bidi="ar"/>
        </w:rPr>
      </w:pPr>
      <w:r>
        <w:rPr>
          <w:kern w:val="0"/>
          <w:sz w:val="24"/>
          <w:highlight w:val="none"/>
          <w:lang w:bidi="ar"/>
        </w:rPr>
        <w:t>3、投标人应提供完整的自动监测系统运维实施方案（必须包含应急处理方案），提出解决目前站点存在问题的措施，编写全部监测仪器的仪器作业指导书。指导书应包含维护方法、周期、内容及技术保障（包含本项目所含主要分析设备的日常维护和常见故障诊断方法）。有完善的管理制度及技术人员培训制度，指定项目负责人，并组织专职人员负责日常运营及质量管理。</w:t>
      </w:r>
    </w:p>
    <w:p w14:paraId="3648A1F2">
      <w:pPr>
        <w:widowControl/>
        <w:spacing w:after="0" w:line="360" w:lineRule="auto"/>
        <w:ind w:firstLine="480" w:firstLineChars="200"/>
        <w:jc w:val="left"/>
        <w:rPr>
          <w:kern w:val="0"/>
          <w:sz w:val="24"/>
          <w:highlight w:val="none"/>
          <w:lang w:bidi="ar"/>
        </w:rPr>
      </w:pPr>
      <w:r>
        <w:rPr>
          <w:kern w:val="0"/>
          <w:sz w:val="24"/>
          <w:highlight w:val="none"/>
          <w:lang w:bidi="ar"/>
        </w:rPr>
        <w:t>4、运维技术人员必须配备专用工具，包括便携式电脑、万用表、远程数据查询系统、流量校准仪等；同时，还须配备通讯调试工具，包括各种硬件接口线、改线工具、接口调试软件及常用零部件等。</w:t>
      </w:r>
    </w:p>
    <w:p w14:paraId="1B798ACC">
      <w:pPr>
        <w:widowControl/>
        <w:spacing w:after="0" w:line="360" w:lineRule="auto"/>
        <w:ind w:firstLine="480" w:firstLineChars="200"/>
        <w:jc w:val="left"/>
        <w:rPr>
          <w:kern w:val="0"/>
          <w:sz w:val="24"/>
          <w:highlight w:val="none"/>
          <w:lang w:bidi="ar"/>
        </w:rPr>
      </w:pPr>
      <w:r>
        <w:rPr>
          <w:kern w:val="0"/>
          <w:sz w:val="24"/>
          <w:highlight w:val="none"/>
          <w:lang w:bidi="ar"/>
        </w:rPr>
        <w:t>5、中标单位必须明确维护方法、周期、内容，提供相应的作业指导书，提供技术保障等。具体技术要求如下：</w:t>
      </w:r>
    </w:p>
    <w:p w14:paraId="20CE6B55">
      <w:pPr>
        <w:widowControl/>
        <w:spacing w:after="0" w:line="360" w:lineRule="auto"/>
        <w:ind w:firstLine="480" w:firstLineChars="200"/>
        <w:jc w:val="left"/>
        <w:rPr>
          <w:kern w:val="0"/>
          <w:sz w:val="24"/>
          <w:highlight w:val="none"/>
          <w:lang w:bidi="ar"/>
        </w:rPr>
      </w:pPr>
      <w:r>
        <w:rPr>
          <w:kern w:val="0"/>
          <w:sz w:val="24"/>
          <w:highlight w:val="none"/>
          <w:lang w:bidi="ar"/>
        </w:rPr>
        <w:t>6、巡查项目周期安排</w:t>
      </w:r>
    </w:p>
    <w:p w14:paraId="29F870B3">
      <w:pPr>
        <w:widowControl/>
        <w:spacing w:after="0" w:line="360" w:lineRule="auto"/>
        <w:ind w:firstLine="480" w:firstLineChars="200"/>
        <w:jc w:val="left"/>
        <w:rPr>
          <w:kern w:val="0"/>
          <w:sz w:val="24"/>
          <w:highlight w:val="none"/>
          <w:lang w:bidi="ar"/>
        </w:rPr>
      </w:pPr>
      <w:r>
        <w:rPr>
          <w:kern w:val="0"/>
          <w:sz w:val="24"/>
          <w:highlight w:val="none"/>
          <w:lang w:bidi="ar"/>
        </w:rPr>
        <w:t>6.1空气监测站巡检</w:t>
      </w:r>
    </w:p>
    <w:p w14:paraId="3B084E2E">
      <w:pPr>
        <w:widowControl/>
        <w:spacing w:after="0" w:line="360" w:lineRule="auto"/>
        <w:ind w:firstLine="480" w:firstLineChars="200"/>
        <w:jc w:val="left"/>
        <w:rPr>
          <w:kern w:val="0"/>
          <w:sz w:val="24"/>
          <w:highlight w:val="none"/>
          <w:lang w:bidi="ar"/>
        </w:rPr>
      </w:pPr>
      <w:r>
        <w:rPr>
          <w:kern w:val="0"/>
          <w:sz w:val="24"/>
          <w:highlight w:val="none"/>
          <w:lang w:bidi="ar"/>
        </w:rPr>
        <w:t>6.1.1空气监测站巡检周期正常情况下每周一次，每次检查所有仪器运行情况及监测数据是否正常，供电、网络通迅是否正常。</w:t>
      </w:r>
    </w:p>
    <w:p w14:paraId="48AC1BAB">
      <w:pPr>
        <w:widowControl/>
        <w:spacing w:after="0" w:line="360" w:lineRule="auto"/>
        <w:ind w:firstLine="480" w:firstLineChars="200"/>
        <w:jc w:val="left"/>
        <w:rPr>
          <w:kern w:val="0"/>
          <w:sz w:val="24"/>
          <w:highlight w:val="none"/>
          <w:lang w:bidi="ar"/>
        </w:rPr>
      </w:pPr>
      <w:r>
        <w:rPr>
          <w:kern w:val="0"/>
          <w:sz w:val="24"/>
          <w:highlight w:val="none"/>
          <w:lang w:bidi="ar"/>
        </w:rPr>
        <w:t>6.1.2检查分析仪器对滤纸等耗材进行更换，对采样头、采样管路等进行清洗，采样流量进行检查校准，检查仪器设备状态是否正常，监测数据是否合理（与周边和历史数据的比较）。</w:t>
      </w:r>
    </w:p>
    <w:p w14:paraId="0DAE4A9D">
      <w:pPr>
        <w:widowControl/>
        <w:spacing w:after="0" w:line="360" w:lineRule="auto"/>
        <w:ind w:firstLine="480" w:firstLineChars="200"/>
        <w:jc w:val="left"/>
        <w:rPr>
          <w:kern w:val="0"/>
          <w:sz w:val="24"/>
          <w:highlight w:val="none"/>
          <w:lang w:bidi="ar"/>
        </w:rPr>
      </w:pPr>
      <w:r>
        <w:rPr>
          <w:kern w:val="0"/>
          <w:sz w:val="24"/>
          <w:highlight w:val="none"/>
          <w:lang w:bidi="ar"/>
        </w:rPr>
        <w:t>6.1.3检查气象六参数工作状态，保证其功能正常。</w:t>
      </w:r>
    </w:p>
    <w:p w14:paraId="72711431">
      <w:pPr>
        <w:widowControl/>
        <w:spacing w:after="0" w:line="360" w:lineRule="auto"/>
        <w:ind w:firstLine="480" w:firstLineChars="200"/>
        <w:jc w:val="left"/>
        <w:rPr>
          <w:kern w:val="0"/>
          <w:sz w:val="24"/>
          <w:highlight w:val="none"/>
          <w:lang w:bidi="ar"/>
        </w:rPr>
      </w:pPr>
      <w:r>
        <w:rPr>
          <w:kern w:val="0"/>
          <w:sz w:val="24"/>
          <w:highlight w:val="none"/>
          <w:lang w:bidi="ar"/>
        </w:rPr>
        <w:t>6.1.4定期维护气体采样总管，使之功能正常。</w:t>
      </w:r>
    </w:p>
    <w:p w14:paraId="77208D9D">
      <w:pPr>
        <w:widowControl/>
        <w:spacing w:after="0" w:line="360" w:lineRule="auto"/>
        <w:ind w:firstLine="480" w:firstLineChars="200"/>
        <w:jc w:val="left"/>
        <w:rPr>
          <w:kern w:val="0"/>
          <w:sz w:val="24"/>
          <w:highlight w:val="none"/>
          <w:lang w:bidi="ar"/>
        </w:rPr>
      </w:pPr>
      <w:r>
        <w:rPr>
          <w:kern w:val="0"/>
          <w:sz w:val="24"/>
          <w:highlight w:val="none"/>
          <w:lang w:bidi="ar"/>
        </w:rPr>
        <w:t>6.1.5定期更换颗粒物纸带并将纸带编号保存，同时检查仪器的采样流量是否正常。</w:t>
      </w:r>
    </w:p>
    <w:p w14:paraId="36E5BCF1">
      <w:pPr>
        <w:widowControl/>
        <w:spacing w:after="0" w:line="360" w:lineRule="auto"/>
        <w:ind w:firstLine="480" w:firstLineChars="200"/>
        <w:jc w:val="left"/>
        <w:rPr>
          <w:kern w:val="0"/>
          <w:sz w:val="24"/>
          <w:highlight w:val="none"/>
          <w:lang w:bidi="ar"/>
        </w:rPr>
      </w:pPr>
      <w:r>
        <w:rPr>
          <w:kern w:val="0"/>
          <w:sz w:val="24"/>
          <w:highlight w:val="none"/>
          <w:lang w:bidi="ar"/>
        </w:rPr>
        <w:t>6.1.6颗粒物采样头、切割头至少每 1 个月清洗 1 次，滤网无明显积尘、滤水瓶无积水。</w:t>
      </w:r>
    </w:p>
    <w:p w14:paraId="268E3B99">
      <w:pPr>
        <w:widowControl/>
        <w:spacing w:after="0" w:line="360" w:lineRule="auto"/>
        <w:ind w:firstLine="480" w:firstLineChars="200"/>
        <w:jc w:val="left"/>
        <w:rPr>
          <w:kern w:val="0"/>
          <w:sz w:val="24"/>
          <w:highlight w:val="none"/>
          <w:lang w:bidi="ar"/>
        </w:rPr>
      </w:pPr>
      <w:r>
        <w:rPr>
          <w:kern w:val="0"/>
          <w:sz w:val="24"/>
          <w:highlight w:val="none"/>
          <w:lang w:bidi="ar"/>
        </w:rPr>
        <w:t>6.1.7对自动监测数据进行实时监控和对前一日的数据进行审核，并保证数据和运维记录的 真实性。当仪器出现故障时，在 4 小时内到达现场处理，可现场维修的应马上维修恢复设备运行。</w:t>
      </w:r>
    </w:p>
    <w:p w14:paraId="39913273">
      <w:pPr>
        <w:widowControl/>
        <w:spacing w:after="0" w:line="360" w:lineRule="auto"/>
        <w:ind w:firstLine="480" w:firstLineChars="200"/>
        <w:jc w:val="left"/>
        <w:rPr>
          <w:kern w:val="0"/>
          <w:sz w:val="24"/>
          <w:highlight w:val="none"/>
          <w:lang w:bidi="ar"/>
        </w:rPr>
      </w:pPr>
      <w:r>
        <w:rPr>
          <w:kern w:val="0"/>
          <w:sz w:val="24"/>
          <w:highlight w:val="none"/>
          <w:lang w:bidi="ar"/>
        </w:rPr>
        <w:t>6.2质量控制</w:t>
      </w:r>
    </w:p>
    <w:p w14:paraId="124945C3">
      <w:pPr>
        <w:widowControl/>
        <w:spacing w:after="0" w:line="360" w:lineRule="auto"/>
        <w:ind w:firstLine="480" w:firstLineChars="200"/>
        <w:jc w:val="left"/>
        <w:rPr>
          <w:kern w:val="0"/>
          <w:sz w:val="24"/>
          <w:highlight w:val="none"/>
          <w:lang w:bidi="ar"/>
        </w:rPr>
      </w:pPr>
      <w:r>
        <w:rPr>
          <w:kern w:val="0"/>
          <w:sz w:val="24"/>
          <w:highlight w:val="none"/>
          <w:lang w:bidi="ar"/>
        </w:rPr>
        <w:t>分析仪在以下情况下需进行校准和再校准：</w:t>
      </w:r>
    </w:p>
    <w:p w14:paraId="20061778">
      <w:pPr>
        <w:widowControl/>
        <w:spacing w:after="0" w:line="360" w:lineRule="auto"/>
        <w:ind w:firstLine="480" w:firstLineChars="200"/>
        <w:jc w:val="left"/>
        <w:rPr>
          <w:kern w:val="0"/>
          <w:sz w:val="24"/>
          <w:highlight w:val="none"/>
          <w:lang w:bidi="ar"/>
        </w:rPr>
      </w:pPr>
      <w:r>
        <w:rPr>
          <w:kern w:val="0"/>
          <w:sz w:val="24"/>
          <w:highlight w:val="none"/>
          <w:lang w:bidi="ar"/>
        </w:rPr>
        <w:t>（1）安装时；</w:t>
      </w:r>
    </w:p>
    <w:p w14:paraId="24BF10F7">
      <w:pPr>
        <w:widowControl/>
        <w:spacing w:after="0" w:line="360" w:lineRule="auto"/>
        <w:ind w:firstLine="480" w:firstLineChars="200"/>
        <w:jc w:val="left"/>
        <w:rPr>
          <w:kern w:val="0"/>
          <w:sz w:val="24"/>
          <w:highlight w:val="none"/>
          <w:lang w:bidi="ar"/>
        </w:rPr>
      </w:pPr>
      <w:r>
        <w:rPr>
          <w:kern w:val="0"/>
          <w:sz w:val="24"/>
          <w:highlight w:val="none"/>
          <w:lang w:bidi="ar"/>
        </w:rPr>
        <w:t>（2）移动位置时；</w:t>
      </w:r>
    </w:p>
    <w:p w14:paraId="50FA9A50">
      <w:pPr>
        <w:widowControl/>
        <w:spacing w:after="0" w:line="360" w:lineRule="auto"/>
        <w:ind w:firstLine="480" w:firstLineChars="200"/>
        <w:jc w:val="left"/>
        <w:rPr>
          <w:kern w:val="0"/>
          <w:sz w:val="24"/>
          <w:highlight w:val="none"/>
          <w:lang w:bidi="ar"/>
        </w:rPr>
      </w:pPr>
      <w:r>
        <w:rPr>
          <w:kern w:val="0"/>
          <w:sz w:val="24"/>
          <w:highlight w:val="none"/>
          <w:lang w:bidi="ar"/>
        </w:rPr>
        <w:t>（3）进行可能影响校准结果的维修或维护后；</w:t>
      </w:r>
    </w:p>
    <w:p w14:paraId="38FECCF3">
      <w:pPr>
        <w:widowControl/>
        <w:spacing w:after="0" w:line="360" w:lineRule="auto"/>
        <w:ind w:firstLine="480" w:firstLineChars="200"/>
        <w:jc w:val="left"/>
        <w:rPr>
          <w:kern w:val="0"/>
          <w:sz w:val="24"/>
          <w:highlight w:val="none"/>
          <w:lang w:bidi="ar"/>
        </w:rPr>
      </w:pPr>
      <w:r>
        <w:rPr>
          <w:kern w:val="0"/>
          <w:sz w:val="24"/>
          <w:highlight w:val="none"/>
          <w:lang w:bidi="ar"/>
        </w:rPr>
        <w:t>（4）分析仪暂停工作一段时间后；</w:t>
      </w:r>
    </w:p>
    <w:p w14:paraId="2209509C">
      <w:pPr>
        <w:widowControl/>
        <w:spacing w:after="0" w:line="360" w:lineRule="auto"/>
        <w:ind w:firstLine="480" w:firstLineChars="200"/>
        <w:jc w:val="left"/>
        <w:rPr>
          <w:kern w:val="0"/>
          <w:sz w:val="24"/>
          <w:highlight w:val="none"/>
          <w:lang w:bidi="ar"/>
        </w:rPr>
      </w:pPr>
      <w:r>
        <w:rPr>
          <w:kern w:val="0"/>
          <w:sz w:val="24"/>
          <w:highlight w:val="none"/>
          <w:lang w:bidi="ar"/>
        </w:rPr>
        <w:t>（5）有迹象表明分析仪工作不正常或校准结果出现变化；</w:t>
      </w:r>
    </w:p>
    <w:p w14:paraId="5A662B57">
      <w:pPr>
        <w:widowControl/>
        <w:spacing w:after="0" w:line="360" w:lineRule="auto"/>
        <w:ind w:firstLine="480" w:firstLineChars="200"/>
        <w:jc w:val="left"/>
        <w:rPr>
          <w:kern w:val="0"/>
          <w:sz w:val="24"/>
          <w:highlight w:val="none"/>
          <w:lang w:bidi="ar"/>
        </w:rPr>
      </w:pPr>
      <w:r>
        <w:rPr>
          <w:kern w:val="0"/>
          <w:sz w:val="24"/>
          <w:highlight w:val="none"/>
          <w:lang w:bidi="ar"/>
        </w:rPr>
        <w:t>（6）达到国家规范或本招标文件要求的校准周期或校准要求的。</w:t>
      </w:r>
    </w:p>
    <w:p w14:paraId="1C998B10">
      <w:pPr>
        <w:widowControl/>
        <w:spacing w:after="0" w:line="360" w:lineRule="auto"/>
        <w:ind w:firstLine="480" w:firstLineChars="200"/>
        <w:jc w:val="left"/>
        <w:rPr>
          <w:kern w:val="0"/>
          <w:sz w:val="24"/>
          <w:highlight w:val="none"/>
          <w:lang w:bidi="ar"/>
        </w:rPr>
      </w:pPr>
      <w:r>
        <w:rPr>
          <w:kern w:val="0"/>
          <w:sz w:val="24"/>
          <w:highlight w:val="none"/>
          <w:lang w:bidi="ar"/>
        </w:rPr>
        <w:t>6.3其他</w:t>
      </w:r>
    </w:p>
    <w:p w14:paraId="4978B237">
      <w:pPr>
        <w:widowControl/>
        <w:spacing w:after="0" w:line="360" w:lineRule="auto"/>
        <w:ind w:firstLine="480" w:firstLineChars="200"/>
        <w:jc w:val="left"/>
        <w:rPr>
          <w:kern w:val="0"/>
          <w:sz w:val="24"/>
          <w:highlight w:val="none"/>
          <w:lang w:bidi="ar"/>
        </w:rPr>
      </w:pPr>
      <w:r>
        <w:rPr>
          <w:kern w:val="0"/>
          <w:sz w:val="24"/>
          <w:highlight w:val="none"/>
          <w:lang w:bidi="ar"/>
        </w:rPr>
        <w:t>（1）配合省、市相关部门进行气站质量保证和质量控制工作；</w:t>
      </w:r>
    </w:p>
    <w:p w14:paraId="3659B3CF">
      <w:pPr>
        <w:widowControl/>
        <w:spacing w:after="0" w:line="360" w:lineRule="auto"/>
        <w:ind w:firstLine="480" w:firstLineChars="200"/>
        <w:jc w:val="left"/>
        <w:rPr>
          <w:kern w:val="0"/>
          <w:sz w:val="24"/>
          <w:highlight w:val="none"/>
          <w:lang w:bidi="ar"/>
        </w:rPr>
      </w:pPr>
      <w:r>
        <w:rPr>
          <w:kern w:val="0"/>
          <w:sz w:val="24"/>
          <w:highlight w:val="none"/>
          <w:lang w:bidi="ar"/>
        </w:rPr>
        <w:t>（2）随时接受省、市、区级工作考核及质量考核。</w:t>
      </w:r>
    </w:p>
    <w:p w14:paraId="2A53DF26">
      <w:pPr>
        <w:widowControl/>
        <w:spacing w:after="0" w:line="360" w:lineRule="auto"/>
        <w:ind w:firstLine="480" w:firstLineChars="200"/>
        <w:jc w:val="left"/>
        <w:rPr>
          <w:kern w:val="0"/>
          <w:sz w:val="24"/>
          <w:highlight w:val="none"/>
          <w:lang w:bidi="ar"/>
        </w:rPr>
      </w:pPr>
      <w:r>
        <w:rPr>
          <w:kern w:val="0"/>
          <w:sz w:val="24"/>
          <w:highlight w:val="none"/>
          <w:lang w:bidi="ar"/>
        </w:rPr>
        <w:t>6.4质量审核</w:t>
      </w:r>
    </w:p>
    <w:p w14:paraId="6EA46B33">
      <w:pPr>
        <w:widowControl/>
        <w:spacing w:after="0" w:line="360" w:lineRule="auto"/>
        <w:ind w:firstLine="480" w:firstLineChars="200"/>
        <w:jc w:val="left"/>
        <w:rPr>
          <w:kern w:val="0"/>
          <w:sz w:val="24"/>
          <w:highlight w:val="none"/>
          <w:lang w:bidi="ar"/>
        </w:rPr>
      </w:pPr>
      <w:r>
        <w:rPr>
          <w:kern w:val="0"/>
          <w:sz w:val="24"/>
          <w:highlight w:val="none"/>
          <w:lang w:bidi="ar"/>
        </w:rPr>
        <w:t>6.4.1质量审核支持性文件《浙江省环境空气质量自动监测技术规范》、《环境空气颗粒物（PM10 和 PM2.5）连续自动监测系统运行和质控技术规范 HJ 817-2018》、《环境空气气态污染物（SO2、NO2、O3、CO）连续自动监测系统运行和质控技术规范(HJ 818-2018)》等；</w:t>
      </w:r>
    </w:p>
    <w:p w14:paraId="34B17EC9">
      <w:pPr>
        <w:widowControl/>
        <w:spacing w:after="0" w:line="360" w:lineRule="auto"/>
        <w:ind w:firstLine="480" w:firstLineChars="200"/>
        <w:jc w:val="left"/>
        <w:rPr>
          <w:kern w:val="0"/>
          <w:sz w:val="24"/>
          <w:highlight w:val="none"/>
          <w:lang w:bidi="ar"/>
        </w:rPr>
      </w:pPr>
      <w:r>
        <w:rPr>
          <w:kern w:val="0"/>
          <w:sz w:val="24"/>
          <w:highlight w:val="none"/>
          <w:lang w:bidi="ar"/>
        </w:rPr>
        <w:t>6.4.2配合用户方做好质量审核工作，质量审核内容和时间视用户方要求而定；</w:t>
      </w:r>
    </w:p>
    <w:p w14:paraId="1859B738">
      <w:pPr>
        <w:widowControl/>
        <w:spacing w:after="0" w:line="360" w:lineRule="auto"/>
        <w:ind w:firstLine="480" w:firstLineChars="200"/>
        <w:jc w:val="left"/>
        <w:rPr>
          <w:kern w:val="0"/>
          <w:sz w:val="24"/>
          <w:highlight w:val="none"/>
          <w:lang w:bidi="ar"/>
        </w:rPr>
      </w:pPr>
      <w:r>
        <w:rPr>
          <w:kern w:val="0"/>
          <w:sz w:val="24"/>
          <w:highlight w:val="none"/>
          <w:lang w:bidi="ar"/>
        </w:rPr>
        <w:t>6.5应急管理</w:t>
      </w:r>
    </w:p>
    <w:p w14:paraId="44D69CC9">
      <w:pPr>
        <w:widowControl/>
        <w:spacing w:after="0" w:line="360" w:lineRule="auto"/>
        <w:ind w:firstLine="480" w:firstLineChars="200"/>
        <w:jc w:val="left"/>
        <w:rPr>
          <w:kern w:val="0"/>
          <w:sz w:val="24"/>
          <w:highlight w:val="none"/>
          <w:lang w:bidi="ar"/>
        </w:rPr>
      </w:pPr>
      <w:r>
        <w:rPr>
          <w:kern w:val="0"/>
          <w:sz w:val="24"/>
          <w:highlight w:val="none"/>
          <w:lang w:bidi="ar"/>
        </w:rPr>
        <w:t>出现监测数据异常、仪器故障或通讯故障，正常工作日应在 4 小时内到达子站处理故障并将信息反馈中心站；故障严重不能及时解决时，应关闭故障仪器的数据采集通道并告知中心站。如不能在 24 小时内排除故障，应更换备机，故障设备运回中心站，并负责维修仪器，故障设备应在一周内完成维修，维修完毕及时替换备机，并做好相应维修记录。如因自身技术能力不足无法修复仪器，需委托仪器生产厂商服务的，运维单位须负责相关费用。</w:t>
      </w:r>
    </w:p>
    <w:p w14:paraId="7849A2C2">
      <w:pPr>
        <w:widowControl/>
        <w:spacing w:after="0" w:line="360" w:lineRule="auto"/>
        <w:ind w:firstLine="480" w:firstLineChars="200"/>
        <w:jc w:val="left"/>
        <w:rPr>
          <w:kern w:val="0"/>
          <w:sz w:val="24"/>
          <w:highlight w:val="none"/>
          <w:lang w:bidi="ar"/>
        </w:rPr>
      </w:pPr>
      <w:r>
        <w:rPr>
          <w:kern w:val="0"/>
          <w:sz w:val="24"/>
          <w:highlight w:val="none"/>
          <w:lang w:bidi="ar"/>
        </w:rPr>
        <w:t>6.6认真、及时做好各类记录，以周计划、月总结的形式报市中心站，书面报告作为运行维护考核依据之一，包括：</w:t>
      </w:r>
    </w:p>
    <w:p w14:paraId="3BF5E137">
      <w:pPr>
        <w:widowControl/>
        <w:spacing w:after="0" w:line="360" w:lineRule="auto"/>
        <w:ind w:firstLine="480" w:firstLineChars="200"/>
        <w:jc w:val="left"/>
        <w:rPr>
          <w:kern w:val="0"/>
          <w:sz w:val="24"/>
          <w:highlight w:val="none"/>
          <w:lang w:bidi="ar"/>
        </w:rPr>
      </w:pPr>
      <w:r>
        <w:rPr>
          <w:kern w:val="0"/>
          <w:sz w:val="24"/>
          <w:highlight w:val="none"/>
          <w:lang w:bidi="ar"/>
        </w:rPr>
        <w:t>①每日远程监控记录表</w:t>
      </w:r>
    </w:p>
    <w:p w14:paraId="62CDD4D1">
      <w:pPr>
        <w:widowControl/>
        <w:spacing w:after="0" w:line="360" w:lineRule="auto"/>
        <w:ind w:firstLine="480" w:firstLineChars="200"/>
        <w:jc w:val="left"/>
        <w:rPr>
          <w:kern w:val="0"/>
          <w:sz w:val="24"/>
          <w:highlight w:val="none"/>
          <w:lang w:bidi="ar"/>
        </w:rPr>
      </w:pPr>
      <w:r>
        <w:rPr>
          <w:kern w:val="0"/>
          <w:sz w:val="24"/>
          <w:highlight w:val="none"/>
          <w:lang w:bidi="ar"/>
        </w:rPr>
        <w:t>②每周工作计划表</w:t>
      </w:r>
    </w:p>
    <w:p w14:paraId="0D6A4DF7">
      <w:pPr>
        <w:widowControl/>
        <w:spacing w:after="0" w:line="360" w:lineRule="auto"/>
        <w:ind w:firstLine="480" w:firstLineChars="200"/>
        <w:jc w:val="left"/>
        <w:rPr>
          <w:kern w:val="0"/>
          <w:sz w:val="24"/>
          <w:highlight w:val="none"/>
          <w:lang w:bidi="ar"/>
        </w:rPr>
      </w:pPr>
      <w:r>
        <w:rPr>
          <w:kern w:val="0"/>
          <w:sz w:val="24"/>
          <w:highlight w:val="none"/>
          <w:lang w:bidi="ar"/>
        </w:rPr>
        <w:t>③每周巡视结果记录表</w:t>
      </w:r>
    </w:p>
    <w:p w14:paraId="423DAFC2">
      <w:pPr>
        <w:widowControl/>
        <w:spacing w:after="0" w:line="360" w:lineRule="auto"/>
        <w:ind w:firstLine="480" w:firstLineChars="200"/>
        <w:jc w:val="left"/>
        <w:rPr>
          <w:kern w:val="0"/>
          <w:sz w:val="24"/>
          <w:highlight w:val="none"/>
          <w:lang w:bidi="ar"/>
        </w:rPr>
      </w:pPr>
      <w:r>
        <w:rPr>
          <w:kern w:val="0"/>
          <w:sz w:val="24"/>
          <w:highlight w:val="none"/>
          <w:lang w:bidi="ar"/>
        </w:rPr>
        <w:t>④仪器设备维护记录表</w:t>
      </w:r>
    </w:p>
    <w:p w14:paraId="538C73B3">
      <w:pPr>
        <w:widowControl/>
        <w:spacing w:after="0" w:line="360" w:lineRule="auto"/>
        <w:ind w:firstLine="480" w:firstLineChars="200"/>
        <w:jc w:val="left"/>
        <w:rPr>
          <w:kern w:val="0"/>
          <w:sz w:val="24"/>
          <w:highlight w:val="none"/>
          <w:lang w:bidi="ar"/>
        </w:rPr>
      </w:pPr>
      <w:r>
        <w:rPr>
          <w:kern w:val="0"/>
          <w:sz w:val="24"/>
          <w:highlight w:val="none"/>
          <w:lang w:bidi="ar"/>
        </w:rPr>
        <w:t>⑤备件耗材更换记录表</w:t>
      </w:r>
    </w:p>
    <w:p w14:paraId="4E3F8C25">
      <w:pPr>
        <w:widowControl/>
        <w:spacing w:after="0" w:line="360" w:lineRule="auto"/>
        <w:ind w:firstLine="480" w:firstLineChars="200"/>
        <w:jc w:val="left"/>
        <w:rPr>
          <w:kern w:val="0"/>
          <w:sz w:val="24"/>
          <w:highlight w:val="none"/>
          <w:lang w:bidi="ar"/>
        </w:rPr>
      </w:pPr>
      <w:r>
        <w:rPr>
          <w:kern w:val="0"/>
          <w:sz w:val="24"/>
          <w:highlight w:val="none"/>
          <w:lang w:bidi="ar"/>
        </w:rPr>
        <w:t>⑥故障处理申报表</w:t>
      </w:r>
    </w:p>
    <w:p w14:paraId="76F0336A">
      <w:pPr>
        <w:widowControl/>
        <w:spacing w:after="0" w:line="360" w:lineRule="auto"/>
        <w:ind w:firstLine="480" w:firstLineChars="200"/>
        <w:jc w:val="left"/>
        <w:rPr>
          <w:kern w:val="0"/>
          <w:sz w:val="24"/>
          <w:highlight w:val="none"/>
          <w:lang w:bidi="ar"/>
        </w:rPr>
      </w:pPr>
      <w:r>
        <w:rPr>
          <w:kern w:val="0"/>
          <w:sz w:val="24"/>
          <w:highlight w:val="none"/>
          <w:lang w:bidi="ar"/>
        </w:rPr>
        <w:t>⑦质控检查结果记录表</w:t>
      </w:r>
    </w:p>
    <w:p w14:paraId="77F170C0">
      <w:pPr>
        <w:widowControl/>
        <w:spacing w:after="0" w:line="360" w:lineRule="auto"/>
        <w:ind w:firstLine="480" w:firstLineChars="200"/>
        <w:jc w:val="left"/>
        <w:rPr>
          <w:kern w:val="0"/>
          <w:sz w:val="24"/>
          <w:highlight w:val="none"/>
          <w:lang w:bidi="ar"/>
        </w:rPr>
      </w:pPr>
      <w:r>
        <w:rPr>
          <w:kern w:val="0"/>
          <w:sz w:val="24"/>
          <w:highlight w:val="none"/>
          <w:lang w:bidi="ar"/>
        </w:rPr>
        <w:t>⑧月度自动监测数据统计表</w:t>
      </w:r>
    </w:p>
    <w:p w14:paraId="047F70B6">
      <w:pPr>
        <w:widowControl/>
        <w:spacing w:after="0" w:line="360" w:lineRule="auto"/>
        <w:ind w:firstLine="480" w:firstLineChars="200"/>
        <w:jc w:val="left"/>
        <w:rPr>
          <w:kern w:val="0"/>
          <w:sz w:val="24"/>
          <w:highlight w:val="none"/>
          <w:lang w:bidi="ar"/>
        </w:rPr>
      </w:pPr>
      <w:r>
        <w:rPr>
          <w:kern w:val="0"/>
          <w:sz w:val="24"/>
          <w:highlight w:val="none"/>
          <w:lang w:bidi="ar"/>
        </w:rPr>
        <w:t>7、每季维护结束后 10 日内提交季度维护报告。（含各子站整体运行状况、故障处理与原因分析、故障预防措施、异常监测数据分析等内容）。每年维护结束后 10 日内提交年度维护报告。（含各子站整体运行状况、故障处理与原因分析、故障预防措施、异常监测数据分析等内容）</w:t>
      </w:r>
    </w:p>
    <w:p w14:paraId="2813AC71">
      <w:pPr>
        <w:widowControl/>
        <w:spacing w:after="0" w:line="360" w:lineRule="auto"/>
        <w:ind w:firstLine="480" w:firstLineChars="200"/>
        <w:jc w:val="left"/>
        <w:rPr>
          <w:kern w:val="0"/>
          <w:sz w:val="24"/>
          <w:highlight w:val="none"/>
          <w:lang w:bidi="ar"/>
        </w:rPr>
      </w:pPr>
      <w:r>
        <w:rPr>
          <w:kern w:val="0"/>
          <w:sz w:val="24"/>
          <w:highlight w:val="none"/>
          <w:lang w:bidi="ar"/>
        </w:rPr>
        <w:t>8.技术培训</w:t>
      </w:r>
    </w:p>
    <w:p w14:paraId="15CB38FB">
      <w:pPr>
        <w:widowControl/>
        <w:spacing w:after="0" w:line="360" w:lineRule="auto"/>
        <w:ind w:firstLine="480" w:firstLineChars="200"/>
        <w:jc w:val="left"/>
        <w:rPr>
          <w:kern w:val="0"/>
          <w:sz w:val="24"/>
          <w:highlight w:val="none"/>
          <w:lang w:bidi="ar"/>
        </w:rPr>
      </w:pPr>
      <w:r>
        <w:rPr>
          <w:kern w:val="0"/>
          <w:sz w:val="24"/>
          <w:highlight w:val="none"/>
          <w:lang w:bidi="ar"/>
        </w:rPr>
        <w:t>培训要确保最终用户熟悉系统设备的原理、构造等，充分掌握维护系统、设备正常运行的技术知识，能独立解决系统或设备使用中的一般故障，对参数配置等能进行一定的调整，从而保证系统、产品长期的运行。具体要求如下：</w:t>
      </w:r>
    </w:p>
    <w:p w14:paraId="3055A510">
      <w:pPr>
        <w:widowControl/>
        <w:spacing w:after="0" w:line="360" w:lineRule="auto"/>
        <w:ind w:firstLine="480" w:firstLineChars="200"/>
        <w:jc w:val="left"/>
        <w:rPr>
          <w:kern w:val="0"/>
          <w:sz w:val="24"/>
          <w:highlight w:val="none"/>
          <w:lang w:bidi="ar"/>
        </w:rPr>
      </w:pPr>
      <w:r>
        <w:rPr>
          <w:kern w:val="0"/>
          <w:sz w:val="24"/>
          <w:highlight w:val="none"/>
          <w:lang w:bidi="ar"/>
        </w:rPr>
        <w:t>1）投标人必须提供满足仪器设备维护要求的技术培训服务，包括系统的日常操作和管理维护，以及基本的故障诊断与排错。并达到预定的培训目标。</w:t>
      </w:r>
    </w:p>
    <w:p w14:paraId="60AA3346">
      <w:pPr>
        <w:widowControl/>
        <w:spacing w:after="0" w:line="360" w:lineRule="auto"/>
        <w:ind w:firstLine="480" w:firstLineChars="200"/>
        <w:jc w:val="left"/>
        <w:rPr>
          <w:kern w:val="0"/>
          <w:sz w:val="24"/>
          <w:highlight w:val="none"/>
          <w:lang w:bidi="ar"/>
        </w:rPr>
      </w:pPr>
      <w:r>
        <w:rPr>
          <w:kern w:val="0"/>
          <w:sz w:val="24"/>
          <w:highlight w:val="none"/>
          <w:lang w:bidi="ar"/>
        </w:rPr>
        <w:t>2）投标人必须根据采购单位需求书文件所制定的目标和范围，提出相应的培训内容及计划。</w:t>
      </w:r>
    </w:p>
    <w:p w14:paraId="7C7DE3CF">
      <w:pPr>
        <w:widowControl/>
        <w:spacing w:after="0" w:line="360" w:lineRule="auto"/>
        <w:ind w:firstLine="480" w:firstLineChars="200"/>
        <w:jc w:val="left"/>
        <w:rPr>
          <w:kern w:val="0"/>
          <w:sz w:val="24"/>
          <w:highlight w:val="none"/>
          <w:lang w:bidi="ar"/>
        </w:rPr>
      </w:pPr>
      <w:r>
        <w:rPr>
          <w:kern w:val="0"/>
          <w:sz w:val="24"/>
          <w:highlight w:val="none"/>
          <w:lang w:bidi="ar"/>
        </w:rPr>
        <w:t>3）投标人必须提供技术水平高、质量高的培训服务，培训人员必须是投标商的资深培训讲师。所有书面资料或电子文档用英文/中文书写，授课形式为中文。培训成果应在培训计划及课程中予以明确说明。</w:t>
      </w:r>
    </w:p>
    <w:p w14:paraId="0499852C">
      <w:pPr>
        <w:widowControl/>
        <w:spacing w:after="0" w:line="360" w:lineRule="auto"/>
        <w:ind w:firstLine="480" w:firstLineChars="200"/>
        <w:jc w:val="left"/>
        <w:rPr>
          <w:highlight w:val="none"/>
          <w:lang w:bidi="ar"/>
        </w:rPr>
      </w:pPr>
      <w:r>
        <w:rPr>
          <w:kern w:val="0"/>
          <w:sz w:val="24"/>
          <w:highlight w:val="none"/>
          <w:lang w:bidi="ar"/>
        </w:rPr>
        <w:t>4）仪器培训，投标厂商需作出明确的培训方案，培训费用包含在项目总价内。</w:t>
      </w:r>
    </w:p>
    <w:p w14:paraId="10969DF6">
      <w:pPr>
        <w:widowControl/>
        <w:spacing w:after="0" w:line="360" w:lineRule="auto"/>
        <w:ind w:firstLine="480" w:firstLineChars="200"/>
        <w:jc w:val="left"/>
        <w:rPr>
          <w:kern w:val="0"/>
          <w:sz w:val="24"/>
          <w:highlight w:val="none"/>
          <w:lang w:bidi="ar"/>
        </w:rPr>
      </w:pPr>
      <w:r>
        <w:rPr>
          <w:rFonts w:hint="eastAsia"/>
          <w:kern w:val="0"/>
          <w:sz w:val="24"/>
          <w:highlight w:val="none"/>
          <w:lang w:bidi="ar"/>
        </w:rPr>
        <w:t>（三）</w:t>
      </w:r>
      <w:r>
        <w:rPr>
          <w:kern w:val="0"/>
          <w:sz w:val="24"/>
          <w:highlight w:val="none"/>
          <w:lang w:bidi="ar"/>
        </w:rPr>
        <w:t>管理方法与内容</w:t>
      </w:r>
    </w:p>
    <w:p w14:paraId="7D36A9F3">
      <w:pPr>
        <w:widowControl/>
        <w:spacing w:after="0" w:line="360" w:lineRule="auto"/>
        <w:ind w:firstLine="480" w:firstLineChars="200"/>
        <w:jc w:val="left"/>
        <w:rPr>
          <w:kern w:val="0"/>
          <w:sz w:val="24"/>
          <w:highlight w:val="none"/>
          <w:lang w:bidi="ar"/>
        </w:rPr>
      </w:pPr>
      <w:r>
        <w:rPr>
          <w:kern w:val="0"/>
          <w:sz w:val="24"/>
          <w:highlight w:val="none"/>
          <w:lang w:bidi="ar"/>
        </w:rPr>
        <w:t>1.考核由采购人组织实施，采取日常考核和年度考核相结合的方式。</w:t>
      </w:r>
    </w:p>
    <w:p w14:paraId="3522C956">
      <w:pPr>
        <w:widowControl/>
        <w:spacing w:after="0" w:line="360" w:lineRule="auto"/>
        <w:ind w:firstLine="480" w:firstLineChars="200"/>
        <w:jc w:val="left"/>
        <w:rPr>
          <w:kern w:val="0"/>
          <w:sz w:val="24"/>
          <w:highlight w:val="none"/>
          <w:lang w:bidi="ar"/>
        </w:rPr>
      </w:pPr>
      <w:r>
        <w:rPr>
          <w:kern w:val="0"/>
          <w:sz w:val="24"/>
          <w:highlight w:val="none"/>
          <w:lang w:bidi="ar"/>
        </w:rPr>
        <w:t>2.按照有关要求，检查中标人各项工作是否按相关程序及监测技术规范执行。</w:t>
      </w:r>
    </w:p>
    <w:p w14:paraId="1292BE0A">
      <w:pPr>
        <w:widowControl/>
        <w:spacing w:after="0" w:line="360" w:lineRule="auto"/>
        <w:ind w:firstLine="480" w:firstLineChars="200"/>
        <w:jc w:val="left"/>
        <w:rPr>
          <w:kern w:val="0"/>
          <w:sz w:val="24"/>
          <w:highlight w:val="none"/>
          <w:lang w:bidi="ar"/>
        </w:rPr>
      </w:pPr>
      <w:r>
        <w:rPr>
          <w:kern w:val="0"/>
          <w:sz w:val="24"/>
          <w:highlight w:val="none"/>
          <w:lang w:bidi="ar"/>
        </w:rPr>
        <w:t>3.定期或不定期检查监测系统环境空气监测子站运行状况、仪器设备维护、维修和校准情况。</w:t>
      </w:r>
    </w:p>
    <w:p w14:paraId="22913849">
      <w:pPr>
        <w:widowControl/>
        <w:spacing w:after="0" w:line="360" w:lineRule="auto"/>
        <w:ind w:firstLine="480" w:firstLineChars="200"/>
        <w:jc w:val="left"/>
        <w:rPr>
          <w:kern w:val="0"/>
          <w:sz w:val="24"/>
          <w:highlight w:val="none"/>
          <w:lang w:bidi="ar"/>
        </w:rPr>
      </w:pPr>
      <w:r>
        <w:rPr>
          <w:kern w:val="0"/>
          <w:sz w:val="24"/>
          <w:highlight w:val="none"/>
          <w:lang w:bidi="ar"/>
        </w:rPr>
        <w:t>4.定期或不定期检查中标人的环境空气监测子站巡检记录、仪器质控记录、仪器自检记录、仪器维修、验收记录等。</w:t>
      </w:r>
    </w:p>
    <w:p w14:paraId="38291A44">
      <w:pPr>
        <w:widowControl/>
        <w:spacing w:after="0" w:line="360" w:lineRule="auto"/>
        <w:ind w:firstLine="480" w:firstLineChars="200"/>
        <w:jc w:val="left"/>
        <w:rPr>
          <w:kern w:val="0"/>
          <w:sz w:val="24"/>
          <w:highlight w:val="none"/>
          <w:lang w:bidi="ar"/>
        </w:rPr>
      </w:pPr>
      <w:r>
        <w:rPr>
          <w:kern w:val="0"/>
          <w:sz w:val="24"/>
          <w:highlight w:val="none"/>
          <w:lang w:bidi="ar"/>
        </w:rPr>
        <w:t>5.对中标人使用的校准仪器进行检查。</w:t>
      </w:r>
    </w:p>
    <w:p w14:paraId="1BE18310">
      <w:pPr>
        <w:widowControl/>
        <w:spacing w:after="0" w:line="360" w:lineRule="auto"/>
        <w:ind w:firstLine="480" w:firstLineChars="200"/>
        <w:jc w:val="left"/>
        <w:rPr>
          <w:kern w:val="0"/>
          <w:sz w:val="24"/>
          <w:highlight w:val="none"/>
          <w:lang w:bidi="ar"/>
        </w:rPr>
      </w:pPr>
      <w:r>
        <w:rPr>
          <w:kern w:val="0"/>
          <w:sz w:val="24"/>
          <w:highlight w:val="none"/>
          <w:lang w:bidi="ar"/>
        </w:rPr>
        <w:t>6.审核中标人的质控报表，及时反馈质控结果。</w:t>
      </w:r>
    </w:p>
    <w:p w14:paraId="356DC6EB">
      <w:pPr>
        <w:widowControl/>
        <w:spacing w:after="0" w:line="360" w:lineRule="auto"/>
        <w:ind w:firstLine="480" w:firstLineChars="200"/>
        <w:jc w:val="left"/>
        <w:rPr>
          <w:kern w:val="0"/>
          <w:sz w:val="24"/>
          <w:highlight w:val="none"/>
          <w:lang w:bidi="ar"/>
        </w:rPr>
      </w:pPr>
      <w:r>
        <w:rPr>
          <w:kern w:val="0"/>
          <w:sz w:val="24"/>
          <w:highlight w:val="none"/>
          <w:lang w:bidi="ar"/>
        </w:rPr>
        <w:t>（</w:t>
      </w:r>
      <w:r>
        <w:rPr>
          <w:rFonts w:hint="eastAsia"/>
          <w:kern w:val="0"/>
          <w:sz w:val="24"/>
          <w:highlight w:val="none"/>
          <w:lang w:bidi="ar"/>
        </w:rPr>
        <w:t>四</w:t>
      </w:r>
      <w:r>
        <w:rPr>
          <w:kern w:val="0"/>
          <w:sz w:val="24"/>
          <w:highlight w:val="none"/>
          <w:lang w:bidi="ar"/>
        </w:rPr>
        <w:t>）系统运行维护工作考评要求</w:t>
      </w:r>
    </w:p>
    <w:p w14:paraId="4F74F17F">
      <w:pPr>
        <w:widowControl/>
        <w:spacing w:after="0" w:line="360" w:lineRule="auto"/>
        <w:ind w:firstLine="480" w:firstLineChars="200"/>
        <w:jc w:val="left"/>
        <w:rPr>
          <w:kern w:val="0"/>
          <w:sz w:val="24"/>
          <w:highlight w:val="none"/>
          <w:lang w:bidi="ar"/>
        </w:rPr>
      </w:pPr>
      <w:r>
        <w:rPr>
          <w:kern w:val="0"/>
          <w:sz w:val="24"/>
          <w:highlight w:val="none"/>
          <w:lang w:bidi="ar"/>
        </w:rPr>
        <w:t>系统运行维护考评主要按照系统运行的数据有效率、日常巡检完成率、故障设备维护、维修完成情况、设备年度维护完成情况与质控审核和服务承诺核查等5项进行考评，每项实行百分制，各项均以100分起始进行奖励或扣罚后计算得分。</w:t>
      </w:r>
    </w:p>
    <w:p w14:paraId="546183F4">
      <w:pPr>
        <w:widowControl/>
        <w:spacing w:after="0" w:line="360" w:lineRule="auto"/>
        <w:ind w:firstLine="480" w:firstLineChars="200"/>
        <w:jc w:val="left"/>
        <w:rPr>
          <w:kern w:val="0"/>
          <w:sz w:val="24"/>
          <w:highlight w:val="none"/>
          <w:lang w:bidi="ar"/>
        </w:rPr>
      </w:pPr>
      <w:r>
        <w:rPr>
          <w:kern w:val="0"/>
          <w:sz w:val="24"/>
          <w:highlight w:val="none"/>
          <w:lang w:bidi="ar"/>
        </w:rPr>
        <w:t>1.数据有效率：</w:t>
      </w:r>
    </w:p>
    <w:p w14:paraId="3C101A48">
      <w:pPr>
        <w:widowControl/>
        <w:spacing w:after="0" w:line="360" w:lineRule="auto"/>
        <w:ind w:firstLine="480" w:firstLineChars="200"/>
        <w:jc w:val="left"/>
        <w:rPr>
          <w:kern w:val="0"/>
          <w:sz w:val="24"/>
          <w:highlight w:val="none"/>
          <w:lang w:bidi="ar"/>
        </w:rPr>
      </w:pPr>
      <w:r>
        <w:rPr>
          <w:kern w:val="0"/>
          <w:sz w:val="24"/>
          <w:highlight w:val="none"/>
          <w:lang w:bidi="ar"/>
        </w:rPr>
        <w:t>数据有效率得分=｛∑各要素（基本得分+奖励得分）｝÷要素种类</w:t>
      </w:r>
    </w:p>
    <w:tbl>
      <w:tblPr>
        <w:tblStyle w:val="29"/>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174"/>
        <w:gridCol w:w="4500"/>
      </w:tblGrid>
      <w:tr w14:paraId="20D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50CD128C">
            <w:pPr>
              <w:spacing w:after="0" w:line="360" w:lineRule="auto"/>
              <w:jc w:val="center"/>
              <w:rPr>
                <w:szCs w:val="21"/>
                <w:highlight w:val="none"/>
              </w:rPr>
            </w:pPr>
            <w:r>
              <w:rPr>
                <w:szCs w:val="21"/>
                <w:highlight w:val="none"/>
              </w:rPr>
              <w:t>数据有效率</w:t>
            </w:r>
          </w:p>
        </w:tc>
        <w:tc>
          <w:tcPr>
            <w:tcW w:w="2174" w:type="dxa"/>
            <w:tcBorders>
              <w:top w:val="single" w:color="auto" w:sz="4" w:space="0"/>
              <w:left w:val="single" w:color="auto" w:sz="4" w:space="0"/>
              <w:bottom w:val="single" w:color="auto" w:sz="4" w:space="0"/>
              <w:right w:val="single" w:color="auto" w:sz="4" w:space="0"/>
            </w:tcBorders>
            <w:vAlign w:val="center"/>
          </w:tcPr>
          <w:p w14:paraId="664D6F41">
            <w:pPr>
              <w:spacing w:after="0" w:line="360" w:lineRule="auto"/>
              <w:jc w:val="center"/>
              <w:rPr>
                <w:szCs w:val="21"/>
                <w:highlight w:val="none"/>
              </w:rPr>
            </w:pPr>
            <w:r>
              <w:rPr>
                <w:szCs w:val="21"/>
                <w:highlight w:val="none"/>
              </w:rPr>
              <w:t>基本得分</w:t>
            </w:r>
          </w:p>
        </w:tc>
        <w:tc>
          <w:tcPr>
            <w:tcW w:w="4500" w:type="dxa"/>
            <w:tcBorders>
              <w:top w:val="single" w:color="auto" w:sz="4" w:space="0"/>
              <w:left w:val="single" w:color="auto" w:sz="4" w:space="0"/>
              <w:bottom w:val="single" w:color="auto" w:sz="4" w:space="0"/>
              <w:right w:val="single" w:color="auto" w:sz="4" w:space="0"/>
            </w:tcBorders>
            <w:vAlign w:val="center"/>
          </w:tcPr>
          <w:p w14:paraId="43B20E1E">
            <w:pPr>
              <w:spacing w:after="0" w:line="360" w:lineRule="auto"/>
              <w:jc w:val="center"/>
              <w:rPr>
                <w:szCs w:val="21"/>
                <w:highlight w:val="none"/>
              </w:rPr>
            </w:pPr>
            <w:r>
              <w:rPr>
                <w:szCs w:val="21"/>
                <w:highlight w:val="none"/>
              </w:rPr>
              <w:t>奖励得分（处罚分为负分）</w:t>
            </w:r>
          </w:p>
        </w:tc>
      </w:tr>
      <w:tr w14:paraId="1E3B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121629E9">
            <w:pPr>
              <w:spacing w:after="0" w:line="360" w:lineRule="auto"/>
              <w:jc w:val="center"/>
              <w:rPr>
                <w:szCs w:val="21"/>
                <w:highlight w:val="none"/>
              </w:rPr>
            </w:pPr>
            <w:r>
              <w:rPr>
                <w:szCs w:val="21"/>
                <w:highlight w:val="none"/>
              </w:rPr>
              <w:t>&gt;98%</w:t>
            </w:r>
          </w:p>
        </w:tc>
        <w:tc>
          <w:tcPr>
            <w:tcW w:w="2174" w:type="dxa"/>
            <w:tcBorders>
              <w:top w:val="single" w:color="auto" w:sz="4" w:space="0"/>
              <w:left w:val="single" w:color="auto" w:sz="4" w:space="0"/>
              <w:bottom w:val="single" w:color="auto" w:sz="4" w:space="0"/>
              <w:right w:val="single" w:color="auto" w:sz="4" w:space="0"/>
            </w:tcBorders>
            <w:vAlign w:val="center"/>
          </w:tcPr>
          <w:p w14:paraId="77529061">
            <w:pPr>
              <w:spacing w:after="0" w:line="360" w:lineRule="auto"/>
              <w:jc w:val="center"/>
              <w:rPr>
                <w:szCs w:val="21"/>
                <w:highlight w:val="none"/>
              </w:rPr>
            </w:pPr>
            <w:r>
              <w:rPr>
                <w:szCs w:val="21"/>
                <w:highlight w:val="none"/>
              </w:rPr>
              <w:t>100分</w:t>
            </w:r>
          </w:p>
        </w:tc>
        <w:tc>
          <w:tcPr>
            <w:tcW w:w="4500" w:type="dxa"/>
            <w:tcBorders>
              <w:top w:val="single" w:color="auto" w:sz="4" w:space="0"/>
              <w:left w:val="single" w:color="auto" w:sz="4" w:space="0"/>
              <w:bottom w:val="single" w:color="auto" w:sz="4" w:space="0"/>
              <w:right w:val="single" w:color="auto" w:sz="4" w:space="0"/>
            </w:tcBorders>
            <w:vAlign w:val="center"/>
          </w:tcPr>
          <w:p w14:paraId="3579D70B">
            <w:pPr>
              <w:spacing w:after="0" w:line="360" w:lineRule="auto"/>
              <w:jc w:val="center"/>
              <w:rPr>
                <w:szCs w:val="21"/>
                <w:highlight w:val="none"/>
              </w:rPr>
            </w:pPr>
            <w:r>
              <w:rPr>
                <w:szCs w:val="21"/>
                <w:highlight w:val="none"/>
              </w:rPr>
              <w:t>50分</w:t>
            </w:r>
          </w:p>
        </w:tc>
      </w:tr>
      <w:tr w14:paraId="5082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6F8D56F7">
            <w:pPr>
              <w:spacing w:after="0" w:line="360" w:lineRule="auto"/>
              <w:jc w:val="center"/>
              <w:rPr>
                <w:szCs w:val="21"/>
                <w:highlight w:val="none"/>
              </w:rPr>
            </w:pPr>
            <w:r>
              <w:rPr>
                <w:szCs w:val="21"/>
                <w:highlight w:val="none"/>
              </w:rPr>
              <w:t>95%-98%</w:t>
            </w:r>
          </w:p>
        </w:tc>
        <w:tc>
          <w:tcPr>
            <w:tcW w:w="2174" w:type="dxa"/>
            <w:tcBorders>
              <w:top w:val="single" w:color="auto" w:sz="4" w:space="0"/>
              <w:left w:val="single" w:color="auto" w:sz="4" w:space="0"/>
              <w:bottom w:val="single" w:color="auto" w:sz="4" w:space="0"/>
              <w:right w:val="single" w:color="auto" w:sz="4" w:space="0"/>
            </w:tcBorders>
            <w:vAlign w:val="center"/>
          </w:tcPr>
          <w:p w14:paraId="1C4E2636">
            <w:pPr>
              <w:spacing w:after="0" w:line="360" w:lineRule="auto"/>
              <w:jc w:val="center"/>
              <w:rPr>
                <w:szCs w:val="21"/>
                <w:highlight w:val="none"/>
              </w:rPr>
            </w:pPr>
            <w:r>
              <w:rPr>
                <w:szCs w:val="21"/>
                <w:highlight w:val="none"/>
              </w:rPr>
              <w:t>100分</w:t>
            </w:r>
          </w:p>
        </w:tc>
        <w:tc>
          <w:tcPr>
            <w:tcW w:w="4500" w:type="dxa"/>
            <w:tcBorders>
              <w:top w:val="single" w:color="auto" w:sz="4" w:space="0"/>
              <w:left w:val="single" w:color="auto" w:sz="4" w:space="0"/>
              <w:bottom w:val="single" w:color="auto" w:sz="4" w:space="0"/>
              <w:right w:val="single" w:color="auto" w:sz="4" w:space="0"/>
            </w:tcBorders>
            <w:vAlign w:val="center"/>
          </w:tcPr>
          <w:p w14:paraId="7D1CAF6B">
            <w:pPr>
              <w:spacing w:after="0" w:line="360" w:lineRule="auto"/>
              <w:jc w:val="center"/>
              <w:rPr>
                <w:szCs w:val="21"/>
                <w:highlight w:val="none"/>
              </w:rPr>
            </w:pPr>
            <w:r>
              <w:rPr>
                <w:szCs w:val="21"/>
                <w:highlight w:val="none"/>
              </w:rPr>
              <w:t>20分</w:t>
            </w:r>
          </w:p>
        </w:tc>
      </w:tr>
      <w:tr w14:paraId="1E9D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3D2EBC23">
            <w:pPr>
              <w:spacing w:after="0" w:line="360" w:lineRule="auto"/>
              <w:jc w:val="center"/>
              <w:rPr>
                <w:szCs w:val="21"/>
                <w:highlight w:val="none"/>
              </w:rPr>
            </w:pPr>
            <w:r>
              <w:rPr>
                <w:szCs w:val="21"/>
                <w:highlight w:val="none"/>
              </w:rPr>
              <w:t>90%-95%</w:t>
            </w:r>
          </w:p>
        </w:tc>
        <w:tc>
          <w:tcPr>
            <w:tcW w:w="2174" w:type="dxa"/>
            <w:tcBorders>
              <w:top w:val="single" w:color="auto" w:sz="4" w:space="0"/>
              <w:left w:val="single" w:color="auto" w:sz="4" w:space="0"/>
              <w:bottom w:val="single" w:color="auto" w:sz="4" w:space="0"/>
              <w:right w:val="single" w:color="auto" w:sz="4" w:space="0"/>
            </w:tcBorders>
            <w:vAlign w:val="center"/>
          </w:tcPr>
          <w:p w14:paraId="44F4557E">
            <w:pPr>
              <w:spacing w:after="0" w:line="360" w:lineRule="auto"/>
              <w:jc w:val="center"/>
              <w:rPr>
                <w:szCs w:val="21"/>
                <w:highlight w:val="none"/>
              </w:rPr>
            </w:pPr>
            <w:r>
              <w:rPr>
                <w:szCs w:val="21"/>
                <w:highlight w:val="none"/>
              </w:rPr>
              <w:t>100分</w:t>
            </w:r>
          </w:p>
        </w:tc>
        <w:tc>
          <w:tcPr>
            <w:tcW w:w="4500" w:type="dxa"/>
            <w:tcBorders>
              <w:top w:val="single" w:color="auto" w:sz="4" w:space="0"/>
              <w:left w:val="single" w:color="auto" w:sz="4" w:space="0"/>
              <w:bottom w:val="single" w:color="auto" w:sz="4" w:space="0"/>
              <w:right w:val="single" w:color="auto" w:sz="4" w:space="0"/>
            </w:tcBorders>
            <w:vAlign w:val="center"/>
          </w:tcPr>
          <w:p w14:paraId="6C80A740">
            <w:pPr>
              <w:spacing w:after="0" w:line="360" w:lineRule="auto"/>
              <w:jc w:val="center"/>
              <w:rPr>
                <w:szCs w:val="21"/>
                <w:highlight w:val="none"/>
              </w:rPr>
            </w:pPr>
            <w:r>
              <w:rPr>
                <w:szCs w:val="21"/>
                <w:highlight w:val="none"/>
              </w:rPr>
              <w:t>0分</w:t>
            </w:r>
          </w:p>
        </w:tc>
      </w:tr>
      <w:tr w14:paraId="3BDF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0FA1299F">
            <w:pPr>
              <w:spacing w:after="0" w:line="360" w:lineRule="auto"/>
              <w:jc w:val="center"/>
              <w:rPr>
                <w:szCs w:val="21"/>
                <w:highlight w:val="none"/>
              </w:rPr>
            </w:pPr>
            <w:r>
              <w:rPr>
                <w:szCs w:val="21"/>
                <w:highlight w:val="none"/>
              </w:rPr>
              <w:t>85%-90%</w:t>
            </w:r>
          </w:p>
        </w:tc>
        <w:tc>
          <w:tcPr>
            <w:tcW w:w="2174" w:type="dxa"/>
            <w:tcBorders>
              <w:top w:val="single" w:color="auto" w:sz="4" w:space="0"/>
              <w:left w:val="single" w:color="auto" w:sz="4" w:space="0"/>
              <w:bottom w:val="single" w:color="auto" w:sz="4" w:space="0"/>
              <w:right w:val="single" w:color="auto" w:sz="4" w:space="0"/>
            </w:tcBorders>
            <w:vAlign w:val="center"/>
          </w:tcPr>
          <w:p w14:paraId="34C66F76">
            <w:pPr>
              <w:spacing w:after="0" w:line="360" w:lineRule="auto"/>
              <w:jc w:val="center"/>
              <w:rPr>
                <w:szCs w:val="21"/>
                <w:highlight w:val="none"/>
              </w:rPr>
            </w:pPr>
            <w:r>
              <w:rPr>
                <w:szCs w:val="21"/>
                <w:highlight w:val="none"/>
              </w:rPr>
              <w:t>80分</w:t>
            </w:r>
          </w:p>
        </w:tc>
        <w:tc>
          <w:tcPr>
            <w:tcW w:w="4500" w:type="dxa"/>
            <w:tcBorders>
              <w:top w:val="single" w:color="auto" w:sz="4" w:space="0"/>
              <w:left w:val="single" w:color="auto" w:sz="4" w:space="0"/>
              <w:bottom w:val="single" w:color="auto" w:sz="4" w:space="0"/>
              <w:right w:val="single" w:color="auto" w:sz="4" w:space="0"/>
            </w:tcBorders>
            <w:vAlign w:val="center"/>
          </w:tcPr>
          <w:p w14:paraId="3BAECC46">
            <w:pPr>
              <w:spacing w:after="0" w:line="360" w:lineRule="auto"/>
              <w:jc w:val="center"/>
              <w:rPr>
                <w:szCs w:val="21"/>
                <w:highlight w:val="none"/>
              </w:rPr>
            </w:pPr>
            <w:r>
              <w:rPr>
                <w:szCs w:val="21"/>
                <w:highlight w:val="none"/>
              </w:rPr>
              <w:t>0分</w:t>
            </w:r>
          </w:p>
        </w:tc>
      </w:tr>
      <w:tr w14:paraId="0F52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02B57984">
            <w:pPr>
              <w:spacing w:after="0" w:line="360" w:lineRule="auto"/>
              <w:jc w:val="center"/>
              <w:rPr>
                <w:szCs w:val="21"/>
                <w:highlight w:val="none"/>
              </w:rPr>
            </w:pPr>
            <w:r>
              <w:rPr>
                <w:szCs w:val="21"/>
                <w:highlight w:val="none"/>
              </w:rPr>
              <w:t>80%-85%</w:t>
            </w:r>
          </w:p>
        </w:tc>
        <w:tc>
          <w:tcPr>
            <w:tcW w:w="2174" w:type="dxa"/>
            <w:tcBorders>
              <w:top w:val="single" w:color="auto" w:sz="4" w:space="0"/>
              <w:left w:val="single" w:color="auto" w:sz="4" w:space="0"/>
              <w:bottom w:val="single" w:color="auto" w:sz="4" w:space="0"/>
              <w:right w:val="single" w:color="auto" w:sz="4" w:space="0"/>
            </w:tcBorders>
            <w:vAlign w:val="center"/>
          </w:tcPr>
          <w:p w14:paraId="0703645F">
            <w:pPr>
              <w:spacing w:after="0" w:line="360" w:lineRule="auto"/>
              <w:jc w:val="center"/>
              <w:rPr>
                <w:szCs w:val="21"/>
                <w:highlight w:val="none"/>
              </w:rPr>
            </w:pPr>
            <w:r>
              <w:rPr>
                <w:szCs w:val="21"/>
                <w:highlight w:val="none"/>
              </w:rPr>
              <w:t>50分</w:t>
            </w:r>
          </w:p>
        </w:tc>
        <w:tc>
          <w:tcPr>
            <w:tcW w:w="4500" w:type="dxa"/>
            <w:tcBorders>
              <w:top w:val="single" w:color="auto" w:sz="4" w:space="0"/>
              <w:left w:val="single" w:color="auto" w:sz="4" w:space="0"/>
              <w:bottom w:val="single" w:color="auto" w:sz="4" w:space="0"/>
              <w:right w:val="single" w:color="auto" w:sz="4" w:space="0"/>
            </w:tcBorders>
            <w:vAlign w:val="center"/>
          </w:tcPr>
          <w:p w14:paraId="282E3275">
            <w:pPr>
              <w:spacing w:after="0" w:line="360" w:lineRule="auto"/>
              <w:jc w:val="center"/>
              <w:rPr>
                <w:szCs w:val="21"/>
                <w:highlight w:val="none"/>
              </w:rPr>
            </w:pPr>
            <w:r>
              <w:rPr>
                <w:szCs w:val="21"/>
                <w:highlight w:val="none"/>
              </w:rPr>
              <w:t>0分</w:t>
            </w:r>
          </w:p>
        </w:tc>
      </w:tr>
      <w:tr w14:paraId="3214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07" w:type="dxa"/>
            <w:tcBorders>
              <w:top w:val="single" w:color="auto" w:sz="4" w:space="0"/>
              <w:left w:val="single" w:color="auto" w:sz="4" w:space="0"/>
              <w:bottom w:val="single" w:color="auto" w:sz="4" w:space="0"/>
              <w:right w:val="single" w:color="auto" w:sz="4" w:space="0"/>
            </w:tcBorders>
            <w:vAlign w:val="center"/>
          </w:tcPr>
          <w:p w14:paraId="6C32096C">
            <w:pPr>
              <w:spacing w:after="0" w:line="360" w:lineRule="auto"/>
              <w:jc w:val="center"/>
              <w:rPr>
                <w:szCs w:val="21"/>
                <w:highlight w:val="none"/>
              </w:rPr>
            </w:pPr>
            <w:r>
              <w:rPr>
                <w:szCs w:val="21"/>
                <w:highlight w:val="none"/>
              </w:rPr>
              <w:t>&lt;80%</w:t>
            </w:r>
          </w:p>
        </w:tc>
        <w:tc>
          <w:tcPr>
            <w:tcW w:w="2174" w:type="dxa"/>
            <w:tcBorders>
              <w:top w:val="single" w:color="auto" w:sz="4" w:space="0"/>
              <w:left w:val="single" w:color="auto" w:sz="4" w:space="0"/>
              <w:bottom w:val="single" w:color="auto" w:sz="4" w:space="0"/>
              <w:right w:val="single" w:color="auto" w:sz="4" w:space="0"/>
            </w:tcBorders>
            <w:vAlign w:val="center"/>
          </w:tcPr>
          <w:p w14:paraId="56A07346">
            <w:pPr>
              <w:spacing w:after="0" w:line="360" w:lineRule="auto"/>
              <w:jc w:val="center"/>
              <w:rPr>
                <w:szCs w:val="21"/>
                <w:highlight w:val="none"/>
              </w:rPr>
            </w:pPr>
            <w:r>
              <w:rPr>
                <w:szCs w:val="21"/>
                <w:highlight w:val="none"/>
              </w:rPr>
              <w:t>0分</w:t>
            </w:r>
          </w:p>
        </w:tc>
        <w:tc>
          <w:tcPr>
            <w:tcW w:w="4500" w:type="dxa"/>
            <w:tcBorders>
              <w:top w:val="single" w:color="auto" w:sz="4" w:space="0"/>
              <w:left w:val="single" w:color="auto" w:sz="4" w:space="0"/>
              <w:bottom w:val="single" w:color="auto" w:sz="4" w:space="0"/>
              <w:right w:val="single" w:color="auto" w:sz="4" w:space="0"/>
            </w:tcBorders>
            <w:vAlign w:val="center"/>
          </w:tcPr>
          <w:p w14:paraId="64733066">
            <w:pPr>
              <w:spacing w:after="0" w:line="360" w:lineRule="auto"/>
              <w:jc w:val="center"/>
              <w:rPr>
                <w:szCs w:val="21"/>
                <w:highlight w:val="none"/>
              </w:rPr>
            </w:pPr>
            <w:r>
              <w:rPr>
                <w:szCs w:val="21"/>
                <w:highlight w:val="none"/>
              </w:rPr>
              <w:t>少于80%每低一个百分点扣2分。</w:t>
            </w:r>
          </w:p>
        </w:tc>
      </w:tr>
    </w:tbl>
    <w:p w14:paraId="5E9B5B97">
      <w:pPr>
        <w:widowControl/>
        <w:spacing w:after="0" w:line="360" w:lineRule="auto"/>
        <w:ind w:firstLine="480" w:firstLineChars="200"/>
        <w:jc w:val="left"/>
        <w:rPr>
          <w:kern w:val="0"/>
          <w:sz w:val="24"/>
          <w:highlight w:val="none"/>
          <w:lang w:bidi="ar"/>
        </w:rPr>
      </w:pPr>
      <w:r>
        <w:rPr>
          <w:kern w:val="0"/>
          <w:sz w:val="24"/>
          <w:highlight w:val="none"/>
          <w:lang w:bidi="ar"/>
        </w:rPr>
        <w:t>2.日常巡检完成率：采购人定期对中标人的日常巡检情况进行抽查，中标人应严格按照规定要求的内容进行环境空气监测子站巡检，应按照巡检要求工作内容完成每一项工作，并如实填写巡检记录，当日操作，当日填写记录。检查人员如发现巡检记录填写错误，或是有工作疏漏，视情况每次扣1-10分，直至总分扣为0分为止。</w:t>
      </w:r>
    </w:p>
    <w:p w14:paraId="09158C05">
      <w:pPr>
        <w:widowControl/>
        <w:spacing w:after="0" w:line="360" w:lineRule="auto"/>
        <w:ind w:firstLine="480" w:firstLineChars="200"/>
        <w:jc w:val="left"/>
        <w:rPr>
          <w:kern w:val="0"/>
          <w:sz w:val="24"/>
          <w:highlight w:val="none"/>
          <w:lang w:bidi="ar"/>
        </w:rPr>
      </w:pPr>
      <w:r>
        <w:rPr>
          <w:kern w:val="0"/>
          <w:sz w:val="24"/>
          <w:highlight w:val="none"/>
          <w:lang w:bidi="ar"/>
        </w:rPr>
        <w:t>3.故障设备维护、维修完成情况：采购人定期对环境空气监测子站仪器设备的维护、维修情况进行检查，如发现环境空气监测子站运行不符合要求，或是仪器零/跨检查与记录填写情况相差较大，视情况每次扣5-10分，直至总分扣为0分为止。</w:t>
      </w:r>
    </w:p>
    <w:p w14:paraId="1AA95F54">
      <w:pPr>
        <w:widowControl/>
        <w:spacing w:after="0" w:line="360" w:lineRule="auto"/>
        <w:ind w:firstLine="480" w:firstLineChars="200"/>
        <w:jc w:val="left"/>
        <w:rPr>
          <w:kern w:val="0"/>
          <w:sz w:val="24"/>
          <w:highlight w:val="none"/>
          <w:lang w:bidi="ar"/>
        </w:rPr>
      </w:pPr>
      <w:r>
        <w:rPr>
          <w:kern w:val="0"/>
          <w:sz w:val="24"/>
          <w:highlight w:val="none"/>
          <w:lang w:bidi="ar"/>
        </w:rPr>
        <w:t>4.环境空气监测子站仪器质控审核（50分）与设备年度维护完成情况检查（50分）：采购人每年在中标人运营开始3个月后组织相关人员对环境空气监测子站运行仪器进行质控审核，每台被检查仪器的零跨漂移符合规定的质控要求为合格，每出现1台不合格扣5分， 直至总分扣为0分为止。同时得出质控审核合格率=（合格仪器数÷大气成分子站运行仪器总数）；在运营11个月后对运营方设备年度维护情况进行检查，运营方应按相关要求完成系统仪器设备年度维护、维修，完成相关的质量保证工作。得分按照检查最终报告进行评分。</w:t>
      </w:r>
    </w:p>
    <w:p w14:paraId="6EBAE63D">
      <w:pPr>
        <w:widowControl/>
        <w:spacing w:after="0" w:line="360" w:lineRule="auto"/>
        <w:ind w:firstLine="480" w:firstLineChars="200"/>
        <w:jc w:val="left"/>
        <w:rPr>
          <w:kern w:val="0"/>
          <w:sz w:val="24"/>
          <w:highlight w:val="none"/>
          <w:lang w:bidi="ar"/>
        </w:rPr>
      </w:pPr>
      <w:r>
        <w:rPr>
          <w:kern w:val="0"/>
          <w:sz w:val="24"/>
          <w:highlight w:val="none"/>
          <w:lang w:bidi="ar"/>
        </w:rPr>
        <w:t>5.服务承诺核查:采购人针对中标人在投标时提出的其在仪器设备维护、质量保证、配件供应，环境空气监测子站巡检、人员配备情况，以及其它服务承诺的实施情况进行核查，每出现一次不符合情况扣5分，直至总分扣为0分为止。</w:t>
      </w:r>
    </w:p>
    <w:p w14:paraId="131FB25E">
      <w:pPr>
        <w:widowControl/>
        <w:spacing w:after="0" w:line="360" w:lineRule="auto"/>
        <w:ind w:firstLine="480" w:firstLineChars="200"/>
        <w:jc w:val="left"/>
        <w:rPr>
          <w:kern w:val="0"/>
          <w:sz w:val="24"/>
          <w:highlight w:val="none"/>
          <w:lang w:bidi="ar"/>
        </w:rPr>
      </w:pPr>
      <w:r>
        <w:rPr>
          <w:kern w:val="0"/>
          <w:sz w:val="24"/>
          <w:highlight w:val="none"/>
          <w:lang w:bidi="ar"/>
        </w:rPr>
        <w:t>6.年度系统运营最终得分按照（50%数据率得分+20%日常巡检得分+10%故障设备维护、维修完成情况+10%设备年度维护完成情况与质控审核+10%服务承诺核查）得分核算。</w:t>
      </w:r>
    </w:p>
    <w:p w14:paraId="420A6B88">
      <w:pPr>
        <w:widowControl/>
        <w:spacing w:after="0" w:line="360" w:lineRule="auto"/>
        <w:ind w:firstLine="480" w:firstLineChars="200"/>
        <w:jc w:val="left"/>
        <w:rPr>
          <w:kern w:val="0"/>
          <w:sz w:val="24"/>
          <w:highlight w:val="none"/>
          <w:lang w:bidi="ar"/>
        </w:rPr>
      </w:pPr>
      <w:r>
        <w:rPr>
          <w:kern w:val="0"/>
          <w:sz w:val="24"/>
          <w:highlight w:val="none"/>
          <w:lang w:bidi="ar"/>
        </w:rPr>
        <w:t>7.惩罚办法</w:t>
      </w:r>
    </w:p>
    <w:p w14:paraId="24CC20C4">
      <w:pPr>
        <w:widowControl/>
        <w:spacing w:after="0" w:line="360" w:lineRule="auto"/>
        <w:ind w:firstLine="480" w:firstLineChars="200"/>
        <w:jc w:val="left"/>
        <w:rPr>
          <w:kern w:val="0"/>
          <w:sz w:val="24"/>
          <w:highlight w:val="none"/>
          <w:lang w:bidi="ar"/>
        </w:rPr>
      </w:pPr>
      <w:r>
        <w:rPr>
          <w:kern w:val="0"/>
          <w:sz w:val="24"/>
          <w:highlight w:val="none"/>
          <w:lang w:bidi="ar"/>
        </w:rPr>
        <w:t>7.1 一旦发现虚假数据或人为干扰采样，采购人方有权终止合同，并按已支付费用的双倍进行经济处罚。</w:t>
      </w:r>
    </w:p>
    <w:p w14:paraId="4611C94F">
      <w:pPr>
        <w:widowControl/>
        <w:spacing w:after="0" w:line="360" w:lineRule="auto"/>
        <w:ind w:firstLine="480" w:firstLineChars="200"/>
        <w:jc w:val="left"/>
        <w:rPr>
          <w:kern w:val="0"/>
          <w:sz w:val="24"/>
          <w:highlight w:val="none"/>
          <w:lang w:bidi="ar"/>
        </w:rPr>
      </w:pPr>
      <w:r>
        <w:rPr>
          <w:kern w:val="0"/>
          <w:sz w:val="24"/>
          <w:highlight w:val="none"/>
          <w:lang w:bidi="ar"/>
        </w:rPr>
        <w:t>7.2 按季度对每个站点单独考核，其中</w:t>
      </w:r>
    </w:p>
    <w:p w14:paraId="3364A7D4">
      <w:pPr>
        <w:widowControl/>
        <w:spacing w:after="0" w:line="360" w:lineRule="auto"/>
        <w:ind w:firstLine="480" w:firstLineChars="200"/>
        <w:jc w:val="left"/>
        <w:rPr>
          <w:kern w:val="0"/>
          <w:sz w:val="24"/>
          <w:highlight w:val="none"/>
          <w:lang w:bidi="ar"/>
        </w:rPr>
      </w:pPr>
      <w:r>
        <w:rPr>
          <w:kern w:val="0"/>
          <w:sz w:val="24"/>
          <w:highlight w:val="none"/>
          <w:lang w:bidi="ar"/>
        </w:rPr>
        <w:t>（1）考核结果在70分以上，80分以下，为初级警告，扣除当季度运营费10%，并责令整改；</w:t>
      </w:r>
    </w:p>
    <w:p w14:paraId="37873879">
      <w:pPr>
        <w:widowControl/>
        <w:spacing w:after="0" w:line="360" w:lineRule="auto"/>
        <w:ind w:firstLine="480" w:firstLineChars="200"/>
        <w:jc w:val="left"/>
        <w:rPr>
          <w:kern w:val="0"/>
          <w:sz w:val="24"/>
          <w:highlight w:val="none"/>
          <w:lang w:bidi="ar"/>
        </w:rPr>
      </w:pPr>
      <w:r>
        <w:rPr>
          <w:kern w:val="0"/>
          <w:sz w:val="24"/>
          <w:highlight w:val="none"/>
          <w:lang w:bidi="ar"/>
        </w:rPr>
        <w:t>（2）考核结果在60分以上，70分以下，为二级警告，扣除当季度</w:t>
      </w:r>
      <w:r>
        <w:rPr>
          <w:kern w:val="0"/>
          <w:sz w:val="24"/>
          <w:highlight w:val="none"/>
          <w:lang w:eastAsia="zh-Hans" w:bidi="ar"/>
        </w:rPr>
        <w:t>运营</w:t>
      </w:r>
      <w:r>
        <w:rPr>
          <w:kern w:val="0"/>
          <w:sz w:val="24"/>
          <w:highlight w:val="none"/>
          <w:lang w:bidi="ar"/>
        </w:rPr>
        <w:t>费的30%，并责令整改；</w:t>
      </w:r>
    </w:p>
    <w:p w14:paraId="598E463C">
      <w:pPr>
        <w:widowControl/>
        <w:spacing w:after="0" w:line="360" w:lineRule="auto"/>
        <w:ind w:firstLine="480" w:firstLineChars="200"/>
        <w:jc w:val="left"/>
        <w:rPr>
          <w:kern w:val="0"/>
          <w:sz w:val="24"/>
          <w:highlight w:val="none"/>
          <w:lang w:bidi="ar"/>
        </w:rPr>
      </w:pPr>
      <w:r>
        <w:rPr>
          <w:kern w:val="0"/>
          <w:sz w:val="24"/>
          <w:highlight w:val="none"/>
          <w:lang w:bidi="ar"/>
        </w:rPr>
        <w:t>（3）考核结果在60分以下，</w:t>
      </w:r>
      <w:r>
        <w:rPr>
          <w:rFonts w:hint="eastAsia"/>
          <w:kern w:val="0"/>
          <w:sz w:val="24"/>
          <w:highlight w:val="none"/>
          <w:lang w:bidi="ar"/>
        </w:rPr>
        <w:t>甲方有权解除</w:t>
      </w:r>
      <w:r>
        <w:rPr>
          <w:kern w:val="0"/>
          <w:sz w:val="24"/>
          <w:highlight w:val="none"/>
          <w:lang w:bidi="ar"/>
        </w:rPr>
        <w:t>运营合同；</w:t>
      </w:r>
    </w:p>
    <w:p w14:paraId="42294230">
      <w:pPr>
        <w:widowControl/>
        <w:spacing w:after="0" w:line="360" w:lineRule="auto"/>
        <w:ind w:firstLine="480" w:firstLineChars="200"/>
        <w:jc w:val="left"/>
        <w:rPr>
          <w:kern w:val="0"/>
          <w:sz w:val="24"/>
          <w:highlight w:val="none"/>
          <w:lang w:bidi="ar"/>
        </w:rPr>
      </w:pPr>
      <w:r>
        <w:rPr>
          <w:kern w:val="0"/>
          <w:sz w:val="24"/>
          <w:highlight w:val="none"/>
          <w:lang w:bidi="ar"/>
        </w:rPr>
        <w:t>7.3如遇到7.1或7.2（3）状况解除合同后，原中标人必须对所运维的站点按接手时的仪器配置品牌型号进行维修，要求不低于交接时仪器状况。</w:t>
      </w:r>
    </w:p>
    <w:p w14:paraId="43DD15D6">
      <w:pPr>
        <w:pStyle w:val="79"/>
        <w:spacing w:line="360" w:lineRule="auto"/>
        <w:ind w:firstLine="420"/>
        <w:rPr>
          <w:rFonts w:ascii="Times New Roman" w:hAnsi="Times New Roman" w:cs="Times New Roman"/>
          <w:kern w:val="0"/>
          <w:sz w:val="24"/>
          <w:highlight w:val="none"/>
          <w:lang w:bidi="ar"/>
        </w:rPr>
      </w:pPr>
      <w:r>
        <w:rPr>
          <w:rFonts w:ascii="Times New Roman" w:hAnsi="Times New Roman" w:cs="Times New Roman"/>
          <w:kern w:val="0"/>
          <w:sz w:val="24"/>
          <w:highlight w:val="none"/>
          <w:lang w:bidi="ar"/>
        </w:rPr>
        <w:t>7.4合同解除后对环境空气自动站进行资产后评估，若达不到7.3要求，新的托管方在修复并达到7.3考核要求时，所需费用由原中标人承担。</w:t>
      </w:r>
    </w:p>
    <w:p w14:paraId="139B89E3">
      <w:pPr>
        <w:pStyle w:val="79"/>
        <w:spacing w:line="240" w:lineRule="auto"/>
        <w:rPr>
          <w:rFonts w:ascii="Times New Roman" w:hAnsi="Times New Roman" w:eastAsia="宋体"/>
          <w:sz w:val="24"/>
          <w:highlight w:val="none"/>
        </w:rPr>
      </w:pPr>
      <w:r>
        <w:rPr>
          <w:rFonts w:hint="eastAsia" w:ascii="Times New Roman" w:hAnsi="Times New Roman" w:eastAsia="宋体"/>
          <w:sz w:val="24"/>
          <w:highlight w:val="none"/>
        </w:rPr>
        <w:t>四、商务条款</w:t>
      </w:r>
    </w:p>
    <w:p w14:paraId="51058675">
      <w:pPr>
        <w:widowControl/>
        <w:spacing w:after="0" w:line="360" w:lineRule="auto"/>
        <w:ind w:firstLine="480" w:firstLineChars="200"/>
        <w:jc w:val="left"/>
        <w:rPr>
          <w:kern w:val="0"/>
          <w:sz w:val="24"/>
          <w:highlight w:val="none"/>
          <w:lang w:bidi="ar"/>
        </w:rPr>
      </w:pPr>
      <w:r>
        <w:rPr>
          <w:rFonts w:hint="eastAsia"/>
          <w:kern w:val="0"/>
          <w:sz w:val="24"/>
          <w:highlight w:val="none"/>
          <w:lang w:bidi="ar"/>
        </w:rPr>
        <w:t xml:space="preserve">1、 </w:t>
      </w:r>
      <w:r>
        <w:rPr>
          <w:kern w:val="0"/>
          <w:sz w:val="24"/>
          <w:highlight w:val="none"/>
          <w:lang w:bidi="ar"/>
        </w:rPr>
        <w:t>在项目实施过程中采购人仅配合协助，所需费用均包含在本项目总价内。</w:t>
      </w:r>
    </w:p>
    <w:p w14:paraId="5C040ACC">
      <w:pPr>
        <w:widowControl/>
        <w:spacing w:after="0" w:line="360" w:lineRule="auto"/>
        <w:ind w:firstLine="480" w:firstLineChars="200"/>
        <w:jc w:val="left"/>
        <w:rPr>
          <w:kern w:val="0"/>
          <w:sz w:val="24"/>
          <w:highlight w:val="none"/>
          <w:lang w:bidi="ar"/>
        </w:rPr>
      </w:pPr>
      <w:r>
        <w:rPr>
          <w:rFonts w:hint="eastAsia"/>
          <w:kern w:val="0"/>
          <w:sz w:val="24"/>
          <w:highlight w:val="none"/>
          <w:lang w:bidi="ar"/>
        </w:rPr>
        <w:t>2、</w:t>
      </w:r>
      <w:r>
        <w:rPr>
          <w:kern w:val="0"/>
          <w:sz w:val="24"/>
          <w:highlight w:val="none"/>
          <w:lang w:bidi="ar"/>
        </w:rPr>
        <w:t>工期：合同签订后，提供1年运维服务。</w:t>
      </w:r>
    </w:p>
    <w:p w14:paraId="221F1B36">
      <w:pPr>
        <w:widowControl/>
        <w:spacing w:after="0" w:line="360" w:lineRule="auto"/>
        <w:ind w:firstLine="480" w:firstLineChars="200"/>
        <w:jc w:val="left"/>
        <w:rPr>
          <w:kern w:val="0"/>
          <w:sz w:val="24"/>
          <w:highlight w:val="none"/>
          <w:lang w:bidi="ar"/>
        </w:rPr>
      </w:pPr>
      <w:r>
        <w:rPr>
          <w:rFonts w:hint="eastAsia"/>
          <w:kern w:val="0"/>
          <w:sz w:val="24"/>
          <w:highlight w:val="none"/>
          <w:lang w:bidi="ar"/>
        </w:rPr>
        <w:t>3、</w:t>
      </w:r>
      <w:r>
        <w:rPr>
          <w:kern w:val="0"/>
          <w:sz w:val="24"/>
          <w:highlight w:val="none"/>
          <w:lang w:bidi="ar"/>
        </w:rPr>
        <w:t>合同签订：中标通知书发出后30日内双方尽快签订采购合同。</w:t>
      </w:r>
    </w:p>
    <w:p w14:paraId="1E63BE10">
      <w:pPr>
        <w:pStyle w:val="25"/>
        <w:autoSpaceDE w:val="0"/>
        <w:spacing w:before="0" w:beforeAutospacing="0" w:after="0" w:afterAutospacing="0" w:line="360" w:lineRule="auto"/>
        <w:ind w:firstLine="480" w:firstLineChars="200"/>
        <w:rPr>
          <w:rFonts w:ascii="Times New Roman" w:hAnsi="Times New Roman"/>
          <w:highlight w:val="none"/>
          <w:lang w:bidi="ar"/>
        </w:rPr>
      </w:pPr>
      <w:r>
        <w:rPr>
          <w:rFonts w:hint="eastAsia" w:ascii="Times New Roman" w:hAnsi="Times New Roman"/>
          <w:highlight w:val="none"/>
          <w:lang w:bidi="ar"/>
        </w:rPr>
        <w:t>4、付款方式:</w:t>
      </w:r>
      <w:r>
        <w:rPr>
          <w:rFonts w:ascii="Times New Roman" w:hAnsi="Times New Roman"/>
          <w:highlight w:val="none"/>
          <w:lang w:bidi="ar"/>
        </w:rPr>
        <w:t>签订合同后支付项目合同额的40%，作为预付款</w:t>
      </w:r>
      <w:r>
        <w:rPr>
          <w:rFonts w:hint="eastAsia" w:ascii="Times New Roman" w:hAnsi="Times New Roman"/>
          <w:highlight w:val="none"/>
          <w:lang w:bidi="ar"/>
        </w:rPr>
        <w:t>;</w:t>
      </w:r>
      <w:r>
        <w:rPr>
          <w:rFonts w:ascii="Times New Roman" w:hAnsi="Times New Roman"/>
          <w:highlight w:val="none"/>
          <w:lang w:bidi="ar"/>
        </w:rPr>
        <w:t>服务期满，根据考核结果扣除相应运营费用后，支付剩余款项。</w:t>
      </w:r>
    </w:p>
    <w:p w14:paraId="161CE3CB">
      <w:pPr>
        <w:snapToGrid w:val="0"/>
        <w:spacing w:line="360" w:lineRule="auto"/>
        <w:jc w:val="center"/>
        <w:rPr>
          <w:highlight w:val="none"/>
        </w:rPr>
      </w:pPr>
      <w:r>
        <w:rPr>
          <w:b/>
          <w:color w:val="000000" w:themeColor="text1"/>
          <w:sz w:val="36"/>
          <w:szCs w:val="36"/>
          <w:highlight w:val="none"/>
          <w14:textFill>
            <w14:solidFill>
              <w14:schemeClr w14:val="tx1"/>
            </w14:solidFill>
          </w14:textFill>
        </w:rPr>
        <w:t>第三章  供应商须知</w:t>
      </w:r>
    </w:p>
    <w:p w14:paraId="6D5B9732">
      <w:pPr>
        <w:spacing w:line="360" w:lineRule="auto"/>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前附表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5"/>
        <w:gridCol w:w="6287"/>
      </w:tblGrid>
      <w:tr w14:paraId="419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DC438B2">
            <w:pPr>
              <w:spacing w:line="340" w:lineRule="exact"/>
              <w:jc w:val="center"/>
              <w:rPr>
                <w:sz w:val="24"/>
                <w:highlight w:val="none"/>
              </w:rPr>
            </w:pPr>
            <w:bookmarkStart w:id="46" w:name="_Hlk61252961"/>
            <w:r>
              <w:rPr>
                <w:sz w:val="24"/>
                <w:highlight w:val="none"/>
              </w:rPr>
              <w:t>序号</w:t>
            </w:r>
          </w:p>
        </w:tc>
        <w:tc>
          <w:tcPr>
            <w:tcW w:w="149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BFF549">
            <w:pPr>
              <w:spacing w:line="340" w:lineRule="exact"/>
              <w:jc w:val="center"/>
              <w:rPr>
                <w:sz w:val="24"/>
                <w:highlight w:val="none"/>
              </w:rPr>
            </w:pPr>
            <w:r>
              <w:rPr>
                <w:sz w:val="24"/>
                <w:highlight w:val="none"/>
              </w:rPr>
              <w:t>项    目</w:t>
            </w:r>
          </w:p>
        </w:tc>
        <w:tc>
          <w:tcPr>
            <w:tcW w:w="62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E31A54C">
            <w:pPr>
              <w:spacing w:line="340" w:lineRule="exact"/>
              <w:jc w:val="center"/>
              <w:rPr>
                <w:sz w:val="24"/>
                <w:highlight w:val="none"/>
              </w:rPr>
            </w:pPr>
            <w:r>
              <w:rPr>
                <w:sz w:val="24"/>
                <w:highlight w:val="none"/>
              </w:rPr>
              <w:t>内                 容</w:t>
            </w:r>
          </w:p>
        </w:tc>
      </w:tr>
      <w:tr w14:paraId="1C68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FFA03A8">
            <w:pPr>
              <w:spacing w:line="340" w:lineRule="exact"/>
              <w:jc w:val="center"/>
              <w:rPr>
                <w:sz w:val="24"/>
                <w:highlight w:val="none"/>
              </w:rPr>
            </w:pPr>
            <w:r>
              <w:rPr>
                <w:sz w:val="24"/>
                <w:highlight w:val="none"/>
              </w:rPr>
              <w:t>1</w:t>
            </w:r>
          </w:p>
        </w:tc>
        <w:tc>
          <w:tcPr>
            <w:tcW w:w="1495" w:type="dxa"/>
            <w:tcBorders>
              <w:top w:val="single" w:color="auto" w:sz="4" w:space="0"/>
              <w:left w:val="single" w:color="auto" w:sz="4" w:space="0"/>
              <w:bottom w:val="single" w:color="auto" w:sz="4" w:space="0"/>
              <w:right w:val="single" w:color="auto" w:sz="4" w:space="0"/>
            </w:tcBorders>
            <w:vAlign w:val="center"/>
          </w:tcPr>
          <w:p w14:paraId="056AED65">
            <w:pPr>
              <w:spacing w:line="340" w:lineRule="exact"/>
              <w:jc w:val="center"/>
              <w:rPr>
                <w:sz w:val="24"/>
                <w:highlight w:val="none"/>
              </w:rPr>
            </w:pPr>
            <w:r>
              <w:rPr>
                <w:sz w:val="24"/>
                <w:highlight w:val="none"/>
              </w:rPr>
              <w:t>供应商特定资格要求</w:t>
            </w:r>
          </w:p>
        </w:tc>
        <w:tc>
          <w:tcPr>
            <w:tcW w:w="6287" w:type="dxa"/>
            <w:tcBorders>
              <w:top w:val="single" w:color="auto" w:sz="4" w:space="0"/>
              <w:left w:val="single" w:color="auto" w:sz="4" w:space="0"/>
              <w:bottom w:val="single" w:color="auto" w:sz="4" w:space="0"/>
              <w:right w:val="single" w:color="auto" w:sz="4" w:space="0"/>
            </w:tcBorders>
            <w:vAlign w:val="center"/>
          </w:tcPr>
          <w:p w14:paraId="7221F95B">
            <w:pPr>
              <w:spacing w:line="340" w:lineRule="exact"/>
              <w:rPr>
                <w:sz w:val="24"/>
                <w:highlight w:val="none"/>
              </w:rPr>
            </w:pPr>
            <w:r>
              <w:rPr>
                <w:sz w:val="24"/>
                <w:highlight w:val="none"/>
              </w:rPr>
              <w:t>符合磋商公告资格要求的供应商。</w:t>
            </w:r>
          </w:p>
        </w:tc>
      </w:tr>
      <w:tr w14:paraId="699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8955EA">
            <w:pPr>
              <w:spacing w:line="340" w:lineRule="exact"/>
              <w:jc w:val="center"/>
              <w:rPr>
                <w:sz w:val="24"/>
                <w:highlight w:val="none"/>
              </w:rPr>
            </w:pPr>
            <w:r>
              <w:rPr>
                <w:sz w:val="24"/>
                <w:highlight w:val="none"/>
              </w:rPr>
              <w:t>2</w:t>
            </w:r>
          </w:p>
        </w:tc>
        <w:tc>
          <w:tcPr>
            <w:tcW w:w="1495" w:type="dxa"/>
            <w:tcBorders>
              <w:top w:val="single" w:color="auto" w:sz="4" w:space="0"/>
              <w:left w:val="single" w:color="auto" w:sz="4" w:space="0"/>
              <w:bottom w:val="single" w:color="auto" w:sz="4" w:space="0"/>
              <w:right w:val="single" w:color="auto" w:sz="4" w:space="0"/>
            </w:tcBorders>
            <w:vAlign w:val="center"/>
          </w:tcPr>
          <w:p w14:paraId="78B1DAC1">
            <w:pPr>
              <w:spacing w:line="340" w:lineRule="exact"/>
              <w:jc w:val="center"/>
              <w:rPr>
                <w:sz w:val="24"/>
                <w:highlight w:val="none"/>
              </w:rPr>
            </w:pPr>
            <w:r>
              <w:rPr>
                <w:kern w:val="0"/>
                <w:sz w:val="24"/>
                <w:highlight w:val="none"/>
              </w:rPr>
              <w:t>答疑会或</w:t>
            </w:r>
            <w:r>
              <w:rPr>
                <w:sz w:val="24"/>
                <w:highlight w:val="none"/>
              </w:rPr>
              <w:t>现场踏勘</w:t>
            </w:r>
          </w:p>
        </w:tc>
        <w:tc>
          <w:tcPr>
            <w:tcW w:w="6287" w:type="dxa"/>
            <w:tcBorders>
              <w:top w:val="single" w:color="auto" w:sz="4" w:space="0"/>
              <w:left w:val="single" w:color="auto" w:sz="4" w:space="0"/>
              <w:bottom w:val="single" w:color="auto" w:sz="4" w:space="0"/>
              <w:right w:val="single" w:color="auto" w:sz="4" w:space="0"/>
            </w:tcBorders>
            <w:vAlign w:val="center"/>
          </w:tcPr>
          <w:p w14:paraId="5A221BC4">
            <w:pPr>
              <w:spacing w:line="340" w:lineRule="exact"/>
              <w:rPr>
                <w:sz w:val="24"/>
                <w:highlight w:val="none"/>
              </w:rPr>
            </w:pPr>
            <w:r>
              <w:rPr>
                <w:color w:val="000000"/>
                <w:sz w:val="24"/>
                <w:highlight w:val="none"/>
              </w:rPr>
              <w:t>不组织，如供应商认为有必要可自行前往现场踏勘。</w:t>
            </w:r>
          </w:p>
        </w:tc>
      </w:tr>
      <w:tr w14:paraId="4EF6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917F70F">
            <w:pPr>
              <w:spacing w:line="340" w:lineRule="exact"/>
              <w:jc w:val="center"/>
              <w:rPr>
                <w:sz w:val="24"/>
                <w:highlight w:val="none"/>
              </w:rPr>
            </w:pPr>
            <w:r>
              <w:rPr>
                <w:sz w:val="24"/>
                <w:highlight w:val="none"/>
              </w:rPr>
              <w:t>3</w:t>
            </w:r>
          </w:p>
        </w:tc>
        <w:tc>
          <w:tcPr>
            <w:tcW w:w="1495" w:type="dxa"/>
            <w:tcBorders>
              <w:top w:val="single" w:color="auto" w:sz="4" w:space="0"/>
              <w:left w:val="single" w:color="auto" w:sz="4" w:space="0"/>
              <w:bottom w:val="single" w:color="auto" w:sz="4" w:space="0"/>
              <w:right w:val="single" w:color="auto" w:sz="4" w:space="0"/>
            </w:tcBorders>
            <w:vAlign w:val="center"/>
          </w:tcPr>
          <w:p w14:paraId="076DDE2F">
            <w:pPr>
              <w:spacing w:line="340" w:lineRule="exact"/>
              <w:jc w:val="center"/>
              <w:rPr>
                <w:sz w:val="24"/>
                <w:highlight w:val="none"/>
              </w:rPr>
            </w:pPr>
            <w:r>
              <w:rPr>
                <w:sz w:val="24"/>
                <w:highlight w:val="none"/>
              </w:rPr>
              <w:t>投标文件</w:t>
            </w:r>
          </w:p>
        </w:tc>
        <w:tc>
          <w:tcPr>
            <w:tcW w:w="6287" w:type="dxa"/>
            <w:tcBorders>
              <w:top w:val="single" w:color="auto" w:sz="4" w:space="0"/>
              <w:left w:val="single" w:color="auto" w:sz="4" w:space="0"/>
              <w:bottom w:val="single" w:color="auto" w:sz="4" w:space="0"/>
              <w:right w:val="single" w:color="auto" w:sz="4" w:space="0"/>
            </w:tcBorders>
            <w:vAlign w:val="center"/>
          </w:tcPr>
          <w:p w14:paraId="1CF15B7C">
            <w:pPr>
              <w:spacing w:line="340" w:lineRule="exact"/>
              <w:rPr>
                <w:sz w:val="24"/>
                <w:highlight w:val="none"/>
              </w:rPr>
            </w:pPr>
            <w:r>
              <w:rPr>
                <w:sz w:val="24"/>
                <w:highlight w:val="none"/>
              </w:rPr>
              <w:t>☑电子投标文件（包括“电子加密投标文件”和“备份投标文件”，在投标文件编制完成后同时生成）；</w:t>
            </w:r>
          </w:p>
          <w:p w14:paraId="724F768A">
            <w:pPr>
              <w:spacing w:line="340" w:lineRule="exact"/>
              <w:rPr>
                <w:sz w:val="24"/>
                <w:highlight w:val="none"/>
              </w:rPr>
            </w:pPr>
            <w:r>
              <w:rPr>
                <w:sz w:val="24"/>
                <w:highlight w:val="none"/>
              </w:rPr>
              <w:t>（1）“电子加密投标文件”是指通过“政采云电子交易客户端”完成投标文件编制后生成并加密的数据电文形式的投标文件。</w:t>
            </w:r>
          </w:p>
          <w:p w14:paraId="6D838BCF">
            <w:pPr>
              <w:spacing w:line="340" w:lineRule="exact"/>
              <w:rPr>
                <w:sz w:val="24"/>
                <w:highlight w:val="none"/>
              </w:rPr>
            </w:pPr>
            <w:r>
              <w:rPr>
                <w:sz w:val="24"/>
                <w:highlight w:val="none"/>
              </w:rPr>
              <w:t>（2）“备份投标文件”是指与“电子加密投标文件”同时生成的数据电文形式的电子文件（备份标书）（后缀格式为.bfbs），其他方式编制的备份投标文件视为无效备份投标文件。</w:t>
            </w:r>
          </w:p>
          <w:p w14:paraId="6A9771D1">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09F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B30D7BB">
            <w:pPr>
              <w:spacing w:line="340" w:lineRule="exact"/>
              <w:jc w:val="center"/>
              <w:rPr>
                <w:sz w:val="24"/>
                <w:highlight w:val="none"/>
              </w:rPr>
            </w:pPr>
            <w:r>
              <w:rPr>
                <w:sz w:val="24"/>
                <w:highlight w:val="none"/>
              </w:rPr>
              <w:t>4</w:t>
            </w:r>
          </w:p>
        </w:tc>
        <w:tc>
          <w:tcPr>
            <w:tcW w:w="1495" w:type="dxa"/>
            <w:tcBorders>
              <w:top w:val="single" w:color="auto" w:sz="4" w:space="0"/>
              <w:left w:val="single" w:color="auto" w:sz="4" w:space="0"/>
              <w:bottom w:val="single" w:color="auto" w:sz="4" w:space="0"/>
              <w:right w:val="single" w:color="auto" w:sz="4" w:space="0"/>
            </w:tcBorders>
            <w:vAlign w:val="center"/>
          </w:tcPr>
          <w:p w14:paraId="7BD10137">
            <w:pPr>
              <w:spacing w:line="340" w:lineRule="exact"/>
              <w:jc w:val="center"/>
              <w:rPr>
                <w:sz w:val="24"/>
                <w:highlight w:val="none"/>
              </w:rPr>
            </w:pPr>
            <w:r>
              <w:rPr>
                <w:sz w:val="24"/>
                <w:highlight w:val="none"/>
              </w:rPr>
              <w:t>投标文件</w:t>
            </w:r>
          </w:p>
          <w:p w14:paraId="1C28847B">
            <w:pPr>
              <w:spacing w:line="340" w:lineRule="exact"/>
              <w:jc w:val="center"/>
              <w:rPr>
                <w:sz w:val="24"/>
                <w:highlight w:val="none"/>
              </w:rPr>
            </w:pPr>
            <w:r>
              <w:rPr>
                <w:sz w:val="24"/>
                <w:highlight w:val="none"/>
              </w:rPr>
              <w:t>份数</w:t>
            </w:r>
          </w:p>
        </w:tc>
        <w:tc>
          <w:tcPr>
            <w:tcW w:w="6287" w:type="dxa"/>
            <w:tcBorders>
              <w:top w:val="single" w:color="auto" w:sz="4" w:space="0"/>
              <w:left w:val="single" w:color="auto" w:sz="4" w:space="0"/>
              <w:bottom w:val="single" w:color="auto" w:sz="4" w:space="0"/>
              <w:right w:val="single" w:color="auto" w:sz="4" w:space="0"/>
            </w:tcBorders>
            <w:vAlign w:val="center"/>
          </w:tcPr>
          <w:p w14:paraId="596F32EE">
            <w:pPr>
              <w:spacing w:line="340" w:lineRule="exact"/>
              <w:rPr>
                <w:sz w:val="24"/>
                <w:highlight w:val="none"/>
              </w:rPr>
            </w:pPr>
            <w:r>
              <w:rPr>
                <w:sz w:val="24"/>
                <w:highlight w:val="none"/>
              </w:rPr>
              <w:t>（1）“电子加密投标文件”：在线上传提交一份。</w:t>
            </w:r>
          </w:p>
          <w:p w14:paraId="1A01C2E8">
            <w:pPr>
              <w:spacing w:line="340" w:lineRule="exact"/>
              <w:rPr>
                <w:sz w:val="24"/>
                <w:highlight w:val="none"/>
              </w:rPr>
            </w:pPr>
            <w:r>
              <w:rPr>
                <w:sz w:val="24"/>
                <w:highlight w:val="none"/>
              </w:rPr>
              <w:t>（2）“备份投标文件”：密封包装后确保在投标截止时间前（建议使用EMS/顺丰邮寄形式）送达一份（邮寄地址：台州市椒江区开元路299号，台州蔚蓝投资咨询有限公司，赵老师18858688080或发送后缀格式为.bfbs的备份文件至代理邮箱3291544104@qq.com）。（自选邮寄，自选形式）</w:t>
            </w:r>
          </w:p>
        </w:tc>
      </w:tr>
      <w:tr w14:paraId="3D6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EC0044">
            <w:pPr>
              <w:spacing w:line="340" w:lineRule="exact"/>
              <w:jc w:val="center"/>
              <w:rPr>
                <w:sz w:val="24"/>
                <w:highlight w:val="none"/>
              </w:rPr>
            </w:pPr>
            <w:r>
              <w:rPr>
                <w:sz w:val="24"/>
                <w:highlight w:val="none"/>
              </w:rPr>
              <w:t>5</w:t>
            </w:r>
          </w:p>
        </w:tc>
        <w:tc>
          <w:tcPr>
            <w:tcW w:w="1495" w:type="dxa"/>
            <w:tcBorders>
              <w:top w:val="single" w:color="auto" w:sz="4" w:space="0"/>
              <w:left w:val="single" w:color="auto" w:sz="4" w:space="0"/>
              <w:bottom w:val="single" w:color="auto" w:sz="4" w:space="0"/>
              <w:right w:val="single" w:color="auto" w:sz="4" w:space="0"/>
            </w:tcBorders>
            <w:vAlign w:val="center"/>
          </w:tcPr>
          <w:p w14:paraId="78D2F2DD">
            <w:pPr>
              <w:spacing w:line="340" w:lineRule="exact"/>
              <w:jc w:val="center"/>
              <w:rPr>
                <w:sz w:val="24"/>
                <w:highlight w:val="none"/>
              </w:rPr>
            </w:pPr>
            <w:r>
              <w:rPr>
                <w:sz w:val="24"/>
                <w:highlight w:val="none"/>
              </w:rPr>
              <w:t>投标文件的上传与递交</w:t>
            </w:r>
          </w:p>
        </w:tc>
        <w:tc>
          <w:tcPr>
            <w:tcW w:w="6287" w:type="dxa"/>
            <w:tcBorders>
              <w:top w:val="single" w:color="auto" w:sz="4" w:space="0"/>
              <w:left w:val="single" w:color="auto" w:sz="4" w:space="0"/>
              <w:bottom w:val="single" w:color="auto" w:sz="4" w:space="0"/>
              <w:right w:val="single" w:color="auto" w:sz="4" w:space="0"/>
            </w:tcBorders>
            <w:vAlign w:val="center"/>
          </w:tcPr>
          <w:p w14:paraId="4FBBF109">
            <w:pPr>
              <w:spacing w:line="340" w:lineRule="exact"/>
              <w:rPr>
                <w:sz w:val="24"/>
                <w:highlight w:val="none"/>
              </w:rPr>
            </w:pPr>
            <w:r>
              <w:rPr>
                <w:sz w:val="24"/>
                <w:highlight w:val="none"/>
              </w:rPr>
              <w:t>（1）“电子加密投标文件”的上传、递交：</w:t>
            </w:r>
          </w:p>
          <w:p w14:paraId="781AC919">
            <w:pPr>
              <w:spacing w:line="340" w:lineRule="exact"/>
              <w:rPr>
                <w:sz w:val="24"/>
                <w:highlight w:val="none"/>
              </w:rPr>
            </w:pPr>
            <w:r>
              <w:rPr>
                <w:sz w:val="24"/>
                <w:highlight w:val="none"/>
              </w:rPr>
              <w:t>a.</w:t>
            </w:r>
            <w:r>
              <w:rPr>
                <w:bCs/>
                <w:color w:val="000000"/>
                <w:highlight w:val="none"/>
              </w:rPr>
              <w:t>▲</w:t>
            </w:r>
            <w:r>
              <w:rPr>
                <w:sz w:val="24"/>
                <w:highlight w:val="none"/>
              </w:rPr>
              <w:t>投标供应商应在投标截止时间前将“电子加密投标文件”成功上传递交至“政府采购云平台”，否则投标无效。</w:t>
            </w:r>
          </w:p>
          <w:p w14:paraId="36A1B453">
            <w:pPr>
              <w:spacing w:line="340" w:lineRule="exact"/>
              <w:rPr>
                <w:sz w:val="24"/>
                <w:highlight w:val="none"/>
              </w:rPr>
            </w:pPr>
            <w:r>
              <w:rPr>
                <w:sz w:val="24"/>
                <w:highlight w:val="none"/>
              </w:rPr>
              <w:t>b.“电子加密投标文件”成功上传递交后，供应商可自行打印投标文件接收回执。</w:t>
            </w:r>
          </w:p>
          <w:p w14:paraId="748FB1E2">
            <w:pPr>
              <w:spacing w:line="340" w:lineRule="exact"/>
              <w:rPr>
                <w:sz w:val="24"/>
                <w:highlight w:val="none"/>
              </w:rPr>
            </w:pPr>
            <w:r>
              <w:rPr>
                <w:sz w:val="24"/>
                <w:highlight w:val="none"/>
              </w:rPr>
              <w:t>（2）“备份投标文件”的密封包装、递交：</w:t>
            </w:r>
          </w:p>
          <w:p w14:paraId="47A83438">
            <w:pPr>
              <w:spacing w:line="340" w:lineRule="exact"/>
              <w:rPr>
                <w:sz w:val="24"/>
                <w:highlight w:val="none"/>
              </w:rPr>
            </w:pPr>
            <w:r>
              <w:rPr>
                <w:sz w:val="24"/>
                <w:highlight w:val="none"/>
              </w:rPr>
              <w:t>a.投标供应商在“政府采购云平台”完成“电子加密投标文件”的上传递交后，还可以（顺丰/EMS邮寄形式）在投标截止时间前递交以介质（U盘）存储的 “备份投标文件”（一份）；</w:t>
            </w:r>
          </w:p>
          <w:p w14:paraId="1AE831C5">
            <w:pPr>
              <w:spacing w:line="340" w:lineRule="exact"/>
              <w:rPr>
                <w:sz w:val="24"/>
                <w:highlight w:val="none"/>
              </w:rPr>
            </w:pPr>
            <w:r>
              <w:rPr>
                <w:sz w:val="24"/>
                <w:highlight w:val="none"/>
              </w:rPr>
              <w:t>b.“备份投标文件”应当密封包装，并在包装上标注投标项目名称、投标单位名称并加盖公章。没有密封包装或者逾期邮寄送达至投标地点的“备份投标文件”将不予接收；</w:t>
            </w:r>
          </w:p>
          <w:p w14:paraId="58CA1BD8">
            <w:pPr>
              <w:spacing w:line="340" w:lineRule="exact"/>
              <w:rPr>
                <w:sz w:val="24"/>
                <w:highlight w:val="none"/>
              </w:rPr>
            </w:pPr>
            <w:r>
              <w:rPr>
                <w:sz w:val="24"/>
                <w:highlight w:val="none"/>
              </w:rPr>
              <w:t>c.</w:t>
            </w:r>
            <w:r>
              <w:rPr>
                <w:bCs/>
                <w:color w:val="000000"/>
                <w:highlight w:val="none"/>
              </w:rPr>
              <w:t>▲</w:t>
            </w:r>
            <w:r>
              <w:rPr>
                <w:sz w:val="24"/>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C9B2008">
            <w:pPr>
              <w:spacing w:line="340" w:lineRule="exact"/>
              <w:rPr>
                <w:sz w:val="24"/>
                <w:highlight w:val="none"/>
              </w:rPr>
            </w:pPr>
            <w:r>
              <w:rPr>
                <w:sz w:val="24"/>
                <w:highlight w:val="none"/>
              </w:rPr>
              <w:t>温馨提醒：供应商应提前上传，以便在上传时遇到技术问题，有充足的时间提请教平台的技术人员。</w:t>
            </w:r>
          </w:p>
          <w:p w14:paraId="4628C8B2">
            <w:pPr>
              <w:spacing w:line="340" w:lineRule="exact"/>
              <w:rPr>
                <w:sz w:val="24"/>
                <w:highlight w:val="none"/>
              </w:rPr>
            </w:pPr>
            <w:r>
              <w:rPr>
                <w:sz w:val="24"/>
                <w:highlight w:val="none"/>
              </w:rPr>
              <w:t>“政采云”平台客服电话：400-881-7190</w:t>
            </w:r>
          </w:p>
          <w:p w14:paraId="25A81CD2">
            <w:pPr>
              <w:spacing w:line="340" w:lineRule="exact"/>
              <w:rPr>
                <w:highlight w:val="none"/>
              </w:rPr>
            </w:pPr>
            <w:r>
              <w:rPr>
                <w:sz w:val="24"/>
                <w:highlight w:val="none"/>
              </w:rPr>
              <w:t>（3）中标供应商中标后需提供纸质投标文件给采购代理机构作为备案存档，纸质投标文件系电子投标文件纸质版，两者内容应一致；数量为：资格证明文件一正二副；商务技术文件一正二副；报价文件一正二副。</w:t>
            </w:r>
          </w:p>
        </w:tc>
      </w:tr>
      <w:tr w14:paraId="5A9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8BAEF7">
            <w:pPr>
              <w:spacing w:line="340" w:lineRule="exact"/>
              <w:jc w:val="center"/>
              <w:rPr>
                <w:sz w:val="24"/>
                <w:highlight w:val="none"/>
              </w:rPr>
            </w:pPr>
            <w:r>
              <w:rPr>
                <w:sz w:val="24"/>
                <w:highlight w:val="none"/>
              </w:rPr>
              <w:t>6</w:t>
            </w:r>
          </w:p>
        </w:tc>
        <w:tc>
          <w:tcPr>
            <w:tcW w:w="1495" w:type="dxa"/>
            <w:tcBorders>
              <w:top w:val="single" w:color="auto" w:sz="4" w:space="0"/>
              <w:left w:val="single" w:color="auto" w:sz="4" w:space="0"/>
              <w:bottom w:val="single" w:color="auto" w:sz="4" w:space="0"/>
              <w:right w:val="single" w:color="auto" w:sz="4" w:space="0"/>
            </w:tcBorders>
            <w:vAlign w:val="center"/>
          </w:tcPr>
          <w:p w14:paraId="4CC3FC44">
            <w:pPr>
              <w:spacing w:line="340" w:lineRule="exact"/>
              <w:jc w:val="center"/>
              <w:rPr>
                <w:sz w:val="24"/>
                <w:highlight w:val="none"/>
              </w:rPr>
            </w:pPr>
            <w:r>
              <w:rPr>
                <w:sz w:val="24"/>
                <w:highlight w:val="none"/>
              </w:rPr>
              <w:t>投标有效期</w:t>
            </w:r>
          </w:p>
        </w:tc>
        <w:tc>
          <w:tcPr>
            <w:tcW w:w="6287" w:type="dxa"/>
            <w:tcBorders>
              <w:top w:val="single" w:color="auto" w:sz="4" w:space="0"/>
              <w:left w:val="single" w:color="auto" w:sz="4" w:space="0"/>
              <w:bottom w:val="single" w:color="auto" w:sz="4" w:space="0"/>
              <w:right w:val="single" w:color="auto" w:sz="4" w:space="0"/>
            </w:tcBorders>
            <w:vAlign w:val="center"/>
          </w:tcPr>
          <w:p w14:paraId="15B1A1EF">
            <w:pPr>
              <w:spacing w:line="340" w:lineRule="exact"/>
              <w:rPr>
                <w:sz w:val="24"/>
                <w:highlight w:val="none"/>
              </w:rPr>
            </w:pPr>
            <w:r>
              <w:rPr>
                <w:sz w:val="24"/>
                <w:highlight w:val="none"/>
              </w:rPr>
              <w:t>▲投标有效期为90天，投标有效期从提交投标文件的截止之日起算。</w:t>
            </w:r>
          </w:p>
        </w:tc>
      </w:tr>
      <w:tr w14:paraId="4338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EC3E63">
            <w:pPr>
              <w:spacing w:line="340" w:lineRule="exact"/>
              <w:jc w:val="center"/>
              <w:rPr>
                <w:sz w:val="24"/>
                <w:highlight w:val="none"/>
              </w:rPr>
            </w:pPr>
            <w:r>
              <w:rPr>
                <w:sz w:val="24"/>
                <w:highlight w:val="none"/>
              </w:rPr>
              <w:t>7</w:t>
            </w:r>
          </w:p>
        </w:tc>
        <w:tc>
          <w:tcPr>
            <w:tcW w:w="1495" w:type="dxa"/>
            <w:tcBorders>
              <w:top w:val="single" w:color="auto" w:sz="4" w:space="0"/>
              <w:left w:val="single" w:color="auto" w:sz="4" w:space="0"/>
              <w:bottom w:val="single" w:color="auto" w:sz="4" w:space="0"/>
              <w:right w:val="single" w:color="auto" w:sz="4" w:space="0"/>
            </w:tcBorders>
            <w:vAlign w:val="center"/>
          </w:tcPr>
          <w:p w14:paraId="0E226324">
            <w:pPr>
              <w:snapToGrid w:val="0"/>
              <w:spacing w:line="340" w:lineRule="exact"/>
              <w:rPr>
                <w:bCs/>
                <w:sz w:val="24"/>
                <w:highlight w:val="none"/>
              </w:rPr>
            </w:pPr>
            <w:r>
              <w:rPr>
                <w:bCs/>
                <w:sz w:val="24"/>
                <w:highlight w:val="none"/>
              </w:rPr>
              <w:t>投标人信用信息查询渠道及截止时点、信用信息查询记录和证据留存的具体方式、信用信息的使用规则</w:t>
            </w:r>
          </w:p>
          <w:p w14:paraId="58420344">
            <w:pPr>
              <w:spacing w:line="340" w:lineRule="exact"/>
              <w:jc w:val="center"/>
              <w:rPr>
                <w:sz w:val="24"/>
                <w:highlight w:val="none"/>
              </w:rPr>
            </w:pPr>
          </w:p>
        </w:tc>
        <w:tc>
          <w:tcPr>
            <w:tcW w:w="6287" w:type="dxa"/>
            <w:tcBorders>
              <w:top w:val="single" w:color="auto" w:sz="4" w:space="0"/>
              <w:left w:val="single" w:color="auto" w:sz="4" w:space="0"/>
              <w:bottom w:val="single" w:color="auto" w:sz="4" w:space="0"/>
              <w:right w:val="single" w:color="auto" w:sz="4" w:space="0"/>
            </w:tcBorders>
            <w:vAlign w:val="center"/>
          </w:tcPr>
          <w:p w14:paraId="77842177">
            <w:pPr>
              <w:spacing w:line="340" w:lineRule="exact"/>
              <w:rPr>
                <w:sz w:val="24"/>
                <w:highlight w:val="none"/>
              </w:rPr>
            </w:pPr>
            <w:r>
              <w:rPr>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sz w:val="24"/>
                <w:highlight w:val="none"/>
              </w:rPr>
              <w:t>http://www.creditchina.gov.cn</w:t>
            </w:r>
            <w:r>
              <w:rPr>
                <w:sz w:val="24"/>
                <w:highlight w:val="none"/>
              </w:rPr>
              <w:fldChar w:fldCharType="end"/>
            </w:r>
            <w:r>
              <w:rPr>
                <w:sz w:val="24"/>
                <w:highlight w:val="none"/>
              </w:rPr>
              <w:t>）、中国政府采购网(网址：http://www.ccgp.gov.cn）、国家企业信用信息公示系统（http://www.gsxt.gov.cn/index.html）等。</w:t>
            </w:r>
          </w:p>
          <w:p w14:paraId="2304C34D">
            <w:pPr>
              <w:spacing w:line="340" w:lineRule="exact"/>
              <w:rPr>
                <w:sz w:val="24"/>
                <w:highlight w:val="none"/>
              </w:rPr>
            </w:pPr>
            <w:r>
              <w:rPr>
                <w:sz w:val="24"/>
                <w:highlight w:val="none"/>
              </w:rPr>
              <w:t>2、截止时点：开标后评审前。</w:t>
            </w:r>
          </w:p>
          <w:p w14:paraId="08C51833">
            <w:pPr>
              <w:spacing w:line="340" w:lineRule="exact"/>
              <w:rPr>
                <w:sz w:val="24"/>
                <w:highlight w:val="none"/>
              </w:rPr>
            </w:pPr>
            <w:r>
              <w:rPr>
                <w:sz w:val="24"/>
                <w:highlight w:val="none"/>
              </w:rPr>
              <w:t>3、信用信息查询记录和证据留存的具体方式：由采购组织机构在规定查询时间内打印信用信息查询记录并归入项目档案。</w:t>
            </w:r>
          </w:p>
          <w:p w14:paraId="0C3E0AFD">
            <w:pPr>
              <w:spacing w:line="340" w:lineRule="exact"/>
              <w:rPr>
                <w:sz w:val="24"/>
                <w:highlight w:val="none"/>
              </w:rPr>
            </w:pPr>
            <w:r>
              <w:rPr>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E5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DB123FC">
            <w:pPr>
              <w:spacing w:line="340" w:lineRule="exact"/>
              <w:jc w:val="center"/>
              <w:rPr>
                <w:sz w:val="24"/>
                <w:highlight w:val="none"/>
              </w:rPr>
            </w:pPr>
            <w:r>
              <w:rPr>
                <w:sz w:val="24"/>
                <w:highlight w:val="none"/>
              </w:rPr>
              <w:t>8</w:t>
            </w:r>
          </w:p>
        </w:tc>
        <w:tc>
          <w:tcPr>
            <w:tcW w:w="1495" w:type="dxa"/>
            <w:tcBorders>
              <w:top w:val="single" w:color="auto" w:sz="4" w:space="0"/>
              <w:left w:val="single" w:color="auto" w:sz="4" w:space="0"/>
              <w:bottom w:val="single" w:color="auto" w:sz="4" w:space="0"/>
              <w:right w:val="single" w:color="auto" w:sz="4" w:space="0"/>
            </w:tcBorders>
            <w:vAlign w:val="center"/>
          </w:tcPr>
          <w:p w14:paraId="6FBE5608">
            <w:pPr>
              <w:snapToGrid w:val="0"/>
              <w:spacing w:line="340" w:lineRule="exact"/>
              <w:rPr>
                <w:bCs/>
                <w:sz w:val="24"/>
                <w:highlight w:val="none"/>
              </w:rPr>
            </w:pPr>
            <w:r>
              <w:rPr>
                <w:sz w:val="24"/>
                <w:highlight w:val="none"/>
              </w:rPr>
              <w:t>中小企业扶持政策</w:t>
            </w:r>
          </w:p>
        </w:tc>
        <w:tc>
          <w:tcPr>
            <w:tcW w:w="6287" w:type="dxa"/>
            <w:tcBorders>
              <w:top w:val="single" w:color="auto" w:sz="4" w:space="0"/>
              <w:left w:val="single" w:color="auto" w:sz="4" w:space="0"/>
              <w:bottom w:val="single" w:color="auto" w:sz="4" w:space="0"/>
              <w:right w:val="single" w:color="auto" w:sz="4" w:space="0"/>
            </w:tcBorders>
            <w:vAlign w:val="center"/>
          </w:tcPr>
          <w:p w14:paraId="73F768CA">
            <w:pPr>
              <w:spacing w:line="340" w:lineRule="exact"/>
              <w:rPr>
                <w:color w:val="000000"/>
                <w:sz w:val="24"/>
                <w:highlight w:val="none"/>
              </w:rPr>
            </w:pPr>
            <w:r>
              <w:rPr>
                <w:color w:val="000000"/>
                <w:sz w:val="24"/>
                <w:highlight w:val="none"/>
              </w:rPr>
              <w:t>1、本项目专门面向中小企业，不再进行价格优惠扣除。</w:t>
            </w:r>
          </w:p>
          <w:p w14:paraId="757BFF32">
            <w:pPr>
              <w:spacing w:line="340" w:lineRule="exact"/>
              <w:rPr>
                <w:color w:val="000000"/>
                <w:sz w:val="24"/>
                <w:highlight w:val="none"/>
              </w:rPr>
            </w:pPr>
            <w:r>
              <w:rPr>
                <w:color w:val="000000"/>
                <w:sz w:val="24"/>
                <w:highlight w:val="none"/>
              </w:rPr>
              <w:t>2、小微企业参加政府采购活动，应当出具附件中《中小企业声明函》，否则不享受相关小微企业扶持政策。</w:t>
            </w:r>
          </w:p>
          <w:p w14:paraId="30FA1E12">
            <w:pPr>
              <w:tabs>
                <w:tab w:val="left" w:pos="720"/>
                <w:tab w:val="left" w:pos="900"/>
                <w:tab w:val="left" w:pos="1260"/>
                <w:tab w:val="left" w:pos="2160"/>
                <w:tab w:val="left" w:pos="2880"/>
                <w:tab w:val="left" w:pos="3600"/>
                <w:tab w:val="left" w:pos="4320"/>
                <w:tab w:val="left" w:pos="5040"/>
                <w:tab w:val="left" w:pos="5760"/>
              </w:tabs>
              <w:spacing w:line="340" w:lineRule="exact"/>
              <w:rPr>
                <w:color w:val="000000"/>
                <w:sz w:val="24"/>
                <w:highlight w:val="none"/>
              </w:rPr>
            </w:pPr>
            <w:r>
              <w:rPr>
                <w:color w:val="000000"/>
                <w:sz w:val="24"/>
                <w:highlight w:val="none"/>
              </w:rPr>
              <w:t>3、提供声明函内容不实的，属于提供虚假材料谋取中标、成交，将按相关规定追究相应责任。</w:t>
            </w:r>
          </w:p>
          <w:p w14:paraId="06606A97">
            <w:pPr>
              <w:spacing w:line="340" w:lineRule="exact"/>
              <w:rPr>
                <w:highlight w:val="none"/>
              </w:rPr>
            </w:pPr>
            <w:r>
              <w:rPr>
                <w:color w:val="000000"/>
                <w:sz w:val="24"/>
                <w:highlight w:val="none"/>
              </w:rPr>
              <w:t>4、本项目的所属行业：其他未列明行业。</w:t>
            </w:r>
          </w:p>
        </w:tc>
      </w:tr>
      <w:tr w14:paraId="6023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AC3F367">
            <w:pPr>
              <w:spacing w:line="340" w:lineRule="exact"/>
              <w:jc w:val="center"/>
              <w:rPr>
                <w:sz w:val="24"/>
                <w:highlight w:val="none"/>
              </w:rPr>
            </w:pPr>
            <w:r>
              <w:rPr>
                <w:sz w:val="24"/>
                <w:highlight w:val="none"/>
              </w:rPr>
              <w:t>9</w:t>
            </w:r>
          </w:p>
        </w:tc>
        <w:tc>
          <w:tcPr>
            <w:tcW w:w="1495" w:type="dxa"/>
            <w:tcBorders>
              <w:top w:val="single" w:color="auto" w:sz="4" w:space="0"/>
              <w:left w:val="single" w:color="auto" w:sz="4" w:space="0"/>
              <w:bottom w:val="single" w:color="auto" w:sz="4" w:space="0"/>
              <w:right w:val="single" w:color="auto" w:sz="4" w:space="0"/>
            </w:tcBorders>
            <w:vAlign w:val="center"/>
          </w:tcPr>
          <w:p w14:paraId="4A5DAA68">
            <w:pPr>
              <w:spacing w:line="340" w:lineRule="exact"/>
              <w:jc w:val="center"/>
              <w:rPr>
                <w:sz w:val="24"/>
                <w:highlight w:val="none"/>
              </w:rPr>
            </w:pPr>
            <w:r>
              <w:rPr>
                <w:sz w:val="24"/>
                <w:highlight w:val="none"/>
              </w:rPr>
              <w:t>磋商时间及地点</w:t>
            </w:r>
          </w:p>
        </w:tc>
        <w:tc>
          <w:tcPr>
            <w:tcW w:w="6287" w:type="dxa"/>
            <w:tcBorders>
              <w:top w:val="single" w:color="auto" w:sz="4" w:space="0"/>
              <w:left w:val="single" w:color="auto" w:sz="4" w:space="0"/>
              <w:bottom w:val="single" w:color="auto" w:sz="4" w:space="0"/>
              <w:right w:val="single" w:color="auto" w:sz="4" w:space="0"/>
            </w:tcBorders>
            <w:vAlign w:val="center"/>
          </w:tcPr>
          <w:p w14:paraId="065F3884">
            <w:pPr>
              <w:spacing w:line="340" w:lineRule="exact"/>
              <w:rPr>
                <w:color w:val="000000"/>
                <w:sz w:val="24"/>
                <w:highlight w:val="none"/>
              </w:rPr>
            </w:pPr>
            <w:r>
              <w:rPr>
                <w:color w:val="000000"/>
                <w:sz w:val="24"/>
                <w:highlight w:val="none"/>
              </w:rPr>
              <w:t>时间：北京时间2024年</w:t>
            </w:r>
            <w:r>
              <w:rPr>
                <w:rFonts w:hint="eastAsia"/>
                <w:color w:val="000000"/>
                <w:sz w:val="24"/>
                <w:highlight w:val="none"/>
                <w:lang w:val="en-US" w:eastAsia="zh-CN"/>
              </w:rPr>
              <w:t>11</w:t>
            </w:r>
            <w:r>
              <w:rPr>
                <w:color w:val="000000"/>
                <w:sz w:val="24"/>
                <w:highlight w:val="none"/>
              </w:rPr>
              <w:t>月</w:t>
            </w:r>
            <w:r>
              <w:rPr>
                <w:rFonts w:hint="eastAsia"/>
                <w:color w:val="000000"/>
                <w:sz w:val="24"/>
                <w:highlight w:val="none"/>
                <w:lang w:val="en-US" w:eastAsia="zh-CN"/>
              </w:rPr>
              <w:t>8</w:t>
            </w:r>
            <w:r>
              <w:rPr>
                <w:color w:val="000000"/>
                <w:sz w:val="24"/>
                <w:highlight w:val="none"/>
              </w:rPr>
              <w:t>日9:00</w:t>
            </w:r>
          </w:p>
          <w:p w14:paraId="0E07E68A">
            <w:pPr>
              <w:spacing w:line="340" w:lineRule="exact"/>
              <w:rPr>
                <w:sz w:val="24"/>
                <w:highlight w:val="none"/>
              </w:rPr>
            </w:pPr>
            <w:r>
              <w:rPr>
                <w:color w:val="000000"/>
                <w:sz w:val="24"/>
                <w:highlight w:val="none"/>
              </w:rPr>
              <w:t>地点：通过“政府采购云平台（https://www.zcygov.cn/）”实行在线投标响应。</w:t>
            </w:r>
          </w:p>
        </w:tc>
      </w:tr>
      <w:tr w14:paraId="5A80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E473E5C">
            <w:pPr>
              <w:spacing w:line="340" w:lineRule="exact"/>
              <w:jc w:val="center"/>
              <w:rPr>
                <w:sz w:val="24"/>
                <w:highlight w:val="none"/>
              </w:rPr>
            </w:pPr>
            <w:r>
              <w:rPr>
                <w:sz w:val="24"/>
                <w:highlight w:val="none"/>
              </w:rPr>
              <w:t>10</w:t>
            </w:r>
          </w:p>
        </w:tc>
        <w:tc>
          <w:tcPr>
            <w:tcW w:w="1495" w:type="dxa"/>
            <w:tcBorders>
              <w:top w:val="single" w:color="auto" w:sz="4" w:space="0"/>
              <w:left w:val="single" w:color="auto" w:sz="4" w:space="0"/>
              <w:bottom w:val="single" w:color="auto" w:sz="4" w:space="0"/>
              <w:right w:val="single" w:color="auto" w:sz="4" w:space="0"/>
            </w:tcBorders>
            <w:vAlign w:val="center"/>
          </w:tcPr>
          <w:p w14:paraId="6E303074">
            <w:pPr>
              <w:spacing w:line="340" w:lineRule="exact"/>
              <w:jc w:val="center"/>
              <w:rPr>
                <w:sz w:val="24"/>
                <w:highlight w:val="none"/>
              </w:rPr>
            </w:pPr>
            <w:r>
              <w:rPr>
                <w:sz w:val="24"/>
                <w:highlight w:val="none"/>
              </w:rPr>
              <w:t>投标保证金</w:t>
            </w:r>
          </w:p>
        </w:tc>
        <w:tc>
          <w:tcPr>
            <w:tcW w:w="6287" w:type="dxa"/>
            <w:tcBorders>
              <w:top w:val="single" w:color="auto" w:sz="4" w:space="0"/>
              <w:left w:val="single" w:color="auto" w:sz="4" w:space="0"/>
              <w:bottom w:val="single" w:color="auto" w:sz="4" w:space="0"/>
              <w:right w:val="single" w:color="auto" w:sz="4" w:space="0"/>
            </w:tcBorders>
            <w:vAlign w:val="center"/>
          </w:tcPr>
          <w:p w14:paraId="49BFB499">
            <w:pPr>
              <w:spacing w:line="340" w:lineRule="exact"/>
              <w:rPr>
                <w:sz w:val="24"/>
                <w:highlight w:val="none"/>
              </w:rPr>
            </w:pPr>
            <w:r>
              <w:rPr>
                <w:sz w:val="24"/>
                <w:highlight w:val="none"/>
              </w:rPr>
              <w:t>无</w:t>
            </w:r>
          </w:p>
        </w:tc>
      </w:tr>
      <w:tr w14:paraId="18E6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037351F">
            <w:pPr>
              <w:spacing w:line="340" w:lineRule="exact"/>
              <w:jc w:val="center"/>
              <w:rPr>
                <w:sz w:val="24"/>
                <w:highlight w:val="none"/>
              </w:rPr>
            </w:pPr>
            <w:r>
              <w:rPr>
                <w:sz w:val="24"/>
                <w:highlight w:val="none"/>
              </w:rPr>
              <w:t>11</w:t>
            </w:r>
          </w:p>
        </w:tc>
        <w:tc>
          <w:tcPr>
            <w:tcW w:w="1495" w:type="dxa"/>
            <w:tcBorders>
              <w:top w:val="single" w:color="auto" w:sz="4" w:space="0"/>
              <w:left w:val="single" w:color="auto" w:sz="4" w:space="0"/>
              <w:bottom w:val="single" w:color="auto" w:sz="4" w:space="0"/>
              <w:right w:val="single" w:color="auto" w:sz="4" w:space="0"/>
            </w:tcBorders>
            <w:vAlign w:val="center"/>
          </w:tcPr>
          <w:p w14:paraId="60FD8A9A">
            <w:pPr>
              <w:spacing w:line="340" w:lineRule="exact"/>
              <w:jc w:val="center"/>
              <w:rPr>
                <w:sz w:val="24"/>
                <w:highlight w:val="none"/>
              </w:rPr>
            </w:pPr>
            <w:r>
              <w:rPr>
                <w:sz w:val="24"/>
                <w:highlight w:val="none"/>
              </w:rPr>
              <w:t>履约保证金</w:t>
            </w:r>
          </w:p>
        </w:tc>
        <w:tc>
          <w:tcPr>
            <w:tcW w:w="6287" w:type="dxa"/>
            <w:tcBorders>
              <w:top w:val="single" w:color="auto" w:sz="4" w:space="0"/>
              <w:left w:val="single" w:color="auto" w:sz="4" w:space="0"/>
              <w:bottom w:val="single" w:color="auto" w:sz="4" w:space="0"/>
              <w:right w:val="single" w:color="auto" w:sz="4" w:space="0"/>
            </w:tcBorders>
            <w:vAlign w:val="center"/>
          </w:tcPr>
          <w:p w14:paraId="79BB1374">
            <w:pPr>
              <w:spacing w:line="340" w:lineRule="exact"/>
              <w:rPr>
                <w:sz w:val="24"/>
                <w:highlight w:val="none"/>
              </w:rPr>
            </w:pPr>
            <w:r>
              <w:rPr>
                <w:sz w:val="24"/>
                <w:highlight w:val="none"/>
              </w:rPr>
              <w:t>无</w:t>
            </w:r>
          </w:p>
        </w:tc>
      </w:tr>
      <w:tr w14:paraId="0A3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5F48293">
            <w:pPr>
              <w:spacing w:line="340" w:lineRule="exact"/>
              <w:jc w:val="center"/>
              <w:rPr>
                <w:sz w:val="24"/>
                <w:highlight w:val="none"/>
              </w:rPr>
            </w:pPr>
            <w:r>
              <w:rPr>
                <w:sz w:val="24"/>
                <w:highlight w:val="none"/>
              </w:rPr>
              <w:t>12</w:t>
            </w:r>
          </w:p>
        </w:tc>
        <w:tc>
          <w:tcPr>
            <w:tcW w:w="1495" w:type="dxa"/>
            <w:tcBorders>
              <w:top w:val="single" w:color="auto" w:sz="4" w:space="0"/>
              <w:left w:val="single" w:color="auto" w:sz="4" w:space="0"/>
              <w:bottom w:val="single" w:color="auto" w:sz="4" w:space="0"/>
              <w:right w:val="single" w:color="auto" w:sz="4" w:space="0"/>
            </w:tcBorders>
            <w:vAlign w:val="center"/>
          </w:tcPr>
          <w:p w14:paraId="20423757">
            <w:pPr>
              <w:autoSpaceDE w:val="0"/>
              <w:autoSpaceDN w:val="0"/>
              <w:adjustRightInd w:val="0"/>
              <w:spacing w:line="340" w:lineRule="exact"/>
              <w:jc w:val="center"/>
              <w:rPr>
                <w:sz w:val="24"/>
                <w:highlight w:val="none"/>
                <w:lang w:val="zh-CN"/>
              </w:rPr>
            </w:pPr>
            <w:r>
              <w:rPr>
                <w:sz w:val="24"/>
                <w:highlight w:val="none"/>
                <w:lang w:val="zh-CN"/>
              </w:rPr>
              <w:t>实质性条款</w:t>
            </w:r>
          </w:p>
        </w:tc>
        <w:tc>
          <w:tcPr>
            <w:tcW w:w="6287" w:type="dxa"/>
            <w:tcBorders>
              <w:top w:val="single" w:color="auto" w:sz="4" w:space="0"/>
              <w:left w:val="single" w:color="auto" w:sz="4" w:space="0"/>
              <w:bottom w:val="single" w:color="auto" w:sz="4" w:space="0"/>
              <w:right w:val="single" w:color="auto" w:sz="4" w:space="0"/>
            </w:tcBorders>
          </w:tcPr>
          <w:p w14:paraId="2751DAB3">
            <w:pPr>
              <w:autoSpaceDE w:val="0"/>
              <w:autoSpaceDN w:val="0"/>
              <w:adjustRightInd w:val="0"/>
              <w:spacing w:line="340" w:lineRule="exact"/>
              <w:rPr>
                <w:bCs/>
                <w:sz w:val="24"/>
                <w:highlight w:val="none"/>
              </w:rPr>
            </w:pPr>
            <w:r>
              <w:rPr>
                <w:kern w:val="0"/>
                <w:sz w:val="24"/>
                <w:highlight w:val="none"/>
                <w:lang w:val="zh-CN"/>
              </w:rPr>
              <w:t>带“</w:t>
            </w:r>
            <w:r>
              <w:rPr>
                <w:bCs/>
                <w:sz w:val="24"/>
                <w:highlight w:val="none"/>
              </w:rPr>
              <w:t>▲”的条款是实质性条款，投标文件须作出实质性响应，否则作无效投标处理。</w:t>
            </w:r>
          </w:p>
        </w:tc>
      </w:tr>
      <w:tr w14:paraId="630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A3AFD9">
            <w:pPr>
              <w:spacing w:line="340" w:lineRule="exact"/>
              <w:jc w:val="center"/>
              <w:rPr>
                <w:sz w:val="24"/>
                <w:highlight w:val="none"/>
              </w:rPr>
            </w:pPr>
            <w:r>
              <w:rPr>
                <w:sz w:val="24"/>
                <w:highlight w:val="none"/>
              </w:rPr>
              <w:t>13</w:t>
            </w:r>
          </w:p>
        </w:tc>
        <w:tc>
          <w:tcPr>
            <w:tcW w:w="1495" w:type="dxa"/>
            <w:tcBorders>
              <w:top w:val="single" w:color="auto" w:sz="4" w:space="0"/>
              <w:left w:val="single" w:color="auto" w:sz="4" w:space="0"/>
              <w:bottom w:val="single" w:color="auto" w:sz="4" w:space="0"/>
              <w:right w:val="single" w:color="auto" w:sz="4" w:space="0"/>
            </w:tcBorders>
            <w:vAlign w:val="center"/>
          </w:tcPr>
          <w:p w14:paraId="1B9DF9B1">
            <w:pPr>
              <w:autoSpaceDE w:val="0"/>
              <w:autoSpaceDN w:val="0"/>
              <w:adjustRightInd w:val="0"/>
              <w:spacing w:line="340" w:lineRule="exact"/>
              <w:jc w:val="center"/>
              <w:rPr>
                <w:sz w:val="24"/>
                <w:highlight w:val="none"/>
                <w:lang w:val="zh-CN"/>
              </w:rPr>
            </w:pPr>
            <w:r>
              <w:rPr>
                <w:color w:val="000000"/>
                <w:sz w:val="24"/>
                <w:highlight w:val="none"/>
              </w:rPr>
              <w:t>样品及演示</w:t>
            </w:r>
          </w:p>
        </w:tc>
        <w:tc>
          <w:tcPr>
            <w:tcW w:w="6287" w:type="dxa"/>
            <w:tcBorders>
              <w:top w:val="single" w:color="auto" w:sz="4" w:space="0"/>
              <w:left w:val="single" w:color="auto" w:sz="4" w:space="0"/>
              <w:bottom w:val="single" w:color="auto" w:sz="4" w:space="0"/>
              <w:right w:val="single" w:color="auto" w:sz="4" w:space="0"/>
            </w:tcBorders>
            <w:vAlign w:val="center"/>
          </w:tcPr>
          <w:p w14:paraId="1680B752">
            <w:pPr>
              <w:autoSpaceDE w:val="0"/>
              <w:autoSpaceDN w:val="0"/>
              <w:adjustRightInd w:val="0"/>
              <w:spacing w:line="340" w:lineRule="exact"/>
              <w:rPr>
                <w:kern w:val="0"/>
                <w:sz w:val="24"/>
                <w:highlight w:val="none"/>
                <w:lang w:val="zh-CN"/>
              </w:rPr>
            </w:pPr>
            <w:r>
              <w:rPr>
                <w:color w:val="000000"/>
                <w:sz w:val="24"/>
                <w:highlight w:val="none"/>
              </w:rPr>
              <w:t>无。</w:t>
            </w:r>
          </w:p>
        </w:tc>
      </w:tr>
      <w:tr w14:paraId="42A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BAD9A7">
            <w:pPr>
              <w:spacing w:line="340" w:lineRule="exact"/>
              <w:jc w:val="center"/>
              <w:rPr>
                <w:sz w:val="24"/>
                <w:highlight w:val="none"/>
              </w:rPr>
            </w:pPr>
            <w:r>
              <w:rPr>
                <w:sz w:val="24"/>
                <w:highlight w:val="none"/>
              </w:rPr>
              <w:t>14</w:t>
            </w:r>
          </w:p>
        </w:tc>
        <w:tc>
          <w:tcPr>
            <w:tcW w:w="1495" w:type="dxa"/>
            <w:tcBorders>
              <w:top w:val="single" w:color="auto" w:sz="4" w:space="0"/>
              <w:left w:val="single" w:color="auto" w:sz="4" w:space="0"/>
              <w:bottom w:val="single" w:color="auto" w:sz="4" w:space="0"/>
              <w:right w:val="single" w:color="auto" w:sz="4" w:space="0"/>
            </w:tcBorders>
            <w:vAlign w:val="center"/>
          </w:tcPr>
          <w:p w14:paraId="293CD49B">
            <w:pPr>
              <w:autoSpaceDE w:val="0"/>
              <w:autoSpaceDN w:val="0"/>
              <w:adjustRightInd w:val="0"/>
              <w:spacing w:line="340" w:lineRule="exact"/>
              <w:jc w:val="center"/>
              <w:rPr>
                <w:sz w:val="24"/>
                <w:highlight w:val="none"/>
                <w:lang w:val="zh-CN"/>
              </w:rPr>
            </w:pPr>
            <w:r>
              <w:rPr>
                <w:color w:val="000000"/>
                <w:sz w:val="24"/>
                <w:highlight w:val="none"/>
              </w:rPr>
              <w:t>节能环保</w:t>
            </w:r>
          </w:p>
        </w:tc>
        <w:tc>
          <w:tcPr>
            <w:tcW w:w="6287" w:type="dxa"/>
            <w:tcBorders>
              <w:top w:val="single" w:color="auto" w:sz="4" w:space="0"/>
              <w:left w:val="single" w:color="auto" w:sz="4" w:space="0"/>
              <w:bottom w:val="single" w:color="auto" w:sz="4" w:space="0"/>
              <w:right w:val="single" w:color="auto" w:sz="4" w:space="0"/>
            </w:tcBorders>
            <w:vAlign w:val="center"/>
          </w:tcPr>
          <w:p w14:paraId="1DB4F83B">
            <w:pPr>
              <w:autoSpaceDE w:val="0"/>
              <w:autoSpaceDN w:val="0"/>
              <w:adjustRightInd w:val="0"/>
              <w:spacing w:line="340" w:lineRule="exact"/>
              <w:rPr>
                <w:kern w:val="0"/>
                <w:sz w:val="24"/>
                <w:highlight w:val="none"/>
                <w:lang w:val="zh-CN"/>
              </w:rPr>
            </w:pPr>
            <w:r>
              <w:rPr>
                <w:color w:val="000000"/>
                <w:sz w:val="24"/>
                <w:highlight w:val="none"/>
              </w:rPr>
              <w:t>符合国家相关法律规定。</w:t>
            </w:r>
          </w:p>
        </w:tc>
      </w:tr>
      <w:tr w14:paraId="7167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065B4A">
            <w:pPr>
              <w:spacing w:line="340" w:lineRule="exact"/>
              <w:jc w:val="center"/>
              <w:rPr>
                <w:sz w:val="24"/>
                <w:highlight w:val="none"/>
              </w:rPr>
            </w:pPr>
            <w:r>
              <w:rPr>
                <w:sz w:val="24"/>
                <w:highlight w:val="none"/>
              </w:rPr>
              <w:t>15</w:t>
            </w:r>
          </w:p>
        </w:tc>
        <w:tc>
          <w:tcPr>
            <w:tcW w:w="1495" w:type="dxa"/>
            <w:tcBorders>
              <w:top w:val="single" w:color="auto" w:sz="4" w:space="0"/>
              <w:left w:val="single" w:color="auto" w:sz="4" w:space="0"/>
              <w:bottom w:val="single" w:color="auto" w:sz="4" w:space="0"/>
              <w:right w:val="single" w:color="auto" w:sz="4" w:space="0"/>
            </w:tcBorders>
            <w:vAlign w:val="center"/>
          </w:tcPr>
          <w:p w14:paraId="17E8EDF7">
            <w:pPr>
              <w:autoSpaceDE w:val="0"/>
              <w:autoSpaceDN w:val="0"/>
              <w:adjustRightInd w:val="0"/>
              <w:spacing w:line="340" w:lineRule="exact"/>
              <w:jc w:val="center"/>
              <w:rPr>
                <w:sz w:val="24"/>
                <w:highlight w:val="none"/>
              </w:rPr>
            </w:pPr>
            <w:r>
              <w:rPr>
                <w:sz w:val="24"/>
                <w:highlight w:val="none"/>
              </w:rPr>
              <w:t>解释权</w:t>
            </w:r>
          </w:p>
        </w:tc>
        <w:tc>
          <w:tcPr>
            <w:tcW w:w="6287" w:type="dxa"/>
            <w:tcBorders>
              <w:top w:val="single" w:color="auto" w:sz="4" w:space="0"/>
              <w:left w:val="single" w:color="auto" w:sz="4" w:space="0"/>
              <w:bottom w:val="single" w:color="auto" w:sz="4" w:space="0"/>
              <w:right w:val="single" w:color="auto" w:sz="4" w:space="0"/>
            </w:tcBorders>
            <w:vAlign w:val="center"/>
          </w:tcPr>
          <w:p w14:paraId="5DFDEC87">
            <w:pPr>
              <w:autoSpaceDE w:val="0"/>
              <w:autoSpaceDN w:val="0"/>
              <w:adjustRightInd w:val="0"/>
              <w:spacing w:line="340" w:lineRule="exact"/>
              <w:rPr>
                <w:sz w:val="24"/>
                <w:highlight w:val="none"/>
              </w:rPr>
            </w:pPr>
            <w:r>
              <w:rPr>
                <w:sz w:val="24"/>
                <w:highlight w:val="none"/>
              </w:rPr>
              <w:t>本磋商文件解释权属于采购人和</w:t>
            </w:r>
            <w:bookmarkStart w:id="47" w:name="_Hlk1308556"/>
            <w:r>
              <w:rPr>
                <w:sz w:val="24"/>
                <w:highlight w:val="none"/>
              </w:rPr>
              <w:t>台州蔚蓝投资咨询有限公司</w:t>
            </w:r>
            <w:bookmarkEnd w:id="47"/>
          </w:p>
        </w:tc>
      </w:tr>
      <w:tr w14:paraId="1487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9578229">
            <w:pPr>
              <w:spacing w:line="340" w:lineRule="exact"/>
              <w:jc w:val="center"/>
              <w:rPr>
                <w:sz w:val="24"/>
                <w:highlight w:val="none"/>
              </w:rPr>
            </w:pPr>
            <w:r>
              <w:rPr>
                <w:sz w:val="24"/>
                <w:highlight w:val="none"/>
              </w:rPr>
              <w:t>16</w:t>
            </w:r>
          </w:p>
        </w:tc>
        <w:tc>
          <w:tcPr>
            <w:tcW w:w="1495" w:type="dxa"/>
            <w:tcBorders>
              <w:top w:val="single" w:color="auto" w:sz="4" w:space="0"/>
              <w:left w:val="single" w:color="auto" w:sz="4" w:space="0"/>
              <w:bottom w:val="single" w:color="auto" w:sz="4" w:space="0"/>
              <w:right w:val="single" w:color="auto" w:sz="4" w:space="0"/>
            </w:tcBorders>
            <w:vAlign w:val="center"/>
          </w:tcPr>
          <w:p w14:paraId="6D29215A">
            <w:pPr>
              <w:autoSpaceDE w:val="0"/>
              <w:autoSpaceDN w:val="0"/>
              <w:adjustRightInd w:val="0"/>
              <w:spacing w:line="340" w:lineRule="exact"/>
              <w:jc w:val="center"/>
              <w:rPr>
                <w:sz w:val="24"/>
                <w:highlight w:val="none"/>
              </w:rPr>
            </w:pPr>
            <w:r>
              <w:rPr>
                <w:sz w:val="24"/>
                <w:highlight w:val="none"/>
              </w:rPr>
              <w:t>资料归档</w:t>
            </w:r>
          </w:p>
        </w:tc>
        <w:tc>
          <w:tcPr>
            <w:tcW w:w="6287" w:type="dxa"/>
            <w:tcBorders>
              <w:top w:val="single" w:color="auto" w:sz="4" w:space="0"/>
              <w:left w:val="single" w:color="auto" w:sz="4" w:space="0"/>
              <w:bottom w:val="single" w:color="auto" w:sz="4" w:space="0"/>
              <w:right w:val="single" w:color="auto" w:sz="4" w:space="0"/>
            </w:tcBorders>
            <w:vAlign w:val="center"/>
          </w:tcPr>
          <w:p w14:paraId="5DF17E51">
            <w:pPr>
              <w:autoSpaceDE w:val="0"/>
              <w:autoSpaceDN w:val="0"/>
              <w:adjustRightInd w:val="0"/>
              <w:spacing w:line="340" w:lineRule="exact"/>
              <w:rPr>
                <w:sz w:val="24"/>
                <w:highlight w:val="none"/>
              </w:rPr>
            </w:pPr>
            <w:r>
              <w:rPr>
                <w:sz w:val="24"/>
                <w:highlight w:val="none"/>
              </w:rPr>
              <w:t>成交供应商在收到中标通知后7个工作日内提交纸质版投标文件（内容同电子投标文件）一正两副，用于项目资料存档。</w:t>
            </w:r>
          </w:p>
        </w:tc>
      </w:tr>
      <w:tr w14:paraId="1F2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A4637C0">
            <w:pPr>
              <w:spacing w:line="340" w:lineRule="exact"/>
              <w:jc w:val="center"/>
              <w:rPr>
                <w:sz w:val="24"/>
                <w:highlight w:val="none"/>
              </w:rPr>
            </w:pPr>
            <w:r>
              <w:rPr>
                <w:sz w:val="24"/>
                <w:highlight w:val="none"/>
              </w:rPr>
              <w:t>17</w:t>
            </w:r>
          </w:p>
        </w:tc>
        <w:tc>
          <w:tcPr>
            <w:tcW w:w="1495" w:type="dxa"/>
            <w:tcBorders>
              <w:top w:val="single" w:color="auto" w:sz="4" w:space="0"/>
              <w:left w:val="single" w:color="auto" w:sz="4" w:space="0"/>
              <w:bottom w:val="single" w:color="auto" w:sz="4" w:space="0"/>
              <w:right w:val="single" w:color="auto" w:sz="4" w:space="0"/>
            </w:tcBorders>
            <w:vAlign w:val="center"/>
          </w:tcPr>
          <w:p w14:paraId="32D59CD7">
            <w:pPr>
              <w:autoSpaceDE w:val="0"/>
              <w:autoSpaceDN w:val="0"/>
              <w:adjustRightInd w:val="0"/>
              <w:spacing w:line="340" w:lineRule="exact"/>
              <w:jc w:val="center"/>
              <w:rPr>
                <w:sz w:val="24"/>
                <w:highlight w:val="none"/>
              </w:rPr>
            </w:pPr>
            <w:r>
              <w:rPr>
                <w:color w:val="000000"/>
                <w:sz w:val="24"/>
                <w:highlight w:val="none"/>
              </w:rPr>
              <w:t>注意事项</w:t>
            </w:r>
          </w:p>
        </w:tc>
        <w:tc>
          <w:tcPr>
            <w:tcW w:w="6287" w:type="dxa"/>
            <w:tcBorders>
              <w:top w:val="single" w:color="auto" w:sz="4" w:space="0"/>
              <w:left w:val="single" w:color="auto" w:sz="4" w:space="0"/>
              <w:bottom w:val="single" w:color="auto" w:sz="4" w:space="0"/>
              <w:right w:val="single" w:color="auto" w:sz="4" w:space="0"/>
            </w:tcBorders>
            <w:vAlign w:val="center"/>
          </w:tcPr>
          <w:p w14:paraId="47EEA0A6">
            <w:pPr>
              <w:spacing w:line="340" w:lineRule="exact"/>
              <w:rPr>
                <w:color w:val="000000"/>
                <w:sz w:val="24"/>
                <w:highlight w:val="none"/>
              </w:rPr>
            </w:pPr>
            <w:r>
              <w:rPr>
                <w:color w:val="000000"/>
                <w:sz w:val="24"/>
                <w:highlight w:val="none"/>
              </w:rPr>
              <w:t>1、投标供应商应严格按照磋商文件及补充文件的规定和要求编制磋商响应文件。在编制磋商响应文件过程中,应严格遵循实事求是、诚信投标的原则,如有偏离,应如实填写响应偏离。</w:t>
            </w:r>
          </w:p>
          <w:p w14:paraId="2895D127">
            <w:pPr>
              <w:spacing w:line="340" w:lineRule="exact"/>
              <w:rPr>
                <w:color w:val="000000"/>
                <w:sz w:val="24"/>
                <w:highlight w:val="none"/>
              </w:rPr>
            </w:pPr>
            <w:r>
              <w:rPr>
                <w:color w:val="000000"/>
                <w:sz w:val="24"/>
                <w:highlight w:val="none"/>
              </w:rPr>
              <w:t>2、如果发现本磋商文件中存在歧视性不公正条款或违法违规等内容时,请投标供应商在磋商文件的质疑有效期内及时书面提出。</w:t>
            </w:r>
          </w:p>
          <w:p w14:paraId="16859EA3">
            <w:pPr>
              <w:spacing w:line="340" w:lineRule="exact"/>
              <w:rPr>
                <w:sz w:val="24"/>
                <w:highlight w:val="none"/>
              </w:rPr>
            </w:pPr>
            <w:r>
              <w:rPr>
                <w:color w:val="000000"/>
                <w:sz w:val="24"/>
                <w:highlight w:val="none"/>
              </w:rPr>
              <w:t>3、采购结果公告期间, 磋商供应商不得通过非正当途径获取法律法规规定评标委员会(包括其他相关人员)应当保密的相关内容。</w:t>
            </w:r>
          </w:p>
        </w:tc>
      </w:tr>
      <w:bookmarkEnd w:id="46"/>
    </w:tbl>
    <w:p w14:paraId="3040CDF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一、总则</w:t>
      </w:r>
    </w:p>
    <w:p w14:paraId="412B55A0">
      <w:pPr>
        <w:pStyle w:val="16"/>
        <w:snapToGrid w:val="0"/>
        <w:spacing w:line="360" w:lineRule="auto"/>
        <w:ind w:firstLine="482" w:firstLineChars="20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 适用范围</w:t>
      </w:r>
    </w:p>
    <w:p w14:paraId="3680B87D">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适用于</w:t>
      </w:r>
      <w:r>
        <w:rPr>
          <w:bCs/>
          <w:color w:val="000000" w:themeColor="text1"/>
          <w:sz w:val="24"/>
          <w:highlight w:val="none"/>
          <w14:textFill>
            <w14:solidFill>
              <w14:schemeClr w14:val="tx1"/>
            </w14:solidFill>
          </w14:textFill>
        </w:rPr>
        <w:t>本次</w:t>
      </w:r>
      <w:r>
        <w:rPr>
          <w:color w:val="000000" w:themeColor="text1"/>
          <w:sz w:val="24"/>
          <w:highlight w:val="none"/>
          <w14:textFill>
            <w14:solidFill>
              <w14:schemeClr w14:val="tx1"/>
            </w14:solidFill>
          </w14:textFill>
        </w:rPr>
        <w:t>项目的磋商、</w:t>
      </w:r>
      <w:r>
        <w:rPr>
          <w:bCs/>
          <w:color w:val="000000" w:themeColor="text1"/>
          <w:sz w:val="24"/>
          <w:highlight w:val="none"/>
          <w14:textFill>
            <w14:solidFill>
              <w14:schemeClr w14:val="tx1"/>
            </w14:solidFill>
          </w14:textFill>
        </w:rPr>
        <w:t>评审、确定成交供应商</w:t>
      </w:r>
      <w:r>
        <w:rPr>
          <w:color w:val="000000" w:themeColor="text1"/>
          <w:sz w:val="24"/>
          <w:highlight w:val="none"/>
          <w14:textFill>
            <w14:solidFill>
              <w14:schemeClr w14:val="tx1"/>
            </w14:solidFill>
          </w14:textFill>
        </w:rPr>
        <w:t>、验收、合同履约、付款等行为（法律、法规另有规定的，从其规定）。</w:t>
      </w:r>
    </w:p>
    <w:p w14:paraId="03325354">
      <w:pPr>
        <w:snapToGrid w:val="0"/>
        <w:spacing w:line="360" w:lineRule="auto"/>
        <w:ind w:firstLine="482" w:firstLineChars="200"/>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（二）定义</w:t>
      </w:r>
    </w:p>
    <w:p w14:paraId="3CB36EAB">
      <w:pPr>
        <w:pStyle w:val="6"/>
        <w:keepNext w:val="0"/>
        <w:keepLines w:val="0"/>
        <w:tabs>
          <w:tab w:val="left" w:pos="0"/>
          <w:tab w:val="left" w:pos="851"/>
        </w:tabs>
        <w:autoSpaceDE w:val="0"/>
        <w:autoSpaceDN w:val="0"/>
        <w:adjustRightInd w:val="0"/>
        <w:snapToGrid w:val="0"/>
        <w:spacing w:before="0" w:after="0"/>
        <w:ind w:firstLine="480"/>
        <w:jc w:val="left"/>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eastAsia="宋体" w:cs="Times New Roman"/>
          <w:b w:val="0"/>
          <w:bCs w:val="0"/>
          <w:color w:val="000000" w:themeColor="text1"/>
          <w:sz w:val="24"/>
          <w:szCs w:val="24"/>
          <w:highlight w:val="none"/>
          <w14:textFill>
            <w14:solidFill>
              <w14:schemeClr w14:val="tx1"/>
            </w14:solidFill>
          </w14:textFill>
        </w:rPr>
        <w:t>1、</w:t>
      </w:r>
      <w:r>
        <w:rPr>
          <w:rFonts w:ascii="Times New Roman" w:eastAsia="宋体" w:cs="Times New Roman"/>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14:paraId="4AA975F5">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2、采购人：是指委托</w:t>
      </w:r>
      <w:r>
        <w:rPr>
          <w:color w:val="000000" w:themeColor="text1"/>
          <w:sz w:val="24"/>
          <w:highlight w:val="none"/>
          <w:lang w:val="zh-CN"/>
          <w14:textFill>
            <w14:solidFill>
              <w14:schemeClr w14:val="tx1"/>
            </w14:solidFill>
          </w14:textFill>
        </w:rPr>
        <w:t>集中采购机构或</w:t>
      </w:r>
      <w:r>
        <w:rPr>
          <w:color w:val="000000" w:themeColor="text1"/>
          <w:sz w:val="24"/>
          <w:highlight w:val="none"/>
          <w14:textFill>
            <w14:solidFill>
              <w14:schemeClr w14:val="tx1"/>
            </w14:solidFill>
          </w14:textFill>
        </w:rPr>
        <w:t>采购代理机构采购本次项目的国家机关、事业单位和团体组织。</w:t>
      </w:r>
    </w:p>
    <w:p w14:paraId="621F0EB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3、磋商供应商：是指向采购组织机构提交磋商响应文件的单位或个人。</w:t>
      </w:r>
    </w:p>
    <w:p w14:paraId="5C83A29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4、成交供应商：是指经评标委员会评审确定的对磋商文件作出实质性响应，经采购人按照规定在评标委员会推荐的成交候选人中确定的或受采购人委托直接确认的，与采购人签订合同资格的供应商。</w:t>
      </w:r>
    </w:p>
    <w:p w14:paraId="4100A80F">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5、货物：是指各种形态和种类的物品，包括原材料、燃料、设备、产品等。</w:t>
      </w:r>
    </w:p>
    <w:p w14:paraId="513C2C4D">
      <w:pPr>
        <w:snapToGrid w:val="0"/>
        <w:spacing w:line="360" w:lineRule="auto"/>
        <w:ind w:firstLine="480" w:firstLineChars="200"/>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6、服务：是指除货物和工程以外的政府采购对象，包括各类专业服务、信息网络开发服务、金融保险服务、运输服务，以及维修与维护服务等。</w:t>
      </w:r>
    </w:p>
    <w:p w14:paraId="0C7C728C">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7、“书面形式”包括信函、传真等。</w:t>
      </w:r>
    </w:p>
    <w:p w14:paraId="1D431FE8">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8、“▲”系指实质性要求条款。</w:t>
      </w:r>
    </w:p>
    <w:p w14:paraId="332BBFDA">
      <w:pPr>
        <w:snapToGrid w:val="0"/>
        <w:spacing w:line="360" w:lineRule="auto"/>
        <w:ind w:firstLine="482" w:firstLineChars="200"/>
        <w:jc w:val="left"/>
        <w:outlineLvl w:val="1"/>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（三）磋商费用</w:t>
      </w:r>
    </w:p>
    <w:p w14:paraId="306BED5B">
      <w:pPr>
        <w:pStyle w:val="16"/>
        <w:adjustRightInd w:val="0"/>
        <w:snapToGrid w:val="0"/>
        <w:spacing w:line="312" w:lineRule="auto"/>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不论投标结果如何，投标人均应自行承担所有与投标有关的全部费用（磋商采购文件有相关规定除外）。</w:t>
      </w:r>
    </w:p>
    <w:p w14:paraId="377D89C3">
      <w:pPr>
        <w:pStyle w:val="2"/>
        <w:ind w:firstLine="48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采购代理服务费由中标成交单位支付。</w:t>
      </w:r>
    </w:p>
    <w:p w14:paraId="661ABF2D">
      <w:pPr>
        <w:pStyle w:val="2"/>
        <w:ind w:firstLine="48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代理服务费按照差额定律累进计费方式计算，向成交单位收取，代理费结算不足陆仟元的，按定额陆仟元收取,该费用成交方须在中标公示5个工作日内一次性付清。</w:t>
      </w:r>
      <w:r>
        <w:rPr>
          <w:rFonts w:ascii="Times New Roman" w:hAnsi="Times New Roman" w:cs="Times New Roman"/>
          <w:sz w:val="24"/>
          <w:highlight w:val="none"/>
        </w:rPr>
        <w:t>本项目采购代理服务费已包含在总报价内，投标供应商在投标报价中综合考虑。</w:t>
      </w:r>
      <w:r>
        <w:rPr>
          <w:rFonts w:ascii="Times New Roman" w:hAnsi="Times New Roman" w:cs="Times New Roman"/>
          <w:bCs/>
          <w:color w:val="000000" w:themeColor="text1"/>
          <w:sz w:val="24"/>
          <w:highlight w:val="none"/>
          <w14:textFill>
            <w14:solidFill>
              <w14:schemeClr w14:val="tx1"/>
            </w14:solidFill>
          </w14:textFill>
        </w:rPr>
        <w:t>（户名：台州蔚蓝投资咨询有限公司开户银行；台州银行市府大道支行；账号：530407263700015）财务电话：0576-88508578。</w:t>
      </w:r>
    </w:p>
    <w:p w14:paraId="2B250A2D">
      <w:pPr>
        <w:pStyle w:val="2"/>
        <w:ind w:firstLine="56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4704183E">
      <w:pPr>
        <w:snapToGrid w:val="0"/>
        <w:spacing w:line="360" w:lineRule="auto"/>
        <w:ind w:firstLine="482" w:firstLineChars="200"/>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（四）特别说明</w:t>
      </w:r>
    </w:p>
    <w:p w14:paraId="0322EFB3">
      <w:pPr>
        <w:pStyle w:val="16"/>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公司正式员工）。▲其中涉及资格条件的如非本法人所拥有，则投标无效。</w:t>
      </w:r>
    </w:p>
    <w:p w14:paraId="6E524C1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2、供应商所标产品除</w:t>
      </w:r>
      <w:r>
        <w:rPr>
          <w:bCs/>
          <w:color w:val="000000" w:themeColor="text1"/>
          <w:sz w:val="24"/>
          <w:highlight w:val="none"/>
          <w14:textFill>
            <w14:solidFill>
              <w14:schemeClr w14:val="tx1"/>
            </w14:solidFill>
          </w14:textFill>
        </w:rPr>
        <w:t>磋商文件</w:t>
      </w:r>
      <w:r>
        <w:rPr>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b/>
          <w:color w:val="000000" w:themeColor="text1"/>
          <w:sz w:val="24"/>
          <w:highlight w:val="none"/>
          <w14:textFill>
            <w14:solidFill>
              <w14:schemeClr w14:val="tx1"/>
            </w14:solidFill>
          </w14:textFill>
        </w:rPr>
        <w:t>磋商供应商对所标产品技术参数的真实性承担法律责任。</w:t>
      </w:r>
      <w:r>
        <w:rPr>
          <w:color w:val="000000" w:themeColor="text1"/>
          <w:sz w:val="24"/>
          <w:highlight w:val="none"/>
          <w14:textFill>
            <w14:solidFill>
              <w14:schemeClr w14:val="tx1"/>
            </w14:solidFill>
          </w14:textFill>
        </w:rPr>
        <w:t>项目</w:t>
      </w:r>
      <w:r>
        <w:rPr>
          <w:bCs/>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color w:val="000000" w:themeColor="text1"/>
          <w:sz w:val="24"/>
          <w:highlight w:val="none"/>
          <w14:textFill>
            <w14:solidFill>
              <w14:schemeClr w14:val="tx1"/>
            </w14:solidFill>
          </w14:textFill>
        </w:rPr>
        <w:tab/>
      </w:r>
    </w:p>
    <w:p w14:paraId="663DF2AF">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▲3、供应商在</w:t>
      </w:r>
      <w:r>
        <w:rPr>
          <w:rFonts w:ascii="Times New Roman" w:hAnsi="Times New Roman"/>
          <w:bCs/>
          <w:color w:val="000000" w:themeColor="text1"/>
          <w:sz w:val="24"/>
          <w:szCs w:val="24"/>
          <w:highlight w:val="none"/>
          <w14:textFill>
            <w14:solidFill>
              <w14:schemeClr w14:val="tx1"/>
            </w14:solidFill>
          </w14:textFill>
        </w:rPr>
        <w:t>磋商</w:t>
      </w:r>
      <w:r>
        <w:rPr>
          <w:rFonts w:ascii="Times New Roman" w:hAnsi="Times New Roman"/>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941CBB">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4、供应商不得相互串通磋商报价，不得妨碍其他供应商的公平竞争，不得损害采购人或其他供应商的合法权益，供应商不得以向采购人、评标委员会成员行贿或者采取其他不正当手段谋取成交。</w:t>
      </w:r>
    </w:p>
    <w:p w14:paraId="5A1F271F">
      <w:pPr>
        <w:pStyle w:val="51"/>
        <w:snapToGrid w:val="0"/>
        <w:spacing w:line="360" w:lineRule="auto"/>
        <w:ind w:firstLine="482"/>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782CAD65">
      <w:pPr>
        <w:pStyle w:val="51"/>
        <w:snapToGrid w:val="0"/>
        <w:spacing w:line="360" w:lineRule="auto"/>
        <w:ind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6504F36D">
      <w:pPr>
        <w:pStyle w:val="6"/>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9FB80A1">
      <w:pPr>
        <w:pStyle w:val="6"/>
        <w:keepNext w:val="0"/>
        <w:keepLines w:val="0"/>
        <w:tabs>
          <w:tab w:val="left" w:pos="851"/>
        </w:tabs>
        <w:autoSpaceDE w:val="0"/>
        <w:autoSpaceDN w:val="0"/>
        <w:adjustRightInd w:val="0"/>
        <w:snapToGrid w:val="0"/>
        <w:spacing w:before="0" w:after="0"/>
        <w:ind w:firstLine="482"/>
        <w:rPr>
          <w:rFonts w:ascii="Times New Roman" w:eastAsia="宋体" w:cs="Times New Roman"/>
          <w:b w:val="0"/>
          <w:bCs w:val="0"/>
          <w:color w:val="000000" w:themeColor="text1"/>
          <w:sz w:val="24"/>
          <w:szCs w:val="24"/>
          <w:highlight w:val="none"/>
          <w14:textFill>
            <w14:solidFill>
              <w14:schemeClr w14:val="tx1"/>
            </w14:solidFill>
          </w14:textFill>
        </w:rPr>
      </w:pPr>
      <w:r>
        <w:rPr>
          <w:rFonts w:ascii="Times New Roman" w:cs="Times New Roman"/>
          <w:color w:val="000000" w:themeColor="text1"/>
          <w:sz w:val="24"/>
          <w:highlight w:val="none"/>
          <w14:textFill>
            <w14:solidFill>
              <w14:schemeClr w14:val="tx1"/>
            </w14:solidFill>
          </w14:textFill>
        </w:rPr>
        <w:t>▲</w:t>
      </w:r>
      <w:r>
        <w:rPr>
          <w:rFonts w:ascii="Times New Roman" w:eastAsia="宋体" w:cs="Times New Roman"/>
          <w:b w:val="0"/>
          <w:bCs w:val="0"/>
          <w:color w:val="000000" w:themeColor="text1"/>
          <w:sz w:val="24"/>
          <w:szCs w:val="24"/>
          <w:highlight w:val="none"/>
          <w14:textFill>
            <w14:solidFill>
              <w14:schemeClr w14:val="tx1"/>
            </w14:solidFill>
          </w14:textFill>
        </w:rPr>
        <w:t>8、本项目不允许转包、分包。</w:t>
      </w:r>
    </w:p>
    <w:p w14:paraId="108266C6">
      <w:pPr>
        <w:pStyle w:val="6"/>
        <w:keepNext w:val="0"/>
        <w:keepLines w:val="0"/>
        <w:tabs>
          <w:tab w:val="left" w:pos="851"/>
        </w:tabs>
        <w:autoSpaceDE w:val="0"/>
        <w:autoSpaceDN w:val="0"/>
        <w:adjustRightInd w:val="0"/>
        <w:snapToGrid w:val="0"/>
        <w:spacing w:before="0" w:after="0"/>
        <w:ind w:firstLine="482"/>
        <w:rPr>
          <w:rFonts w:ascii="Times New Roman" w:cs="Times New Roman"/>
          <w:highlight w:val="none"/>
        </w:rPr>
      </w:pPr>
      <w:r>
        <w:rPr>
          <w:rFonts w:ascii="Times New Roman" w:cs="Times New Roman"/>
          <w:color w:val="000000" w:themeColor="text1"/>
          <w:sz w:val="24"/>
          <w:highlight w:val="none"/>
          <w14:textFill>
            <w14:solidFill>
              <w14:schemeClr w14:val="tx1"/>
            </w14:solidFill>
          </w14:textFill>
        </w:rPr>
        <w:t>▲</w:t>
      </w:r>
      <w:r>
        <w:rPr>
          <w:rFonts w:ascii="Times New Roman" w:cs="Times New Roman"/>
          <w:b w:val="0"/>
          <w:bCs w:val="0"/>
          <w:color w:val="000000" w:themeColor="text1"/>
          <w:sz w:val="24"/>
          <w:highlight w:val="none"/>
          <w14:textFill>
            <w14:solidFill>
              <w14:schemeClr w14:val="tx1"/>
            </w14:solidFill>
          </w14:textFill>
        </w:rPr>
        <w:t>9、</w:t>
      </w:r>
      <w:r>
        <w:rPr>
          <w:rFonts w:ascii="Times New Roman" w:eastAsia="宋体" w:cs="Times New Roman"/>
          <w:b w:val="0"/>
          <w:bCs w:val="0"/>
          <w:color w:val="000000" w:themeColor="text1"/>
          <w:sz w:val="24"/>
          <w:szCs w:val="24"/>
          <w:highlight w:val="none"/>
          <w14:textFill>
            <w14:solidFill>
              <w14:schemeClr w14:val="tx1"/>
            </w14:solidFill>
          </w14:textFill>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5AD7BF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二、磋商响应文件</w:t>
      </w:r>
    </w:p>
    <w:p w14:paraId="1B78A7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（一）磋商响应文件的组成</w:t>
      </w:r>
    </w:p>
    <w:p w14:paraId="7EB97A51">
      <w:pPr>
        <w:snapToGri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w:t>
      </w:r>
      <w:r>
        <w:rPr>
          <w:sz w:val="24"/>
          <w:highlight w:val="none"/>
          <w:lang w:val="zh-CN"/>
        </w:rPr>
        <w:t>特别提示：如有要求提供资料原件的，相关原件需清晰扫描在投标文件中</w:t>
      </w:r>
      <w:r>
        <w:rPr>
          <w:color w:val="000000" w:themeColor="text1"/>
          <w:kern w:val="0"/>
          <w:sz w:val="24"/>
          <w:highlight w:val="none"/>
          <w:lang w:val="zh-CN"/>
          <w14:textFill>
            <w14:solidFill>
              <w14:schemeClr w14:val="tx1"/>
            </w14:solidFill>
          </w14:textFill>
        </w:rPr>
        <w:t>】</w:t>
      </w:r>
    </w:p>
    <w:p w14:paraId="2C9665F8">
      <w:pPr>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▲1、资格证明内容的组成：</w:t>
      </w:r>
    </w:p>
    <w:p w14:paraId="20D2AE57">
      <w:pPr>
        <w:pStyle w:val="2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（1）磋商声明书；</w:t>
      </w:r>
    </w:p>
    <w:p w14:paraId="4D7711E0">
      <w:pPr>
        <w:widowControl/>
        <w:spacing w:line="360" w:lineRule="auto"/>
        <w:ind w:firstLine="480" w:firstLineChars="200"/>
        <w:jc w:val="left"/>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sz w:val="24"/>
          <w:highlight w:val="none"/>
        </w:rPr>
        <w:t>授权委托书或法定代表人证明书（适用法定代表人亲自参加的）</w:t>
      </w:r>
      <w:r>
        <w:rPr>
          <w:color w:val="000000" w:themeColor="text1"/>
          <w:sz w:val="24"/>
          <w:highlight w:val="none"/>
          <w14:textFill>
            <w14:solidFill>
              <w14:schemeClr w14:val="tx1"/>
            </w14:solidFill>
          </w14:textFill>
        </w:rPr>
        <w:t>；</w:t>
      </w:r>
    </w:p>
    <w:p w14:paraId="6BF5A925">
      <w:pPr>
        <w:widowControl/>
        <w:spacing w:line="360" w:lineRule="auto"/>
        <w:ind w:firstLine="480" w:firstLineChars="200"/>
        <w:jc w:val="left"/>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4A66EA6D">
      <w:pPr>
        <w:widowControl/>
        <w:spacing w:line="360" w:lineRule="auto"/>
        <w:ind w:firstLine="480" w:firstLineChars="200"/>
        <w:jc w:val="left"/>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（4）符合参与政府采购活动的资格条件，具备良好的商业信誉和健全的财务会计制度并且没有税收缴纳、社会保障等方面的失信记录的承诺函；</w:t>
      </w:r>
    </w:p>
    <w:p w14:paraId="693C2658">
      <w:pPr>
        <w:widowControl/>
        <w:spacing w:line="360" w:lineRule="auto"/>
        <w:ind w:firstLine="480" w:firstLineChars="200"/>
        <w:jc w:val="left"/>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（5）具备履行合同所必需的设备和专业技术能力的承诺函；</w:t>
      </w:r>
    </w:p>
    <w:p w14:paraId="4397FA80">
      <w:pPr>
        <w:widowControl/>
        <w:spacing w:line="360" w:lineRule="auto"/>
        <w:ind w:firstLine="480" w:firstLineChars="200"/>
        <w:jc w:val="left"/>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（6）中小企业声明函等政府采购优惠政策相关资料；</w:t>
      </w:r>
    </w:p>
    <w:p w14:paraId="3871D5FE">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（7）提供采购公告中符合供应商特定条件的有效资质证书复印件（磋商供应商特定条件中有要求的必须提供），以及需要说明的其他资料；</w:t>
      </w:r>
    </w:p>
    <w:p w14:paraId="022B54C8">
      <w:pPr>
        <w:snapToGrid w:val="0"/>
        <w:spacing w:line="360" w:lineRule="auto"/>
        <w:ind w:firstLine="482" w:firstLineChars="200"/>
        <w:rPr>
          <w:color w:val="000000" w:themeColor="text1"/>
          <w:sz w:val="24"/>
          <w:highlight w:val="none"/>
          <w:u w:val="single"/>
          <w14:textFill>
            <w14:solidFill>
              <w14:schemeClr w14:val="tx1"/>
            </w14:solidFill>
          </w14:textFill>
        </w:rPr>
      </w:pPr>
      <w:r>
        <w:rPr>
          <w:b/>
          <w:color w:val="000000" w:themeColor="text1"/>
          <w:sz w:val="24"/>
          <w:highlight w:val="none"/>
          <w14:textFill>
            <w14:solidFill>
              <w14:schemeClr w14:val="tx1"/>
            </w14:solidFill>
          </w14:textFill>
        </w:rPr>
        <w:t>2、商务与技术内容的组成：</w:t>
      </w:r>
    </w:p>
    <w:p w14:paraId="53603886">
      <w:pPr>
        <w:pStyle w:val="9"/>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sz w:val="24"/>
          <w:szCs w:val="24"/>
          <w:highlight w:val="none"/>
        </w:rPr>
        <w:t>供应商</w:t>
      </w:r>
      <w:r>
        <w:rPr>
          <w:color w:val="000000" w:themeColor="text1"/>
          <w:sz w:val="24"/>
          <w:szCs w:val="24"/>
          <w:highlight w:val="none"/>
          <w14:textFill>
            <w14:solidFill>
              <w14:schemeClr w14:val="tx1"/>
            </w14:solidFill>
          </w14:textFill>
        </w:rPr>
        <w:t>情况介绍（企业情况介绍）</w:t>
      </w:r>
      <w:r>
        <w:rPr>
          <w:color w:val="000000" w:themeColor="text1"/>
          <w:sz w:val="24"/>
          <w:highlight w:val="none"/>
          <w14:textFill>
            <w14:solidFill>
              <w14:schemeClr w14:val="tx1"/>
            </w14:solidFill>
          </w14:textFill>
        </w:rPr>
        <w:t>；</w:t>
      </w:r>
    </w:p>
    <w:p w14:paraId="2D654B8B">
      <w:pPr>
        <w:pStyle w:val="9"/>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（2）供应商通过的质量管理和质量保证体系、环保体系、等等与本项目相关的认证证书或文件；</w:t>
      </w:r>
    </w:p>
    <w:p w14:paraId="220FDC54">
      <w:pPr>
        <w:pStyle w:val="9"/>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（3）近四年来项目的成功案例（投标人类似项目实施情况一览表、合同复印件及其相应的发票、用户验收报告等）</w:t>
      </w:r>
      <w:r>
        <w:rPr>
          <w:color w:val="000000" w:themeColor="text1"/>
          <w:sz w:val="24"/>
          <w:highlight w:val="none"/>
          <w14:textFill>
            <w14:solidFill>
              <w14:schemeClr w14:val="tx1"/>
            </w14:solidFill>
          </w14:textFill>
        </w:rPr>
        <w:t>；</w:t>
      </w:r>
    </w:p>
    <w:p w14:paraId="55844B45">
      <w:pPr>
        <w:pStyle w:val="9"/>
        <w:adjustRightInd w:val="0"/>
        <w:snapToGrid w:val="0"/>
        <w:spacing w:line="312" w:lineRule="auto"/>
        <w:ind w:firstLine="480" w:firstLineChars="200"/>
        <w:rPr>
          <w:color w:val="000000"/>
          <w:sz w:val="24"/>
          <w:szCs w:val="24"/>
          <w:highlight w:val="none"/>
        </w:rPr>
      </w:pPr>
      <w:r>
        <w:rPr>
          <w:color w:val="000000" w:themeColor="text1"/>
          <w:sz w:val="24"/>
          <w:szCs w:val="24"/>
          <w:highlight w:val="none"/>
          <w14:textFill>
            <w14:solidFill>
              <w14:schemeClr w14:val="tx1"/>
            </w14:solidFill>
          </w14:textFill>
        </w:rPr>
        <w:t>（4）</w:t>
      </w:r>
      <w:r>
        <w:rPr>
          <w:color w:val="000000"/>
          <w:sz w:val="24"/>
          <w:szCs w:val="24"/>
          <w:highlight w:val="none"/>
        </w:rPr>
        <w:t>磋商响应方案描述：</w:t>
      </w:r>
    </w:p>
    <w:p w14:paraId="4F487E37">
      <w:pPr>
        <w:pStyle w:val="9"/>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A.项目背景、需求的理解与分析(</w:t>
      </w:r>
      <w:r>
        <w:rPr>
          <w:color w:val="000000"/>
          <w:sz w:val="24"/>
          <w:szCs w:val="24"/>
          <w:highlight w:val="none"/>
        </w:rPr>
        <w:t>供应商</w:t>
      </w:r>
      <w:r>
        <w:rPr>
          <w:color w:val="000000" w:themeColor="text1"/>
          <w:sz w:val="24"/>
          <w:szCs w:val="24"/>
          <w:highlight w:val="none"/>
          <w14:textFill>
            <w14:solidFill>
              <w14:schemeClr w14:val="tx1"/>
            </w14:solidFill>
          </w14:textFill>
        </w:rPr>
        <w:t>对项目背景、现状及需求的理解情况，对项目现状和需求描述的全面性、准确性、针对性，项目功能设计完备、对系统各组成部分等功能进行准确的分析，对项目重点、难点的把握，解决方案及合理化建议)。</w:t>
      </w:r>
    </w:p>
    <w:p w14:paraId="2B1EF041">
      <w:pPr>
        <w:pStyle w:val="9"/>
        <w:widowControl/>
        <w:adjustRightInd w:val="0"/>
        <w:snapToGrid w:val="0"/>
        <w:spacing w:line="360" w:lineRule="auto"/>
        <w:ind w:left="218" w:leftChars="104" w:firstLine="480" w:firstLineChars="200"/>
        <w:rPr>
          <w:color w:val="000000"/>
          <w:sz w:val="24"/>
          <w:szCs w:val="24"/>
          <w:highlight w:val="none"/>
        </w:rPr>
      </w:pPr>
      <w:r>
        <w:rPr>
          <w:color w:val="000000" w:themeColor="text1"/>
          <w:sz w:val="24"/>
          <w:szCs w:val="24"/>
          <w:highlight w:val="none"/>
          <w14:textFill>
            <w14:solidFill>
              <w14:schemeClr w14:val="tx1"/>
            </w14:solidFill>
          </w14:textFill>
        </w:rPr>
        <w:t>B.项目组织实施方案</w:t>
      </w:r>
      <w:r>
        <w:rPr>
          <w:color w:val="000000"/>
          <w:sz w:val="24"/>
          <w:szCs w:val="24"/>
          <w:highlight w:val="none"/>
        </w:rPr>
        <w:t>（包括项目工期、确保项目实施的措施或方案、项目实施进度安排、项目实施人员及项目负责人的资质、类似经验及社保证明等）。</w:t>
      </w:r>
    </w:p>
    <w:p w14:paraId="5CF3B325">
      <w:pPr>
        <w:pStyle w:val="9"/>
        <w:widowControl/>
        <w:adjustRightInd w:val="0"/>
        <w:snapToGrid w:val="0"/>
        <w:spacing w:line="360" w:lineRule="auto"/>
        <w:ind w:firstLine="660" w:firstLineChars="275"/>
        <w:rPr>
          <w:color w:val="000000"/>
          <w:sz w:val="24"/>
          <w:szCs w:val="24"/>
          <w:highlight w:val="none"/>
        </w:rPr>
      </w:pPr>
      <w:r>
        <w:rPr>
          <w:color w:val="000000"/>
          <w:sz w:val="24"/>
          <w:szCs w:val="24"/>
          <w:highlight w:val="none"/>
        </w:rPr>
        <w:t>C.</w:t>
      </w:r>
      <w:r>
        <w:rPr>
          <w:color w:val="000000"/>
          <w:kern w:val="0"/>
          <w:sz w:val="24"/>
          <w:szCs w:val="24"/>
          <w:highlight w:val="none"/>
        </w:rPr>
        <w:t>验收方案（包括项目验收标准和验收方法等）</w:t>
      </w:r>
      <w:r>
        <w:rPr>
          <w:color w:val="000000"/>
          <w:sz w:val="24"/>
          <w:szCs w:val="24"/>
          <w:highlight w:val="none"/>
        </w:rPr>
        <w:t>和措施；</w:t>
      </w:r>
    </w:p>
    <w:p w14:paraId="0C2C81DD">
      <w:pPr>
        <w:pStyle w:val="9"/>
        <w:adjustRightInd w:val="0"/>
        <w:snapToGrid w:val="0"/>
        <w:spacing w:line="312"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（5）本地化服务方案和售后服务措施及承诺（售后技术服务方案、人员配备、</w:t>
      </w:r>
      <w:r>
        <w:rPr>
          <w:color w:val="000000" w:themeColor="text1"/>
          <w:sz w:val="24"/>
          <w:highlight w:val="none"/>
          <w14:textFill>
            <w14:solidFill>
              <w14:schemeClr w14:val="tx1"/>
            </w14:solidFill>
          </w14:textFill>
        </w:rPr>
        <w:t>故障响应时间、技术培训方案等）。</w:t>
      </w:r>
    </w:p>
    <w:p w14:paraId="227EB296">
      <w:pPr>
        <w:pStyle w:val="9"/>
        <w:adjustRightInd w:val="0"/>
        <w:snapToGrid w:val="0"/>
        <w:spacing w:line="312"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）供应商认为需要提供的其他资料（包括可能影响投标人商务与技术文件评分的各类证明材料）。</w:t>
      </w:r>
    </w:p>
    <w:p w14:paraId="7195D9EA">
      <w:pPr>
        <w:pStyle w:val="9"/>
        <w:adjustRightInd w:val="0"/>
        <w:snapToGrid w:val="0"/>
        <w:spacing w:line="312" w:lineRule="auto"/>
        <w:ind w:firstLine="482" w:firstLineChars="200"/>
        <w:rPr>
          <w:color w:val="000000" w:themeColor="text1"/>
          <w:sz w:val="24"/>
          <w:highlight w:val="none"/>
          <w:lang w:val="zh-CN"/>
          <w14:textFill>
            <w14:solidFill>
              <w14:schemeClr w14:val="tx1"/>
            </w14:solidFill>
          </w14:textFill>
        </w:rPr>
      </w:pPr>
      <w:r>
        <w:rPr>
          <w:b/>
          <w:bCs/>
          <w:color w:val="000000" w:themeColor="text1"/>
          <w:sz w:val="24"/>
          <w:highlight w:val="none"/>
          <w14:textFill>
            <w14:solidFill>
              <w14:schemeClr w14:val="tx1"/>
            </w14:solidFill>
          </w14:textFill>
        </w:rPr>
        <w:t>各投标人可结合需求和评分标准提供相关资料，格式可自拟。</w:t>
      </w:r>
    </w:p>
    <w:p w14:paraId="1CD5D368">
      <w:pPr>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3、报价内容的组成</w:t>
      </w:r>
    </w:p>
    <w:p w14:paraId="521BF7C0">
      <w:pPr>
        <w:pStyle w:val="2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（1）报价内容由首次报价一览表、</w:t>
      </w:r>
      <w:bookmarkStart w:id="48" w:name="_Hlk62050721"/>
      <w:r>
        <w:rPr>
          <w:rFonts w:ascii="Times New Roman" w:hAnsi="Times New Roman"/>
          <w:color w:val="000000" w:themeColor="text1"/>
          <w:kern w:val="0"/>
          <w:highlight w:val="none"/>
          <w14:textFill>
            <w14:solidFill>
              <w14:schemeClr w14:val="tx1"/>
            </w14:solidFill>
          </w14:textFill>
        </w:rPr>
        <w:t>报价明细表、</w:t>
      </w:r>
      <w:bookmarkEnd w:id="48"/>
      <w:r>
        <w:rPr>
          <w:rFonts w:ascii="Times New Roman" w:hAnsi="Times New Roman"/>
          <w:color w:val="000000" w:themeColor="text1"/>
          <w:highlight w:val="none"/>
          <w14:textFill>
            <w14:solidFill>
              <w14:schemeClr w14:val="tx1"/>
            </w14:solidFill>
          </w14:textFill>
        </w:rPr>
        <w:t>以及供应商认为其他需要说明的内容组成。</w:t>
      </w:r>
    </w:p>
    <w:p w14:paraId="15FC58B8">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kern w:val="0"/>
          <w:sz w:val="24"/>
          <w:highlight w:val="none"/>
          <w14:textFill>
            <w14:solidFill>
              <w14:schemeClr w14:val="tx1"/>
            </w14:solidFill>
          </w14:textFill>
        </w:rPr>
        <w:t>此报价为供应商针对本项目报出的唯一的首次报价，包含其它一切所要涉及到的费用，</w:t>
      </w:r>
      <w:r>
        <w:rPr>
          <w:rFonts w:hint="eastAsia" w:ascii="宋体" w:hAnsi="宋体"/>
          <w:color w:val="000000" w:themeColor="text1"/>
          <w:kern w:val="0"/>
          <w:sz w:val="24"/>
          <w:highlight w:val="none"/>
          <w14:textFill>
            <w14:solidFill>
              <w14:schemeClr w14:val="tx1"/>
            </w14:solidFill>
          </w14:textFill>
        </w:rPr>
        <w:t>有</w:t>
      </w:r>
      <w:r>
        <w:rPr>
          <w:rFonts w:hint="eastAsia" w:ascii="宋体" w:hAnsi="宋体"/>
          <w:color w:val="000000" w:themeColor="text1"/>
          <w:kern w:val="0"/>
          <w:sz w:val="24"/>
          <w:highlight w:val="none"/>
          <w:lang w:val="en-US" w:eastAsia="zh-CN"/>
          <w14:textFill>
            <w14:solidFill>
              <w14:schemeClr w14:val="tx1"/>
            </w14:solidFill>
          </w14:textFill>
        </w:rPr>
        <w:t>条件的、有</w:t>
      </w:r>
      <w:r>
        <w:rPr>
          <w:color w:val="000000" w:themeColor="text1"/>
          <w:kern w:val="0"/>
          <w:sz w:val="24"/>
          <w:highlight w:val="none"/>
          <w14:textFill>
            <w14:solidFill>
              <w14:schemeClr w14:val="tx1"/>
            </w14:solidFill>
          </w14:textFill>
        </w:rPr>
        <w:t>选择的报价将被拒绝。</w:t>
      </w:r>
    </w:p>
    <w:p w14:paraId="0CE447C4">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）总报价应当包括为完成本次项目所需一切费用及合同包含的所有风险责任等各项费用及不可预见费等所需的全部费用。</w:t>
      </w:r>
    </w:p>
    <w:p w14:paraId="2CA1D12B">
      <w:pPr>
        <w:snapToGri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相关报价单由于表达不清引起的后果由供应商负责。</w:t>
      </w:r>
    </w:p>
    <w:p w14:paraId="56E2237B">
      <w:pPr>
        <w:snapToGrid w:val="0"/>
        <w:spacing w:line="360" w:lineRule="auto"/>
        <w:ind w:left="480"/>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（5）报价有关表格应按磋商采购文件中相关附表格式填写。</w:t>
      </w:r>
    </w:p>
    <w:p w14:paraId="3C77FCC0">
      <w:pPr>
        <w:numPr>
          <w:ilvl w:val="0"/>
          <w:numId w:val="2"/>
        </w:numPr>
        <w:snapToGrid w:val="0"/>
        <w:spacing w:line="360" w:lineRule="auto"/>
        <w:ind w:left="0" w:firstLine="482" w:firstLineChars="200"/>
        <w:rPr>
          <w:color w:val="000000" w:themeColor="text1"/>
          <w:sz w:val="24"/>
          <w:highlight w:val="none"/>
          <w:lang w:val="zh-CN"/>
          <w14:textFill>
            <w14:solidFill>
              <w14:schemeClr w14:val="tx1"/>
            </w14:solidFill>
          </w14:textFill>
        </w:rPr>
      </w:pPr>
      <w:r>
        <w:rPr>
          <w:b/>
          <w:bCs/>
          <w:color w:val="000000" w:themeColor="text1"/>
          <w:kern w:val="0"/>
          <w:sz w:val="24"/>
          <w:highlight w:val="none"/>
          <w14:textFill>
            <w14:solidFill>
              <w14:schemeClr w14:val="tx1"/>
            </w14:solidFill>
          </w14:textFill>
        </w:rPr>
        <w:t>磋商响应文件的制作、封装及递交要求</w:t>
      </w:r>
    </w:p>
    <w:p w14:paraId="62282E23">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1、磋商响应文件的制作要求</w:t>
      </w:r>
    </w:p>
    <w:p w14:paraId="3A7ECD22">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（1）供应商应按照磋商响应文件组成内容及项目磋商需求制作磋商响应文件</w:t>
      </w:r>
      <w:r>
        <w:rPr>
          <w:color w:val="000000" w:themeColor="text1"/>
          <w:kern w:val="0"/>
          <w:sz w:val="24"/>
          <w:highlight w:val="none"/>
          <w14:textFill>
            <w14:solidFill>
              <w14:schemeClr w14:val="tx1"/>
            </w14:solidFill>
          </w14:textFill>
        </w:rPr>
        <w:t>。</w:t>
      </w:r>
    </w:p>
    <w:p w14:paraId="2D9051B7">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供应商应对所提供的全部资料的真实性承担法律责任，磋商响应文件</w:t>
      </w:r>
      <w:r>
        <w:rPr>
          <w:color w:val="000000" w:themeColor="text1"/>
          <w:kern w:val="0"/>
          <w:sz w:val="24"/>
          <w:highlight w:val="none"/>
          <w:lang w:val="zh-CN"/>
          <w14:textFill>
            <w14:solidFill>
              <w14:schemeClr w14:val="tx1"/>
            </w14:solidFill>
          </w14:textFill>
        </w:rPr>
        <w:t>内容中有要求盖章或签字的地方，必须加盖</w:t>
      </w:r>
      <w:r>
        <w:rPr>
          <w:color w:val="000000" w:themeColor="text1"/>
          <w:sz w:val="24"/>
          <w:highlight w:val="none"/>
          <w14:textFill>
            <w14:solidFill>
              <w14:schemeClr w14:val="tx1"/>
            </w14:solidFill>
          </w14:textFill>
        </w:rPr>
        <w:t>磋商供应商</w:t>
      </w:r>
      <w:r>
        <w:rPr>
          <w:color w:val="000000" w:themeColor="text1"/>
          <w:kern w:val="0"/>
          <w:sz w:val="24"/>
          <w:highlight w:val="none"/>
          <w:lang w:val="zh-CN"/>
          <w14:textFill>
            <w14:solidFill>
              <w14:schemeClr w14:val="tx1"/>
            </w14:solidFill>
          </w14:textFill>
        </w:rPr>
        <w:t>的公章以及法定代表人或授权代表的盖章或签字，其中</w:t>
      </w:r>
      <w:r>
        <w:rPr>
          <w:color w:val="000000" w:themeColor="text1"/>
          <w:sz w:val="24"/>
          <w:highlight w:val="none"/>
          <w14:textFill>
            <w14:solidFill>
              <w14:schemeClr w14:val="tx1"/>
            </w14:solidFill>
          </w14:textFill>
        </w:rPr>
        <w:t>所有证书类文件提供的复印件</w:t>
      </w:r>
      <w:r>
        <w:rPr>
          <w:color w:val="000000" w:themeColor="text1"/>
          <w:kern w:val="0"/>
          <w:sz w:val="24"/>
          <w:highlight w:val="none"/>
          <w14:textFill>
            <w14:solidFill>
              <w14:schemeClr w14:val="tx1"/>
            </w14:solidFill>
          </w14:textFill>
        </w:rPr>
        <w:t>必须全部加盖单位公章且</w:t>
      </w:r>
      <w:r>
        <w:rPr>
          <w:color w:val="000000" w:themeColor="text1"/>
          <w:sz w:val="24"/>
          <w:highlight w:val="none"/>
          <w14:textFill>
            <w14:solidFill>
              <w14:schemeClr w14:val="tx1"/>
            </w14:solidFill>
          </w14:textFill>
        </w:rPr>
        <w:t>必须在有效期内的。</w:t>
      </w:r>
    </w:p>
    <w:p w14:paraId="149BB472">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lang w:val="zh-CN"/>
          <w14:textFill>
            <w14:solidFill>
              <w14:schemeClr w14:val="tx1"/>
            </w14:solidFill>
          </w14:textFill>
        </w:rPr>
        <w:t>（</w:t>
      </w:r>
      <w:r>
        <w:rPr>
          <w:color w:val="000000" w:themeColor="text1"/>
          <w:kern w:val="0"/>
          <w:sz w:val="24"/>
          <w:highlight w:val="none"/>
          <w14:textFill>
            <w14:solidFill>
              <w14:schemeClr w14:val="tx1"/>
            </w14:solidFill>
          </w14:textFill>
        </w:rPr>
        <w:t>3</w:t>
      </w:r>
      <w:r>
        <w:rPr>
          <w:color w:val="000000" w:themeColor="text1"/>
          <w:kern w:val="0"/>
          <w:sz w:val="24"/>
          <w:highlight w:val="none"/>
          <w:lang w:val="zh-CN"/>
          <w14:textFill>
            <w14:solidFill>
              <w14:schemeClr w14:val="tx1"/>
            </w14:solidFill>
          </w14:textFill>
        </w:rPr>
        <w:t>）</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磋商响应文件以及磋商供应商与采购组织机构就有关磋商事宜的所有来往函电，均应以中文汉语书写。除签字、盖章、专用名称等特殊情形外，以中文汉语以外的文字表述的磋商响应文件视同未提供</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如该文件未提供将影响投标有效性的，则视为投标无效。</w:t>
      </w:r>
    </w:p>
    <w:p w14:paraId="34664086">
      <w:pPr>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磋商计量单位，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已有明确规定的，使用</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规定的计量单位；</w:t>
      </w:r>
      <w:r>
        <w:rPr>
          <w:bCs/>
          <w:color w:val="000000" w:themeColor="text1"/>
          <w:sz w:val="24"/>
          <w:highlight w:val="none"/>
          <w14:textFill>
            <w14:solidFill>
              <w14:schemeClr w14:val="tx1"/>
            </w14:solidFill>
          </w14:textFill>
        </w:rPr>
        <w:t>磋商采购文件</w:t>
      </w:r>
      <w:r>
        <w:rPr>
          <w:color w:val="000000" w:themeColor="text1"/>
          <w:sz w:val="24"/>
          <w:highlight w:val="none"/>
          <w14:textFill>
            <w14:solidFill>
              <w14:schemeClr w14:val="tx1"/>
            </w14:solidFill>
          </w14:textFill>
        </w:rPr>
        <w:t>没有规定的，应采用中华人民共和国法定计量单位（货币单位：人民币元），否则视同未响应。</w:t>
      </w:r>
    </w:p>
    <w:p w14:paraId="51C6169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（5）若磋商供应商不按采购文件的要求提供资格审查材料，其风险由磋商供应商自行承担。</w:t>
      </w:r>
    </w:p>
    <w:p w14:paraId="375E7F3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与本次磋商无关的内容请不要制作在内，确保磋商响应文件有针对性、简洁明了。</w:t>
      </w:r>
    </w:p>
    <w:p w14:paraId="3F44512E">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2、电子投标文件、电子备份投标文件制作要求</w:t>
      </w:r>
    </w:p>
    <w:p w14:paraId="3AEB1B8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b/>
          <w:bCs/>
          <w:color w:val="000000" w:themeColor="text1"/>
          <w:sz w:val="24"/>
          <w:highlight w:val="none"/>
          <w14:textFill>
            <w14:solidFill>
              <w14:schemeClr w14:val="tx1"/>
            </w14:solidFill>
          </w14:textFill>
        </w:rPr>
        <w:t>关联定位</w:t>
      </w:r>
      <w:r>
        <w:rPr>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88B6D9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47F752FB">
      <w:pPr>
        <w:autoSpaceDE w:val="0"/>
        <w:autoSpaceDN w:val="0"/>
        <w:adjustRightInd w:val="0"/>
        <w:spacing w:line="360" w:lineRule="auto"/>
        <w:ind w:firstLine="482" w:firstLineChars="200"/>
        <w:rPr>
          <w:color w:val="000000" w:themeColor="text1"/>
          <w:sz w:val="24"/>
          <w:highlight w:val="none"/>
          <w14:textFill>
            <w14:solidFill>
              <w14:schemeClr w14:val="tx1"/>
            </w14:solidFill>
          </w14:textFill>
        </w:rPr>
      </w:pPr>
      <w:bookmarkStart w:id="49" w:name="_Hlk52196655"/>
      <w:r>
        <w:rPr>
          <w:b/>
          <w:bCs/>
          <w:color w:val="000000" w:themeColor="text1"/>
          <w:sz w:val="24"/>
          <w:highlight w:val="none"/>
          <w14:textFill>
            <w14:solidFill>
              <w14:schemeClr w14:val="tx1"/>
            </w14:solidFill>
          </w14:textFill>
        </w:rPr>
        <w:t>温馨提醒：</w:t>
      </w:r>
      <w:r>
        <w:rPr>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bookmarkEnd w:id="49"/>
    </w:p>
    <w:p w14:paraId="763731F6">
      <w:pPr>
        <w:autoSpaceDE w:val="0"/>
        <w:autoSpaceDN w:val="0"/>
        <w:adjustRightIn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3、磋商响应文件的封装要求</w:t>
      </w:r>
    </w:p>
    <w:p w14:paraId="3E848ED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（1）磋商文件制作完成并生成标书，在开标前，供应商需将磋商响应文件上传至政采云平台，到达开标时间后，解密磋商文件，采购组织机构对磋商响应文件的误投和供应商操作失误造成的提前启封不负责任。</w:t>
      </w:r>
    </w:p>
    <w:p w14:paraId="7E68E4A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（2）所有磋商响应资料按磋商采购文件的组成所列内容及顺序编制，</w:t>
      </w:r>
      <w:r>
        <w:rPr>
          <w:color w:val="000000" w:themeColor="text1"/>
          <w:sz w:val="24"/>
          <w:highlight w:val="none"/>
          <w:lang w:val="zh-CN"/>
          <w14:textFill>
            <w14:solidFill>
              <w14:schemeClr w14:val="tx1"/>
            </w14:solidFill>
          </w14:textFill>
        </w:rPr>
        <w:t>并逐页连续标注页码。因磋商响应文件内容不完整、编排混乱导致磋商响应文件被误读、漏读或者查找不到相关内容的责任由供应商自行承担。</w:t>
      </w:r>
    </w:p>
    <w:p w14:paraId="191817D6">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4C571F52">
      <w:pPr>
        <w:autoSpaceDE w:val="0"/>
        <w:autoSpaceDN w:val="0"/>
        <w:adjustRightIn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4、</w:t>
      </w:r>
      <w:r>
        <w:rPr>
          <w:b/>
          <w:color w:val="000000" w:themeColor="text1"/>
          <w:sz w:val="24"/>
          <w:highlight w:val="none"/>
          <w14:textFill>
            <w14:solidFill>
              <w14:schemeClr w14:val="tx1"/>
            </w14:solidFill>
          </w14:textFill>
        </w:rPr>
        <w:t>磋商响应文件的递交要求</w:t>
      </w:r>
    </w:p>
    <w:p w14:paraId="45595791">
      <w:pPr>
        <w:autoSpaceDE w:val="0"/>
        <w:autoSpaceDN w:val="0"/>
        <w:adjustRightInd w:val="0"/>
        <w:spacing w:line="360" w:lineRule="auto"/>
        <w:ind w:firstLine="480" w:firstLineChars="200"/>
        <w:rPr>
          <w:color w:val="000000" w:themeColor="text1"/>
          <w:kern w:val="0"/>
          <w:sz w:val="24"/>
          <w:highlight w:val="none"/>
          <w:lang w:val="zh-CN"/>
          <w14:textFill>
            <w14:solidFill>
              <w14:schemeClr w14:val="tx1"/>
            </w14:solidFill>
          </w14:textFill>
        </w:rPr>
      </w:pPr>
      <w:r>
        <w:rPr>
          <w:color w:val="000000" w:themeColor="text1"/>
          <w:kern w:val="0"/>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（1）磋商响应文件必须在规定时间前上传至政采云系统。磋商响应文件在截止时间后提交，采购组织机构将拒绝接收。</w:t>
      </w:r>
    </w:p>
    <w:p w14:paraId="0F813A28">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（2）如有特殊情况，采购组织机构延长截止时间和磋商时间，采购组织机构和供应商的权利和义务将受到新的截止时间和磋商时间的约束。</w:t>
      </w:r>
    </w:p>
    <w:p w14:paraId="6BA0DA42">
      <w:pPr>
        <w:tabs>
          <w:tab w:val="left" w:pos="189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5、磋商响应文件的补充、修改和撤回。</w:t>
      </w:r>
    </w:p>
    <w:p w14:paraId="14E20BFE">
      <w:pPr>
        <w:tabs>
          <w:tab w:val="left" w:pos="1418"/>
        </w:tabs>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b/>
          <w:color w:val="000000" w:themeColor="text1"/>
          <w:kern w:val="0"/>
          <w:sz w:val="24"/>
          <w:highlight w:val="none"/>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EF2C60C">
      <w:pPr>
        <w:tabs>
          <w:tab w:val="left" w:pos="1418"/>
        </w:tabs>
        <w:autoSpaceDE w:val="0"/>
        <w:autoSpaceDN w:val="0"/>
        <w:adjustRightInd w:val="0"/>
        <w:spacing w:line="360" w:lineRule="auto"/>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b/>
          <w:color w:val="000000" w:themeColor="text1"/>
          <w:kern w:val="0"/>
          <w:sz w:val="24"/>
          <w:highlight w:val="none"/>
          <w14:textFill>
            <w14:solidFill>
              <w14:schemeClr w14:val="tx1"/>
            </w14:solidFill>
          </w14:textFill>
        </w:rPr>
        <w:t>投标截止时间后，投标供应商不得撤回、修改《投标响应文件》。</w:t>
      </w:r>
    </w:p>
    <w:p w14:paraId="02A48BBC">
      <w:pPr>
        <w:tabs>
          <w:tab w:val="left" w:pos="1418"/>
        </w:tabs>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（三）磋商响应文件的有效期</w:t>
      </w:r>
    </w:p>
    <w:p w14:paraId="7D9168CF">
      <w:pPr>
        <w:pStyle w:val="8"/>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lang w:val="en-GB"/>
          <w14:textFill>
            <w14:solidFill>
              <w14:schemeClr w14:val="tx1"/>
            </w14:solidFill>
          </w14:textFill>
        </w:rPr>
      </w:pPr>
      <w:r>
        <w:rPr>
          <w:color w:val="000000" w:themeColor="text1"/>
          <w:highlight w:val="none"/>
          <w14:textFill>
            <w14:solidFill>
              <w14:schemeClr w14:val="tx1"/>
            </w14:solidFill>
          </w14:textFill>
        </w:rPr>
        <w:t>▲</w:t>
      </w:r>
      <w:r>
        <w:rPr>
          <w:color w:val="000000" w:themeColor="text1"/>
          <w:szCs w:val="24"/>
          <w:highlight w:val="none"/>
          <w14:textFill>
            <w14:solidFill>
              <w14:schemeClr w14:val="tx1"/>
            </w14:solidFill>
          </w14:textFill>
        </w:rPr>
        <w:t>1、</w:t>
      </w:r>
      <w:r>
        <w:rPr>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4E6ED246">
      <w:pPr>
        <w:pStyle w:val="8"/>
        <w:widowControl w:val="0"/>
        <w:numPr>
          <w:ilvl w:val="0"/>
          <w:numId w:val="0"/>
        </w:numPr>
        <w:tabs>
          <w:tab w:val="left" w:pos="0"/>
          <w:tab w:val="left" w:pos="1200"/>
          <w:tab w:val="clear" w:pos="454"/>
        </w:tabs>
        <w:snapToGrid w:val="0"/>
        <w:spacing w:afterLines="0" w:line="360" w:lineRule="auto"/>
        <w:ind w:firstLine="480" w:firstLineChars="20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0C85A8C4">
      <w:pPr>
        <w:snapToGrid w:val="0"/>
        <w:spacing w:line="360" w:lineRule="auto"/>
        <w:ind w:firstLine="480" w:firstLineChars="200"/>
        <w:jc w:val="left"/>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▲3.成交供应商的</w:t>
      </w:r>
      <w:r>
        <w:rPr>
          <w:color w:val="000000" w:themeColor="text1"/>
          <w:sz w:val="24"/>
          <w:highlight w:val="none"/>
          <w14:textFill>
            <w14:solidFill>
              <w14:schemeClr w14:val="tx1"/>
            </w14:solidFill>
          </w14:textFill>
        </w:rPr>
        <w:t>磋商响应文件</w:t>
      </w:r>
      <w:r>
        <w:rPr>
          <w:color w:val="000000" w:themeColor="text1"/>
          <w:kern w:val="0"/>
          <w:sz w:val="24"/>
          <w:highlight w:val="none"/>
          <w14:textFill>
            <w14:solidFill>
              <w14:schemeClr w14:val="tx1"/>
            </w14:solidFill>
          </w14:textFill>
        </w:rPr>
        <w:t>自磋商之日起至合同履行完毕均应保持有效。</w:t>
      </w:r>
    </w:p>
    <w:p w14:paraId="7EA818CD">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三、磋商保证金</w:t>
      </w:r>
    </w:p>
    <w:p w14:paraId="11CC7A1E">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根据《浙江省财政厅关于明确政府采购保证金管理工作的通知》文件规定，不再收取磋商保证金。</w:t>
      </w:r>
    </w:p>
    <w:p w14:paraId="6C759E4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但投标人有下列情形之一的，将视情节轻重予以处罚（处罚措施由招标人合理确定，若给招标人造成损失的，须承担所有损失赔偿，并上报采购监管机构进行处理）。</w:t>
      </w:r>
    </w:p>
    <w:p w14:paraId="7746BBCC">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（1）投标人在截止时间后至投标有效期内无故撤回投标文件或放弃中标资格的；</w:t>
      </w:r>
    </w:p>
    <w:p w14:paraId="6F9F7A6A">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（2）投标人在投标过程中弄虚作假，提供虚假材料的；</w:t>
      </w:r>
    </w:p>
    <w:p w14:paraId="542837B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（3）与采购人另行订立背离合同实质性内容的协议的；</w:t>
      </w:r>
    </w:p>
    <w:p w14:paraId="25EDF6B1">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（4）将中标项目转让或违规分包给他人；</w:t>
      </w:r>
    </w:p>
    <w:p w14:paraId="351DB945">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（5）除因不可抗力或招标文件认可的情形以外，中标供应商不与采购人签订合同或拒绝履行合同义务的；</w:t>
      </w:r>
    </w:p>
    <w:p w14:paraId="50596528">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（6）供应商与采购人、其他供应商或者采购组织机构恶意串通的；</w:t>
      </w:r>
    </w:p>
    <w:p w14:paraId="108A8840">
      <w:pPr>
        <w:tabs>
          <w:tab w:val="left" w:pos="1418"/>
        </w:tabs>
        <w:autoSpaceDE w:val="0"/>
        <w:autoSpaceDN w:val="0"/>
        <w:adjustRightInd w:val="0"/>
        <w:spacing w:line="360" w:lineRule="auto"/>
        <w:ind w:firstLine="480" w:firstLineChars="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（7）其他严重扰乱招投标程序的，法律、法规明确规定的其他行为。</w:t>
      </w:r>
    </w:p>
    <w:p w14:paraId="2D99B520">
      <w:pPr>
        <w:tabs>
          <w:tab w:val="left" w:pos="1418"/>
        </w:tabs>
        <w:autoSpaceDE w:val="0"/>
        <w:autoSpaceDN w:val="0"/>
        <w:adjustRightInd w:val="0"/>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四、磋商</w:t>
      </w:r>
    </w:p>
    <w:p w14:paraId="7CC6571A">
      <w:pPr>
        <w:autoSpaceDE w:val="0"/>
        <w:autoSpaceDN w:val="0"/>
        <w:adjustRightInd w:val="0"/>
        <w:spacing w:line="360" w:lineRule="auto"/>
        <w:ind w:firstLine="482" w:firstLineChars="200"/>
        <w:rPr>
          <w:color w:val="000000" w:themeColor="text1"/>
          <w:kern w:val="0"/>
          <w:sz w:val="24"/>
          <w:highlight w:val="none"/>
          <w14:textFill>
            <w14:solidFill>
              <w14:schemeClr w14:val="tx1"/>
            </w14:solidFill>
          </w14:textFill>
        </w:rPr>
      </w:pPr>
      <w:r>
        <w:rPr>
          <w:b/>
          <w:color w:val="000000" w:themeColor="text1"/>
          <w:sz w:val="24"/>
          <w:highlight w:val="none"/>
          <w14:textFill>
            <w14:solidFill>
              <w14:schemeClr w14:val="tx1"/>
            </w14:solidFill>
          </w14:textFill>
        </w:rPr>
        <w:t>（一）磋商程序</w:t>
      </w:r>
    </w:p>
    <w:p w14:paraId="60086F6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采购组织机构将按照磋商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3EA70FC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2、采购组织机构工作人员应当核验出席磋商活动的各相关人员身份，并组织其分别登记、签到；</w:t>
      </w:r>
    </w:p>
    <w:p w14:paraId="2A15DA3B">
      <w:pPr>
        <w:pStyle w:val="16"/>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3、主持人向各投标人发出电子加密投标文件【开始解密】通知，由投标人按招标文件规定的时间内</w:t>
      </w:r>
      <w:r>
        <w:rPr>
          <w:rFonts w:ascii="Times New Roman" w:hAnsi="Times New Roman"/>
          <w:b/>
          <w:bCs/>
          <w:color w:val="000000" w:themeColor="text1"/>
          <w:sz w:val="24"/>
          <w:highlight w:val="none"/>
          <w14:textFill>
            <w14:solidFill>
              <w14:schemeClr w14:val="tx1"/>
            </w14:solidFill>
          </w14:textFill>
        </w:rPr>
        <w:t>（30分钟内）</w:t>
      </w:r>
      <w:r>
        <w:rPr>
          <w:rFonts w:ascii="Times New Roman" w:hAnsi="Times New Roman"/>
          <w:color w:val="000000" w:themeColor="text1"/>
          <w:sz w:val="24"/>
          <w:highlight w:val="none"/>
          <w14:textFill>
            <w14:solidFill>
              <w14:schemeClr w14:val="tx1"/>
            </w14:solidFill>
          </w14:textFill>
        </w:rPr>
        <w:t>自行进行投标文件解密。投标文件的制作和解密应使用同一个数字证书，否则将可能解密失败；</w:t>
      </w:r>
    </w:p>
    <w:p w14:paraId="2361CA19">
      <w:pPr>
        <w:pStyle w:val="16"/>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4、投标文件解密结束，各投标人签署《采购活动现场确认声明书》（见附件，打印签字）后将扫描件发送至采购代理机构邮箱：3291544104@qq.com；</w:t>
      </w:r>
    </w:p>
    <w:p w14:paraId="7992F18D">
      <w:pPr>
        <w:pStyle w:val="16"/>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5、采购组织机构点击【开启标书信息】，开启标书成功后进入开标流程；</w:t>
      </w:r>
    </w:p>
    <w:p w14:paraId="1549B19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6、资格证明文件、商务技术文件评审；</w:t>
      </w:r>
    </w:p>
    <w:p w14:paraId="472E17EA">
      <w:pPr>
        <w:pStyle w:val="2"/>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6.1 资格性审查</w:t>
      </w:r>
    </w:p>
    <w:p w14:paraId="4E5838BC">
      <w:pPr>
        <w:pStyle w:val="2"/>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 xml:space="preserve"> 响应文件解密后，采购人依法对供应商的资格进行审查，对审查发现无效的进行必要的询问，在政采云平台公布无效投标的供应商名单、投标无效的原因。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7432"/>
      </w:tblGrid>
      <w:tr w14:paraId="5128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29855E23">
            <w:pPr>
              <w:spacing w:line="300" w:lineRule="auto"/>
              <w:rPr>
                <w:sz w:val="24"/>
                <w:highlight w:val="none"/>
              </w:rPr>
            </w:pPr>
            <w:r>
              <w:rPr>
                <w:sz w:val="24"/>
                <w:highlight w:val="none"/>
              </w:rPr>
              <w:t>磋商声明书</w:t>
            </w:r>
          </w:p>
        </w:tc>
        <w:tc>
          <w:tcPr>
            <w:tcW w:w="7432" w:type="dxa"/>
            <w:tcMar>
              <w:top w:w="57" w:type="dxa"/>
              <w:left w:w="108" w:type="dxa"/>
              <w:bottom w:w="0" w:type="dxa"/>
              <w:right w:w="108" w:type="dxa"/>
            </w:tcMar>
            <w:vAlign w:val="center"/>
          </w:tcPr>
          <w:p w14:paraId="7C793662">
            <w:pPr>
              <w:spacing w:line="300" w:lineRule="auto"/>
              <w:rPr>
                <w:sz w:val="24"/>
                <w:highlight w:val="none"/>
              </w:rPr>
            </w:pPr>
            <w:r>
              <w:rPr>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0C06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122C6A5D">
            <w:pPr>
              <w:spacing w:line="300" w:lineRule="auto"/>
              <w:rPr>
                <w:sz w:val="24"/>
                <w:highlight w:val="none"/>
              </w:rPr>
            </w:pPr>
            <w:r>
              <w:rPr>
                <w:sz w:val="24"/>
                <w:highlight w:val="none"/>
              </w:rPr>
              <w:t>授权委托书或法定代表人证明书</w:t>
            </w:r>
          </w:p>
        </w:tc>
        <w:tc>
          <w:tcPr>
            <w:tcW w:w="7432" w:type="dxa"/>
            <w:tcMar>
              <w:top w:w="57" w:type="dxa"/>
              <w:left w:w="108" w:type="dxa"/>
              <w:bottom w:w="0" w:type="dxa"/>
              <w:right w:w="108" w:type="dxa"/>
            </w:tcMar>
            <w:vAlign w:val="center"/>
          </w:tcPr>
          <w:p w14:paraId="4CF91E24">
            <w:pPr>
              <w:spacing w:line="300" w:lineRule="auto"/>
              <w:rPr>
                <w:sz w:val="24"/>
                <w:highlight w:val="none"/>
              </w:rPr>
            </w:pPr>
            <w:r>
              <w:rPr>
                <w:color w:val="000000"/>
                <w:sz w:val="24"/>
                <w:highlight w:val="none"/>
              </w:rPr>
              <w:t>【法定代表人授权书】签字的有效授权书，法人参加的提供</w:t>
            </w:r>
            <w:r>
              <w:rPr>
                <w:sz w:val="24"/>
                <w:highlight w:val="none"/>
              </w:rPr>
              <w:t>法定代表人证明书</w:t>
            </w:r>
            <w:r>
              <w:rPr>
                <w:color w:val="000000"/>
                <w:sz w:val="24"/>
                <w:highlight w:val="none"/>
              </w:rPr>
              <w:t>（附件3）</w:t>
            </w:r>
          </w:p>
        </w:tc>
      </w:tr>
      <w:tr w14:paraId="51E9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5D0F9DD">
            <w:pPr>
              <w:spacing w:line="300" w:lineRule="auto"/>
              <w:rPr>
                <w:sz w:val="24"/>
                <w:highlight w:val="none"/>
              </w:rPr>
            </w:pPr>
            <w:r>
              <w:rPr>
                <w:sz w:val="24"/>
                <w:highlight w:val="none"/>
              </w:rPr>
              <w:t>具有独立承担民事责任的能力</w:t>
            </w:r>
          </w:p>
        </w:tc>
        <w:tc>
          <w:tcPr>
            <w:tcW w:w="7432" w:type="dxa"/>
            <w:tcMar>
              <w:top w:w="57" w:type="dxa"/>
              <w:left w:w="108" w:type="dxa"/>
              <w:bottom w:w="0" w:type="dxa"/>
              <w:right w:w="108" w:type="dxa"/>
            </w:tcMar>
            <w:vAlign w:val="center"/>
          </w:tcPr>
          <w:p w14:paraId="1D0E8AA6">
            <w:pPr>
              <w:spacing w:line="300" w:lineRule="auto"/>
              <w:rPr>
                <w:sz w:val="24"/>
                <w:highlight w:val="none"/>
              </w:rPr>
            </w:pPr>
            <w:r>
              <w:rPr>
                <w:sz w:val="24"/>
                <w:highlight w:val="none"/>
              </w:rPr>
              <w:t>在中华人民共和国境内注册的法人或其他组织或自然人，投标时提交有效的营业执照（或事业法人登记证或身份证等相关证明）扫描件。</w:t>
            </w:r>
          </w:p>
        </w:tc>
      </w:tr>
      <w:tr w14:paraId="14FD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0FF7D3EC">
            <w:pPr>
              <w:spacing w:line="300" w:lineRule="auto"/>
              <w:rPr>
                <w:sz w:val="24"/>
                <w:highlight w:val="none"/>
              </w:rPr>
            </w:pPr>
          </w:p>
          <w:p w14:paraId="3189CD1E">
            <w:pPr>
              <w:spacing w:line="300" w:lineRule="auto"/>
              <w:rPr>
                <w:sz w:val="24"/>
                <w:highlight w:val="none"/>
              </w:rPr>
            </w:pPr>
            <w:r>
              <w:rPr>
                <w:sz w:val="24"/>
                <w:highlight w:val="none"/>
              </w:rPr>
              <w:t xml:space="preserve">信誉、财务、税收、社会保障 </w:t>
            </w:r>
          </w:p>
        </w:tc>
        <w:tc>
          <w:tcPr>
            <w:tcW w:w="7432" w:type="dxa"/>
            <w:tcMar>
              <w:top w:w="57" w:type="dxa"/>
              <w:left w:w="108" w:type="dxa"/>
              <w:bottom w:w="0" w:type="dxa"/>
              <w:right w:w="108" w:type="dxa"/>
            </w:tcMar>
            <w:vAlign w:val="center"/>
          </w:tcPr>
          <w:p w14:paraId="0E8EBD36">
            <w:pPr>
              <w:spacing w:line="300" w:lineRule="auto"/>
              <w:rPr>
                <w:sz w:val="24"/>
                <w:highlight w:val="none"/>
              </w:rPr>
            </w:pPr>
            <w:r>
              <w:rPr>
                <w:sz w:val="24"/>
                <w:highlight w:val="none"/>
              </w:rPr>
              <w:t>符合参与政府采购活动的资格条件，提供具有良好的商业信誉和健全的财务会计制度的承诺函；并且提供没有供税收缴纳、社会保障等方面的失信记录的承诺函</w:t>
            </w:r>
          </w:p>
        </w:tc>
      </w:tr>
      <w:tr w14:paraId="792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5A756D3A">
            <w:pPr>
              <w:spacing w:line="300" w:lineRule="auto"/>
              <w:rPr>
                <w:sz w:val="24"/>
                <w:highlight w:val="none"/>
              </w:rPr>
            </w:pPr>
            <w:r>
              <w:rPr>
                <w:sz w:val="24"/>
                <w:highlight w:val="none"/>
              </w:rPr>
              <w:t>信用记录</w:t>
            </w:r>
          </w:p>
        </w:tc>
        <w:tc>
          <w:tcPr>
            <w:tcW w:w="7432" w:type="dxa"/>
            <w:tcMar>
              <w:top w:w="57" w:type="dxa"/>
              <w:left w:w="108" w:type="dxa"/>
              <w:bottom w:w="0" w:type="dxa"/>
              <w:right w:w="108" w:type="dxa"/>
            </w:tcMar>
            <w:vAlign w:val="center"/>
          </w:tcPr>
          <w:p w14:paraId="65EC24BB">
            <w:pPr>
              <w:spacing w:line="300" w:lineRule="auto"/>
              <w:rPr>
                <w:sz w:val="24"/>
                <w:highlight w:val="none"/>
              </w:rPr>
            </w:pPr>
            <w:r>
              <w:rPr>
                <w:sz w:val="24"/>
                <w:highlight w:val="none"/>
              </w:rPr>
              <w:t>1.截止时点：开标后评标前</w:t>
            </w:r>
          </w:p>
          <w:p w14:paraId="2F4A11E5">
            <w:pPr>
              <w:spacing w:line="300" w:lineRule="auto"/>
              <w:rPr>
                <w:sz w:val="24"/>
                <w:highlight w:val="none"/>
              </w:rPr>
            </w:pPr>
            <w:r>
              <w:rPr>
                <w:sz w:val="24"/>
                <w:highlight w:val="none"/>
              </w:rPr>
              <w:t>2.信用信息查询记录和证据留存的具体方式：由采购组织机构在规定查询时间内打印信用信息查询记录并归入项目档案。</w:t>
            </w:r>
          </w:p>
          <w:p w14:paraId="479D509D">
            <w:pPr>
              <w:spacing w:line="300" w:lineRule="auto"/>
              <w:rPr>
                <w:sz w:val="24"/>
                <w:highlight w:val="none"/>
              </w:rPr>
            </w:pPr>
            <w:r>
              <w:rPr>
                <w:sz w:val="24"/>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7120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B199FFA">
            <w:pPr>
              <w:spacing w:line="240" w:lineRule="auto"/>
              <w:rPr>
                <w:sz w:val="24"/>
                <w:highlight w:val="none"/>
              </w:rPr>
            </w:pPr>
            <w:r>
              <w:rPr>
                <w:sz w:val="24"/>
                <w:highlight w:val="none"/>
              </w:rPr>
              <w:t>专业能力</w:t>
            </w:r>
          </w:p>
          <w:p w14:paraId="511B2FD5">
            <w:pPr>
              <w:spacing w:line="240" w:lineRule="auto"/>
              <w:rPr>
                <w:sz w:val="24"/>
                <w:highlight w:val="none"/>
              </w:rPr>
            </w:pPr>
            <w:r>
              <w:rPr>
                <w:sz w:val="24"/>
                <w:highlight w:val="none"/>
              </w:rPr>
              <w:t>承诺函</w:t>
            </w:r>
          </w:p>
        </w:tc>
        <w:tc>
          <w:tcPr>
            <w:tcW w:w="7432" w:type="dxa"/>
            <w:tcMar>
              <w:top w:w="57" w:type="dxa"/>
              <w:left w:w="108" w:type="dxa"/>
              <w:bottom w:w="0" w:type="dxa"/>
              <w:right w:w="108" w:type="dxa"/>
            </w:tcMar>
            <w:vAlign w:val="center"/>
          </w:tcPr>
          <w:p w14:paraId="1B06DB84">
            <w:pPr>
              <w:spacing w:line="300" w:lineRule="auto"/>
              <w:rPr>
                <w:sz w:val="24"/>
                <w:highlight w:val="none"/>
              </w:rPr>
            </w:pPr>
            <w:r>
              <w:rPr>
                <w:sz w:val="24"/>
                <w:highlight w:val="none"/>
              </w:rPr>
              <w:t>具备履行合同所必需的设备和专业技术能力的承诺函</w:t>
            </w:r>
          </w:p>
        </w:tc>
      </w:tr>
      <w:tr w14:paraId="7768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79B7DC07">
            <w:pPr>
              <w:spacing w:line="300" w:lineRule="auto"/>
              <w:rPr>
                <w:sz w:val="24"/>
                <w:highlight w:val="none"/>
              </w:rPr>
            </w:pPr>
            <w:r>
              <w:rPr>
                <w:sz w:val="24"/>
                <w:highlight w:val="none"/>
              </w:rPr>
              <w:t>中小企业声明函</w:t>
            </w:r>
          </w:p>
        </w:tc>
        <w:tc>
          <w:tcPr>
            <w:tcW w:w="7432" w:type="dxa"/>
            <w:tcMar>
              <w:top w:w="57" w:type="dxa"/>
              <w:left w:w="108" w:type="dxa"/>
              <w:bottom w:w="0" w:type="dxa"/>
              <w:right w:w="108" w:type="dxa"/>
            </w:tcMar>
            <w:vAlign w:val="center"/>
          </w:tcPr>
          <w:p w14:paraId="1D80FDB1">
            <w:pPr>
              <w:snapToGrid w:val="0"/>
              <w:spacing w:line="300" w:lineRule="auto"/>
              <w:rPr>
                <w:sz w:val="24"/>
                <w:highlight w:val="none"/>
              </w:rPr>
            </w:pPr>
            <w:r>
              <w:rPr>
                <w:sz w:val="24"/>
                <w:highlight w:val="none"/>
              </w:rPr>
              <w:t>供应商的《中小企业声明函》(格式见附件14)。</w:t>
            </w:r>
          </w:p>
          <w:p w14:paraId="78914098">
            <w:pPr>
              <w:snapToGrid w:val="0"/>
              <w:spacing w:line="300" w:lineRule="auto"/>
              <w:rPr>
                <w:sz w:val="24"/>
                <w:highlight w:val="none"/>
              </w:rPr>
            </w:pPr>
            <w:r>
              <w:rPr>
                <w:sz w:val="24"/>
                <w:highlight w:val="none"/>
              </w:rPr>
              <w:t>监狱企业、残疾人福利性单位视同中小型企业，若为残疾人福利性单位请提供残疾人福利性单位声明函（格式见附件14）；若为监狱企业，请提供省级以上监狱管理局、戒毒管理局（含新疆生产建设兵团）开具的属于监狱企业的证明文件（格式见附件14）。</w:t>
            </w:r>
          </w:p>
        </w:tc>
      </w:tr>
      <w:tr w14:paraId="2641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14:paraId="6D67669A">
            <w:pPr>
              <w:spacing w:line="300" w:lineRule="auto"/>
              <w:rPr>
                <w:sz w:val="24"/>
                <w:highlight w:val="none"/>
              </w:rPr>
            </w:pPr>
            <w:r>
              <w:rPr>
                <w:sz w:val="24"/>
                <w:highlight w:val="none"/>
              </w:rPr>
              <w:t>特定资格要求</w:t>
            </w:r>
          </w:p>
        </w:tc>
        <w:tc>
          <w:tcPr>
            <w:tcW w:w="7432" w:type="dxa"/>
            <w:tcMar>
              <w:top w:w="57" w:type="dxa"/>
              <w:left w:w="108" w:type="dxa"/>
              <w:bottom w:w="0" w:type="dxa"/>
              <w:right w:w="108" w:type="dxa"/>
            </w:tcMar>
            <w:vAlign w:val="center"/>
          </w:tcPr>
          <w:p w14:paraId="32D81244">
            <w:pPr>
              <w:snapToGrid w:val="0"/>
              <w:spacing w:line="300" w:lineRule="auto"/>
              <w:rPr>
                <w:sz w:val="24"/>
                <w:highlight w:val="none"/>
              </w:rPr>
            </w:pPr>
            <w:r>
              <w:rPr>
                <w:sz w:val="24"/>
                <w:highlight w:val="none"/>
              </w:rPr>
              <w:t>提供符合本项目特定条件要求的有效资质证书（如有要求的，必须提供）。</w:t>
            </w:r>
          </w:p>
        </w:tc>
      </w:tr>
    </w:tbl>
    <w:p w14:paraId="38CA99C3">
      <w:pPr>
        <w:pStyle w:val="2"/>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6.2 符合性审查</w:t>
      </w:r>
    </w:p>
    <w:p w14:paraId="4F79953F">
      <w:pPr>
        <w:pStyle w:val="2"/>
        <w:ind w:firstLine="720" w:firstLineChars="30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磋商小组应当对符合资格的供应商的磋商响应文件进行符合性审查，以确定其是否满足磋商文件的实质性要求，对审查发现无效的进行必要的询问，在政采云平台公布无效投标的供应商名单、投标无效的原因。</w:t>
      </w:r>
    </w:p>
    <w:tbl>
      <w:tblPr>
        <w:tblStyle w:val="29"/>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1FA2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578" w:type="dxa"/>
            <w:tcMar>
              <w:top w:w="57" w:type="dxa"/>
              <w:left w:w="108" w:type="dxa"/>
              <w:bottom w:w="0" w:type="dxa"/>
              <w:right w:w="108" w:type="dxa"/>
            </w:tcMar>
            <w:vAlign w:val="center"/>
          </w:tcPr>
          <w:p w14:paraId="065F6FB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磋商响应文件</w:t>
            </w:r>
          </w:p>
        </w:tc>
        <w:tc>
          <w:tcPr>
            <w:tcW w:w="6708" w:type="dxa"/>
            <w:tcMar>
              <w:top w:w="57" w:type="dxa"/>
              <w:left w:w="108" w:type="dxa"/>
              <w:bottom w:w="0" w:type="dxa"/>
              <w:right w:w="108" w:type="dxa"/>
            </w:tcMar>
            <w:vAlign w:val="center"/>
          </w:tcPr>
          <w:p w14:paraId="164CE964">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磋商响应文件内容基本完整，无重大错漏，并按要求签署、盖章。</w:t>
            </w:r>
          </w:p>
        </w:tc>
      </w:tr>
      <w:tr w14:paraId="77D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2578" w:type="dxa"/>
            <w:tcMar>
              <w:top w:w="57" w:type="dxa"/>
              <w:left w:w="108" w:type="dxa"/>
              <w:bottom w:w="0" w:type="dxa"/>
              <w:right w:w="108" w:type="dxa"/>
            </w:tcMar>
            <w:vAlign w:val="center"/>
          </w:tcPr>
          <w:p w14:paraId="334E40FB">
            <w:pPr>
              <w:spacing w:line="300" w:lineRule="auto"/>
              <w:rPr>
                <w:sz w:val="24"/>
                <w:highlight w:val="none"/>
              </w:rPr>
            </w:pPr>
            <w:r>
              <w:rPr>
                <w:sz w:val="24"/>
                <w:highlight w:val="none"/>
              </w:rPr>
              <w:t>必须符合法律、行政法规规定的其他条件</w:t>
            </w:r>
          </w:p>
        </w:tc>
        <w:tc>
          <w:tcPr>
            <w:tcW w:w="6708" w:type="dxa"/>
            <w:tcMar>
              <w:top w:w="57" w:type="dxa"/>
              <w:left w:w="108" w:type="dxa"/>
              <w:bottom w:w="0" w:type="dxa"/>
              <w:right w:w="108" w:type="dxa"/>
            </w:tcMar>
            <w:vAlign w:val="center"/>
          </w:tcPr>
          <w:p w14:paraId="5C1FAE1B">
            <w:pPr>
              <w:spacing w:line="300" w:lineRule="auto"/>
              <w:rPr>
                <w:sz w:val="24"/>
                <w:highlight w:val="none"/>
              </w:rPr>
            </w:pPr>
            <w:r>
              <w:rPr>
                <w:sz w:val="24"/>
                <w:highlight w:val="none"/>
              </w:rPr>
              <w:t>1.单位负责人为同一人或者存在直接控股、管理关系的不同供应商，不得同时参加本项目投标。（附件4）</w:t>
            </w:r>
          </w:p>
          <w:p w14:paraId="4667223E">
            <w:pPr>
              <w:spacing w:line="300" w:lineRule="auto"/>
              <w:rPr>
                <w:sz w:val="24"/>
                <w:highlight w:val="none"/>
              </w:rPr>
            </w:pPr>
            <w:r>
              <w:rPr>
                <w:sz w:val="24"/>
                <w:highlight w:val="none"/>
              </w:rPr>
              <w:t>2.为本项目提供整体设计、规范编制或者项目管理、监理、检测等服务的供应商，不得再参与本项目投标。</w:t>
            </w:r>
          </w:p>
          <w:p w14:paraId="7D997598">
            <w:pPr>
              <w:spacing w:line="300" w:lineRule="auto"/>
              <w:rPr>
                <w:sz w:val="24"/>
                <w:highlight w:val="none"/>
              </w:rPr>
            </w:pPr>
            <w:r>
              <w:rPr>
                <w:sz w:val="24"/>
                <w:highlight w:val="none"/>
              </w:rPr>
              <w:t>3. 电子交易平台运营机构，以及与该机构有直接控股或者管理关系可能影响采购公正性的任何单位和个人，不得在该平台进行的政府采购项目电子交易中投标、响应和代理政府采购项目。</w:t>
            </w:r>
          </w:p>
          <w:p w14:paraId="03413698">
            <w:pPr>
              <w:spacing w:line="300" w:lineRule="auto"/>
              <w:rPr>
                <w:sz w:val="24"/>
                <w:highlight w:val="none"/>
              </w:rPr>
            </w:pPr>
            <w:r>
              <w:rPr>
                <w:sz w:val="24"/>
                <w:highlight w:val="none"/>
              </w:rPr>
              <w:t>4.投标（报价）文件相关承诺要求内容。</w:t>
            </w:r>
          </w:p>
        </w:tc>
      </w:tr>
      <w:tr w14:paraId="4D7D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35AE9391">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“▲”实质性条款</w:t>
            </w:r>
          </w:p>
        </w:tc>
        <w:tc>
          <w:tcPr>
            <w:tcW w:w="6708" w:type="dxa"/>
            <w:tcMar>
              <w:top w:w="57" w:type="dxa"/>
              <w:left w:w="108" w:type="dxa"/>
              <w:bottom w:w="0" w:type="dxa"/>
              <w:right w:w="108" w:type="dxa"/>
            </w:tcMar>
            <w:vAlign w:val="center"/>
          </w:tcPr>
          <w:p w14:paraId="055FF66C">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“▲”实质性条款必须满足磋商文件要求。</w:t>
            </w:r>
          </w:p>
        </w:tc>
      </w:tr>
      <w:tr w14:paraId="71A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5BA95AF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串通投标</w:t>
            </w:r>
          </w:p>
        </w:tc>
        <w:tc>
          <w:tcPr>
            <w:tcW w:w="6708" w:type="dxa"/>
            <w:tcMar>
              <w:top w:w="57" w:type="dxa"/>
              <w:left w:w="108" w:type="dxa"/>
              <w:bottom w:w="0" w:type="dxa"/>
              <w:right w:w="108" w:type="dxa"/>
            </w:tcMar>
            <w:vAlign w:val="center"/>
          </w:tcPr>
          <w:p w14:paraId="0B12F765">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未出现财政部87号令《政府采购货物和服务招标投标管理办法》第三十七条规定的串通投标情形。</w:t>
            </w:r>
          </w:p>
        </w:tc>
      </w:tr>
      <w:tr w14:paraId="5F49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07AF893">
            <w:pPr>
              <w:pStyle w:val="91"/>
              <w:spacing w:line="300" w:lineRule="auto"/>
              <w:ind w:right="146"/>
              <w:rPr>
                <w:rFonts w:ascii="Times New Roman" w:hAnsi="Times New Roman" w:cs="Times New Roman"/>
                <w:sz w:val="24"/>
                <w:highlight w:val="none"/>
              </w:rPr>
            </w:pPr>
            <w:r>
              <w:rPr>
                <w:rFonts w:ascii="Times New Roman" w:hAnsi="Times New Roman" w:cs="Times New Roman"/>
                <w:sz w:val="24"/>
                <w:highlight w:val="none"/>
              </w:rPr>
              <w:t>附加条件</w:t>
            </w:r>
          </w:p>
        </w:tc>
        <w:tc>
          <w:tcPr>
            <w:tcW w:w="6708" w:type="dxa"/>
            <w:tcMar>
              <w:top w:w="57" w:type="dxa"/>
              <w:left w:w="108" w:type="dxa"/>
              <w:bottom w:w="0" w:type="dxa"/>
              <w:right w:w="108" w:type="dxa"/>
            </w:tcMar>
            <w:vAlign w:val="center"/>
          </w:tcPr>
          <w:p w14:paraId="589ECDC8">
            <w:pPr>
              <w:pStyle w:val="91"/>
              <w:spacing w:line="300" w:lineRule="auto"/>
              <w:rPr>
                <w:rFonts w:ascii="Times New Roman" w:hAnsi="Times New Roman" w:cs="Times New Roman"/>
                <w:sz w:val="24"/>
                <w:highlight w:val="none"/>
              </w:rPr>
            </w:pPr>
            <w:r>
              <w:rPr>
                <w:rFonts w:ascii="Times New Roman" w:hAnsi="Times New Roman" w:cs="Times New Roman"/>
                <w:sz w:val="24"/>
                <w:highlight w:val="none"/>
              </w:rPr>
              <w:t>响应文件未含有采购人不可接受的附加条件。</w:t>
            </w:r>
          </w:p>
        </w:tc>
      </w:tr>
    </w:tbl>
    <w:p w14:paraId="1C631BF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sz w:val="24"/>
          <w:highlight w:val="none"/>
        </w:rPr>
        <w:t>磋商小组为3人。磋商小组</w:t>
      </w:r>
      <w:r>
        <w:rPr>
          <w:color w:val="000000" w:themeColor="text1"/>
          <w:sz w:val="24"/>
          <w:highlight w:val="none"/>
          <w14:textFill>
            <w14:solidFill>
              <w14:schemeClr w14:val="tx1"/>
            </w14:solidFill>
          </w14:textFill>
        </w:rPr>
        <w:t>必须按照客观、公正、审慎的原则，根据磋商文件规定的评审程序、评审方法和评审标准进行独立评审。未实质性响应磋商文件的响应文件按无效响应处理，评标委员会应当告知提交响应文件的供应商；</w:t>
      </w:r>
    </w:p>
    <w:p w14:paraId="2134D43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r>
        <w:rPr>
          <w:sz w:val="24"/>
          <w:highlight w:val="none"/>
        </w:rPr>
        <w:t>本次磋商为一轮磋商。磋</w:t>
      </w:r>
      <w:r>
        <w:rPr>
          <w:color w:val="000000" w:themeColor="text1"/>
          <w:sz w:val="24"/>
          <w:highlight w:val="none"/>
          <w14:textFill>
            <w14:solidFill>
              <w14:schemeClr w14:val="tx1"/>
            </w14:solidFill>
          </w14:textFill>
        </w:rPr>
        <w:t>商小组所有成员集中与单一供应商分别进行磋商，并给予所有参加磋商的供应商平等的磋商机会；</w:t>
      </w:r>
    </w:p>
    <w:p w14:paraId="02BDCA4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评标委员会应当及时以书面形式同时通知所有参加磋商的供应商。供应商应当按照磋商文件的变动情况和评标委员会的要求重新提交响应文件，并由其法定代表人或授权代表签字或者加盖公章；</w:t>
      </w:r>
    </w:p>
    <w:p w14:paraId="4606A5A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10、磋商文件能够详细列明采购标的的技术、服务要求的，磋商结束后，评标委员会将要求所有实质性响应的供应商在规定时间内提交最后报价，最后报价是供应商响应文件的有效组成部分；</w:t>
      </w:r>
    </w:p>
    <w:p w14:paraId="080E65B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11、经磋商确定最终采购需求和提交最后报价的供应商后，由磋商小组采用综合评分法对提交最后报价的供应商的响应文件和最后报价进行综合评分；</w:t>
      </w:r>
    </w:p>
    <w:p w14:paraId="2B611119">
      <w:pPr>
        <w:pStyle w:val="16"/>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12、磋商小组根据综合评分情况，按照评审得分由高到低顺序确定预成交供应商，编写评审报告；</w:t>
      </w:r>
    </w:p>
    <w:p w14:paraId="45D9A9F9">
      <w:pPr>
        <w:pStyle w:val="16"/>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13、主持人宣布磋商结果（含技术得分、最后报价、报价得分及总得分），磋商采购会议结束。</w:t>
      </w:r>
    </w:p>
    <w:p w14:paraId="4A5A90A5">
      <w:pPr>
        <w:pStyle w:val="16"/>
        <w:spacing w:line="312" w:lineRule="auto"/>
        <w:ind w:firstLine="482" w:firstLineChars="200"/>
        <w:outlineLvl w:val="1"/>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特别说明：如政府采购云平台如对电子化开标及评审程序有调整的，按调整后的程序操作。</w:t>
      </w:r>
    </w:p>
    <w:p w14:paraId="0F6BE5F5">
      <w:pPr>
        <w:pStyle w:val="16"/>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（二）澄清问题的形式</w:t>
      </w:r>
    </w:p>
    <w:p w14:paraId="39619D94">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磋商供应商的澄清、说明或者补正应当采用线上形式或期限内书面形式递交，并加盖公章，或者由法定代理人或其授权的代表签字，并不得超出磋商响应文件的范围或者改变磋商响应文件的实质性内容。</w:t>
      </w:r>
    </w:p>
    <w:p w14:paraId="70E70BBB">
      <w:pPr>
        <w:snapToGrid w:val="0"/>
        <w:spacing w:line="360" w:lineRule="auto"/>
        <w:ind w:firstLine="482" w:firstLineChars="200"/>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（三）错误修正</w:t>
      </w:r>
    </w:p>
    <w:p w14:paraId="6ABA0462">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磋商响应文件报价出现前后不一致的，除</w:t>
      </w:r>
      <w:r>
        <w:rPr>
          <w:rFonts w:ascii="Times New Roman" w:hAnsi="Times New Roman"/>
          <w:bCs/>
          <w:color w:val="000000" w:themeColor="text1"/>
          <w:highlight w:val="none"/>
          <w14:textFill>
            <w14:solidFill>
              <w14:schemeClr w14:val="tx1"/>
            </w14:solidFill>
          </w14:textFill>
        </w:rPr>
        <w:t>磋商采购文件</w:t>
      </w:r>
      <w:r>
        <w:rPr>
          <w:rFonts w:ascii="Times New Roman" w:hAnsi="Times New Roman"/>
          <w:color w:val="000000" w:themeColor="text1"/>
          <w:highlight w:val="none"/>
          <w14:textFill>
            <w14:solidFill>
              <w14:schemeClr w14:val="tx1"/>
            </w14:solidFill>
          </w14:textFill>
        </w:rPr>
        <w:t>另有规定外，按照下列规定修正：</w:t>
      </w:r>
    </w:p>
    <w:p w14:paraId="7D4722C0">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1、磋商响应文件中首次报价一览表内容与磋商响应文件中相应内容不一致的，以首次报价一览表为准；</w:t>
      </w:r>
    </w:p>
    <w:p w14:paraId="2D0D2952">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2、大写金额和小写金额不一致的，以大写金额为准；</w:t>
      </w:r>
    </w:p>
    <w:p w14:paraId="6CF6F525">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3、单价金额小数点或者百分比有明显错位的，以首次报价一览表的总价为准，并修改单价；</w:t>
      </w:r>
    </w:p>
    <w:p w14:paraId="59277BC9">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4、总价金额与按单价汇总金额不一致的，以单价金额计算结果为准。</w:t>
      </w:r>
    </w:p>
    <w:p w14:paraId="5AC4A4DC">
      <w:pPr>
        <w:pStyle w:val="25"/>
        <w:spacing w:before="0" w:beforeAutospacing="0" w:after="0" w:afterAutospacing="0" w:line="360" w:lineRule="auto"/>
        <w:ind w:firstLine="482"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的，将终止磋商。</w:t>
      </w:r>
    </w:p>
    <w:p w14:paraId="44F579C4">
      <w:pPr>
        <w:pStyle w:val="25"/>
        <w:spacing w:before="0" w:beforeAutospacing="0" w:after="0" w:afterAutospacing="0" w:line="360" w:lineRule="auto"/>
        <w:ind w:firstLine="482" w:firstLineChars="200"/>
        <w:rPr>
          <w:rFonts w:ascii="Times New Roman" w:hAnsi="Times New Roman"/>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ascii="Times New Roman" w:hAnsi="Times New Roman"/>
          <w:b/>
          <w:bCs/>
          <w:color w:val="000000" w:themeColor="text1"/>
          <w:highlight w:val="none"/>
          <w14:textFill>
            <w14:solidFill>
              <w14:schemeClr w14:val="tx1"/>
            </w14:solidFill>
          </w14:textFill>
        </w:rPr>
        <w:t>（四）</w:t>
      </w:r>
      <w:r>
        <w:rPr>
          <w:rFonts w:ascii="Times New Roman" w:hAnsi="Times New Roman"/>
          <w:b/>
          <w:color w:val="000000" w:themeColor="text1"/>
          <w:highlight w:val="none"/>
          <w14:textFill>
            <w14:solidFill>
              <w14:schemeClr w14:val="tx1"/>
            </w14:solidFill>
          </w14:textFill>
        </w:rPr>
        <w:t>磋商供应商存在下列情况之一的，响应无效，终止磋商</w:t>
      </w:r>
    </w:p>
    <w:p w14:paraId="184D38FC">
      <w:pPr>
        <w:adjustRightInd w:val="0"/>
        <w:snapToGrid w:val="0"/>
        <w:spacing w:line="360" w:lineRule="auto"/>
        <w:ind w:firstLine="480" w:firstLineChars="200"/>
        <w:jc w:val="left"/>
        <w:rPr>
          <w:b/>
          <w:bCs/>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1、磋商响应文件中的报价服务跟商务与技术内容中的供应服务出现重大偏差的；</w:t>
      </w:r>
    </w:p>
    <w:p w14:paraId="658FDAC9">
      <w:pPr>
        <w:pStyle w:val="25"/>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2、不具备磋商采购文件中规定的资格要求的。</w:t>
      </w:r>
    </w:p>
    <w:p w14:paraId="5AC9368C">
      <w:pPr>
        <w:pStyle w:val="25"/>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3、磋商响应文件含有采购人不能接受的附加条件的。</w:t>
      </w:r>
    </w:p>
    <w:p w14:paraId="743E776B">
      <w:pPr>
        <w:autoSpaceDE w:val="0"/>
        <w:autoSpaceDN w:val="0"/>
        <w:adjustRightInd w:val="0"/>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、供应商代表人未能出具身份证明或与法定代表人授权委托人身份不符的</w:t>
      </w:r>
      <w:r>
        <w:rPr>
          <w:color w:val="000000" w:themeColor="text1"/>
          <w:kern w:val="0"/>
          <w:sz w:val="24"/>
          <w:highlight w:val="none"/>
          <w14:textFill>
            <w14:solidFill>
              <w14:schemeClr w14:val="tx1"/>
            </w14:solidFill>
          </w14:textFill>
        </w:rPr>
        <w:t>（受疫情影响，投标人的授权委托代理人无须现场参加开标）；</w:t>
      </w:r>
    </w:p>
    <w:p w14:paraId="1B78268E">
      <w:pPr>
        <w:pStyle w:val="25"/>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5、仅提交“备份投标文件”的；</w:t>
      </w:r>
    </w:p>
    <w:p w14:paraId="6B6BD19A">
      <w:pPr>
        <w:pStyle w:val="25"/>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6、电子投标文件解密失败的，且未在规定时间内提交备份投标文件的；</w:t>
      </w:r>
    </w:p>
    <w:p w14:paraId="2254EDBE">
      <w:pPr>
        <w:pStyle w:val="25"/>
        <w:tabs>
          <w:tab w:val="left" w:pos="7380"/>
        </w:tabs>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7、电子投标文件未按规定要求提供电子签章的；</w:t>
      </w:r>
    </w:p>
    <w:p w14:paraId="2F3161F9">
      <w:pPr>
        <w:pStyle w:val="25"/>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8、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与其终止磋商。</w:t>
      </w:r>
    </w:p>
    <w:p w14:paraId="14886008">
      <w:pPr>
        <w:pStyle w:val="25"/>
        <w:adjustRightInd w:val="0"/>
        <w:snapToGrid w:val="0"/>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9、报价超过磋商采购文件中规定的预算金额/最高限价。</w:t>
      </w:r>
    </w:p>
    <w:p w14:paraId="4ED8CCD3">
      <w:pPr>
        <w:tabs>
          <w:tab w:val="left" w:pos="1898"/>
        </w:tabs>
        <w:autoSpaceDE w:val="0"/>
        <w:autoSpaceDN w:val="0"/>
        <w:adjustRightInd w:val="0"/>
        <w:snapToGri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10、磋商响应文件提供虚假材料的。</w:t>
      </w:r>
    </w:p>
    <w:p w14:paraId="6E36A426">
      <w:pPr>
        <w:tabs>
          <w:tab w:val="left" w:pos="1898"/>
        </w:tabs>
        <w:autoSpaceDE w:val="0"/>
        <w:autoSpaceDN w:val="0"/>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11、</w:t>
      </w:r>
      <w:r>
        <w:rPr>
          <w:color w:val="000000" w:themeColor="text1"/>
          <w:sz w:val="24"/>
          <w:highlight w:val="none"/>
          <w14:textFill>
            <w14:solidFill>
              <w14:schemeClr w14:val="tx1"/>
            </w14:solidFill>
          </w14:textFill>
        </w:rPr>
        <w:t>不同供应商的磋商响应文件由同一单位或者个人编制；</w:t>
      </w:r>
    </w:p>
    <w:p w14:paraId="41443C6B">
      <w:pPr>
        <w:pStyle w:val="25"/>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12、不同供应商委托同一单位或者个人办理磋商事宜；</w:t>
      </w:r>
    </w:p>
    <w:p w14:paraId="71CE9D06">
      <w:pPr>
        <w:pStyle w:val="25"/>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13、不同供应商的磋商响应文件载明的项目管理成员或者联系人员为同一人；</w:t>
      </w:r>
    </w:p>
    <w:p w14:paraId="1E6AEC50">
      <w:pPr>
        <w:pStyle w:val="25"/>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14、不同供应商的磋商响应文件异常一致或者报价呈规律性差异；</w:t>
      </w:r>
    </w:p>
    <w:p w14:paraId="06F879BB">
      <w:pPr>
        <w:pStyle w:val="25"/>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15、不同供应商的磋商响应文件相互混装；</w:t>
      </w:r>
    </w:p>
    <w:p w14:paraId="0562A50C">
      <w:pPr>
        <w:autoSpaceDE w:val="0"/>
        <w:autoSpaceDN w:val="0"/>
        <w:adjustRightIn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16、不符合法律、法规和磋商采购文件中规定的其他实质性要求的（磋商采购文件中打“▲”内容及被拒绝的条款）。</w:t>
      </w:r>
    </w:p>
    <w:p w14:paraId="346273FC">
      <w:pPr>
        <w:autoSpaceDE w:val="0"/>
        <w:autoSpaceDN w:val="0"/>
        <w:adjustRightInd w:val="0"/>
        <w:spacing w:line="360" w:lineRule="auto"/>
        <w:ind w:firstLine="422" w:firstLineChars="200"/>
        <w:jc w:val="left"/>
        <w:rPr>
          <w:color w:val="000000" w:themeColor="text1"/>
          <w:kern w:val="0"/>
          <w:sz w:val="24"/>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b/>
          <w:color w:val="000000" w:themeColor="text1"/>
          <w:kern w:val="0"/>
          <w:sz w:val="24"/>
          <w:highlight w:val="none"/>
          <w14:textFill>
            <w14:solidFill>
              <w14:schemeClr w14:val="tx1"/>
            </w14:solidFill>
          </w14:textFill>
        </w:rPr>
        <w:t>（五）有下列情况之一的，本次磋商终止。</w:t>
      </w:r>
    </w:p>
    <w:p w14:paraId="40084DFC">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1、出现影响采购公正的违法、违规行为的；</w:t>
      </w:r>
    </w:p>
    <w:p w14:paraId="19A4824F">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2、评标委员会发现磋商文件存在歧义、重大缺陷导致评审工作无法进行，或者磋商文件内容违反国家有关强制性规定的；</w:t>
      </w:r>
    </w:p>
    <w:p w14:paraId="5727C84C">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3、因重大变故，采购任务取消的；</w:t>
      </w:r>
    </w:p>
    <w:p w14:paraId="2C3BDCE8">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4、法律、法规和磋商文件规定的其他导致评审结果无效的。</w:t>
      </w:r>
    </w:p>
    <w:p w14:paraId="0F968D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82" w:firstLineChars="200"/>
        <w:jc w:val="left"/>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（六）磋商原则和方法</w:t>
      </w:r>
    </w:p>
    <w:p w14:paraId="1DB373A2">
      <w:pPr>
        <w:pStyle w:val="16"/>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磋商原则。评标委员会必须公平、公正、客观，不带任何倾向性和启发性；不得向外界透露任何与评审有关的内容；任何单位和个人不得干扰、影响评审的正常进行；评标委员会及有关工作人员不得私下与磋商供应商接触。</w:t>
      </w:r>
    </w:p>
    <w:p w14:paraId="0867D7BC">
      <w:pPr>
        <w:pStyle w:val="16"/>
        <w:snapToGrid w:val="0"/>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2、磋商办法。具体磋商内容及评分标准等详见《第四章：评审方法及评分标准》。</w:t>
      </w:r>
    </w:p>
    <w:p w14:paraId="12CBFE86">
      <w:pPr>
        <w:pStyle w:val="16"/>
        <w:snapToGrid w:val="0"/>
        <w:spacing w:line="360" w:lineRule="auto"/>
        <w:ind w:firstLine="482"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（七）评审过程的监控</w:t>
      </w:r>
    </w:p>
    <w:p w14:paraId="36F00923">
      <w:pPr>
        <w:pStyle w:val="25"/>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319B4EDE">
      <w:pPr>
        <w:pStyle w:val="25"/>
        <w:widowControl w:val="0"/>
        <w:snapToGrid w:val="0"/>
        <w:spacing w:before="0" w:beforeAutospacing="0" w:after="0" w:afterAutospacing="0" w:line="360" w:lineRule="auto"/>
        <w:ind w:firstLine="482" w:firstLineChars="200"/>
        <w:jc w:val="both"/>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五、磋商结果确定</w:t>
      </w:r>
    </w:p>
    <w:p w14:paraId="2E2D7B9B">
      <w:pPr>
        <w:pStyle w:val="25"/>
        <w:widowControl w:val="0"/>
        <w:snapToGrid w:val="0"/>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确定成交供应商。评标委员会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1EBC4CC">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6CE997A1">
      <w:pPr>
        <w:spacing w:line="360" w:lineRule="auto"/>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586AED4E">
      <w:pPr>
        <w:spacing w:line="360" w:lineRule="auto"/>
        <w:ind w:firstLine="482" w:firstLineChars="200"/>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六、合同签订及公告</w:t>
      </w:r>
    </w:p>
    <w:p w14:paraId="191E9FE1">
      <w:pPr>
        <w:pStyle w:val="3"/>
        <w:ind w:right="0" w:rightChars="0" w:firstLine="482" w:firstLineChars="200"/>
        <w:rPr>
          <w:rFonts w:ascii="Times New Roman"/>
          <w:b/>
          <w:color w:val="000000" w:themeColor="text1"/>
          <w:szCs w:val="24"/>
          <w:highlight w:val="none"/>
          <w14:textFill>
            <w14:solidFill>
              <w14:schemeClr w14:val="tx1"/>
            </w14:solidFill>
          </w14:textFill>
        </w:rPr>
      </w:pPr>
      <w:r>
        <w:rPr>
          <w:rFonts w:ascii="Times New Roman"/>
          <w:b/>
          <w:color w:val="000000" w:themeColor="text1"/>
          <w:szCs w:val="24"/>
          <w:highlight w:val="none"/>
          <w14:textFill>
            <w14:solidFill>
              <w14:schemeClr w14:val="tx1"/>
            </w14:solidFill>
          </w14:textFill>
        </w:rPr>
        <w:t>（一）签订合同</w:t>
      </w:r>
    </w:p>
    <w:p w14:paraId="46E84CB6">
      <w:pPr>
        <w:pStyle w:val="3"/>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1、采购人应当自成交通知书发出之日起30日内，按照磋商采购文件确定的合同文本以及采购标的、规格型号、采购金额、采购数量和服务要求等事项签订政府采购合同。</w:t>
      </w:r>
    </w:p>
    <w:p w14:paraId="58D3B104">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C3ACA8F">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3、成交供应商无故拖延、拒签合同的,取消成交资格并追究相应责任。</w:t>
      </w:r>
    </w:p>
    <w:p w14:paraId="06799D34">
      <w:pPr>
        <w:pStyle w:val="25"/>
        <w:spacing w:before="0" w:beforeAutospacing="0" w:after="0" w:afterAutospacing="0" w:line="360" w:lineRule="auto"/>
        <w:ind w:firstLine="480" w:firstLineChars="200"/>
        <w:jc w:val="both"/>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029091C9">
      <w:pPr>
        <w:pStyle w:val="25"/>
        <w:spacing w:before="0" w:beforeAutospacing="0" w:after="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7F3580D7">
      <w:pPr>
        <w:pStyle w:val="25"/>
        <w:spacing w:before="0" w:beforeAutospacing="0" w:after="0" w:afterAutospacing="0" w:line="360" w:lineRule="auto"/>
        <w:ind w:firstLine="482" w:firstLineChars="200"/>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（二）合同公告及备案</w:t>
      </w:r>
    </w:p>
    <w:p w14:paraId="429CBA7C">
      <w:pPr>
        <w:pStyle w:val="3"/>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11AAF3B4">
      <w:pPr>
        <w:pStyle w:val="3"/>
        <w:ind w:right="0" w:rightChars="0"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2、采购人应当自政府采购合同签订之日起7个工作日内，</w:t>
      </w:r>
      <w:bookmarkStart w:id="50" w:name="_Hlk95221553"/>
      <w:r>
        <w:rPr>
          <w:rFonts w:ascii="Times New Roman"/>
          <w:color w:val="000000" w:themeColor="text1"/>
          <w:szCs w:val="24"/>
          <w:highlight w:val="none"/>
          <w14:textFill>
            <w14:solidFill>
              <w14:schemeClr w14:val="tx1"/>
            </w14:solidFill>
          </w14:textFill>
        </w:rPr>
        <w:t>将政府采购合同通过政采云平台报同级人民政府财政部门备案以及采购组织机构存档。</w:t>
      </w:r>
      <w:bookmarkEnd w:id="50"/>
    </w:p>
    <w:p w14:paraId="6653ECE5">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3CB40959">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61D77458">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21974C15">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444E7BA0">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11E9733B">
      <w:pPr>
        <w:rPr>
          <w:color w:val="000000" w:themeColor="text1"/>
          <w:highlight w:val="none"/>
          <w14:textFill>
            <w14:solidFill>
              <w14:schemeClr w14:val="tx1"/>
            </w14:solidFill>
          </w14:textFill>
        </w:rPr>
      </w:pPr>
    </w:p>
    <w:p w14:paraId="43F66A90">
      <w:pPr>
        <w:pStyle w:val="2"/>
        <w:ind w:firstLine="560"/>
        <w:rPr>
          <w:rFonts w:ascii="Times New Roman" w:hAnsi="Times New Roman" w:cs="Times New Roman"/>
          <w:highlight w:val="none"/>
        </w:rPr>
      </w:pPr>
    </w:p>
    <w:p w14:paraId="5F62DEC4">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6F08F7D7">
      <w:pPr>
        <w:pStyle w:val="3"/>
        <w:ind w:right="0" w:rightChars="0" w:firstLine="480" w:firstLineChars="200"/>
        <w:rPr>
          <w:rFonts w:ascii="Times New Roman"/>
          <w:color w:val="000000" w:themeColor="text1"/>
          <w:szCs w:val="24"/>
          <w:highlight w:val="none"/>
          <w14:textFill>
            <w14:solidFill>
              <w14:schemeClr w14:val="tx1"/>
            </w14:solidFill>
          </w14:textFill>
        </w:rPr>
      </w:pPr>
    </w:p>
    <w:p w14:paraId="4618EFDC">
      <w:pPr>
        <w:rPr>
          <w:color w:val="000000" w:themeColor="text1"/>
          <w:highlight w:val="none"/>
          <w14:textFill>
            <w14:solidFill>
              <w14:schemeClr w14:val="tx1"/>
            </w14:solidFill>
          </w14:textFill>
        </w:rPr>
      </w:pPr>
    </w:p>
    <w:p w14:paraId="45B6B565">
      <w:pPr>
        <w:pStyle w:val="2"/>
        <w:ind w:firstLine="560"/>
        <w:rPr>
          <w:rFonts w:ascii="Times New Roman" w:hAnsi="Times New Roman" w:cs="Times New Roman"/>
          <w:highlight w:val="none"/>
        </w:rPr>
      </w:pPr>
    </w:p>
    <w:p w14:paraId="0D59C1CE">
      <w:pPr>
        <w:pStyle w:val="16"/>
        <w:tabs>
          <w:tab w:val="left" w:pos="900"/>
        </w:tabs>
        <w:snapToGrid w:val="0"/>
        <w:spacing w:before="120" w:after="120"/>
        <w:outlineLvl w:val="0"/>
        <w:rPr>
          <w:rFonts w:ascii="Times New Roman" w:hAnsi="Times New Roman"/>
          <w:b/>
          <w:bCs/>
          <w:color w:val="000000" w:themeColor="text1"/>
          <w:sz w:val="36"/>
          <w:szCs w:val="36"/>
          <w:highlight w:val="none"/>
          <w14:textFill>
            <w14:solidFill>
              <w14:schemeClr w14:val="tx1"/>
            </w14:solidFill>
          </w14:textFill>
        </w:rPr>
      </w:pPr>
      <w:bookmarkStart w:id="51" w:name="_Toc18742"/>
    </w:p>
    <w:p w14:paraId="476CB4B5">
      <w:pPr>
        <w:pStyle w:val="16"/>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p>
    <w:p w14:paraId="08160AD1">
      <w:pPr>
        <w:pStyle w:val="16"/>
        <w:tabs>
          <w:tab w:val="left" w:pos="900"/>
        </w:tabs>
        <w:snapToGrid w:val="0"/>
        <w:spacing w:before="120" w:after="120"/>
        <w:jc w:val="center"/>
        <w:outlineLvl w:val="0"/>
        <w:rPr>
          <w:rFonts w:ascii="Times New Roman" w:hAnsi="Times New Roman"/>
          <w:b/>
          <w:bCs/>
          <w:color w:val="000000" w:themeColor="text1"/>
          <w:sz w:val="36"/>
          <w:szCs w:val="36"/>
          <w:highlight w:val="none"/>
          <w14:textFill>
            <w14:solidFill>
              <w14:schemeClr w14:val="tx1"/>
            </w14:solidFill>
          </w14:textFill>
        </w:rPr>
      </w:pPr>
      <w:r>
        <w:rPr>
          <w:rFonts w:ascii="Times New Roman" w:hAnsi="Times New Roman"/>
          <w:b/>
          <w:bCs/>
          <w:color w:val="000000" w:themeColor="text1"/>
          <w:sz w:val="36"/>
          <w:szCs w:val="36"/>
          <w:highlight w:val="none"/>
          <w14:textFill>
            <w14:solidFill>
              <w14:schemeClr w14:val="tx1"/>
            </w14:solidFill>
          </w14:textFill>
        </w:rPr>
        <w:t xml:space="preserve">第四章  </w:t>
      </w:r>
      <w:bookmarkEnd w:id="51"/>
      <w:r>
        <w:rPr>
          <w:rFonts w:ascii="Times New Roman" w:hAnsi="Times New Roman"/>
          <w:b/>
          <w:bCs/>
          <w:color w:val="000000" w:themeColor="text1"/>
          <w:sz w:val="36"/>
          <w:szCs w:val="36"/>
          <w:highlight w:val="none"/>
          <w14:textFill>
            <w14:solidFill>
              <w14:schemeClr w14:val="tx1"/>
            </w14:solidFill>
          </w14:textFill>
        </w:rPr>
        <w:t>评标办法及评分标准</w:t>
      </w:r>
    </w:p>
    <w:p w14:paraId="50A9B6C3">
      <w:pPr>
        <w:autoSpaceDE w:val="0"/>
        <w:autoSpaceDN w:val="0"/>
        <w:spacing w:line="360" w:lineRule="auto"/>
        <w:ind w:firstLine="480" w:firstLineChars="200"/>
        <w:rPr>
          <w:b/>
          <w:i/>
          <w:kern w:val="0"/>
          <w:sz w:val="24"/>
          <w:highlight w:val="none"/>
        </w:rPr>
      </w:pPr>
      <w:r>
        <w:rPr>
          <w:kern w:val="0"/>
          <w:sz w:val="24"/>
          <w:highlight w:val="none"/>
        </w:rPr>
        <w:t>一、采购组织机构将组织</w:t>
      </w:r>
      <w:r>
        <w:rPr>
          <w:color w:val="000000"/>
          <w:sz w:val="24"/>
          <w:highlight w:val="none"/>
        </w:rPr>
        <w:t>评标委员会</w:t>
      </w:r>
      <w:r>
        <w:rPr>
          <w:kern w:val="0"/>
          <w:sz w:val="24"/>
          <w:highlight w:val="none"/>
        </w:rPr>
        <w:t>，对</w:t>
      </w:r>
      <w:r>
        <w:rPr>
          <w:color w:val="000000"/>
          <w:sz w:val="24"/>
          <w:highlight w:val="none"/>
        </w:rPr>
        <w:t>供应商</w:t>
      </w:r>
      <w:r>
        <w:rPr>
          <w:kern w:val="0"/>
          <w:sz w:val="24"/>
          <w:highlight w:val="none"/>
        </w:rPr>
        <w:t>提供的</w:t>
      </w:r>
      <w:r>
        <w:rPr>
          <w:color w:val="000000"/>
          <w:sz w:val="24"/>
          <w:highlight w:val="none"/>
        </w:rPr>
        <w:t>磋商响应文件</w:t>
      </w:r>
      <w:r>
        <w:rPr>
          <w:kern w:val="0"/>
          <w:sz w:val="24"/>
          <w:highlight w:val="none"/>
        </w:rPr>
        <w:t xml:space="preserve">进行综合评审。   </w:t>
      </w:r>
    </w:p>
    <w:p w14:paraId="19D53195">
      <w:pPr>
        <w:autoSpaceDE w:val="0"/>
        <w:autoSpaceDN w:val="0"/>
        <w:spacing w:after="0" w:line="312" w:lineRule="auto"/>
        <w:ind w:firstLine="480" w:firstLineChars="200"/>
        <w:rPr>
          <w:kern w:val="0"/>
          <w:sz w:val="24"/>
          <w:highlight w:val="none"/>
        </w:rPr>
      </w:pPr>
      <w:r>
        <w:rPr>
          <w:kern w:val="0"/>
          <w:sz w:val="24"/>
          <w:highlight w:val="none"/>
        </w:rPr>
        <w:t>二、本次磋商项目的评审方法为</w:t>
      </w:r>
      <w:r>
        <w:rPr>
          <w:b/>
          <w:kern w:val="0"/>
          <w:sz w:val="24"/>
          <w:highlight w:val="none"/>
        </w:rPr>
        <w:t>综合评分法</w:t>
      </w:r>
      <w:r>
        <w:rPr>
          <w:kern w:val="0"/>
          <w:sz w:val="24"/>
          <w:highlight w:val="none"/>
        </w:rPr>
        <w:t>，总计100分。评标标准按以下内容及分值进行评审。</w:t>
      </w:r>
    </w:p>
    <w:tbl>
      <w:tblPr>
        <w:tblStyle w:val="29"/>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0A41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22DBD355">
            <w:pPr>
              <w:autoSpaceDE w:val="0"/>
              <w:autoSpaceDN w:val="0"/>
              <w:adjustRightInd w:val="0"/>
              <w:spacing w:after="0" w:line="312" w:lineRule="auto"/>
              <w:jc w:val="left"/>
              <w:rPr>
                <w:sz w:val="24"/>
                <w:highlight w:val="none"/>
              </w:rPr>
            </w:pPr>
            <w:r>
              <w:rPr>
                <w:sz w:val="24"/>
                <w:highlight w:val="none"/>
              </w:rPr>
              <w:t xml:space="preserve">          标段</w:t>
            </w:r>
          </w:p>
          <w:p w14:paraId="6647322D">
            <w:pPr>
              <w:autoSpaceDE w:val="0"/>
              <w:autoSpaceDN w:val="0"/>
              <w:adjustRightInd w:val="0"/>
              <w:spacing w:after="0" w:line="312" w:lineRule="auto"/>
              <w:jc w:val="left"/>
              <w:rPr>
                <w:sz w:val="24"/>
                <w:highlight w:val="none"/>
              </w:rPr>
            </w:pPr>
            <w:r>
              <w:rPr>
                <w:sz w:val="24"/>
                <w:highlight w:val="none"/>
              </w:rPr>
              <w:t>类别</w:t>
            </w:r>
          </w:p>
        </w:tc>
        <w:tc>
          <w:tcPr>
            <w:tcW w:w="4395" w:type="dxa"/>
            <w:vAlign w:val="center"/>
          </w:tcPr>
          <w:p w14:paraId="545CE16E">
            <w:pPr>
              <w:autoSpaceDE w:val="0"/>
              <w:autoSpaceDN w:val="0"/>
              <w:adjustRightInd w:val="0"/>
              <w:spacing w:after="0" w:line="312" w:lineRule="auto"/>
              <w:jc w:val="center"/>
              <w:rPr>
                <w:sz w:val="24"/>
                <w:highlight w:val="none"/>
              </w:rPr>
            </w:pPr>
            <w:r>
              <w:rPr>
                <w:sz w:val="24"/>
                <w:highlight w:val="none"/>
              </w:rPr>
              <w:fldChar w:fldCharType="begin"/>
            </w:r>
            <w:r>
              <w:rPr>
                <w:sz w:val="24"/>
                <w:highlight w:val="none"/>
              </w:rPr>
              <w:instrText xml:space="preserve">= 1 \* CHINESENUM3</w:instrText>
            </w:r>
            <w:r>
              <w:rPr>
                <w:sz w:val="24"/>
                <w:highlight w:val="none"/>
              </w:rPr>
              <w:fldChar w:fldCharType="separate"/>
            </w:r>
            <w:r>
              <w:rPr>
                <w:sz w:val="24"/>
                <w:highlight w:val="none"/>
              </w:rPr>
              <w:t>一</w:t>
            </w:r>
            <w:r>
              <w:rPr>
                <w:sz w:val="24"/>
                <w:highlight w:val="none"/>
              </w:rPr>
              <w:fldChar w:fldCharType="end"/>
            </w:r>
          </w:p>
        </w:tc>
      </w:tr>
      <w:tr w14:paraId="7C2E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0088F0F9">
            <w:pPr>
              <w:autoSpaceDE w:val="0"/>
              <w:autoSpaceDN w:val="0"/>
              <w:adjustRightInd w:val="0"/>
              <w:spacing w:after="0" w:line="312" w:lineRule="auto"/>
              <w:jc w:val="left"/>
              <w:rPr>
                <w:sz w:val="24"/>
                <w:highlight w:val="none"/>
              </w:rPr>
            </w:pPr>
            <w:r>
              <w:rPr>
                <w:kern w:val="0"/>
                <w:sz w:val="24"/>
                <w:highlight w:val="none"/>
              </w:rPr>
              <w:t xml:space="preserve">资信技术 </w:t>
            </w:r>
          </w:p>
        </w:tc>
        <w:tc>
          <w:tcPr>
            <w:tcW w:w="4395" w:type="dxa"/>
            <w:vAlign w:val="center"/>
          </w:tcPr>
          <w:p w14:paraId="20912B18">
            <w:pPr>
              <w:autoSpaceDE w:val="0"/>
              <w:autoSpaceDN w:val="0"/>
              <w:adjustRightInd w:val="0"/>
              <w:spacing w:after="0" w:line="312" w:lineRule="auto"/>
              <w:jc w:val="center"/>
              <w:rPr>
                <w:sz w:val="24"/>
                <w:highlight w:val="none"/>
              </w:rPr>
            </w:pPr>
            <w:r>
              <w:rPr>
                <w:sz w:val="24"/>
                <w:highlight w:val="none"/>
              </w:rPr>
              <w:t>80</w:t>
            </w:r>
          </w:p>
        </w:tc>
      </w:tr>
      <w:tr w14:paraId="113E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310A02EE">
            <w:pPr>
              <w:autoSpaceDE w:val="0"/>
              <w:autoSpaceDN w:val="0"/>
              <w:adjustRightInd w:val="0"/>
              <w:spacing w:after="0" w:line="312" w:lineRule="auto"/>
              <w:jc w:val="left"/>
              <w:rPr>
                <w:kern w:val="0"/>
                <w:sz w:val="24"/>
                <w:highlight w:val="none"/>
              </w:rPr>
            </w:pPr>
            <w:r>
              <w:rPr>
                <w:kern w:val="0"/>
                <w:sz w:val="24"/>
                <w:highlight w:val="none"/>
              </w:rPr>
              <w:t>价格</w:t>
            </w:r>
          </w:p>
        </w:tc>
        <w:tc>
          <w:tcPr>
            <w:tcW w:w="4395" w:type="dxa"/>
            <w:vAlign w:val="center"/>
          </w:tcPr>
          <w:p w14:paraId="681F3B9A">
            <w:pPr>
              <w:autoSpaceDE w:val="0"/>
              <w:autoSpaceDN w:val="0"/>
              <w:adjustRightInd w:val="0"/>
              <w:spacing w:after="0" w:line="312" w:lineRule="auto"/>
              <w:jc w:val="center"/>
              <w:rPr>
                <w:sz w:val="24"/>
                <w:highlight w:val="none"/>
              </w:rPr>
            </w:pPr>
            <w:r>
              <w:rPr>
                <w:sz w:val="24"/>
                <w:highlight w:val="none"/>
              </w:rPr>
              <w:t>20</w:t>
            </w:r>
          </w:p>
        </w:tc>
      </w:tr>
    </w:tbl>
    <w:p w14:paraId="21E76C45">
      <w:pPr>
        <w:autoSpaceDE w:val="0"/>
        <w:autoSpaceDN w:val="0"/>
        <w:adjustRightInd w:val="0"/>
        <w:spacing w:line="360" w:lineRule="auto"/>
        <w:ind w:left="359" w:leftChars="171" w:firstLine="120" w:firstLineChars="50"/>
        <w:jc w:val="left"/>
        <w:rPr>
          <w:bCs/>
          <w:color w:val="000000"/>
          <w:sz w:val="24"/>
          <w:highlight w:val="none"/>
          <w:lang w:val="zh-CN"/>
        </w:rPr>
      </w:pPr>
      <w:r>
        <w:rPr>
          <w:bCs/>
          <w:color w:val="000000"/>
          <w:sz w:val="24"/>
          <w:highlight w:val="none"/>
          <w:lang w:val="zh-CN"/>
        </w:rPr>
        <w:t>（一）商务与技术文件中的客观分由</w:t>
      </w:r>
      <w:r>
        <w:rPr>
          <w:color w:val="000000"/>
          <w:sz w:val="24"/>
          <w:highlight w:val="none"/>
        </w:rPr>
        <w:t>评标委员会</w:t>
      </w:r>
      <w:r>
        <w:rPr>
          <w:rFonts w:hint="eastAsia"/>
          <w:bCs/>
          <w:color w:val="000000"/>
          <w:sz w:val="24"/>
          <w:highlight w:val="none"/>
          <w:lang w:val="en-US" w:eastAsia="zh-CN"/>
        </w:rPr>
        <w:t>单独打分，最后统一评分</w:t>
      </w:r>
      <w:r>
        <w:rPr>
          <w:bCs/>
          <w:color w:val="000000"/>
          <w:sz w:val="24"/>
          <w:highlight w:val="none"/>
          <w:lang w:val="zh-CN"/>
        </w:rPr>
        <w:t>；其余在规定的分值内单独评定打分。</w:t>
      </w:r>
    </w:p>
    <w:p w14:paraId="463153CE">
      <w:pPr>
        <w:autoSpaceDE w:val="0"/>
        <w:autoSpaceDN w:val="0"/>
        <w:adjustRightInd w:val="0"/>
        <w:spacing w:line="360" w:lineRule="auto"/>
        <w:ind w:right="84" w:firstLine="472"/>
        <w:rPr>
          <w:bCs/>
          <w:color w:val="000000"/>
          <w:sz w:val="24"/>
          <w:highlight w:val="none"/>
          <w:shd w:val="clear" w:color="FFFFFF" w:fill="D9D9D9"/>
          <w:lang w:val="zh-CN"/>
        </w:rPr>
      </w:pPr>
      <w:r>
        <w:rPr>
          <w:bCs/>
          <w:color w:val="000000"/>
          <w:sz w:val="24"/>
          <w:highlight w:val="none"/>
          <w:lang w:val="zh-CN"/>
        </w:rPr>
        <w:t>（二）各磋商供应商商务与技术文件</w:t>
      </w:r>
      <w:r>
        <w:rPr>
          <w:color w:val="000000"/>
          <w:kern w:val="0"/>
          <w:sz w:val="24"/>
          <w:highlight w:val="none"/>
          <w:lang w:val="zh-CN"/>
        </w:rPr>
        <w:t>得分按照</w:t>
      </w:r>
      <w:r>
        <w:rPr>
          <w:color w:val="000000"/>
          <w:sz w:val="24"/>
          <w:highlight w:val="none"/>
        </w:rPr>
        <w:t>评标委员会</w:t>
      </w:r>
      <w:r>
        <w:rPr>
          <w:color w:val="000000"/>
          <w:kern w:val="0"/>
          <w:sz w:val="24"/>
          <w:highlight w:val="none"/>
          <w:lang w:val="zh-CN"/>
        </w:rPr>
        <w:t>成</w:t>
      </w:r>
      <w:r>
        <w:rPr>
          <w:bCs/>
          <w:color w:val="000000"/>
          <w:sz w:val="24"/>
          <w:highlight w:val="none"/>
          <w:lang w:val="zh-CN"/>
        </w:rPr>
        <w:t>员的独立评分结果汇总后的算术平均分计算，计算公式为：</w:t>
      </w:r>
    </w:p>
    <w:p w14:paraId="6D68DD46">
      <w:pPr>
        <w:autoSpaceDE w:val="0"/>
        <w:autoSpaceDN w:val="0"/>
        <w:adjustRightInd w:val="0"/>
        <w:spacing w:line="360" w:lineRule="auto"/>
        <w:ind w:right="84" w:firstLine="472"/>
        <w:rPr>
          <w:bCs/>
          <w:color w:val="FF0000"/>
          <w:sz w:val="24"/>
          <w:highlight w:val="none"/>
          <w:shd w:val="clear" w:color="FFFFFF" w:fill="D9D9D9"/>
          <w:lang w:val="zh-CN"/>
        </w:rPr>
      </w:pPr>
      <w:r>
        <w:rPr>
          <w:sz w:val="24"/>
          <w:highlight w:val="none"/>
        </w:rPr>
        <w:t>商务与技术文件得分</w:t>
      </w:r>
      <w:r>
        <w:rPr>
          <w:bCs/>
          <w:color w:val="000000"/>
          <w:sz w:val="24"/>
          <w:highlight w:val="none"/>
          <w:lang w:val="zh-CN"/>
        </w:rPr>
        <w:t>=</w:t>
      </w:r>
      <w:r>
        <w:rPr>
          <w:color w:val="000000"/>
          <w:sz w:val="24"/>
          <w:highlight w:val="none"/>
        </w:rPr>
        <w:t>评标委员会</w:t>
      </w:r>
      <w:r>
        <w:rPr>
          <w:bCs/>
          <w:color w:val="000000"/>
          <w:sz w:val="24"/>
          <w:highlight w:val="none"/>
          <w:lang w:val="zh-CN"/>
        </w:rPr>
        <w:t>所有成员评分合计数/</w:t>
      </w:r>
      <w:r>
        <w:rPr>
          <w:color w:val="000000"/>
          <w:sz w:val="24"/>
          <w:highlight w:val="none"/>
        </w:rPr>
        <w:t>评标委员会</w:t>
      </w:r>
      <w:r>
        <w:rPr>
          <w:bCs/>
          <w:color w:val="000000"/>
          <w:sz w:val="24"/>
          <w:highlight w:val="none"/>
          <w:lang w:val="zh-CN"/>
        </w:rPr>
        <w:t>组成人员数。</w:t>
      </w:r>
    </w:p>
    <w:p w14:paraId="6AFDC5A8">
      <w:pPr>
        <w:autoSpaceDE w:val="0"/>
        <w:autoSpaceDN w:val="0"/>
        <w:adjustRightInd w:val="0"/>
        <w:spacing w:line="360" w:lineRule="auto"/>
        <w:ind w:right="85" w:firstLine="480" w:firstLineChars="200"/>
        <w:rPr>
          <w:color w:val="000000"/>
          <w:sz w:val="24"/>
          <w:highlight w:val="none"/>
          <w:lang w:val="zh-CN"/>
        </w:rPr>
      </w:pPr>
      <w:r>
        <w:rPr>
          <w:bCs/>
          <w:color w:val="000000"/>
          <w:sz w:val="24"/>
          <w:highlight w:val="none"/>
          <w:lang w:val="zh-CN"/>
        </w:rPr>
        <w:t>（三）</w:t>
      </w:r>
      <w:r>
        <w:rPr>
          <w:color w:val="000000"/>
          <w:sz w:val="24"/>
          <w:highlight w:val="none"/>
          <w:u w:val="single"/>
        </w:rPr>
        <w:t>综合评分法中的价格分统一</w:t>
      </w:r>
      <w:r>
        <w:rPr>
          <w:color w:val="000000"/>
          <w:sz w:val="24"/>
          <w:highlight w:val="none"/>
          <w:lang w:val="zh-CN"/>
        </w:rPr>
        <w:t>采用低价优先法计算，即满足磋商文件要求且最后报价最低的供应商的价格作为磋商基准价，其报价得满分。其他供应商的价格分统一按照下列公式计算：</w:t>
      </w:r>
    </w:p>
    <w:p w14:paraId="2494A85B">
      <w:pPr>
        <w:autoSpaceDE w:val="0"/>
        <w:autoSpaceDN w:val="0"/>
        <w:adjustRightInd w:val="0"/>
        <w:spacing w:line="360" w:lineRule="auto"/>
        <w:ind w:right="85" w:firstLine="480" w:firstLineChars="200"/>
        <w:rPr>
          <w:color w:val="000000"/>
          <w:sz w:val="24"/>
          <w:highlight w:val="none"/>
          <w:u w:val="single"/>
        </w:rPr>
      </w:pPr>
      <w:r>
        <w:rPr>
          <w:color w:val="000000" w:themeColor="text1"/>
          <w:sz w:val="24"/>
          <w:highlight w:val="none"/>
          <w:u w:val="single"/>
          <w14:textFill>
            <w14:solidFill>
              <w14:schemeClr w14:val="tx1"/>
            </w14:solidFill>
          </w14:textFill>
        </w:rPr>
        <w:t>磋商报价得分=(</w:t>
      </w:r>
      <w:r>
        <w:rPr>
          <w:color w:val="000000" w:themeColor="text1"/>
          <w:sz w:val="24"/>
          <w:highlight w:val="none"/>
          <w:u w:val="single"/>
          <w:lang w:val="zh-CN"/>
          <w14:textFill>
            <w14:solidFill>
              <w14:schemeClr w14:val="tx1"/>
            </w14:solidFill>
          </w14:textFill>
        </w:rPr>
        <w:t>磋商基准价</w:t>
      </w:r>
      <w:r>
        <w:rPr>
          <w:color w:val="000000" w:themeColor="text1"/>
          <w:sz w:val="24"/>
          <w:highlight w:val="none"/>
          <w:u w:val="single"/>
          <w14:textFill>
            <w14:solidFill>
              <w14:schemeClr w14:val="tx1"/>
            </w14:solidFill>
          </w14:textFill>
        </w:rPr>
        <w:t>／最后磋商报价)×</w:t>
      </w:r>
      <w:r>
        <w:rPr>
          <w:bCs/>
          <w:sz w:val="24"/>
          <w:highlight w:val="none"/>
          <w:u w:val="single"/>
          <w:lang w:val="zh-CN"/>
        </w:rPr>
        <w:t>价格分值</w:t>
      </w:r>
      <w:r>
        <w:rPr>
          <w:bCs/>
          <w:sz w:val="24"/>
          <w:highlight w:val="none"/>
          <w:u w:val="single"/>
        </w:rPr>
        <w:t>20</w:t>
      </w:r>
      <w:r>
        <w:rPr>
          <w:color w:val="000000" w:themeColor="text1"/>
          <w:sz w:val="24"/>
          <w:highlight w:val="none"/>
          <w:u w:val="single"/>
          <w14:textFill>
            <w14:solidFill>
              <w14:schemeClr w14:val="tx1"/>
            </w14:solidFill>
          </w14:textFill>
        </w:rPr>
        <w:t xml:space="preserve">%×100 </w:t>
      </w:r>
      <w:r>
        <w:rPr>
          <w:color w:val="000000"/>
          <w:sz w:val="24"/>
          <w:highlight w:val="none"/>
          <w:u w:val="single"/>
        </w:rPr>
        <w:t>。</w:t>
      </w:r>
    </w:p>
    <w:p w14:paraId="760B7B4E">
      <w:pPr>
        <w:autoSpaceDE w:val="0"/>
        <w:autoSpaceDN w:val="0"/>
        <w:adjustRightInd w:val="0"/>
        <w:spacing w:line="360" w:lineRule="auto"/>
        <w:ind w:right="84" w:firstLine="472"/>
        <w:rPr>
          <w:bCs/>
          <w:color w:val="FF0000"/>
          <w:sz w:val="24"/>
          <w:highlight w:val="none"/>
          <w:shd w:val="clear" w:color="FFFFFF" w:fill="D9D9D9"/>
          <w:lang w:val="zh-CN"/>
        </w:rPr>
      </w:pPr>
      <w:r>
        <w:rPr>
          <w:color w:val="000000"/>
          <w:sz w:val="24"/>
          <w:highlight w:val="none"/>
          <w:lang w:val="zh-CN"/>
        </w:rPr>
        <w:t>注：得分以系统计算为准，保留2位小数。</w:t>
      </w:r>
    </w:p>
    <w:p w14:paraId="31864DC8">
      <w:pPr>
        <w:autoSpaceDE w:val="0"/>
        <w:autoSpaceDN w:val="0"/>
        <w:adjustRightInd w:val="0"/>
        <w:spacing w:line="360" w:lineRule="auto"/>
        <w:ind w:right="85" w:firstLine="480" w:firstLineChars="200"/>
        <w:rPr>
          <w:sz w:val="24"/>
          <w:highlight w:val="none"/>
          <w:lang w:val="zh-CN"/>
        </w:rPr>
      </w:pPr>
      <w:r>
        <w:rPr>
          <w:sz w:val="24"/>
          <w:highlight w:val="none"/>
          <w:lang w:val="zh-CN"/>
        </w:rPr>
        <w:t>三、在最大限度地满足磋商文件实质性要求前提下，</w:t>
      </w:r>
      <w:r>
        <w:rPr>
          <w:sz w:val="24"/>
          <w:highlight w:val="none"/>
        </w:rPr>
        <w:t>评标委员会</w:t>
      </w:r>
      <w:r>
        <w:rPr>
          <w:sz w:val="24"/>
          <w:highlight w:val="none"/>
          <w:lang w:val="zh-CN"/>
        </w:rPr>
        <w:t>按照磋商文件中规定的各项因素进行综合评审后，以评审总得分最高的供应商为成交候选供应商。</w:t>
      </w:r>
    </w:p>
    <w:p w14:paraId="0862C19C">
      <w:pPr>
        <w:autoSpaceDE w:val="0"/>
        <w:autoSpaceDN w:val="0"/>
        <w:adjustRightInd w:val="0"/>
        <w:spacing w:line="360" w:lineRule="auto"/>
        <w:ind w:right="85" w:firstLine="480" w:firstLineChars="200"/>
        <w:rPr>
          <w:sz w:val="24"/>
          <w:highlight w:val="none"/>
          <w:lang w:val="zh-CN"/>
        </w:rPr>
      </w:pPr>
      <w:r>
        <w:rPr>
          <w:sz w:val="24"/>
          <w:highlight w:val="none"/>
          <w:lang w:val="zh-CN"/>
        </w:rPr>
        <w:t>四、如综合得分相同，最后报价低者为先；如综合得分且最后报价相同的，服务类采购项目以实力信誉及业绩得分较高者为先。</w:t>
      </w:r>
    </w:p>
    <w:p w14:paraId="4FAA29E1">
      <w:pPr>
        <w:tabs>
          <w:tab w:val="left" w:pos="5355"/>
        </w:tabs>
        <w:autoSpaceDE w:val="0"/>
        <w:autoSpaceDN w:val="0"/>
        <w:adjustRightInd w:val="0"/>
        <w:spacing w:line="360" w:lineRule="auto"/>
        <w:ind w:right="85" w:firstLine="480" w:firstLineChars="200"/>
        <w:rPr>
          <w:kern w:val="0"/>
          <w:sz w:val="24"/>
          <w:highlight w:val="none"/>
        </w:rPr>
      </w:pPr>
      <w:r>
        <w:rPr>
          <w:sz w:val="24"/>
          <w:highlight w:val="none"/>
          <w:lang w:val="zh-CN"/>
        </w:rPr>
        <w:t>五、</w:t>
      </w:r>
      <w:r>
        <w:rPr>
          <w:kern w:val="0"/>
          <w:sz w:val="24"/>
          <w:highlight w:val="none"/>
        </w:rPr>
        <w:t>本次评分具体分值细化条款如下表：</w:t>
      </w:r>
      <w:r>
        <w:rPr>
          <w:kern w:val="0"/>
          <w:sz w:val="24"/>
          <w:highlight w:val="none"/>
        </w:rPr>
        <w:tab/>
      </w:r>
    </w:p>
    <w:tbl>
      <w:tblPr>
        <w:tblStyle w:val="29"/>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6678"/>
        <w:gridCol w:w="844"/>
      </w:tblGrid>
      <w:tr w14:paraId="68DB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14:paraId="4E157D05">
            <w:pPr>
              <w:adjustRightInd w:val="0"/>
              <w:snapToGrid w:val="0"/>
              <w:spacing w:line="420" w:lineRule="exact"/>
              <w:jc w:val="center"/>
              <w:rPr>
                <w:color w:val="auto"/>
                <w:szCs w:val="21"/>
                <w:highlight w:val="none"/>
              </w:rPr>
            </w:pPr>
            <w:r>
              <w:rPr>
                <w:b/>
                <w:color w:val="auto"/>
                <w:szCs w:val="21"/>
                <w:highlight w:val="none"/>
              </w:rPr>
              <w:t>评分项目</w:t>
            </w:r>
          </w:p>
        </w:tc>
        <w:tc>
          <w:tcPr>
            <w:tcW w:w="6501" w:type="dxa"/>
            <w:tcBorders>
              <w:top w:val="single" w:color="auto" w:sz="4" w:space="0"/>
              <w:left w:val="single" w:color="auto" w:sz="4" w:space="0"/>
              <w:bottom w:val="single" w:color="auto" w:sz="4" w:space="0"/>
              <w:right w:val="single" w:color="auto" w:sz="4" w:space="0"/>
            </w:tcBorders>
            <w:vAlign w:val="center"/>
          </w:tcPr>
          <w:p w14:paraId="296A1251">
            <w:pPr>
              <w:spacing w:after="0" w:line="360" w:lineRule="auto"/>
              <w:jc w:val="center"/>
              <w:rPr>
                <w:color w:val="auto"/>
                <w:szCs w:val="21"/>
                <w:highlight w:val="none"/>
              </w:rPr>
            </w:pPr>
            <w:r>
              <w:rPr>
                <w:b/>
                <w:color w:val="auto"/>
                <w:szCs w:val="21"/>
                <w:highlight w:val="none"/>
              </w:rPr>
              <w:t>评分细则</w:t>
            </w:r>
          </w:p>
        </w:tc>
        <w:tc>
          <w:tcPr>
            <w:tcW w:w="821" w:type="dxa"/>
            <w:tcBorders>
              <w:top w:val="single" w:color="auto" w:sz="4" w:space="0"/>
              <w:left w:val="single" w:color="auto" w:sz="4" w:space="0"/>
              <w:bottom w:val="single" w:color="auto" w:sz="4" w:space="0"/>
              <w:right w:val="single" w:color="auto" w:sz="4" w:space="0"/>
            </w:tcBorders>
            <w:vAlign w:val="center"/>
          </w:tcPr>
          <w:p w14:paraId="654D7DAC">
            <w:pPr>
              <w:spacing w:after="0" w:line="360" w:lineRule="auto"/>
              <w:jc w:val="center"/>
              <w:rPr>
                <w:color w:val="auto"/>
                <w:szCs w:val="21"/>
                <w:highlight w:val="none"/>
              </w:rPr>
            </w:pPr>
            <w:r>
              <w:rPr>
                <w:b/>
                <w:color w:val="auto"/>
                <w:szCs w:val="21"/>
                <w:highlight w:val="none"/>
              </w:rPr>
              <w:t>分值</w:t>
            </w:r>
          </w:p>
        </w:tc>
      </w:tr>
      <w:tr w14:paraId="7A40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50" w:type="dxa"/>
            <w:tcBorders>
              <w:top w:val="single" w:color="auto" w:sz="4" w:space="0"/>
              <w:left w:val="single" w:color="auto" w:sz="4" w:space="0"/>
              <w:right w:val="single" w:color="auto" w:sz="4" w:space="0"/>
            </w:tcBorders>
            <w:vAlign w:val="center"/>
          </w:tcPr>
          <w:p w14:paraId="39180343">
            <w:pPr>
              <w:spacing w:after="0" w:line="360" w:lineRule="auto"/>
              <w:jc w:val="center"/>
              <w:rPr>
                <w:color w:val="auto"/>
                <w:szCs w:val="21"/>
                <w:highlight w:val="none"/>
              </w:rPr>
            </w:pPr>
            <w:bookmarkStart w:id="52" w:name="OLE_LINK1" w:colFirst="2" w:colLast="2"/>
            <w:r>
              <w:rPr>
                <w:color w:val="auto"/>
                <w:szCs w:val="21"/>
                <w:highlight w:val="none"/>
              </w:rPr>
              <w:t>项目业绩</w:t>
            </w:r>
          </w:p>
        </w:tc>
        <w:tc>
          <w:tcPr>
            <w:tcW w:w="6501" w:type="dxa"/>
            <w:tcBorders>
              <w:top w:val="single" w:color="auto" w:sz="4" w:space="0"/>
              <w:left w:val="single" w:color="auto" w:sz="4" w:space="0"/>
              <w:bottom w:val="single" w:color="auto" w:sz="4" w:space="0"/>
              <w:right w:val="single" w:color="auto" w:sz="4" w:space="0"/>
            </w:tcBorders>
            <w:vAlign w:val="center"/>
          </w:tcPr>
          <w:p w14:paraId="6941E5F9">
            <w:pPr>
              <w:spacing w:after="0" w:line="360" w:lineRule="auto"/>
              <w:rPr>
                <w:color w:val="auto"/>
                <w:szCs w:val="21"/>
                <w:highlight w:val="none"/>
              </w:rPr>
            </w:pPr>
            <w:r>
              <w:rPr>
                <w:color w:val="auto"/>
                <w:szCs w:val="21"/>
                <w:highlight w:val="none"/>
              </w:rPr>
              <w:t>投标人自2020年1月1日以来（以合同签订时间为准），承接过类似项目的。每提供1个合同得1分，最高得</w:t>
            </w:r>
            <w:r>
              <w:rPr>
                <w:rFonts w:hint="eastAsia"/>
                <w:color w:val="auto"/>
                <w:szCs w:val="21"/>
                <w:highlight w:val="none"/>
                <w:lang w:val="en-US" w:eastAsia="zh-CN"/>
              </w:rPr>
              <w:t>2</w:t>
            </w:r>
            <w:r>
              <w:rPr>
                <w:color w:val="auto"/>
                <w:szCs w:val="21"/>
                <w:highlight w:val="none"/>
              </w:rPr>
              <w:t>分。</w:t>
            </w:r>
          </w:p>
          <w:p w14:paraId="202069FC">
            <w:pPr>
              <w:spacing w:after="0" w:line="360" w:lineRule="auto"/>
              <w:rPr>
                <w:color w:val="auto"/>
                <w:szCs w:val="21"/>
                <w:highlight w:val="none"/>
              </w:rPr>
            </w:pPr>
            <w:r>
              <w:rPr>
                <w:color w:val="auto"/>
                <w:szCs w:val="21"/>
                <w:highlight w:val="none"/>
              </w:rPr>
              <w:t>（须提供有效的合同扫描件加盖投标人公章编入投标文件中，未提供的不得分）</w:t>
            </w:r>
          </w:p>
        </w:tc>
        <w:tc>
          <w:tcPr>
            <w:tcW w:w="821" w:type="dxa"/>
            <w:tcBorders>
              <w:top w:val="single" w:color="auto" w:sz="4" w:space="0"/>
              <w:left w:val="single" w:color="auto" w:sz="4" w:space="0"/>
              <w:bottom w:val="single" w:color="auto" w:sz="4" w:space="0"/>
              <w:right w:val="single" w:color="auto" w:sz="4" w:space="0"/>
            </w:tcBorders>
            <w:vAlign w:val="center"/>
          </w:tcPr>
          <w:p w14:paraId="168EAAF0">
            <w:pPr>
              <w:spacing w:after="0" w:line="360" w:lineRule="auto"/>
              <w:jc w:val="center"/>
              <w:rPr>
                <w:rFonts w:hint="eastAsia" w:eastAsia="宋体"/>
                <w:color w:val="auto"/>
                <w:szCs w:val="21"/>
                <w:highlight w:val="none"/>
                <w:lang w:eastAsia="zh-CN"/>
              </w:rPr>
            </w:pPr>
            <w:r>
              <w:rPr>
                <w:rFonts w:hint="eastAsia"/>
                <w:color w:val="auto"/>
                <w:szCs w:val="21"/>
                <w:highlight w:val="none"/>
                <w:lang w:val="en-US" w:eastAsia="zh-CN"/>
              </w:rPr>
              <w:t>2</w:t>
            </w:r>
          </w:p>
        </w:tc>
      </w:tr>
      <w:tr w14:paraId="42C4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150" w:type="dxa"/>
            <w:vMerge w:val="restart"/>
            <w:tcBorders>
              <w:top w:val="single" w:color="auto" w:sz="4" w:space="0"/>
              <w:left w:val="single" w:color="auto" w:sz="4" w:space="0"/>
              <w:right w:val="single" w:color="auto" w:sz="4" w:space="0"/>
            </w:tcBorders>
            <w:vAlign w:val="center"/>
          </w:tcPr>
          <w:p w14:paraId="1433CBD4">
            <w:pPr>
              <w:spacing w:after="0" w:line="360" w:lineRule="auto"/>
              <w:jc w:val="center"/>
              <w:rPr>
                <w:color w:val="auto"/>
                <w:szCs w:val="21"/>
                <w:highlight w:val="none"/>
              </w:rPr>
            </w:pPr>
            <w:r>
              <w:rPr>
                <w:color w:val="auto"/>
                <w:szCs w:val="21"/>
                <w:highlight w:val="none"/>
              </w:rPr>
              <w:t>企业实力</w:t>
            </w:r>
          </w:p>
        </w:tc>
        <w:tc>
          <w:tcPr>
            <w:tcW w:w="6501" w:type="dxa"/>
            <w:tcBorders>
              <w:top w:val="single" w:color="auto" w:sz="4" w:space="0"/>
              <w:left w:val="single" w:color="auto" w:sz="4" w:space="0"/>
              <w:bottom w:val="single" w:color="auto" w:sz="4" w:space="0"/>
              <w:right w:val="single" w:color="auto" w:sz="4" w:space="0"/>
            </w:tcBorders>
            <w:vAlign w:val="center"/>
          </w:tcPr>
          <w:p w14:paraId="221F5012">
            <w:pPr>
              <w:spacing w:after="0" w:line="360" w:lineRule="auto"/>
              <w:rPr>
                <w:color w:val="auto"/>
                <w:szCs w:val="21"/>
                <w:highlight w:val="none"/>
              </w:rPr>
            </w:pPr>
            <w:r>
              <w:rPr>
                <w:color w:val="auto"/>
                <w:szCs w:val="21"/>
                <w:highlight w:val="none"/>
              </w:rPr>
              <w:t>投标人具有有效期内的环境服务能力（气相关）认证证书的，一级的得3分，二级的得2分，三级的得1分，不满足要求的不得分。</w:t>
            </w:r>
          </w:p>
          <w:p w14:paraId="264F8407">
            <w:pPr>
              <w:spacing w:after="0" w:line="360" w:lineRule="auto"/>
              <w:rPr>
                <w:color w:val="auto"/>
                <w:szCs w:val="21"/>
                <w:highlight w:val="none"/>
              </w:rPr>
            </w:pPr>
            <w:r>
              <w:rPr>
                <w:color w:val="auto"/>
                <w:szCs w:val="21"/>
                <w:highlight w:val="none"/>
              </w:rPr>
              <w:t>（须提供有效的证书扫描件加盖投标人公章编入投标文件中，未提供或不符合要求的不得分）</w:t>
            </w:r>
          </w:p>
        </w:tc>
        <w:tc>
          <w:tcPr>
            <w:tcW w:w="821" w:type="dxa"/>
            <w:tcBorders>
              <w:top w:val="single" w:color="auto" w:sz="4" w:space="0"/>
              <w:left w:val="single" w:color="auto" w:sz="4" w:space="0"/>
              <w:bottom w:val="single" w:color="auto" w:sz="4" w:space="0"/>
              <w:right w:val="single" w:color="auto" w:sz="4" w:space="0"/>
            </w:tcBorders>
            <w:vAlign w:val="center"/>
          </w:tcPr>
          <w:p w14:paraId="5388D0F1">
            <w:pPr>
              <w:spacing w:after="0" w:line="360" w:lineRule="auto"/>
              <w:jc w:val="center"/>
              <w:rPr>
                <w:color w:val="auto"/>
                <w:szCs w:val="21"/>
                <w:highlight w:val="none"/>
              </w:rPr>
            </w:pPr>
            <w:r>
              <w:rPr>
                <w:color w:val="auto"/>
                <w:szCs w:val="21"/>
                <w:highlight w:val="none"/>
              </w:rPr>
              <w:t>3</w:t>
            </w:r>
          </w:p>
        </w:tc>
      </w:tr>
      <w:tr w14:paraId="61B5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150" w:type="dxa"/>
            <w:vMerge w:val="continue"/>
            <w:tcBorders>
              <w:left w:val="single" w:color="auto" w:sz="4" w:space="0"/>
              <w:right w:val="single" w:color="auto" w:sz="4" w:space="0"/>
            </w:tcBorders>
            <w:vAlign w:val="center"/>
          </w:tcPr>
          <w:p w14:paraId="07F83F99">
            <w:pPr>
              <w:spacing w:after="0" w:line="360" w:lineRule="auto"/>
              <w:jc w:val="center"/>
              <w:rPr>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p w14:paraId="59AC95F7">
            <w:pPr>
              <w:spacing w:after="0" w:line="360" w:lineRule="auto"/>
              <w:rPr>
                <w:color w:val="auto"/>
                <w:szCs w:val="21"/>
                <w:highlight w:val="none"/>
              </w:rPr>
            </w:pPr>
            <w:r>
              <w:rPr>
                <w:color w:val="auto"/>
                <w:szCs w:val="21"/>
                <w:highlight w:val="none"/>
              </w:rPr>
              <w:t>投标人具有有效的质量管理体系认证证书、环境管理体系认证证书、职业健康安全管理体系认证</w:t>
            </w:r>
            <w:r>
              <w:rPr>
                <w:color w:val="auto"/>
                <w:szCs w:val="21"/>
                <w:highlight w:val="none"/>
                <w:lang w:eastAsia="zh-Hans"/>
              </w:rPr>
              <w:t>证书</w:t>
            </w:r>
            <w:r>
              <w:rPr>
                <w:color w:val="auto"/>
                <w:szCs w:val="21"/>
                <w:highlight w:val="none"/>
              </w:rPr>
              <w:t>、</w:t>
            </w:r>
            <w:r>
              <w:rPr>
                <w:color w:val="auto"/>
                <w:szCs w:val="21"/>
                <w:highlight w:val="none"/>
                <w:lang w:eastAsia="zh-Hans"/>
              </w:rPr>
              <w:t>信息安全管理体系认证证书、信息技术服务管理体系认证证书</w:t>
            </w:r>
            <w:r>
              <w:rPr>
                <w:color w:val="auto"/>
                <w:szCs w:val="21"/>
                <w:highlight w:val="none"/>
              </w:rPr>
              <w:t>、ITSS信息技术服务标准体系认证三级及以上认证证书，每获得一本证书得0.5分，最高得3分；</w:t>
            </w:r>
          </w:p>
        </w:tc>
        <w:tc>
          <w:tcPr>
            <w:tcW w:w="821" w:type="dxa"/>
            <w:tcBorders>
              <w:top w:val="single" w:color="auto" w:sz="4" w:space="0"/>
              <w:left w:val="single" w:color="auto" w:sz="4" w:space="0"/>
              <w:bottom w:val="single" w:color="auto" w:sz="4" w:space="0"/>
              <w:right w:val="single" w:color="auto" w:sz="4" w:space="0"/>
            </w:tcBorders>
            <w:vAlign w:val="center"/>
          </w:tcPr>
          <w:p w14:paraId="4D020636">
            <w:pPr>
              <w:spacing w:after="0" w:line="360" w:lineRule="auto"/>
              <w:jc w:val="center"/>
              <w:rPr>
                <w:color w:val="auto"/>
                <w:szCs w:val="21"/>
                <w:highlight w:val="none"/>
                <w:lang w:val="zh-CN"/>
              </w:rPr>
            </w:pPr>
            <w:r>
              <w:rPr>
                <w:color w:val="auto"/>
                <w:szCs w:val="21"/>
                <w:highlight w:val="none"/>
              </w:rPr>
              <w:t>3</w:t>
            </w:r>
          </w:p>
        </w:tc>
      </w:tr>
      <w:tr w14:paraId="7C1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150" w:type="dxa"/>
            <w:vMerge w:val="restart"/>
            <w:tcBorders>
              <w:top w:val="single" w:color="auto" w:sz="4" w:space="0"/>
              <w:left w:val="single" w:color="auto" w:sz="4" w:space="0"/>
              <w:right w:val="single" w:color="auto" w:sz="4" w:space="0"/>
            </w:tcBorders>
            <w:vAlign w:val="center"/>
          </w:tcPr>
          <w:p w14:paraId="7E53685A">
            <w:pPr>
              <w:spacing w:after="0" w:line="360" w:lineRule="auto"/>
              <w:jc w:val="center"/>
              <w:rPr>
                <w:color w:val="auto"/>
                <w:szCs w:val="21"/>
                <w:highlight w:val="none"/>
                <w:lang w:eastAsia="zh-Hans"/>
              </w:rPr>
            </w:pPr>
            <w:r>
              <w:rPr>
                <w:color w:val="auto"/>
                <w:szCs w:val="21"/>
                <w:highlight w:val="none"/>
              </w:rPr>
              <w:t>质量保证</w:t>
            </w:r>
            <w:r>
              <w:rPr>
                <w:color w:val="auto"/>
                <w:szCs w:val="21"/>
                <w:highlight w:val="none"/>
                <w:lang w:eastAsia="zh-Hans"/>
              </w:rPr>
              <w:t>与</w:t>
            </w:r>
          </w:p>
          <w:p w14:paraId="60D73922">
            <w:pPr>
              <w:spacing w:after="0" w:line="360" w:lineRule="auto"/>
              <w:jc w:val="center"/>
              <w:rPr>
                <w:color w:val="auto"/>
                <w:szCs w:val="21"/>
                <w:highlight w:val="none"/>
              </w:rPr>
            </w:pPr>
            <w:r>
              <w:rPr>
                <w:color w:val="auto"/>
                <w:szCs w:val="21"/>
                <w:highlight w:val="none"/>
                <w:lang w:eastAsia="zh-Hans"/>
              </w:rPr>
              <w:t>质量控制</w:t>
            </w:r>
          </w:p>
        </w:tc>
        <w:tc>
          <w:tcPr>
            <w:tcW w:w="6501" w:type="dxa"/>
            <w:tcBorders>
              <w:top w:val="single" w:color="auto" w:sz="4" w:space="0"/>
              <w:left w:val="single" w:color="auto" w:sz="4" w:space="0"/>
              <w:bottom w:val="single" w:color="auto" w:sz="4" w:space="0"/>
              <w:right w:val="single" w:color="auto" w:sz="4" w:space="0"/>
            </w:tcBorders>
            <w:vAlign w:val="center"/>
          </w:tcPr>
          <w:p w14:paraId="3BB7B1AE">
            <w:pPr>
              <w:spacing w:after="0" w:line="360" w:lineRule="auto"/>
              <w:rPr>
                <w:color w:val="auto"/>
                <w:szCs w:val="21"/>
                <w:highlight w:val="none"/>
              </w:rPr>
            </w:pPr>
            <w:r>
              <w:rPr>
                <w:color w:val="auto"/>
                <w:szCs w:val="21"/>
                <w:highlight w:val="none"/>
              </w:rPr>
              <w:t>投标人应建立完善的质量保证和质量控制体系，制定相应的质控措施：质量保证和质量控制体系完善，并对应制定了详实可行的质控措施，得2.1-3分；</w:t>
            </w:r>
          </w:p>
          <w:p w14:paraId="1128425F">
            <w:pPr>
              <w:spacing w:after="0" w:line="360" w:lineRule="auto"/>
              <w:rPr>
                <w:color w:val="auto"/>
                <w:szCs w:val="21"/>
                <w:highlight w:val="none"/>
              </w:rPr>
            </w:pPr>
            <w:r>
              <w:rPr>
                <w:color w:val="auto"/>
                <w:szCs w:val="21"/>
                <w:highlight w:val="none"/>
              </w:rPr>
              <w:t>保证和质量控制体系较完善，并对应制定了较为详实可行的质控措施，得1.1-2分</w:t>
            </w:r>
          </w:p>
          <w:p w14:paraId="5086E80A">
            <w:pPr>
              <w:spacing w:after="0" w:line="360" w:lineRule="auto"/>
              <w:rPr>
                <w:color w:val="auto"/>
                <w:highlight w:val="none"/>
                <w:lang w:val="zh-CN"/>
              </w:rPr>
            </w:pPr>
            <w:r>
              <w:rPr>
                <w:color w:val="auto"/>
                <w:szCs w:val="21"/>
                <w:highlight w:val="none"/>
              </w:rPr>
              <w:t>质量保证和质量控制体系不太完善，制定了一定的质控措施，得0-1分；</w:t>
            </w:r>
            <w:bookmarkStart w:id="54" w:name="_GoBack"/>
            <w:bookmarkEnd w:id="54"/>
          </w:p>
        </w:tc>
        <w:tc>
          <w:tcPr>
            <w:tcW w:w="821" w:type="dxa"/>
            <w:tcBorders>
              <w:top w:val="single" w:color="auto" w:sz="4" w:space="0"/>
              <w:left w:val="single" w:color="auto" w:sz="4" w:space="0"/>
              <w:bottom w:val="single" w:color="auto" w:sz="4" w:space="0"/>
              <w:right w:val="single" w:color="auto" w:sz="4" w:space="0"/>
            </w:tcBorders>
            <w:vAlign w:val="center"/>
          </w:tcPr>
          <w:p w14:paraId="6280A3F1">
            <w:pPr>
              <w:spacing w:after="0" w:line="360" w:lineRule="auto"/>
              <w:jc w:val="center"/>
              <w:rPr>
                <w:color w:val="auto"/>
                <w:szCs w:val="21"/>
                <w:highlight w:val="none"/>
              </w:rPr>
            </w:pPr>
            <w:r>
              <w:rPr>
                <w:color w:val="auto"/>
                <w:szCs w:val="21"/>
                <w:highlight w:val="none"/>
              </w:rPr>
              <w:t>3</w:t>
            </w:r>
          </w:p>
        </w:tc>
      </w:tr>
      <w:tr w14:paraId="4580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150" w:type="dxa"/>
            <w:vMerge w:val="continue"/>
            <w:tcBorders>
              <w:left w:val="single" w:color="auto" w:sz="4" w:space="0"/>
              <w:right w:val="single" w:color="auto" w:sz="4" w:space="0"/>
            </w:tcBorders>
            <w:vAlign w:val="center"/>
          </w:tcPr>
          <w:p w14:paraId="31645045">
            <w:pPr>
              <w:spacing w:after="0" w:line="360" w:lineRule="auto"/>
              <w:jc w:val="center"/>
              <w:rPr>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p w14:paraId="706841CD">
            <w:pPr>
              <w:spacing w:after="0" w:line="360" w:lineRule="auto"/>
              <w:rPr>
                <w:color w:val="auto"/>
                <w:szCs w:val="21"/>
                <w:highlight w:val="none"/>
              </w:rPr>
            </w:pPr>
            <w:r>
              <w:rPr>
                <w:color w:val="auto"/>
                <w:szCs w:val="21"/>
                <w:highlight w:val="none"/>
              </w:rPr>
              <w:t>为保障颗粒物及臭氧重污染事件的应急保障能力，投标人需具有：</w:t>
            </w:r>
          </w:p>
          <w:p w14:paraId="6AB15466">
            <w:pPr>
              <w:numPr>
                <w:ilvl w:val="0"/>
                <w:numId w:val="3"/>
              </w:numPr>
              <w:spacing w:after="0" w:line="360" w:lineRule="auto"/>
              <w:rPr>
                <w:color w:val="auto"/>
                <w:szCs w:val="21"/>
                <w:highlight w:val="none"/>
              </w:rPr>
            </w:pPr>
            <w:r>
              <w:rPr>
                <w:color w:val="auto"/>
                <w:szCs w:val="21"/>
                <w:highlight w:val="none"/>
              </w:rPr>
              <w:t>走航监测车</w:t>
            </w:r>
          </w:p>
          <w:p w14:paraId="2FFFC1DF">
            <w:pPr>
              <w:numPr>
                <w:ilvl w:val="0"/>
                <w:numId w:val="3"/>
              </w:numPr>
              <w:spacing w:after="0" w:line="360" w:lineRule="auto"/>
              <w:rPr>
                <w:color w:val="auto"/>
                <w:szCs w:val="21"/>
                <w:highlight w:val="none"/>
              </w:rPr>
            </w:pPr>
            <w:r>
              <w:rPr>
                <w:color w:val="auto"/>
                <w:szCs w:val="21"/>
                <w:highlight w:val="none"/>
              </w:rPr>
              <w:t>便携式颗粒物激光雷达</w:t>
            </w:r>
          </w:p>
          <w:p w14:paraId="01BD424F">
            <w:pPr>
              <w:numPr>
                <w:ilvl w:val="0"/>
                <w:numId w:val="3"/>
              </w:numPr>
              <w:spacing w:after="0" w:line="360" w:lineRule="auto"/>
              <w:rPr>
                <w:color w:val="auto"/>
                <w:szCs w:val="21"/>
                <w:highlight w:val="none"/>
              </w:rPr>
            </w:pPr>
            <w:r>
              <w:rPr>
                <w:color w:val="auto"/>
                <w:szCs w:val="21"/>
                <w:highlight w:val="none"/>
              </w:rPr>
              <w:t>承诺提供应急服务</w:t>
            </w:r>
          </w:p>
          <w:p w14:paraId="54A59050">
            <w:pPr>
              <w:spacing w:after="0" w:line="360" w:lineRule="auto"/>
              <w:rPr>
                <w:color w:val="auto"/>
                <w:szCs w:val="21"/>
                <w:highlight w:val="none"/>
              </w:rPr>
            </w:pPr>
            <w:r>
              <w:rPr>
                <w:color w:val="auto"/>
                <w:szCs w:val="21"/>
                <w:highlight w:val="none"/>
              </w:rPr>
              <w:t>该项总计6分，每缺少一项减2分。（提供相关证明文件，包括设备、车辆等购置发票、设备照片等）</w:t>
            </w:r>
          </w:p>
        </w:tc>
        <w:tc>
          <w:tcPr>
            <w:tcW w:w="821" w:type="dxa"/>
            <w:tcBorders>
              <w:top w:val="single" w:color="auto" w:sz="4" w:space="0"/>
              <w:left w:val="single" w:color="auto" w:sz="4" w:space="0"/>
              <w:bottom w:val="single" w:color="auto" w:sz="4" w:space="0"/>
              <w:right w:val="single" w:color="auto" w:sz="4" w:space="0"/>
            </w:tcBorders>
            <w:vAlign w:val="center"/>
          </w:tcPr>
          <w:p w14:paraId="6E9E2F12">
            <w:pPr>
              <w:spacing w:after="0" w:line="360" w:lineRule="auto"/>
              <w:jc w:val="center"/>
              <w:rPr>
                <w:color w:val="auto"/>
                <w:szCs w:val="21"/>
                <w:highlight w:val="none"/>
              </w:rPr>
            </w:pPr>
            <w:r>
              <w:rPr>
                <w:color w:val="auto"/>
                <w:szCs w:val="21"/>
                <w:highlight w:val="none"/>
              </w:rPr>
              <w:t>6</w:t>
            </w:r>
          </w:p>
        </w:tc>
      </w:tr>
      <w:tr w14:paraId="4F64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150" w:type="dxa"/>
            <w:vMerge w:val="continue"/>
            <w:tcBorders>
              <w:left w:val="single" w:color="auto" w:sz="4" w:space="0"/>
              <w:right w:val="single" w:color="auto" w:sz="4" w:space="0"/>
            </w:tcBorders>
            <w:vAlign w:val="center"/>
          </w:tcPr>
          <w:p w14:paraId="738031C5">
            <w:pPr>
              <w:spacing w:after="0" w:line="360" w:lineRule="auto"/>
              <w:jc w:val="center"/>
              <w:rPr>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p w14:paraId="18025864">
            <w:pPr>
              <w:spacing w:after="0" w:line="360" w:lineRule="auto"/>
              <w:rPr>
                <w:color w:val="auto"/>
                <w:szCs w:val="21"/>
                <w:highlight w:val="none"/>
                <w:lang w:val="zh-CN"/>
              </w:rPr>
            </w:pPr>
            <w:r>
              <w:rPr>
                <w:color w:val="auto"/>
                <w:szCs w:val="21"/>
                <w:highlight w:val="none"/>
              </w:rPr>
              <w:t>投标人具有自主或控股的CMA实验室，检测能力覆盖</w:t>
            </w:r>
            <w:r>
              <w:rPr>
                <w:color w:val="auto"/>
                <w:szCs w:val="21"/>
                <w:highlight w:val="none"/>
                <w:lang w:eastAsia="zh-Hans"/>
              </w:rPr>
              <w:t>本项目所有监测参数</w:t>
            </w:r>
            <w:r>
              <w:rPr>
                <w:color w:val="auto"/>
                <w:szCs w:val="21"/>
                <w:highlight w:val="none"/>
              </w:rPr>
              <w:t>的得</w:t>
            </w:r>
            <w:r>
              <w:rPr>
                <w:rFonts w:hint="eastAsia"/>
                <w:color w:val="auto"/>
                <w:szCs w:val="21"/>
                <w:highlight w:val="none"/>
                <w:lang w:val="en-US" w:eastAsia="zh-CN"/>
              </w:rPr>
              <w:t>4</w:t>
            </w:r>
            <w:r>
              <w:rPr>
                <w:color w:val="auto"/>
                <w:szCs w:val="21"/>
                <w:highlight w:val="none"/>
              </w:rPr>
              <w:t>分。</w:t>
            </w:r>
            <w:r>
              <w:rPr>
                <w:color w:val="auto"/>
                <w:szCs w:val="21"/>
                <w:highlight w:val="none"/>
                <w:lang w:val="zh-CN"/>
              </w:rPr>
              <w:t>（</w:t>
            </w:r>
            <w:r>
              <w:rPr>
                <w:color w:val="auto"/>
                <w:szCs w:val="21"/>
                <w:highlight w:val="none"/>
              </w:rPr>
              <w:t>提供相应原件扫描证明文件加盖单位公章</w:t>
            </w:r>
            <w:r>
              <w:rPr>
                <w:color w:val="auto"/>
                <w:szCs w:val="21"/>
                <w:highlight w:val="none"/>
                <w:lang w:val="zh-CN"/>
              </w:rPr>
              <w:t>）</w:t>
            </w:r>
          </w:p>
        </w:tc>
        <w:tc>
          <w:tcPr>
            <w:tcW w:w="821" w:type="dxa"/>
            <w:tcBorders>
              <w:top w:val="single" w:color="auto" w:sz="4" w:space="0"/>
              <w:left w:val="single" w:color="auto" w:sz="4" w:space="0"/>
              <w:bottom w:val="single" w:color="auto" w:sz="4" w:space="0"/>
              <w:right w:val="single" w:color="auto" w:sz="4" w:space="0"/>
            </w:tcBorders>
            <w:vAlign w:val="center"/>
          </w:tcPr>
          <w:p w14:paraId="2D05B7B1">
            <w:pPr>
              <w:spacing w:after="0" w:line="360" w:lineRule="auto"/>
              <w:jc w:val="center"/>
              <w:rPr>
                <w:rFonts w:hint="eastAsia" w:eastAsia="宋体"/>
                <w:color w:val="auto"/>
                <w:szCs w:val="21"/>
                <w:highlight w:val="none"/>
                <w:lang w:eastAsia="zh-CN"/>
              </w:rPr>
            </w:pPr>
            <w:r>
              <w:rPr>
                <w:rFonts w:hint="eastAsia"/>
                <w:color w:val="auto"/>
                <w:szCs w:val="21"/>
                <w:highlight w:val="none"/>
                <w:lang w:val="en-US" w:eastAsia="zh-CN"/>
              </w:rPr>
              <w:t>4</w:t>
            </w:r>
          </w:p>
        </w:tc>
      </w:tr>
      <w:tr w14:paraId="79BB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50" w:type="dxa"/>
            <w:vMerge w:val="restart"/>
            <w:tcBorders>
              <w:left w:val="single" w:color="auto" w:sz="4" w:space="0"/>
              <w:right w:val="single" w:color="auto" w:sz="4" w:space="0"/>
            </w:tcBorders>
            <w:vAlign w:val="center"/>
          </w:tcPr>
          <w:p w14:paraId="672A146F">
            <w:pPr>
              <w:spacing w:after="0" w:line="360" w:lineRule="auto"/>
              <w:jc w:val="center"/>
              <w:rPr>
                <w:color w:val="auto"/>
                <w:szCs w:val="21"/>
                <w:highlight w:val="none"/>
              </w:rPr>
            </w:pPr>
            <w:r>
              <w:rPr>
                <w:color w:val="auto"/>
                <w:szCs w:val="21"/>
                <w:highlight w:val="none"/>
              </w:rPr>
              <w:t>服务保障</w:t>
            </w:r>
            <w:r>
              <w:rPr>
                <w:color w:val="auto"/>
                <w:szCs w:val="21"/>
                <w:highlight w:val="none"/>
                <w:lang w:eastAsia="zh-Hans"/>
              </w:rPr>
              <w:t>与技术支持</w:t>
            </w:r>
          </w:p>
        </w:tc>
        <w:tc>
          <w:tcPr>
            <w:tcW w:w="6501" w:type="dxa"/>
            <w:tcBorders>
              <w:top w:val="single" w:color="auto" w:sz="4" w:space="0"/>
              <w:left w:val="single" w:color="auto" w:sz="4" w:space="0"/>
              <w:bottom w:val="single" w:color="auto" w:sz="4" w:space="0"/>
              <w:right w:val="single" w:color="auto" w:sz="4" w:space="0"/>
            </w:tcBorders>
            <w:vAlign w:val="center"/>
          </w:tcPr>
          <w:p w14:paraId="545EDD9C">
            <w:pPr>
              <w:spacing w:after="0" w:line="360" w:lineRule="auto"/>
              <w:rPr>
                <w:color w:val="auto"/>
                <w:szCs w:val="21"/>
                <w:highlight w:val="none"/>
                <w:lang w:val="zh-CN"/>
              </w:rPr>
            </w:pPr>
            <w:r>
              <w:rPr>
                <w:color w:val="auto"/>
                <w:szCs w:val="21"/>
                <w:highlight w:val="none"/>
                <w:lang w:val="zh-CN"/>
              </w:rPr>
              <w:t>运维服务条款响应情况：</w:t>
            </w:r>
          </w:p>
          <w:p w14:paraId="56688A1B">
            <w:pPr>
              <w:spacing w:after="0" w:line="360" w:lineRule="auto"/>
              <w:rPr>
                <w:color w:val="auto"/>
                <w:szCs w:val="21"/>
                <w:highlight w:val="none"/>
                <w:lang w:val="zh-CN"/>
              </w:rPr>
            </w:pPr>
            <w:r>
              <w:rPr>
                <w:color w:val="auto"/>
                <w:szCs w:val="21"/>
                <w:highlight w:val="none"/>
              </w:rPr>
              <w:t>根据投标人提供的文件，</w:t>
            </w:r>
            <w:r>
              <w:rPr>
                <w:color w:val="auto"/>
                <w:szCs w:val="21"/>
                <w:highlight w:val="none"/>
                <w:lang w:val="zh-CN"/>
              </w:rPr>
              <w:t>完全满足</w:t>
            </w:r>
            <w:r>
              <w:rPr>
                <w:color w:val="auto"/>
                <w:szCs w:val="21"/>
                <w:highlight w:val="none"/>
              </w:rPr>
              <w:t>项目需求</w:t>
            </w:r>
            <w:r>
              <w:rPr>
                <w:color w:val="auto"/>
                <w:szCs w:val="21"/>
                <w:highlight w:val="none"/>
                <w:lang w:val="zh-CN"/>
              </w:rPr>
              <w:t>的得</w:t>
            </w:r>
            <w:r>
              <w:rPr>
                <w:rFonts w:hint="eastAsia"/>
                <w:color w:val="auto"/>
                <w:szCs w:val="21"/>
                <w:highlight w:val="none"/>
              </w:rPr>
              <w:t>4.1</w:t>
            </w:r>
            <w:r>
              <w:rPr>
                <w:color w:val="auto"/>
                <w:szCs w:val="21"/>
                <w:highlight w:val="none"/>
              </w:rPr>
              <w:t>-6</w:t>
            </w:r>
            <w:r>
              <w:rPr>
                <w:color w:val="auto"/>
                <w:szCs w:val="21"/>
                <w:highlight w:val="none"/>
                <w:lang w:val="zh-CN"/>
              </w:rPr>
              <w:t>分；</w:t>
            </w:r>
          </w:p>
          <w:p w14:paraId="0386FEE3">
            <w:pPr>
              <w:pStyle w:val="13"/>
              <w:rPr>
                <w:color w:val="auto"/>
                <w:szCs w:val="21"/>
                <w:highlight w:val="none"/>
              </w:rPr>
            </w:pPr>
            <w:r>
              <w:rPr>
                <w:color w:val="auto"/>
                <w:szCs w:val="21"/>
                <w:highlight w:val="none"/>
              </w:rPr>
              <w:t>根据投标人提供的文件，较为满足项目需求的得</w:t>
            </w:r>
            <w:r>
              <w:rPr>
                <w:rFonts w:hint="eastAsia"/>
                <w:color w:val="auto"/>
                <w:szCs w:val="21"/>
                <w:highlight w:val="none"/>
              </w:rPr>
              <w:t>2.1</w:t>
            </w:r>
            <w:r>
              <w:rPr>
                <w:color w:val="auto"/>
                <w:szCs w:val="21"/>
                <w:highlight w:val="none"/>
              </w:rPr>
              <w:t>-4分；</w:t>
            </w:r>
          </w:p>
          <w:p w14:paraId="6CECEC1B">
            <w:pPr>
              <w:pStyle w:val="13"/>
              <w:rPr>
                <w:color w:val="auto"/>
                <w:szCs w:val="21"/>
                <w:highlight w:val="none"/>
              </w:rPr>
            </w:pPr>
            <w:r>
              <w:rPr>
                <w:color w:val="auto"/>
                <w:szCs w:val="21"/>
                <w:highlight w:val="none"/>
              </w:rPr>
              <w:t>根据投标人提供的文件，不太能满足项目需求的得0-2分</w:t>
            </w:r>
          </w:p>
        </w:tc>
        <w:tc>
          <w:tcPr>
            <w:tcW w:w="821" w:type="dxa"/>
            <w:tcBorders>
              <w:top w:val="single" w:color="auto" w:sz="4" w:space="0"/>
              <w:left w:val="single" w:color="auto" w:sz="4" w:space="0"/>
              <w:bottom w:val="single" w:color="auto" w:sz="4" w:space="0"/>
              <w:right w:val="single" w:color="auto" w:sz="4" w:space="0"/>
            </w:tcBorders>
            <w:vAlign w:val="center"/>
          </w:tcPr>
          <w:p w14:paraId="582AB700">
            <w:pPr>
              <w:spacing w:after="0" w:line="360" w:lineRule="auto"/>
              <w:jc w:val="center"/>
              <w:rPr>
                <w:color w:val="auto"/>
                <w:szCs w:val="21"/>
                <w:highlight w:val="none"/>
              </w:rPr>
            </w:pPr>
            <w:r>
              <w:rPr>
                <w:color w:val="auto"/>
                <w:szCs w:val="21"/>
                <w:highlight w:val="none"/>
              </w:rPr>
              <w:t>6</w:t>
            </w:r>
          </w:p>
        </w:tc>
      </w:tr>
      <w:tr w14:paraId="46C2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50" w:type="dxa"/>
            <w:vMerge w:val="continue"/>
            <w:tcBorders>
              <w:left w:val="single" w:color="auto" w:sz="4" w:space="0"/>
              <w:right w:val="single" w:color="auto" w:sz="4" w:space="0"/>
            </w:tcBorders>
            <w:vAlign w:val="center"/>
          </w:tcPr>
          <w:p w14:paraId="25E2E90D">
            <w:pPr>
              <w:spacing w:after="0" w:line="360" w:lineRule="auto"/>
              <w:jc w:val="center"/>
              <w:rPr>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shd w:val="clear" w:color="auto" w:fill="auto"/>
            <w:vAlign w:val="center"/>
          </w:tcPr>
          <w:p w14:paraId="0D135DC9">
            <w:pPr>
              <w:spacing w:after="0" w:line="360" w:lineRule="auto"/>
              <w:rPr>
                <w:color w:val="auto"/>
                <w:szCs w:val="21"/>
                <w:highlight w:val="none"/>
              </w:rPr>
            </w:pPr>
            <w:r>
              <w:rPr>
                <w:color w:val="auto"/>
                <w:szCs w:val="21"/>
                <w:highlight w:val="none"/>
              </w:rPr>
              <w:t>投标人具有一定城市环境空气分析能力，有重大会议或赛事保障经验的得</w:t>
            </w:r>
            <w:r>
              <w:rPr>
                <w:rFonts w:hint="eastAsia"/>
                <w:color w:val="auto"/>
                <w:szCs w:val="21"/>
                <w:highlight w:val="none"/>
              </w:rPr>
              <w:t>4</w:t>
            </w:r>
            <w:r>
              <w:rPr>
                <w:color w:val="auto"/>
                <w:szCs w:val="21"/>
                <w:highlight w:val="none"/>
              </w:rPr>
              <w:t>分，提供合同复印件，否则不得分。</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B019521">
            <w:pPr>
              <w:spacing w:after="0" w:line="360" w:lineRule="auto"/>
              <w:jc w:val="center"/>
              <w:rPr>
                <w:rFonts w:hint="eastAsia"/>
                <w:color w:val="auto"/>
                <w:szCs w:val="21"/>
                <w:highlight w:val="none"/>
              </w:rPr>
            </w:pPr>
            <w:r>
              <w:rPr>
                <w:rFonts w:hint="eastAsia"/>
                <w:color w:val="auto"/>
                <w:szCs w:val="21"/>
                <w:highlight w:val="none"/>
              </w:rPr>
              <w:t>4</w:t>
            </w:r>
          </w:p>
        </w:tc>
      </w:tr>
      <w:tr w14:paraId="1EF4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jc w:val="center"/>
        </w:trPr>
        <w:tc>
          <w:tcPr>
            <w:tcW w:w="1150" w:type="dxa"/>
            <w:tcBorders>
              <w:left w:val="single" w:color="auto" w:sz="4" w:space="0"/>
              <w:right w:val="single" w:color="auto" w:sz="4" w:space="0"/>
            </w:tcBorders>
            <w:vAlign w:val="center"/>
          </w:tcPr>
          <w:p w14:paraId="3B443DE2">
            <w:pPr>
              <w:spacing w:after="0" w:line="360" w:lineRule="auto"/>
              <w:jc w:val="center"/>
              <w:rPr>
                <w:color w:val="auto"/>
                <w:szCs w:val="21"/>
                <w:highlight w:val="none"/>
              </w:rPr>
            </w:pPr>
            <w:r>
              <w:rPr>
                <w:color w:val="auto"/>
                <w:szCs w:val="21"/>
                <w:highlight w:val="none"/>
              </w:rPr>
              <w:t>人员</w:t>
            </w:r>
            <w:r>
              <w:rPr>
                <w:color w:val="auto"/>
                <w:szCs w:val="21"/>
                <w:highlight w:val="none"/>
                <w:lang w:eastAsia="zh-Hans"/>
              </w:rPr>
              <w:t>及车辆</w:t>
            </w:r>
            <w:r>
              <w:rPr>
                <w:color w:val="auto"/>
                <w:szCs w:val="21"/>
                <w:highlight w:val="none"/>
              </w:rPr>
              <w:t>配置</w:t>
            </w:r>
          </w:p>
        </w:tc>
        <w:tc>
          <w:tcPr>
            <w:tcW w:w="6501" w:type="dxa"/>
            <w:tcBorders>
              <w:top w:val="single" w:color="auto" w:sz="4" w:space="0"/>
              <w:left w:val="single" w:color="auto" w:sz="4" w:space="0"/>
              <w:bottom w:val="single" w:color="auto" w:sz="4" w:space="0"/>
              <w:right w:val="single" w:color="auto" w:sz="4" w:space="0"/>
            </w:tcBorders>
            <w:vAlign w:val="center"/>
          </w:tcPr>
          <w:p w14:paraId="4406DBD8">
            <w:pPr>
              <w:spacing w:after="0" w:line="360" w:lineRule="auto"/>
              <w:rPr>
                <w:color w:val="auto"/>
                <w:szCs w:val="21"/>
                <w:highlight w:val="none"/>
              </w:rPr>
            </w:pPr>
            <w:r>
              <w:rPr>
                <w:color w:val="auto"/>
                <w:szCs w:val="21"/>
                <w:highlight w:val="none"/>
              </w:rPr>
              <w:t>1、项目负责人同时具有正高级职称和注册环保工程师的得4分，每缺少一项证书减2分；</w:t>
            </w:r>
          </w:p>
          <w:p w14:paraId="562CD804">
            <w:pPr>
              <w:spacing w:after="0" w:line="360" w:lineRule="auto"/>
              <w:rPr>
                <w:color w:val="auto"/>
                <w:szCs w:val="21"/>
                <w:highlight w:val="none"/>
              </w:rPr>
            </w:pPr>
            <w:r>
              <w:rPr>
                <w:color w:val="auto"/>
                <w:szCs w:val="21"/>
                <w:highlight w:val="none"/>
              </w:rPr>
              <w:t>2、项目组成员（除项目负责人）中具有环境工程类专业人员，且同时具有副高级及以上职称和注册环保工程师的每人得3分，本项最多得6分；</w:t>
            </w:r>
          </w:p>
          <w:p w14:paraId="1167F689">
            <w:pPr>
              <w:spacing w:after="0" w:line="360" w:lineRule="auto"/>
              <w:rPr>
                <w:color w:val="auto"/>
                <w:szCs w:val="21"/>
                <w:highlight w:val="none"/>
              </w:rPr>
            </w:pPr>
            <w:r>
              <w:rPr>
                <w:color w:val="auto"/>
                <w:szCs w:val="21"/>
                <w:highlight w:val="none"/>
              </w:rPr>
              <w:t>3、项目组成员（除项目负责人）中具有环保部门颁发的运维上岗证的，每个得2分，本项最多得4分。</w:t>
            </w:r>
          </w:p>
          <w:p w14:paraId="5C699A85">
            <w:pPr>
              <w:spacing w:after="0" w:line="360" w:lineRule="auto"/>
              <w:rPr>
                <w:color w:val="auto"/>
                <w:szCs w:val="21"/>
                <w:highlight w:val="none"/>
                <w:lang w:val="zh-CN"/>
              </w:rPr>
            </w:pPr>
            <w:r>
              <w:rPr>
                <w:color w:val="auto"/>
                <w:szCs w:val="21"/>
                <w:highlight w:val="none"/>
              </w:rPr>
              <w:t>（以上各项需提供相关证书扫描件及人社部门近1个月内出具（打印/下载）的在投标单位的社保材料，否则不得分）</w:t>
            </w:r>
          </w:p>
          <w:p w14:paraId="5A59B55C">
            <w:pPr>
              <w:spacing w:after="0" w:line="360" w:lineRule="auto"/>
              <w:rPr>
                <w:color w:val="auto"/>
                <w:szCs w:val="21"/>
                <w:highlight w:val="none"/>
                <w:lang w:val="zh-CN"/>
              </w:rPr>
            </w:pPr>
            <w:r>
              <w:rPr>
                <w:color w:val="auto"/>
                <w:szCs w:val="21"/>
                <w:highlight w:val="none"/>
              </w:rPr>
              <w:t>4、投标人运维车辆安排能否满足采购人要求工作内容。按标书要求承诺配备专用运维车辆，承诺配备1辆及以上得1分，无承诺函不得分。注:须提供车辆行驶证的扫描件(如为租赁车辆，须另外提供车辆租赁协议的扫描件)，否则不得分。</w:t>
            </w:r>
          </w:p>
        </w:tc>
        <w:tc>
          <w:tcPr>
            <w:tcW w:w="821" w:type="dxa"/>
            <w:tcBorders>
              <w:top w:val="single" w:color="auto" w:sz="4" w:space="0"/>
              <w:left w:val="single" w:color="auto" w:sz="4" w:space="0"/>
              <w:bottom w:val="single" w:color="auto" w:sz="4" w:space="0"/>
              <w:right w:val="single" w:color="auto" w:sz="4" w:space="0"/>
            </w:tcBorders>
            <w:vAlign w:val="center"/>
          </w:tcPr>
          <w:p w14:paraId="3E8F6A7B">
            <w:pPr>
              <w:spacing w:after="0" w:line="360" w:lineRule="auto"/>
              <w:jc w:val="center"/>
              <w:rPr>
                <w:color w:val="auto"/>
                <w:szCs w:val="21"/>
                <w:highlight w:val="none"/>
                <w:lang w:val="zh-CN"/>
              </w:rPr>
            </w:pPr>
            <w:r>
              <w:rPr>
                <w:color w:val="auto"/>
                <w:szCs w:val="21"/>
                <w:highlight w:val="none"/>
              </w:rPr>
              <w:t>15</w:t>
            </w:r>
          </w:p>
        </w:tc>
      </w:tr>
      <w:tr w14:paraId="1619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50" w:type="dxa"/>
            <w:tcBorders>
              <w:top w:val="single" w:color="auto" w:sz="4" w:space="0"/>
              <w:left w:val="single" w:color="auto" w:sz="4" w:space="0"/>
              <w:bottom w:val="single" w:color="auto" w:sz="4" w:space="0"/>
              <w:right w:val="single" w:color="auto" w:sz="4" w:space="0"/>
            </w:tcBorders>
            <w:vAlign w:val="center"/>
          </w:tcPr>
          <w:p w14:paraId="2F411168">
            <w:pPr>
              <w:spacing w:after="0" w:line="360" w:lineRule="auto"/>
              <w:jc w:val="center"/>
              <w:rPr>
                <w:color w:val="auto"/>
                <w:szCs w:val="21"/>
                <w:highlight w:val="none"/>
                <w:lang w:eastAsia="zh-Hans"/>
              </w:rPr>
            </w:pPr>
            <w:r>
              <w:rPr>
                <w:color w:val="auto"/>
                <w:szCs w:val="21"/>
                <w:highlight w:val="none"/>
                <w:lang w:eastAsia="zh-Hans"/>
              </w:rPr>
              <w:t>交接方案</w:t>
            </w:r>
          </w:p>
        </w:tc>
        <w:tc>
          <w:tcPr>
            <w:tcW w:w="6501" w:type="dxa"/>
            <w:tcBorders>
              <w:top w:val="single" w:color="auto" w:sz="4" w:space="0"/>
              <w:left w:val="single" w:color="auto" w:sz="4" w:space="0"/>
              <w:bottom w:val="single" w:color="auto" w:sz="4" w:space="0"/>
              <w:right w:val="single" w:color="auto" w:sz="4" w:space="0"/>
            </w:tcBorders>
            <w:vAlign w:val="center"/>
          </w:tcPr>
          <w:p w14:paraId="6E4589BC">
            <w:pPr>
              <w:spacing w:after="0" w:line="360" w:lineRule="auto"/>
              <w:rPr>
                <w:color w:val="auto"/>
                <w:szCs w:val="21"/>
                <w:highlight w:val="none"/>
              </w:rPr>
            </w:pPr>
            <w:r>
              <w:rPr>
                <w:color w:val="auto"/>
                <w:szCs w:val="21"/>
                <w:highlight w:val="none"/>
                <w:lang w:eastAsia="zh-Hans"/>
              </w:rPr>
              <w:t>根据投标人提供的进退场交接方案进行综合评分</w:t>
            </w:r>
            <w:r>
              <w:rPr>
                <w:color w:val="auto"/>
                <w:szCs w:val="21"/>
                <w:highlight w:val="none"/>
              </w:rPr>
              <w:t>：</w:t>
            </w:r>
          </w:p>
          <w:p w14:paraId="7CC1F205">
            <w:pPr>
              <w:pStyle w:val="13"/>
              <w:rPr>
                <w:color w:val="auto"/>
                <w:highlight w:val="none"/>
              </w:rPr>
            </w:pPr>
            <w:r>
              <w:rPr>
                <w:color w:val="auto"/>
                <w:highlight w:val="none"/>
              </w:rPr>
              <w:t>1.方案完整、合理、科学的，得2.1-</w:t>
            </w:r>
            <w:r>
              <w:rPr>
                <w:rFonts w:hint="eastAsia"/>
                <w:color w:val="auto"/>
                <w:highlight w:val="none"/>
              </w:rPr>
              <w:t>4</w:t>
            </w:r>
            <w:r>
              <w:rPr>
                <w:color w:val="auto"/>
                <w:highlight w:val="none"/>
              </w:rPr>
              <w:t>分；</w:t>
            </w:r>
          </w:p>
          <w:p w14:paraId="376EAC6B">
            <w:pPr>
              <w:pStyle w:val="13"/>
              <w:rPr>
                <w:color w:val="auto"/>
                <w:highlight w:val="none"/>
              </w:rPr>
            </w:pPr>
            <w:r>
              <w:rPr>
                <w:color w:val="auto"/>
                <w:highlight w:val="none"/>
              </w:rPr>
              <w:t>2.方案基本合理可行，得1.1-2分；</w:t>
            </w:r>
          </w:p>
          <w:p w14:paraId="2BD94F6D">
            <w:pPr>
              <w:pStyle w:val="13"/>
              <w:rPr>
                <w:color w:val="auto"/>
                <w:highlight w:val="none"/>
              </w:rPr>
            </w:pPr>
            <w:r>
              <w:rPr>
                <w:color w:val="auto"/>
                <w:highlight w:val="none"/>
              </w:rPr>
              <w:t>3.方案存在缺陷，得0-1分。</w:t>
            </w:r>
          </w:p>
        </w:tc>
        <w:tc>
          <w:tcPr>
            <w:tcW w:w="821" w:type="dxa"/>
            <w:tcBorders>
              <w:top w:val="single" w:color="auto" w:sz="4" w:space="0"/>
              <w:left w:val="single" w:color="auto" w:sz="4" w:space="0"/>
              <w:bottom w:val="single" w:color="auto" w:sz="4" w:space="0"/>
              <w:right w:val="single" w:color="auto" w:sz="4" w:space="0"/>
            </w:tcBorders>
            <w:vAlign w:val="center"/>
          </w:tcPr>
          <w:p w14:paraId="4AC8D82C">
            <w:pPr>
              <w:spacing w:after="0" w:line="360" w:lineRule="auto"/>
              <w:jc w:val="center"/>
              <w:rPr>
                <w:rFonts w:hint="eastAsia"/>
                <w:color w:val="auto"/>
                <w:szCs w:val="21"/>
                <w:highlight w:val="none"/>
              </w:rPr>
            </w:pPr>
            <w:r>
              <w:rPr>
                <w:rFonts w:hint="eastAsia"/>
                <w:color w:val="auto"/>
                <w:szCs w:val="21"/>
                <w:highlight w:val="none"/>
              </w:rPr>
              <w:t>4</w:t>
            </w:r>
          </w:p>
        </w:tc>
      </w:tr>
      <w:tr w14:paraId="17D6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0" w:type="dxa"/>
            <w:vMerge w:val="restart"/>
            <w:tcBorders>
              <w:top w:val="single" w:color="auto" w:sz="4" w:space="0"/>
              <w:left w:val="single" w:color="auto" w:sz="4" w:space="0"/>
              <w:right w:val="single" w:color="auto" w:sz="4" w:space="0"/>
            </w:tcBorders>
            <w:vAlign w:val="center"/>
          </w:tcPr>
          <w:p w14:paraId="7A9C5BCA">
            <w:pPr>
              <w:spacing w:after="0" w:line="360" w:lineRule="auto"/>
              <w:jc w:val="center"/>
              <w:rPr>
                <w:color w:val="auto"/>
                <w:szCs w:val="21"/>
                <w:highlight w:val="none"/>
              </w:rPr>
            </w:pPr>
            <w:r>
              <w:rPr>
                <w:color w:val="auto"/>
                <w:szCs w:val="21"/>
                <w:highlight w:val="none"/>
                <w:lang w:eastAsia="zh-Hans"/>
              </w:rPr>
              <w:t>服务方案</w:t>
            </w:r>
          </w:p>
        </w:tc>
        <w:tc>
          <w:tcPr>
            <w:tcW w:w="6501" w:type="dxa"/>
            <w:tcBorders>
              <w:top w:val="single" w:color="auto" w:sz="4" w:space="0"/>
              <w:left w:val="single" w:color="auto" w:sz="4" w:space="0"/>
              <w:bottom w:val="single" w:color="auto" w:sz="4" w:space="0"/>
              <w:right w:val="single" w:color="auto" w:sz="4" w:space="0"/>
            </w:tcBorders>
            <w:vAlign w:val="center"/>
          </w:tcPr>
          <w:p w14:paraId="5B7A3C02">
            <w:pPr>
              <w:spacing w:after="0" w:line="360" w:lineRule="auto"/>
              <w:rPr>
                <w:color w:val="auto"/>
                <w:szCs w:val="21"/>
                <w:highlight w:val="none"/>
              </w:rPr>
            </w:pPr>
            <w:r>
              <w:rPr>
                <w:color w:val="auto"/>
                <w:szCs w:val="21"/>
                <w:highlight w:val="none"/>
              </w:rPr>
              <w:t>对本项目运维内容现状的了解程度：</w:t>
            </w:r>
          </w:p>
          <w:p w14:paraId="7B5CFAA8">
            <w:pPr>
              <w:spacing w:after="0" w:line="360" w:lineRule="auto"/>
              <w:rPr>
                <w:color w:val="auto"/>
                <w:szCs w:val="21"/>
                <w:highlight w:val="none"/>
                <w:lang w:val="zh-CN"/>
              </w:rPr>
            </w:pPr>
            <w:r>
              <w:rPr>
                <w:color w:val="auto"/>
                <w:szCs w:val="21"/>
                <w:highlight w:val="none"/>
              </w:rPr>
              <w:t>根据投标人提供的文件，方案详实、内容完整、合理，得</w:t>
            </w:r>
            <w:r>
              <w:rPr>
                <w:rFonts w:hint="eastAsia"/>
                <w:color w:val="auto"/>
                <w:szCs w:val="21"/>
                <w:highlight w:val="none"/>
              </w:rPr>
              <w:t>2</w:t>
            </w:r>
            <w:r>
              <w:rPr>
                <w:color w:val="auto"/>
                <w:szCs w:val="21"/>
                <w:highlight w:val="none"/>
              </w:rPr>
              <w:t>.1-</w:t>
            </w:r>
            <w:r>
              <w:rPr>
                <w:rFonts w:hint="eastAsia"/>
                <w:color w:val="auto"/>
                <w:szCs w:val="21"/>
                <w:highlight w:val="none"/>
              </w:rPr>
              <w:t>4</w:t>
            </w:r>
            <w:r>
              <w:rPr>
                <w:color w:val="auto"/>
                <w:szCs w:val="21"/>
                <w:highlight w:val="none"/>
              </w:rPr>
              <w:t>分</w:t>
            </w:r>
            <w:r>
              <w:rPr>
                <w:color w:val="auto"/>
                <w:szCs w:val="21"/>
                <w:highlight w:val="none"/>
                <w:lang w:val="zh-CN"/>
              </w:rPr>
              <w:t>；</w:t>
            </w:r>
          </w:p>
          <w:p w14:paraId="3908E862">
            <w:pPr>
              <w:pStyle w:val="13"/>
              <w:rPr>
                <w:color w:val="auto"/>
                <w:szCs w:val="21"/>
                <w:highlight w:val="none"/>
              </w:rPr>
            </w:pPr>
            <w:r>
              <w:rPr>
                <w:color w:val="auto"/>
                <w:szCs w:val="21"/>
                <w:highlight w:val="none"/>
              </w:rPr>
              <w:t>根据投标人提供的文件，方案一般、内容常规、合理性一般，得1.1-2分；</w:t>
            </w:r>
          </w:p>
          <w:p w14:paraId="25C7BA11">
            <w:pPr>
              <w:pStyle w:val="13"/>
              <w:rPr>
                <w:color w:val="auto"/>
                <w:highlight w:val="none"/>
              </w:rPr>
            </w:pPr>
            <w:r>
              <w:rPr>
                <w:color w:val="auto"/>
                <w:szCs w:val="21"/>
                <w:highlight w:val="none"/>
              </w:rPr>
              <w:t>根据投标人提供的文件，方案粗糙、内容缺漏、合理性差，得0-1分；</w:t>
            </w:r>
          </w:p>
        </w:tc>
        <w:tc>
          <w:tcPr>
            <w:tcW w:w="821" w:type="dxa"/>
            <w:tcBorders>
              <w:top w:val="single" w:color="auto" w:sz="4" w:space="0"/>
              <w:left w:val="single" w:color="auto" w:sz="4" w:space="0"/>
              <w:bottom w:val="single" w:color="auto" w:sz="4" w:space="0"/>
              <w:right w:val="single" w:color="auto" w:sz="4" w:space="0"/>
            </w:tcBorders>
            <w:vAlign w:val="center"/>
          </w:tcPr>
          <w:p w14:paraId="7A39D612">
            <w:pPr>
              <w:spacing w:after="0" w:line="360" w:lineRule="auto"/>
              <w:jc w:val="center"/>
              <w:rPr>
                <w:rFonts w:hint="eastAsia"/>
                <w:color w:val="auto"/>
                <w:szCs w:val="21"/>
                <w:highlight w:val="none"/>
              </w:rPr>
            </w:pPr>
            <w:r>
              <w:rPr>
                <w:rFonts w:hint="eastAsia"/>
                <w:color w:val="auto"/>
                <w:szCs w:val="21"/>
                <w:highlight w:val="none"/>
              </w:rPr>
              <w:t>4</w:t>
            </w:r>
          </w:p>
        </w:tc>
      </w:tr>
      <w:tr w14:paraId="49D9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0" w:type="dxa"/>
            <w:vMerge w:val="continue"/>
            <w:tcBorders>
              <w:left w:val="single" w:color="auto" w:sz="4" w:space="0"/>
              <w:right w:val="single" w:color="auto" w:sz="4" w:space="0"/>
            </w:tcBorders>
            <w:vAlign w:val="center"/>
          </w:tcPr>
          <w:p w14:paraId="15D5DB9F">
            <w:pPr>
              <w:spacing w:after="0" w:line="360" w:lineRule="auto"/>
              <w:jc w:val="center"/>
              <w:rPr>
                <w:color w:val="auto"/>
                <w:szCs w:val="21"/>
                <w:highlight w:val="none"/>
                <w:lang w:eastAsia="zh-Hans"/>
              </w:rPr>
            </w:pPr>
          </w:p>
        </w:tc>
        <w:tc>
          <w:tcPr>
            <w:tcW w:w="6501" w:type="dxa"/>
            <w:tcBorders>
              <w:top w:val="single" w:color="auto" w:sz="4" w:space="0"/>
              <w:left w:val="single" w:color="auto" w:sz="4" w:space="0"/>
              <w:bottom w:val="single" w:color="auto" w:sz="4" w:space="0"/>
              <w:right w:val="single" w:color="auto" w:sz="4" w:space="0"/>
            </w:tcBorders>
            <w:vAlign w:val="center"/>
          </w:tcPr>
          <w:p w14:paraId="485727B2">
            <w:pPr>
              <w:spacing w:after="0" w:line="360" w:lineRule="auto"/>
              <w:rPr>
                <w:color w:val="auto"/>
                <w:szCs w:val="21"/>
                <w:highlight w:val="none"/>
              </w:rPr>
            </w:pPr>
            <w:r>
              <w:rPr>
                <w:color w:val="auto"/>
                <w:szCs w:val="21"/>
                <w:highlight w:val="none"/>
              </w:rPr>
              <w:t>提供详细的运维方案，</w:t>
            </w:r>
            <w:r>
              <w:rPr>
                <w:color w:val="auto"/>
                <w:szCs w:val="21"/>
                <w:highlight w:val="none"/>
                <w:lang w:eastAsia="zh-Hans"/>
              </w:rPr>
              <w:t>体现了运维服务内容</w:t>
            </w:r>
            <w:r>
              <w:rPr>
                <w:color w:val="auto"/>
                <w:szCs w:val="21"/>
                <w:highlight w:val="none"/>
              </w:rPr>
              <w:t>，包括：周期性工作计划、</w:t>
            </w:r>
            <w:r>
              <w:rPr>
                <w:color w:val="auto"/>
                <w:szCs w:val="21"/>
                <w:highlight w:val="none"/>
                <w:lang w:eastAsia="zh-Hans"/>
              </w:rPr>
              <w:t>故障处理</w:t>
            </w:r>
            <w:r>
              <w:rPr>
                <w:color w:val="auto"/>
                <w:szCs w:val="21"/>
                <w:highlight w:val="none"/>
              </w:rPr>
              <w:t>方案。</w:t>
            </w:r>
            <w:r>
              <w:rPr>
                <w:color w:val="auto"/>
                <w:szCs w:val="21"/>
                <w:highlight w:val="none"/>
                <w:lang w:eastAsia="zh-Hans"/>
              </w:rPr>
              <w:t>根据方案的完善程度</w:t>
            </w:r>
            <w:r>
              <w:rPr>
                <w:color w:val="auto"/>
                <w:szCs w:val="21"/>
                <w:highlight w:val="none"/>
              </w:rPr>
              <w:t>由评委自行打分。</w:t>
            </w:r>
          </w:p>
          <w:p w14:paraId="529AB5B3">
            <w:pPr>
              <w:pStyle w:val="13"/>
              <w:rPr>
                <w:color w:val="auto"/>
                <w:highlight w:val="none"/>
              </w:rPr>
            </w:pPr>
            <w:r>
              <w:rPr>
                <w:color w:val="auto"/>
                <w:highlight w:val="none"/>
              </w:rPr>
              <w:t>方案详实、内容完整、科学性、合理性、规范性和可操作性强的得4.1-6分；</w:t>
            </w:r>
          </w:p>
          <w:p w14:paraId="14396C4C">
            <w:pPr>
              <w:pStyle w:val="13"/>
              <w:rPr>
                <w:color w:val="auto"/>
                <w:highlight w:val="none"/>
              </w:rPr>
            </w:pPr>
            <w:r>
              <w:rPr>
                <w:color w:val="auto"/>
                <w:highlight w:val="none"/>
              </w:rPr>
              <w:t xml:space="preserve">方案一般、内容常规、科学性、合理性、规范性和可操作性一般的得2.1-4分； </w:t>
            </w:r>
          </w:p>
          <w:p w14:paraId="79FC5208">
            <w:pPr>
              <w:pStyle w:val="13"/>
              <w:rPr>
                <w:color w:val="auto"/>
                <w:highlight w:val="none"/>
              </w:rPr>
            </w:pPr>
            <w:r>
              <w:rPr>
                <w:color w:val="auto"/>
                <w:highlight w:val="none"/>
              </w:rPr>
              <w:t>方案粗糙、内容缺漏、科学性、合理性、规范性和可操作性差的得0-2分。</w:t>
            </w:r>
          </w:p>
        </w:tc>
        <w:tc>
          <w:tcPr>
            <w:tcW w:w="821" w:type="dxa"/>
            <w:tcBorders>
              <w:top w:val="single" w:color="auto" w:sz="4" w:space="0"/>
              <w:left w:val="single" w:color="auto" w:sz="4" w:space="0"/>
              <w:bottom w:val="single" w:color="auto" w:sz="4" w:space="0"/>
              <w:right w:val="single" w:color="auto" w:sz="4" w:space="0"/>
            </w:tcBorders>
            <w:vAlign w:val="center"/>
          </w:tcPr>
          <w:p w14:paraId="5FE40679">
            <w:pPr>
              <w:spacing w:after="0" w:line="360" w:lineRule="auto"/>
              <w:jc w:val="center"/>
              <w:rPr>
                <w:color w:val="auto"/>
                <w:szCs w:val="21"/>
                <w:highlight w:val="none"/>
              </w:rPr>
            </w:pPr>
            <w:r>
              <w:rPr>
                <w:color w:val="auto"/>
                <w:szCs w:val="21"/>
                <w:highlight w:val="none"/>
              </w:rPr>
              <w:t>6</w:t>
            </w:r>
          </w:p>
        </w:tc>
      </w:tr>
      <w:tr w14:paraId="6214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50" w:type="dxa"/>
            <w:vMerge w:val="continue"/>
            <w:tcBorders>
              <w:left w:val="single" w:color="auto" w:sz="4" w:space="0"/>
              <w:right w:val="single" w:color="auto" w:sz="4" w:space="0"/>
            </w:tcBorders>
            <w:vAlign w:val="center"/>
          </w:tcPr>
          <w:p w14:paraId="2DF9A831">
            <w:pPr>
              <w:spacing w:after="0" w:line="360" w:lineRule="auto"/>
              <w:jc w:val="center"/>
              <w:rPr>
                <w:color w:val="auto"/>
                <w:szCs w:val="21"/>
                <w:highlight w:val="none"/>
                <w:lang w:eastAsia="zh-Hans"/>
              </w:rPr>
            </w:pPr>
          </w:p>
        </w:tc>
        <w:tc>
          <w:tcPr>
            <w:tcW w:w="6501" w:type="dxa"/>
            <w:tcBorders>
              <w:top w:val="single" w:color="auto" w:sz="4" w:space="0"/>
              <w:left w:val="single" w:color="auto" w:sz="4" w:space="0"/>
              <w:bottom w:val="single" w:color="auto" w:sz="4" w:space="0"/>
              <w:right w:val="single" w:color="auto" w:sz="4" w:space="0"/>
            </w:tcBorders>
            <w:vAlign w:val="center"/>
          </w:tcPr>
          <w:p w14:paraId="5DB6367E">
            <w:pPr>
              <w:spacing w:after="0" w:line="360" w:lineRule="auto"/>
              <w:rPr>
                <w:color w:val="auto"/>
                <w:szCs w:val="21"/>
                <w:highlight w:val="none"/>
              </w:rPr>
            </w:pPr>
            <w:r>
              <w:rPr>
                <w:color w:val="auto"/>
                <w:szCs w:val="21"/>
                <w:highlight w:val="none"/>
              </w:rPr>
              <w:t>投标人运维方案是否具备针对性和有效性，是否根据本项目仪器配置情况提出有针对性的运维措施：</w:t>
            </w:r>
          </w:p>
          <w:p w14:paraId="32555FAF">
            <w:pPr>
              <w:pStyle w:val="13"/>
              <w:rPr>
                <w:color w:val="auto"/>
                <w:highlight w:val="none"/>
              </w:rPr>
            </w:pPr>
            <w:r>
              <w:rPr>
                <w:color w:val="auto"/>
                <w:highlight w:val="none"/>
              </w:rPr>
              <w:t>方案详实、内容完整、科学性、合理性、针对性和有效性强的、的得4.1-6分；</w:t>
            </w:r>
          </w:p>
          <w:p w14:paraId="1044833C">
            <w:pPr>
              <w:pStyle w:val="13"/>
              <w:rPr>
                <w:color w:val="auto"/>
                <w:highlight w:val="none"/>
              </w:rPr>
            </w:pPr>
            <w:r>
              <w:rPr>
                <w:color w:val="auto"/>
                <w:highlight w:val="none"/>
              </w:rPr>
              <w:t xml:space="preserve">方案一般、内容常规、科学性、合理性、针对性和有效性一般的得2.1-4分； </w:t>
            </w:r>
          </w:p>
          <w:p w14:paraId="2F6B534A">
            <w:pPr>
              <w:pStyle w:val="13"/>
              <w:rPr>
                <w:color w:val="auto"/>
                <w:highlight w:val="none"/>
              </w:rPr>
            </w:pPr>
            <w:r>
              <w:rPr>
                <w:color w:val="auto"/>
                <w:highlight w:val="none"/>
              </w:rPr>
              <w:t>方案粗糙、内容缺漏、科学性、合理性、针对性和有效性差的得0-2分。</w:t>
            </w:r>
          </w:p>
        </w:tc>
        <w:tc>
          <w:tcPr>
            <w:tcW w:w="821" w:type="dxa"/>
            <w:tcBorders>
              <w:top w:val="single" w:color="auto" w:sz="4" w:space="0"/>
              <w:left w:val="single" w:color="auto" w:sz="4" w:space="0"/>
              <w:bottom w:val="single" w:color="auto" w:sz="4" w:space="0"/>
              <w:right w:val="single" w:color="auto" w:sz="4" w:space="0"/>
            </w:tcBorders>
            <w:vAlign w:val="center"/>
          </w:tcPr>
          <w:p w14:paraId="43670417">
            <w:pPr>
              <w:spacing w:after="0" w:line="360" w:lineRule="auto"/>
              <w:jc w:val="center"/>
              <w:rPr>
                <w:color w:val="auto"/>
                <w:szCs w:val="21"/>
                <w:highlight w:val="none"/>
              </w:rPr>
            </w:pPr>
            <w:r>
              <w:rPr>
                <w:color w:val="auto"/>
                <w:szCs w:val="21"/>
                <w:highlight w:val="none"/>
                <w:lang w:eastAsia="zh-Hans"/>
              </w:rPr>
              <w:t>6</w:t>
            </w:r>
          </w:p>
        </w:tc>
      </w:tr>
      <w:tr w14:paraId="0525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50" w:type="dxa"/>
            <w:vMerge w:val="continue"/>
            <w:tcBorders>
              <w:left w:val="single" w:color="auto" w:sz="4" w:space="0"/>
              <w:right w:val="single" w:color="auto" w:sz="4" w:space="0"/>
            </w:tcBorders>
            <w:vAlign w:val="center"/>
          </w:tcPr>
          <w:p w14:paraId="524062C6">
            <w:pPr>
              <w:spacing w:after="0" w:line="360" w:lineRule="auto"/>
              <w:jc w:val="center"/>
              <w:rPr>
                <w:color w:val="auto"/>
                <w:szCs w:val="21"/>
                <w:highlight w:val="none"/>
                <w:lang w:eastAsia="zh-Hans"/>
              </w:rPr>
            </w:pPr>
          </w:p>
        </w:tc>
        <w:tc>
          <w:tcPr>
            <w:tcW w:w="6501" w:type="dxa"/>
            <w:tcBorders>
              <w:top w:val="single" w:color="auto" w:sz="4" w:space="0"/>
              <w:left w:val="single" w:color="auto" w:sz="4" w:space="0"/>
              <w:bottom w:val="single" w:color="auto" w:sz="4" w:space="0"/>
              <w:right w:val="single" w:color="auto" w:sz="4" w:space="0"/>
            </w:tcBorders>
            <w:vAlign w:val="center"/>
          </w:tcPr>
          <w:p w14:paraId="0B1A2518">
            <w:pPr>
              <w:spacing w:after="0" w:line="360" w:lineRule="auto"/>
              <w:rPr>
                <w:color w:val="auto"/>
                <w:szCs w:val="21"/>
                <w:highlight w:val="none"/>
              </w:rPr>
            </w:pPr>
            <w:r>
              <w:rPr>
                <w:color w:val="auto"/>
                <w:szCs w:val="21"/>
                <w:highlight w:val="none"/>
              </w:rPr>
              <w:t>根据投标人针对项目的应急服务方案及措施进行综合评分。0-6</w:t>
            </w:r>
            <w:r>
              <w:rPr>
                <w:color w:val="auto"/>
                <w:szCs w:val="21"/>
                <w:highlight w:val="none"/>
                <w:lang w:eastAsia="zh-Hans"/>
              </w:rPr>
              <w:t>分</w:t>
            </w:r>
            <w:r>
              <w:rPr>
                <w:color w:val="auto"/>
                <w:szCs w:val="21"/>
                <w:highlight w:val="none"/>
              </w:rPr>
              <w:t>。</w:t>
            </w:r>
          </w:p>
          <w:p w14:paraId="050DB10F">
            <w:pPr>
              <w:pStyle w:val="13"/>
              <w:rPr>
                <w:color w:val="auto"/>
                <w:highlight w:val="none"/>
              </w:rPr>
            </w:pPr>
            <w:r>
              <w:rPr>
                <w:color w:val="auto"/>
                <w:highlight w:val="none"/>
              </w:rPr>
              <w:t>措施详实、内容完整、科学性、合理性、规范性和可操作性强的得4.1-6分；</w:t>
            </w:r>
          </w:p>
          <w:p w14:paraId="794E4DC9">
            <w:pPr>
              <w:pStyle w:val="13"/>
              <w:rPr>
                <w:color w:val="auto"/>
                <w:highlight w:val="none"/>
              </w:rPr>
            </w:pPr>
            <w:r>
              <w:rPr>
                <w:color w:val="auto"/>
                <w:highlight w:val="none"/>
              </w:rPr>
              <w:t xml:space="preserve">措施一般、内容常规、科学性、合理性、规范性和可操作性一般的得2.1-4分； </w:t>
            </w:r>
          </w:p>
          <w:p w14:paraId="4C0B00D8">
            <w:pPr>
              <w:pStyle w:val="13"/>
              <w:rPr>
                <w:color w:val="auto"/>
                <w:highlight w:val="none"/>
              </w:rPr>
            </w:pPr>
            <w:r>
              <w:rPr>
                <w:color w:val="auto"/>
                <w:highlight w:val="none"/>
              </w:rPr>
              <w:t>措施粗糙、内容缺漏、科学性、合理性、规范性和可操作性差的得0-2分。</w:t>
            </w:r>
          </w:p>
        </w:tc>
        <w:tc>
          <w:tcPr>
            <w:tcW w:w="821" w:type="dxa"/>
            <w:tcBorders>
              <w:top w:val="single" w:color="auto" w:sz="4" w:space="0"/>
              <w:left w:val="single" w:color="auto" w:sz="4" w:space="0"/>
              <w:bottom w:val="single" w:color="auto" w:sz="4" w:space="0"/>
              <w:right w:val="single" w:color="auto" w:sz="4" w:space="0"/>
            </w:tcBorders>
            <w:vAlign w:val="center"/>
          </w:tcPr>
          <w:p w14:paraId="5D2C3CCD">
            <w:pPr>
              <w:spacing w:after="0" w:line="360" w:lineRule="auto"/>
              <w:jc w:val="center"/>
              <w:rPr>
                <w:color w:val="auto"/>
                <w:szCs w:val="21"/>
                <w:highlight w:val="none"/>
              </w:rPr>
            </w:pPr>
            <w:r>
              <w:rPr>
                <w:color w:val="auto"/>
                <w:szCs w:val="21"/>
                <w:highlight w:val="none"/>
              </w:rPr>
              <w:t>6</w:t>
            </w:r>
          </w:p>
        </w:tc>
      </w:tr>
      <w:tr w14:paraId="3A49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jc w:val="center"/>
        </w:trPr>
        <w:tc>
          <w:tcPr>
            <w:tcW w:w="1150" w:type="dxa"/>
            <w:vMerge w:val="continue"/>
            <w:tcBorders>
              <w:left w:val="single" w:color="auto" w:sz="4" w:space="0"/>
              <w:right w:val="single" w:color="auto" w:sz="4" w:space="0"/>
            </w:tcBorders>
            <w:vAlign w:val="center"/>
          </w:tcPr>
          <w:p w14:paraId="252A3C9C">
            <w:pPr>
              <w:spacing w:after="0" w:line="360" w:lineRule="auto"/>
              <w:jc w:val="center"/>
              <w:rPr>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p w14:paraId="6063F2CE">
            <w:pPr>
              <w:spacing w:after="0" w:line="360" w:lineRule="auto"/>
              <w:rPr>
                <w:color w:val="auto"/>
                <w:szCs w:val="21"/>
                <w:highlight w:val="none"/>
              </w:rPr>
            </w:pPr>
            <w:r>
              <w:rPr>
                <w:color w:val="auto"/>
                <w:szCs w:val="21"/>
                <w:highlight w:val="none"/>
              </w:rPr>
              <w:t>根据每类设备中的运维工作相关要求，编制运维工作相关记录表。表格设计应合理、系统、内容完整。</w:t>
            </w:r>
          </w:p>
          <w:p w14:paraId="7566A345">
            <w:pPr>
              <w:spacing w:after="0" w:line="360" w:lineRule="auto"/>
              <w:rPr>
                <w:color w:val="auto"/>
                <w:szCs w:val="21"/>
                <w:highlight w:val="none"/>
              </w:rPr>
            </w:pPr>
            <w:r>
              <w:rPr>
                <w:color w:val="auto"/>
                <w:szCs w:val="21"/>
                <w:highlight w:val="none"/>
              </w:rPr>
              <w:t>方案详实、内容完整、表格设计合理性、系统规范性和可操作性强的得2.6-4分；</w:t>
            </w:r>
          </w:p>
          <w:p w14:paraId="7D92977B">
            <w:pPr>
              <w:spacing w:after="0" w:line="360" w:lineRule="auto"/>
              <w:rPr>
                <w:color w:val="auto"/>
                <w:szCs w:val="21"/>
                <w:highlight w:val="none"/>
              </w:rPr>
            </w:pPr>
            <w:r>
              <w:rPr>
                <w:color w:val="auto"/>
                <w:szCs w:val="21"/>
                <w:highlight w:val="none"/>
              </w:rPr>
              <w:t xml:space="preserve">方案一般、内容常规、表格设计合理性、系统规范性和可操作性一般的得1.1-2.5分； </w:t>
            </w:r>
          </w:p>
          <w:p w14:paraId="7BCA4EFA">
            <w:pPr>
              <w:spacing w:after="0" w:line="360" w:lineRule="auto"/>
              <w:rPr>
                <w:color w:val="auto"/>
                <w:highlight w:val="none"/>
              </w:rPr>
            </w:pPr>
            <w:r>
              <w:rPr>
                <w:color w:val="auto"/>
                <w:szCs w:val="21"/>
                <w:highlight w:val="none"/>
              </w:rPr>
              <w:t>方案粗糙、内容缺漏、表格设计合理性、系统规范性和可操作性差的得0-1分。</w:t>
            </w:r>
          </w:p>
        </w:tc>
        <w:tc>
          <w:tcPr>
            <w:tcW w:w="821" w:type="dxa"/>
            <w:tcBorders>
              <w:top w:val="single" w:color="auto" w:sz="4" w:space="0"/>
              <w:left w:val="single" w:color="auto" w:sz="4" w:space="0"/>
              <w:bottom w:val="single" w:color="auto" w:sz="4" w:space="0"/>
              <w:right w:val="single" w:color="auto" w:sz="4" w:space="0"/>
            </w:tcBorders>
            <w:vAlign w:val="center"/>
          </w:tcPr>
          <w:p w14:paraId="1B44D26C">
            <w:pPr>
              <w:spacing w:after="0" w:line="360" w:lineRule="auto"/>
              <w:jc w:val="center"/>
              <w:rPr>
                <w:color w:val="auto"/>
                <w:szCs w:val="21"/>
                <w:highlight w:val="none"/>
                <w:lang w:eastAsia="zh-Hans"/>
              </w:rPr>
            </w:pPr>
            <w:r>
              <w:rPr>
                <w:color w:val="auto"/>
                <w:szCs w:val="21"/>
                <w:highlight w:val="none"/>
              </w:rPr>
              <w:t>4</w:t>
            </w:r>
          </w:p>
        </w:tc>
      </w:tr>
      <w:tr w14:paraId="4793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50" w:type="dxa"/>
            <w:tcBorders>
              <w:left w:val="single" w:color="auto" w:sz="4" w:space="0"/>
              <w:right w:val="single" w:color="auto" w:sz="4" w:space="0"/>
            </w:tcBorders>
            <w:vAlign w:val="center"/>
          </w:tcPr>
          <w:p w14:paraId="23819C96">
            <w:pPr>
              <w:spacing w:after="0" w:line="360" w:lineRule="auto"/>
              <w:jc w:val="center"/>
              <w:rPr>
                <w:color w:val="auto"/>
                <w:szCs w:val="21"/>
                <w:highlight w:val="none"/>
                <w:lang w:eastAsia="zh-Hans"/>
              </w:rPr>
            </w:pPr>
            <w:r>
              <w:rPr>
                <w:color w:val="auto"/>
                <w:szCs w:val="21"/>
                <w:highlight w:val="none"/>
              </w:rPr>
              <w:t>合理化建议</w:t>
            </w:r>
          </w:p>
        </w:tc>
        <w:tc>
          <w:tcPr>
            <w:tcW w:w="6501" w:type="dxa"/>
            <w:tcBorders>
              <w:top w:val="single" w:color="auto" w:sz="4" w:space="0"/>
              <w:left w:val="single" w:color="auto" w:sz="4" w:space="0"/>
              <w:bottom w:val="single" w:color="auto" w:sz="4" w:space="0"/>
              <w:right w:val="single" w:color="auto" w:sz="4" w:space="0"/>
            </w:tcBorders>
            <w:vAlign w:val="center"/>
          </w:tcPr>
          <w:p w14:paraId="3E60E535">
            <w:pPr>
              <w:spacing w:after="0" w:line="360" w:lineRule="auto"/>
              <w:rPr>
                <w:color w:val="auto"/>
                <w:szCs w:val="21"/>
                <w:highlight w:val="none"/>
                <w:lang w:eastAsia="zh-Hans"/>
              </w:rPr>
            </w:pPr>
            <w:r>
              <w:rPr>
                <w:color w:val="auto"/>
                <w:szCs w:val="21"/>
                <w:highlight w:val="none"/>
              </w:rPr>
              <w:t>根据投标人针对项目的合理化建议进行综合评分。</w:t>
            </w:r>
          </w:p>
          <w:p w14:paraId="2645FD5E">
            <w:pPr>
              <w:pStyle w:val="13"/>
              <w:rPr>
                <w:color w:val="auto"/>
                <w:highlight w:val="none"/>
              </w:rPr>
            </w:pPr>
            <w:r>
              <w:rPr>
                <w:color w:val="auto"/>
                <w:highlight w:val="none"/>
              </w:rPr>
              <w:t>方案详实、科学性、合理性、规范性和可操作性强的得2.1-</w:t>
            </w:r>
            <w:r>
              <w:rPr>
                <w:rFonts w:hint="eastAsia"/>
                <w:color w:val="auto"/>
                <w:highlight w:val="none"/>
              </w:rPr>
              <w:t>4</w:t>
            </w:r>
            <w:r>
              <w:rPr>
                <w:color w:val="auto"/>
                <w:highlight w:val="none"/>
              </w:rPr>
              <w:t>分；</w:t>
            </w:r>
          </w:p>
          <w:p w14:paraId="6615D431">
            <w:pPr>
              <w:pStyle w:val="13"/>
              <w:rPr>
                <w:color w:val="auto"/>
                <w:highlight w:val="none"/>
              </w:rPr>
            </w:pPr>
            <w:r>
              <w:rPr>
                <w:color w:val="auto"/>
                <w:highlight w:val="none"/>
              </w:rPr>
              <w:t xml:space="preserve">方案一般、科学性、合理性、规范性和可操作性一般的得1.1-2分； </w:t>
            </w:r>
          </w:p>
          <w:p w14:paraId="6E7A3BDB">
            <w:pPr>
              <w:pStyle w:val="13"/>
              <w:rPr>
                <w:color w:val="auto"/>
                <w:highlight w:val="none"/>
              </w:rPr>
            </w:pPr>
            <w:r>
              <w:rPr>
                <w:color w:val="auto"/>
                <w:highlight w:val="none"/>
              </w:rPr>
              <w:t>方案粗糙、科学性、合理性、规范性和可操作性差的得0-1分。</w:t>
            </w:r>
          </w:p>
        </w:tc>
        <w:tc>
          <w:tcPr>
            <w:tcW w:w="821" w:type="dxa"/>
            <w:tcBorders>
              <w:top w:val="single" w:color="auto" w:sz="4" w:space="0"/>
              <w:left w:val="single" w:color="auto" w:sz="4" w:space="0"/>
              <w:bottom w:val="single" w:color="auto" w:sz="4" w:space="0"/>
              <w:right w:val="single" w:color="auto" w:sz="4" w:space="0"/>
            </w:tcBorders>
            <w:vAlign w:val="center"/>
          </w:tcPr>
          <w:p w14:paraId="62573B84">
            <w:pPr>
              <w:spacing w:after="0" w:line="360" w:lineRule="auto"/>
              <w:jc w:val="center"/>
              <w:rPr>
                <w:rFonts w:hint="eastAsia"/>
                <w:color w:val="auto"/>
                <w:szCs w:val="21"/>
                <w:highlight w:val="none"/>
              </w:rPr>
            </w:pPr>
            <w:r>
              <w:rPr>
                <w:rFonts w:hint="eastAsia"/>
                <w:color w:val="auto"/>
                <w:szCs w:val="21"/>
                <w:highlight w:val="none"/>
              </w:rPr>
              <w:t>4</w:t>
            </w:r>
          </w:p>
        </w:tc>
      </w:tr>
      <w:tr w14:paraId="3DE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50" w:type="dxa"/>
            <w:tcBorders>
              <w:left w:val="single" w:color="auto" w:sz="4" w:space="0"/>
              <w:right w:val="single" w:color="auto" w:sz="4" w:space="0"/>
            </w:tcBorders>
            <w:vAlign w:val="center"/>
          </w:tcPr>
          <w:p w14:paraId="70654880">
            <w:pPr>
              <w:spacing w:after="0" w:line="360" w:lineRule="auto"/>
              <w:jc w:val="center"/>
              <w:rPr>
                <w:color w:val="auto"/>
                <w:szCs w:val="21"/>
                <w:highlight w:val="none"/>
                <w:lang w:eastAsia="zh-Hans"/>
              </w:rPr>
            </w:pPr>
            <w:r>
              <w:rPr>
                <w:rStyle w:val="87"/>
                <w:color w:val="auto"/>
                <w:kern w:val="0"/>
                <w:szCs w:val="21"/>
                <w:highlight w:val="none"/>
              </w:rPr>
              <w:t>价格</w:t>
            </w:r>
          </w:p>
        </w:tc>
        <w:tc>
          <w:tcPr>
            <w:tcW w:w="6501" w:type="dxa"/>
            <w:tcBorders>
              <w:top w:val="single" w:color="auto" w:sz="4" w:space="0"/>
              <w:left w:val="single" w:color="auto" w:sz="4" w:space="0"/>
              <w:bottom w:val="single" w:color="auto" w:sz="4" w:space="0"/>
              <w:right w:val="single" w:color="auto" w:sz="4" w:space="0"/>
            </w:tcBorders>
            <w:vAlign w:val="center"/>
          </w:tcPr>
          <w:p w14:paraId="789B531A">
            <w:pPr>
              <w:spacing w:after="0" w:line="360" w:lineRule="auto"/>
              <w:rPr>
                <w:color w:val="auto"/>
                <w:szCs w:val="21"/>
                <w:highlight w:val="none"/>
              </w:rPr>
            </w:pPr>
            <w:r>
              <w:rPr>
                <w:color w:val="auto"/>
                <w:szCs w:val="21"/>
                <w:highlight w:val="none"/>
              </w:rPr>
              <w:t>取投标合格供应商的投标最终报价最低价为评标基准价，基准价为20分。投标报价得分=(评标基准价／投标报价)×</w:t>
            </w:r>
            <w:r>
              <w:rPr>
                <w:rFonts w:hint="eastAsia"/>
                <w:color w:val="auto"/>
                <w:szCs w:val="21"/>
                <w:highlight w:val="none"/>
                <w:lang w:val="en-US" w:eastAsia="zh-CN"/>
              </w:rPr>
              <w:t>20</w:t>
            </w:r>
            <w:r>
              <w:rPr>
                <w:color w:val="auto"/>
                <w:szCs w:val="21"/>
                <w:highlight w:val="none"/>
              </w:rPr>
              <w:t>%×100 。（小数点后保留2位小数）。</w:t>
            </w:r>
          </w:p>
        </w:tc>
        <w:tc>
          <w:tcPr>
            <w:tcW w:w="821" w:type="dxa"/>
            <w:tcBorders>
              <w:top w:val="single" w:color="auto" w:sz="4" w:space="0"/>
              <w:left w:val="single" w:color="auto" w:sz="4" w:space="0"/>
              <w:bottom w:val="single" w:color="auto" w:sz="4" w:space="0"/>
              <w:right w:val="single" w:color="auto" w:sz="4" w:space="0"/>
            </w:tcBorders>
            <w:vAlign w:val="center"/>
          </w:tcPr>
          <w:p w14:paraId="79D00F58">
            <w:pPr>
              <w:spacing w:after="0" w:line="360" w:lineRule="auto"/>
              <w:jc w:val="center"/>
              <w:rPr>
                <w:color w:val="auto"/>
                <w:szCs w:val="21"/>
                <w:highlight w:val="none"/>
              </w:rPr>
            </w:pPr>
            <w:r>
              <w:rPr>
                <w:color w:val="auto"/>
                <w:szCs w:val="21"/>
                <w:highlight w:val="none"/>
              </w:rPr>
              <w:t>20</w:t>
            </w:r>
          </w:p>
        </w:tc>
      </w:tr>
      <w:bookmarkEnd w:id="52"/>
    </w:tbl>
    <w:p w14:paraId="7347756B">
      <w:pPr>
        <w:spacing w:line="360" w:lineRule="auto"/>
        <w:jc w:val="center"/>
        <w:rPr>
          <w:b/>
          <w:color w:val="000000" w:themeColor="text1"/>
          <w:sz w:val="36"/>
          <w:szCs w:val="36"/>
          <w:highlight w:val="none"/>
          <w14:textFill>
            <w14:solidFill>
              <w14:schemeClr w14:val="tx1"/>
            </w14:solidFill>
          </w14:textFill>
        </w:rPr>
      </w:pPr>
    </w:p>
    <w:p w14:paraId="2723C756">
      <w:pPr>
        <w:spacing w:line="360" w:lineRule="auto"/>
        <w:jc w:val="center"/>
        <w:rPr>
          <w:b/>
          <w:color w:val="000000" w:themeColor="text1"/>
          <w:sz w:val="36"/>
          <w:szCs w:val="36"/>
          <w:highlight w:val="none"/>
          <w14:textFill>
            <w14:solidFill>
              <w14:schemeClr w14:val="tx1"/>
            </w14:solidFill>
          </w14:textFill>
        </w:rPr>
      </w:pPr>
    </w:p>
    <w:p w14:paraId="04B1DDA9">
      <w:pPr>
        <w:spacing w:line="360" w:lineRule="auto"/>
        <w:jc w:val="center"/>
        <w:rPr>
          <w:b/>
          <w:color w:val="000000" w:themeColor="text1"/>
          <w:sz w:val="36"/>
          <w:szCs w:val="36"/>
          <w:highlight w:val="none"/>
          <w14:textFill>
            <w14:solidFill>
              <w14:schemeClr w14:val="tx1"/>
            </w14:solidFill>
          </w14:textFill>
        </w:rPr>
      </w:pPr>
    </w:p>
    <w:p w14:paraId="5B2AFBE6">
      <w:pPr>
        <w:spacing w:line="360" w:lineRule="auto"/>
        <w:jc w:val="center"/>
        <w:rPr>
          <w:b/>
          <w:color w:val="000000" w:themeColor="text1"/>
          <w:sz w:val="36"/>
          <w:szCs w:val="36"/>
          <w:highlight w:val="none"/>
          <w14:textFill>
            <w14:solidFill>
              <w14:schemeClr w14:val="tx1"/>
            </w14:solidFill>
          </w14:textFill>
        </w:rPr>
      </w:pPr>
    </w:p>
    <w:p w14:paraId="71B76283">
      <w:pPr>
        <w:spacing w:line="360" w:lineRule="auto"/>
        <w:jc w:val="center"/>
        <w:rPr>
          <w:b/>
          <w:color w:val="000000" w:themeColor="text1"/>
          <w:sz w:val="36"/>
          <w:szCs w:val="36"/>
          <w:highlight w:val="none"/>
          <w14:textFill>
            <w14:solidFill>
              <w14:schemeClr w14:val="tx1"/>
            </w14:solidFill>
          </w14:textFill>
        </w:rPr>
      </w:pPr>
    </w:p>
    <w:p w14:paraId="4348CD38">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第五章　政府采购合同主要条款指引</w:t>
      </w:r>
    </w:p>
    <w:p w14:paraId="5AF5BBE7">
      <w:pPr>
        <w:widowControl/>
        <w:shd w:val="clear" w:color="auto" w:fill="FFFFFF"/>
        <w:spacing w:line="360" w:lineRule="auto"/>
        <w:ind w:firstLine="480"/>
        <w:jc w:val="left"/>
        <w:rPr>
          <w:sz w:val="24"/>
          <w:highlight w:val="none"/>
        </w:rPr>
      </w:pPr>
      <w:r>
        <w:rPr>
          <w:sz w:val="24"/>
          <w:highlight w:val="none"/>
        </w:rPr>
        <w:t>以下为成交后签订本项目合同的通用条款，成交供应商不得提出实质性的修改，关于专用条款将由采购人与成交供应商结合本项目具体情况协商后签订。</w:t>
      </w:r>
    </w:p>
    <w:p w14:paraId="20366F9A">
      <w:pPr>
        <w:pStyle w:val="16"/>
        <w:snapToGrid w:val="0"/>
        <w:spacing w:line="360" w:lineRule="auto"/>
        <w:rPr>
          <w:rFonts w:ascii="Times New Roman" w:hAnsi="Times New Roman"/>
          <w:sz w:val="24"/>
          <w:highlight w:val="none"/>
        </w:rPr>
      </w:pPr>
      <w:r>
        <w:rPr>
          <w:rFonts w:ascii="Times New Roman" w:hAnsi="Times New Roman"/>
          <w:sz w:val="24"/>
          <w:highlight w:val="none"/>
        </w:rPr>
        <w:t>项目名称：                                     项目编号：</w:t>
      </w:r>
    </w:p>
    <w:p w14:paraId="636422E3">
      <w:pPr>
        <w:pStyle w:val="16"/>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 xml:space="preserve">甲方：（采购人）所在地：                              </w:t>
      </w:r>
    </w:p>
    <w:p w14:paraId="139B444C">
      <w:pPr>
        <w:pStyle w:val="16"/>
        <w:snapToGrid w:val="0"/>
        <w:spacing w:line="360" w:lineRule="auto"/>
        <w:rPr>
          <w:rFonts w:ascii="Times New Roman" w:hAnsi="Times New Roman"/>
          <w:color w:val="000000"/>
          <w:sz w:val="24"/>
          <w:highlight w:val="none"/>
        </w:rPr>
      </w:pPr>
      <w:r>
        <w:rPr>
          <w:rFonts w:ascii="Times New Roman" w:hAnsi="Times New Roman"/>
          <w:color w:val="000000"/>
          <w:sz w:val="24"/>
          <w:highlight w:val="none"/>
        </w:rPr>
        <w:t>乙方：（成交供应商）                          所在地：</w:t>
      </w:r>
    </w:p>
    <w:p w14:paraId="4697C551">
      <w:pPr>
        <w:widowControl/>
        <w:shd w:val="clear" w:color="auto" w:fill="FFFFFF"/>
        <w:spacing w:line="360" w:lineRule="auto"/>
        <w:jc w:val="left"/>
        <w:rPr>
          <w:sz w:val="24"/>
          <w:highlight w:val="none"/>
        </w:rPr>
      </w:pPr>
      <w:r>
        <w:rPr>
          <w:sz w:val="24"/>
          <w:highlight w:val="none"/>
        </w:rPr>
        <w:t xml:space="preserve">   甲、乙双方根据台州蔚蓝投资咨询有限公司关于××单位××项目磋商采购的结果，签署本合同。</w:t>
      </w:r>
    </w:p>
    <w:p w14:paraId="4779869F">
      <w:pPr>
        <w:spacing w:line="360" w:lineRule="auto"/>
        <w:rPr>
          <w:b/>
          <w:bCs/>
          <w:color w:val="000000"/>
          <w:sz w:val="24"/>
          <w:highlight w:val="none"/>
          <w:lang w:val="zh-CN"/>
        </w:rPr>
      </w:pPr>
      <w:r>
        <w:rPr>
          <w:b/>
          <w:bCs/>
          <w:color w:val="000000"/>
          <w:sz w:val="24"/>
          <w:highlight w:val="none"/>
          <w:lang w:val="zh-CN"/>
        </w:rPr>
        <w:t xml:space="preserve">一、合同文件： </w:t>
      </w:r>
    </w:p>
    <w:p w14:paraId="1C2E6592">
      <w:pPr>
        <w:spacing w:line="360" w:lineRule="auto"/>
        <w:ind w:firstLine="480" w:firstLineChars="200"/>
        <w:rPr>
          <w:color w:val="000000"/>
          <w:sz w:val="24"/>
          <w:highlight w:val="none"/>
          <w:lang w:val="zh-CN"/>
        </w:rPr>
      </w:pPr>
      <w:r>
        <w:rPr>
          <w:color w:val="000000"/>
          <w:sz w:val="24"/>
          <w:highlight w:val="none"/>
          <w:lang w:val="zh-CN"/>
        </w:rPr>
        <w:t>1.合同条款。</w:t>
      </w:r>
    </w:p>
    <w:p w14:paraId="3AFB436B">
      <w:pPr>
        <w:spacing w:line="360" w:lineRule="auto"/>
        <w:ind w:firstLine="480" w:firstLineChars="200"/>
        <w:rPr>
          <w:color w:val="000000"/>
          <w:sz w:val="24"/>
          <w:highlight w:val="none"/>
          <w:lang w:val="zh-CN"/>
        </w:rPr>
      </w:pPr>
      <w:r>
        <w:rPr>
          <w:color w:val="000000"/>
          <w:sz w:val="24"/>
          <w:highlight w:val="none"/>
          <w:lang w:val="zh-CN"/>
        </w:rPr>
        <w:t>2.成交通知书。</w:t>
      </w:r>
    </w:p>
    <w:p w14:paraId="54562E3F">
      <w:pPr>
        <w:spacing w:line="360" w:lineRule="auto"/>
        <w:ind w:firstLine="480" w:firstLineChars="200"/>
        <w:rPr>
          <w:color w:val="000000"/>
          <w:sz w:val="24"/>
          <w:highlight w:val="none"/>
          <w:lang w:val="zh-CN"/>
        </w:rPr>
      </w:pPr>
      <w:r>
        <w:rPr>
          <w:color w:val="000000"/>
          <w:sz w:val="24"/>
          <w:highlight w:val="none"/>
          <w:lang w:val="zh-CN"/>
        </w:rPr>
        <w:t>3.更正补充文件。</w:t>
      </w:r>
    </w:p>
    <w:p w14:paraId="09390094">
      <w:pPr>
        <w:spacing w:line="360" w:lineRule="auto"/>
        <w:ind w:firstLine="480" w:firstLineChars="200"/>
        <w:rPr>
          <w:color w:val="000000"/>
          <w:sz w:val="24"/>
          <w:highlight w:val="none"/>
          <w:lang w:val="zh-CN"/>
        </w:rPr>
      </w:pPr>
      <w:r>
        <w:rPr>
          <w:color w:val="000000"/>
          <w:sz w:val="24"/>
          <w:highlight w:val="none"/>
          <w:lang w:val="zh-CN"/>
        </w:rPr>
        <w:t>4.磋商采购文件。</w:t>
      </w:r>
    </w:p>
    <w:p w14:paraId="6AD7F180">
      <w:pPr>
        <w:spacing w:line="360" w:lineRule="auto"/>
        <w:ind w:firstLine="480" w:firstLineChars="200"/>
        <w:rPr>
          <w:color w:val="000000"/>
          <w:sz w:val="24"/>
          <w:highlight w:val="none"/>
          <w:lang w:val="zh-CN"/>
        </w:rPr>
      </w:pPr>
      <w:r>
        <w:rPr>
          <w:color w:val="000000"/>
          <w:sz w:val="24"/>
          <w:highlight w:val="none"/>
          <w:lang w:val="zh-CN"/>
        </w:rPr>
        <w:t>5.成交供应商磋商响应文件。</w:t>
      </w:r>
    </w:p>
    <w:p w14:paraId="79589D21">
      <w:pPr>
        <w:spacing w:line="360" w:lineRule="auto"/>
        <w:ind w:firstLine="480" w:firstLineChars="200"/>
        <w:rPr>
          <w:color w:val="000000"/>
          <w:sz w:val="24"/>
          <w:highlight w:val="none"/>
          <w:lang w:val="zh-CN"/>
        </w:rPr>
      </w:pPr>
      <w:r>
        <w:rPr>
          <w:color w:val="000000"/>
          <w:sz w:val="24"/>
          <w:highlight w:val="none"/>
          <w:lang w:val="zh-CN"/>
        </w:rPr>
        <w:t>6.其他。</w:t>
      </w:r>
    </w:p>
    <w:p w14:paraId="5790EEE7">
      <w:pPr>
        <w:pStyle w:val="16"/>
        <w:snapToGrid w:val="0"/>
        <w:spacing w:line="360" w:lineRule="auto"/>
        <w:ind w:firstLine="480" w:firstLineChars="200"/>
        <w:rPr>
          <w:rFonts w:ascii="Times New Roman" w:hAnsi="Times New Roman"/>
          <w:b/>
          <w:sz w:val="24"/>
          <w:highlight w:val="none"/>
        </w:rPr>
      </w:pPr>
      <w:r>
        <w:rPr>
          <w:rFonts w:ascii="Times New Roman" w:hAnsi="Times New Roman"/>
          <w:color w:val="000000"/>
          <w:sz w:val="24"/>
          <w:highlight w:val="none"/>
          <w:lang w:val="zh-CN"/>
        </w:rPr>
        <w:t>上述所指合同文件应认为是互相补充和解释的，但是有模棱两可或互相矛盾之处，以其所列内容顺序为准。</w:t>
      </w:r>
    </w:p>
    <w:p w14:paraId="6E29EDC1">
      <w:pPr>
        <w:widowControl/>
        <w:shd w:val="clear" w:color="auto" w:fill="FFFFFF"/>
        <w:spacing w:line="360" w:lineRule="auto"/>
        <w:jc w:val="left"/>
        <w:rPr>
          <w:b/>
          <w:color w:val="333333"/>
          <w:kern w:val="0"/>
          <w:sz w:val="24"/>
          <w:highlight w:val="none"/>
        </w:rPr>
      </w:pPr>
      <w:r>
        <w:rPr>
          <w:b/>
          <w:sz w:val="24"/>
          <w:highlight w:val="none"/>
        </w:rPr>
        <w:t>二、</w:t>
      </w:r>
      <w:r>
        <w:rPr>
          <w:b/>
          <w:color w:val="333333"/>
          <w:kern w:val="0"/>
          <w:sz w:val="24"/>
          <w:highlight w:val="none"/>
        </w:rPr>
        <w:t>合同内容及服务标准</w:t>
      </w:r>
    </w:p>
    <w:p w14:paraId="5992FD26">
      <w:pPr>
        <w:widowControl/>
        <w:shd w:val="clear" w:color="auto" w:fill="FFFFFF"/>
        <w:spacing w:line="360" w:lineRule="auto"/>
        <w:ind w:firstLine="480"/>
        <w:jc w:val="left"/>
        <w:rPr>
          <w:color w:val="333333"/>
          <w:kern w:val="0"/>
          <w:sz w:val="24"/>
          <w:highlight w:val="none"/>
        </w:rPr>
      </w:pPr>
      <w:r>
        <w:rPr>
          <w:color w:val="333333"/>
          <w:kern w:val="0"/>
          <w:sz w:val="24"/>
          <w:highlight w:val="none"/>
        </w:rPr>
        <w:t>（具体见项目需求）</w:t>
      </w:r>
    </w:p>
    <w:p w14:paraId="77067457">
      <w:pPr>
        <w:pStyle w:val="16"/>
        <w:snapToGrid w:val="0"/>
        <w:spacing w:line="360" w:lineRule="auto"/>
        <w:rPr>
          <w:rFonts w:ascii="Times New Roman" w:hAnsi="Times New Roman"/>
          <w:b/>
          <w:sz w:val="24"/>
          <w:highlight w:val="none"/>
        </w:rPr>
      </w:pPr>
      <w:r>
        <w:rPr>
          <w:rFonts w:ascii="Times New Roman" w:hAnsi="Times New Roman"/>
          <w:b/>
          <w:sz w:val="24"/>
          <w:highlight w:val="none"/>
        </w:rPr>
        <w:t>三、合同金额</w:t>
      </w:r>
    </w:p>
    <w:p w14:paraId="4DAA3021">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本合同金额为（大写）：____________________________________元</w:t>
      </w:r>
    </w:p>
    <w:p w14:paraId="15054C04">
      <w:pPr>
        <w:pStyle w:val="16"/>
        <w:snapToGrid w:val="0"/>
        <w:spacing w:line="360" w:lineRule="auto"/>
        <w:rPr>
          <w:rFonts w:ascii="Times New Roman" w:hAnsi="Times New Roman"/>
          <w:sz w:val="24"/>
          <w:highlight w:val="none"/>
        </w:rPr>
      </w:pPr>
      <w:r>
        <w:rPr>
          <w:rFonts w:ascii="Times New Roman" w:hAnsi="Times New Roman"/>
          <w:sz w:val="24"/>
          <w:highlight w:val="none"/>
        </w:rPr>
        <w:t>（￥_______________元）人民币。</w:t>
      </w:r>
    </w:p>
    <w:p w14:paraId="0741E9C2">
      <w:pPr>
        <w:widowControl/>
        <w:shd w:val="clear" w:color="auto" w:fill="FFFFFF"/>
        <w:spacing w:line="360" w:lineRule="auto"/>
        <w:jc w:val="left"/>
        <w:rPr>
          <w:b/>
          <w:color w:val="333333"/>
          <w:kern w:val="0"/>
          <w:sz w:val="24"/>
          <w:highlight w:val="none"/>
        </w:rPr>
      </w:pPr>
      <w:r>
        <w:rPr>
          <w:b/>
          <w:color w:val="333333"/>
          <w:kern w:val="0"/>
          <w:sz w:val="24"/>
          <w:highlight w:val="none"/>
        </w:rPr>
        <w:t>四、甲乙双方责任</w:t>
      </w:r>
    </w:p>
    <w:p w14:paraId="06B162B7">
      <w:pPr>
        <w:pStyle w:val="25"/>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（一）甲方责任</w:t>
      </w:r>
    </w:p>
    <w:p w14:paraId="5E24B289">
      <w:pPr>
        <w:pStyle w:val="25"/>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（根据磋商采购结果确定）</w:t>
      </w:r>
    </w:p>
    <w:p w14:paraId="40E22A7B">
      <w:pPr>
        <w:pStyle w:val="25"/>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color w:val="333333"/>
          <w:highlight w:val="none"/>
        </w:rPr>
        <w:t>（二）乙方责任</w:t>
      </w:r>
    </w:p>
    <w:p w14:paraId="3F847C10">
      <w:pPr>
        <w:pStyle w:val="25"/>
        <w:shd w:val="clear" w:color="auto" w:fill="FFFFFF"/>
        <w:spacing w:before="0" w:beforeAutospacing="0" w:after="0" w:afterAutospacing="0" w:line="360" w:lineRule="auto"/>
        <w:ind w:firstLine="480"/>
        <w:rPr>
          <w:rFonts w:ascii="Times New Roman" w:hAnsi="Times New Roman"/>
          <w:color w:val="333333"/>
          <w:highlight w:val="none"/>
        </w:rPr>
      </w:pPr>
      <w:r>
        <w:rPr>
          <w:rFonts w:ascii="Times New Roman" w:hAnsi="Times New Roman"/>
          <w:highlight w:val="none"/>
        </w:rPr>
        <w:t>（根据磋商采购结果确定）</w:t>
      </w:r>
    </w:p>
    <w:p w14:paraId="5898414F">
      <w:pPr>
        <w:pStyle w:val="16"/>
        <w:snapToGrid w:val="0"/>
        <w:spacing w:line="360" w:lineRule="auto"/>
        <w:rPr>
          <w:rFonts w:ascii="Times New Roman" w:hAnsi="Times New Roman"/>
          <w:b/>
          <w:sz w:val="24"/>
          <w:highlight w:val="none"/>
        </w:rPr>
      </w:pPr>
      <w:r>
        <w:rPr>
          <w:rFonts w:ascii="Times New Roman" w:hAnsi="Times New Roman"/>
          <w:b/>
          <w:sz w:val="24"/>
          <w:highlight w:val="none"/>
        </w:rPr>
        <w:t>五、技术资料</w:t>
      </w:r>
    </w:p>
    <w:p w14:paraId="640E692F">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1.乙方应按磋商采购文件规定的时间向甲方提供有关技术资料。</w:t>
      </w:r>
    </w:p>
    <w:p w14:paraId="17E62916">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2.没有甲方事先书面同意，乙方不得将由甲方提供的有关合同或任何合同条</w:t>
      </w:r>
    </w:p>
    <w:p w14:paraId="73C2F1E1">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文、规格、计划、图纸、样品或资料提供给与履行本合同无关的任何其他人。即</w:t>
      </w:r>
    </w:p>
    <w:p w14:paraId="18C62A1E">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使向履行本合同有关的人员提供，也应注意保密并限于履行合同的必需范围。</w:t>
      </w:r>
    </w:p>
    <w:p w14:paraId="054A919A">
      <w:pPr>
        <w:pStyle w:val="16"/>
        <w:snapToGrid w:val="0"/>
        <w:spacing w:line="360" w:lineRule="auto"/>
        <w:ind w:left="412" w:hanging="412" w:hangingChars="171"/>
        <w:rPr>
          <w:rFonts w:ascii="Times New Roman" w:hAnsi="Times New Roman"/>
          <w:b/>
          <w:sz w:val="24"/>
          <w:highlight w:val="none"/>
        </w:rPr>
      </w:pPr>
      <w:r>
        <w:rPr>
          <w:rFonts w:ascii="Times New Roman" w:hAnsi="Times New Roman"/>
          <w:b/>
          <w:sz w:val="24"/>
          <w:highlight w:val="none"/>
        </w:rPr>
        <w:t>六、知识产权</w:t>
      </w:r>
    </w:p>
    <w:p w14:paraId="18C0661D">
      <w:pPr>
        <w:pStyle w:val="16"/>
        <w:snapToGrid w:val="0"/>
        <w:spacing w:line="360" w:lineRule="auto"/>
        <w:ind w:left="410" w:hanging="410" w:hangingChars="171"/>
        <w:rPr>
          <w:rFonts w:ascii="Times New Roman" w:hAnsi="Times New Roman"/>
          <w:b/>
          <w:bCs/>
          <w:sz w:val="24"/>
          <w:highlight w:val="none"/>
        </w:rPr>
      </w:pPr>
      <w:r>
        <w:rPr>
          <w:rFonts w:ascii="Times New Roman" w:hAnsi="Times New Roman"/>
          <w:sz w:val="24"/>
          <w:highlight w:val="none"/>
        </w:rPr>
        <w:t xml:space="preserve">   乙方应保证提供服务过程中不会侵犯任何第三方的知识产权。</w:t>
      </w:r>
    </w:p>
    <w:p w14:paraId="281A1D9C">
      <w:pPr>
        <w:pStyle w:val="16"/>
        <w:snapToGrid w:val="0"/>
        <w:spacing w:line="360" w:lineRule="auto"/>
        <w:ind w:left="410" w:hanging="410" w:hangingChars="170"/>
        <w:rPr>
          <w:rFonts w:ascii="Times New Roman" w:hAnsi="Times New Roman"/>
          <w:b/>
          <w:sz w:val="24"/>
          <w:highlight w:val="none"/>
        </w:rPr>
      </w:pPr>
      <w:r>
        <w:rPr>
          <w:rFonts w:ascii="Times New Roman" w:hAnsi="Times New Roman"/>
          <w:b/>
          <w:sz w:val="24"/>
          <w:highlight w:val="none"/>
        </w:rPr>
        <w:t>七、履约保证金</w:t>
      </w:r>
    </w:p>
    <w:p w14:paraId="0CEEB08F">
      <w:pPr>
        <w:tabs>
          <w:tab w:val="left" w:pos="1418"/>
        </w:tabs>
        <w:autoSpaceDE w:val="0"/>
        <w:autoSpaceDN w:val="0"/>
        <w:adjustRightInd w:val="0"/>
        <w:spacing w:line="360" w:lineRule="auto"/>
        <w:ind w:firstLine="480" w:firstLineChars="200"/>
        <w:rPr>
          <w:sz w:val="24"/>
          <w:highlight w:val="none"/>
        </w:rPr>
      </w:pPr>
      <w:r>
        <w:rPr>
          <w:sz w:val="24"/>
          <w:highlight w:val="none"/>
        </w:rPr>
        <w:t>本项目不设履约保证金。</w:t>
      </w:r>
    </w:p>
    <w:p w14:paraId="3BF80AFB">
      <w:pPr>
        <w:snapToGrid w:val="0"/>
        <w:spacing w:line="360" w:lineRule="auto"/>
        <w:rPr>
          <w:b/>
          <w:sz w:val="24"/>
          <w:highlight w:val="none"/>
        </w:rPr>
      </w:pPr>
      <w:r>
        <w:rPr>
          <w:b/>
          <w:sz w:val="24"/>
          <w:highlight w:val="none"/>
        </w:rPr>
        <w:t>八、转包或分包</w:t>
      </w:r>
    </w:p>
    <w:p w14:paraId="35CA1F64">
      <w:pPr>
        <w:snapToGrid w:val="0"/>
        <w:spacing w:line="360" w:lineRule="auto"/>
        <w:rPr>
          <w:sz w:val="24"/>
          <w:highlight w:val="none"/>
        </w:rPr>
      </w:pPr>
      <w:r>
        <w:rPr>
          <w:sz w:val="24"/>
          <w:highlight w:val="none"/>
        </w:rPr>
        <w:t xml:space="preserve">    1.本合同范围的服务，应由乙方直接供应，不得转让他人供应；</w:t>
      </w:r>
    </w:p>
    <w:p w14:paraId="262321DC">
      <w:pPr>
        <w:snapToGrid w:val="0"/>
        <w:spacing w:line="360" w:lineRule="auto"/>
        <w:rPr>
          <w:sz w:val="24"/>
          <w:highlight w:val="none"/>
        </w:rPr>
      </w:pPr>
      <w:r>
        <w:rPr>
          <w:sz w:val="24"/>
          <w:highlight w:val="none"/>
        </w:rPr>
        <w:t xml:space="preserve">    2.乙方不得将本合同范围的服务全部或部分分包给他人供应；</w:t>
      </w:r>
    </w:p>
    <w:p w14:paraId="2CD6C94B">
      <w:pPr>
        <w:snapToGrid w:val="0"/>
        <w:spacing w:line="360" w:lineRule="auto"/>
        <w:rPr>
          <w:sz w:val="24"/>
          <w:highlight w:val="none"/>
        </w:rPr>
      </w:pPr>
      <w:r>
        <w:rPr>
          <w:sz w:val="24"/>
          <w:highlight w:val="none"/>
        </w:rPr>
        <w:t xml:space="preserve">    3.如有转让和分包行为，甲方有权解除合同，并追究乙方的违约责任。</w:t>
      </w:r>
    </w:p>
    <w:p w14:paraId="46F509F4">
      <w:pPr>
        <w:pStyle w:val="16"/>
        <w:snapToGrid w:val="0"/>
        <w:spacing w:line="360" w:lineRule="auto"/>
        <w:rPr>
          <w:rFonts w:ascii="Times New Roman" w:hAnsi="Times New Roman"/>
          <w:sz w:val="24"/>
          <w:highlight w:val="none"/>
        </w:rPr>
      </w:pPr>
      <w:r>
        <w:rPr>
          <w:rFonts w:ascii="Times New Roman" w:hAnsi="Times New Roman"/>
          <w:b/>
          <w:sz w:val="24"/>
          <w:highlight w:val="none"/>
        </w:rPr>
        <w:t>九、服务质量保证期 (选用)</w:t>
      </w:r>
    </w:p>
    <w:p w14:paraId="418BA8F6">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1.服务质量保证期</w:t>
      </w:r>
      <w:r>
        <w:rPr>
          <w:rFonts w:ascii="Times New Roman" w:hAnsi="Times New Roman"/>
          <w:sz w:val="24"/>
          <w:highlight w:val="none"/>
          <w:u w:val="single"/>
        </w:rPr>
        <w:t xml:space="preserve">    1  </w:t>
      </w:r>
      <w:r>
        <w:rPr>
          <w:rFonts w:ascii="Times New Roman" w:hAnsi="Times New Roman"/>
          <w:sz w:val="24"/>
          <w:highlight w:val="none"/>
        </w:rPr>
        <w:t>年。（自验收合格之日起计）</w:t>
      </w:r>
    </w:p>
    <w:p w14:paraId="25DDBE9C">
      <w:pPr>
        <w:pStyle w:val="16"/>
        <w:snapToGrid w:val="0"/>
        <w:spacing w:line="360" w:lineRule="auto"/>
        <w:rPr>
          <w:rFonts w:ascii="Times New Roman" w:hAnsi="Times New Roman"/>
          <w:b/>
          <w:sz w:val="24"/>
          <w:highlight w:val="none"/>
        </w:rPr>
      </w:pPr>
      <w:r>
        <w:rPr>
          <w:rFonts w:ascii="Times New Roman" w:hAnsi="Times New Roman"/>
          <w:b/>
          <w:sz w:val="24"/>
          <w:highlight w:val="none"/>
        </w:rPr>
        <w:t>十、合同履行时间、履行方式及履行地点</w:t>
      </w:r>
    </w:p>
    <w:p w14:paraId="46E626F6">
      <w:pPr>
        <w:pStyle w:val="16"/>
        <w:snapToGrid w:val="0"/>
        <w:spacing w:line="360" w:lineRule="auto"/>
        <w:ind w:firstLine="480" w:firstLineChars="200"/>
        <w:rPr>
          <w:rFonts w:ascii="Times New Roman" w:hAnsi="Times New Roman"/>
          <w:bCs/>
          <w:color w:val="000000"/>
          <w:sz w:val="24"/>
          <w:highlight w:val="none"/>
        </w:rPr>
      </w:pPr>
      <w:r>
        <w:rPr>
          <w:rFonts w:ascii="Times New Roman" w:hAnsi="Times New Roman"/>
          <w:bCs/>
          <w:color w:val="000000"/>
          <w:sz w:val="24"/>
          <w:highlight w:val="none"/>
        </w:rPr>
        <w:t>1.履行时间：</w:t>
      </w:r>
    </w:p>
    <w:p w14:paraId="06717F5E">
      <w:pPr>
        <w:pStyle w:val="16"/>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2.</w:t>
      </w:r>
      <w:r>
        <w:rPr>
          <w:rFonts w:ascii="Times New Roman" w:hAnsi="Times New Roman"/>
          <w:sz w:val="24"/>
          <w:highlight w:val="none"/>
        </w:rPr>
        <w:t>履行方式</w:t>
      </w:r>
      <w:r>
        <w:rPr>
          <w:rFonts w:ascii="Times New Roman" w:hAnsi="Times New Roman"/>
          <w:bCs/>
          <w:color w:val="000000"/>
          <w:sz w:val="24"/>
          <w:highlight w:val="none"/>
        </w:rPr>
        <w:t>：</w:t>
      </w:r>
    </w:p>
    <w:p w14:paraId="4B2FDE03">
      <w:pPr>
        <w:pStyle w:val="16"/>
        <w:snapToGrid w:val="0"/>
        <w:spacing w:line="360" w:lineRule="auto"/>
        <w:rPr>
          <w:rFonts w:ascii="Times New Roman" w:hAnsi="Times New Roman"/>
          <w:bCs/>
          <w:color w:val="000000"/>
          <w:sz w:val="24"/>
          <w:highlight w:val="none"/>
        </w:rPr>
      </w:pPr>
      <w:r>
        <w:rPr>
          <w:rFonts w:ascii="Times New Roman" w:hAnsi="Times New Roman"/>
          <w:bCs/>
          <w:color w:val="000000"/>
          <w:sz w:val="24"/>
          <w:highlight w:val="none"/>
        </w:rPr>
        <w:t xml:space="preserve">    3.</w:t>
      </w:r>
      <w:r>
        <w:rPr>
          <w:rFonts w:ascii="Times New Roman" w:hAnsi="Times New Roman"/>
          <w:sz w:val="24"/>
          <w:highlight w:val="none"/>
        </w:rPr>
        <w:t>履行地点</w:t>
      </w:r>
      <w:r>
        <w:rPr>
          <w:rFonts w:ascii="Times New Roman" w:hAnsi="Times New Roman"/>
          <w:bCs/>
          <w:color w:val="000000"/>
          <w:sz w:val="24"/>
          <w:highlight w:val="none"/>
        </w:rPr>
        <w:t>：</w:t>
      </w:r>
    </w:p>
    <w:p w14:paraId="06650105">
      <w:pPr>
        <w:pStyle w:val="16"/>
        <w:snapToGrid w:val="0"/>
        <w:spacing w:line="360" w:lineRule="auto"/>
        <w:rPr>
          <w:rFonts w:ascii="Times New Roman" w:hAnsi="Times New Roman"/>
          <w:b/>
          <w:color w:val="000000"/>
          <w:sz w:val="24"/>
          <w:highlight w:val="none"/>
        </w:rPr>
      </w:pPr>
      <w:r>
        <w:rPr>
          <w:rFonts w:ascii="Times New Roman" w:hAnsi="Times New Roman"/>
          <w:b/>
          <w:color w:val="000000"/>
          <w:sz w:val="24"/>
          <w:highlight w:val="none"/>
        </w:rPr>
        <w:t>十一、款项支付</w:t>
      </w:r>
    </w:p>
    <w:p w14:paraId="6BE4CDD1">
      <w:pPr>
        <w:pStyle w:val="79"/>
        <w:spacing w:line="360" w:lineRule="auto"/>
        <w:ind w:firstLine="480" w:firstLineChars="200"/>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t>资金支付：签订合同后支付项目合同额的40%，作为预付款；服务期满，根据考核结果扣除相应运营费用后，支付剩余款项。</w:t>
      </w:r>
    </w:p>
    <w:p w14:paraId="43B8C330">
      <w:pPr>
        <w:snapToGrid w:val="0"/>
        <w:spacing w:line="360" w:lineRule="auto"/>
        <w:rPr>
          <w:b/>
          <w:sz w:val="24"/>
          <w:highlight w:val="none"/>
        </w:rPr>
      </w:pPr>
      <w:r>
        <w:rPr>
          <w:b/>
          <w:sz w:val="24"/>
          <w:highlight w:val="none"/>
        </w:rPr>
        <w:t>十二、税费</w:t>
      </w:r>
    </w:p>
    <w:p w14:paraId="2224D072">
      <w:pPr>
        <w:snapToGrid w:val="0"/>
        <w:spacing w:line="360" w:lineRule="auto"/>
        <w:ind w:firstLine="480" w:firstLineChars="200"/>
        <w:rPr>
          <w:sz w:val="24"/>
          <w:highlight w:val="none"/>
        </w:rPr>
      </w:pPr>
      <w:r>
        <w:rPr>
          <w:sz w:val="24"/>
          <w:highlight w:val="none"/>
        </w:rPr>
        <w:t>本合同执行中相关的一切税费均由乙方负担。</w:t>
      </w:r>
    </w:p>
    <w:p w14:paraId="795D6E3E">
      <w:pPr>
        <w:pStyle w:val="16"/>
        <w:snapToGrid w:val="0"/>
        <w:spacing w:line="360" w:lineRule="auto"/>
        <w:ind w:left="412" w:hanging="412" w:hangingChars="171"/>
        <w:rPr>
          <w:rFonts w:ascii="Times New Roman" w:hAnsi="Times New Roman"/>
          <w:sz w:val="24"/>
          <w:highlight w:val="none"/>
        </w:rPr>
      </w:pPr>
      <w:r>
        <w:rPr>
          <w:rFonts w:ascii="Times New Roman" w:hAnsi="Times New Roman"/>
          <w:b/>
          <w:sz w:val="24"/>
          <w:highlight w:val="none"/>
        </w:rPr>
        <w:t>十三、质量保证及后续服务</w:t>
      </w:r>
    </w:p>
    <w:p w14:paraId="105B2FA5">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    1.乙方应按磋商采购文件规定向甲方提供服务。</w:t>
      </w:r>
    </w:p>
    <w:p w14:paraId="153F8ECE">
      <w:pPr>
        <w:pStyle w:val="16"/>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 xml:space="preserve">    2.乙方提供的服务成果在服务质量保证期内发生故障，乙方应负责免费提供</w:t>
      </w:r>
    </w:p>
    <w:p w14:paraId="425641B6">
      <w:pPr>
        <w:pStyle w:val="16"/>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后续服务。对达不到要求者，根据实际情况，经双方协商，可按以下办法处理：</w:t>
      </w:r>
    </w:p>
    <w:p w14:paraId="0223CAE6">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(1).赔偿处理；</w:t>
      </w:r>
    </w:p>
    <w:p w14:paraId="322B7C9F">
      <w:pPr>
        <w:pStyle w:val="16"/>
        <w:snapToGrid w:val="0"/>
        <w:spacing w:line="360" w:lineRule="auto"/>
        <w:ind w:firstLine="240" w:firstLineChars="100"/>
        <w:rPr>
          <w:rFonts w:ascii="Times New Roman" w:hAnsi="Times New Roman"/>
          <w:sz w:val="24"/>
          <w:highlight w:val="none"/>
        </w:rPr>
      </w:pPr>
      <w:r>
        <w:rPr>
          <w:rFonts w:ascii="Times New Roman" w:hAnsi="Times New Roman"/>
          <w:sz w:val="24"/>
          <w:highlight w:val="none"/>
        </w:rPr>
        <w:t>(2).解除合同。</w:t>
      </w:r>
    </w:p>
    <w:p w14:paraId="4958B9E7">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3.如在使用过程中发生问题，乙方在接到甲方通知后</w:t>
      </w:r>
      <w:r>
        <w:rPr>
          <w:rFonts w:ascii="Times New Roman" w:hAnsi="Times New Roman"/>
          <w:color w:val="000000"/>
          <w:sz w:val="24"/>
          <w:highlight w:val="none"/>
        </w:rPr>
        <w:t>在小时</w:t>
      </w:r>
      <w:r>
        <w:rPr>
          <w:rFonts w:ascii="Times New Roman" w:hAnsi="Times New Roman"/>
          <w:sz w:val="24"/>
          <w:highlight w:val="none"/>
        </w:rPr>
        <w:t>内到达甲方现场。</w:t>
      </w:r>
    </w:p>
    <w:p w14:paraId="6BE0B11A">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4.在</w:t>
      </w:r>
      <w:r>
        <w:rPr>
          <w:rFonts w:ascii="Times New Roman" w:hAnsi="Times New Roman"/>
          <w:bCs/>
          <w:sz w:val="24"/>
          <w:highlight w:val="none"/>
        </w:rPr>
        <w:t>服务质量保证期</w:t>
      </w:r>
      <w:r>
        <w:rPr>
          <w:rFonts w:ascii="Times New Roman" w:hAnsi="Times New Roman"/>
          <w:sz w:val="24"/>
          <w:highlight w:val="none"/>
        </w:rPr>
        <w:t>内，乙方应对出现的质量及安全问题负责处理解决并承担一切费用。</w:t>
      </w:r>
    </w:p>
    <w:p w14:paraId="25F718A6">
      <w:pPr>
        <w:pStyle w:val="16"/>
        <w:snapToGrid w:val="0"/>
        <w:spacing w:line="360" w:lineRule="auto"/>
        <w:rPr>
          <w:rFonts w:ascii="Times New Roman" w:hAnsi="Times New Roman"/>
          <w:b/>
          <w:sz w:val="24"/>
          <w:highlight w:val="none"/>
        </w:rPr>
      </w:pPr>
      <w:r>
        <w:rPr>
          <w:rFonts w:ascii="Times New Roman" w:hAnsi="Times New Roman"/>
          <w:b/>
          <w:sz w:val="24"/>
          <w:highlight w:val="none"/>
        </w:rPr>
        <w:t>十四、违约责任</w:t>
      </w:r>
    </w:p>
    <w:p w14:paraId="137968DB">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1.甲方无正当理由拒收接受服务的，甲方向乙方偿付合同款项的</w:t>
      </w:r>
      <w:r>
        <w:rPr>
          <w:rFonts w:ascii="Times New Roman" w:hAnsi="Times New Roman"/>
          <w:color w:val="000000" w:themeColor="text1"/>
          <w:sz w:val="24"/>
          <w:highlight w:val="none"/>
          <w:u w:val="single"/>
          <w14:textFill>
            <w14:solidFill>
              <w14:schemeClr w14:val="tx1"/>
            </w14:solidFill>
          </w14:textFill>
        </w:rPr>
        <w:t>百分之五</w:t>
      </w:r>
      <w:r>
        <w:rPr>
          <w:rFonts w:ascii="Times New Roman" w:hAnsi="Times New Roman"/>
          <w:color w:val="000000" w:themeColor="text1"/>
          <w:sz w:val="24"/>
          <w:highlight w:val="none"/>
          <w14:textFill>
            <w14:solidFill>
              <w14:schemeClr w14:val="tx1"/>
            </w14:solidFill>
          </w14:textFill>
        </w:rPr>
        <w:t>作为违约金。</w:t>
      </w:r>
    </w:p>
    <w:p w14:paraId="33B85727">
      <w:pPr>
        <w:pStyle w:val="16"/>
        <w:snapToGrid w:val="0"/>
        <w:spacing w:line="360" w:lineRule="auto"/>
        <w:ind w:left="410" w:hanging="410" w:hangingChars="171"/>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2．甲方无故逾期验收和办理款项支付手续的,甲方应按逾期付款总额</w:t>
      </w:r>
      <w:r>
        <w:rPr>
          <w:rFonts w:ascii="Times New Roman" w:hAnsi="Times New Roman"/>
          <w:color w:val="000000" w:themeColor="text1"/>
          <w:sz w:val="24"/>
          <w:highlight w:val="none"/>
          <w:u w:val="single"/>
          <w14:textFill>
            <w14:solidFill>
              <w14:schemeClr w14:val="tx1"/>
            </w14:solidFill>
          </w14:textFill>
        </w:rPr>
        <w:t>每日万</w:t>
      </w:r>
    </w:p>
    <w:p w14:paraId="41F4327C">
      <w:pPr>
        <w:pStyle w:val="16"/>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分之五</w:t>
      </w:r>
      <w:r>
        <w:rPr>
          <w:rFonts w:ascii="Times New Roman" w:hAnsi="Times New Roman"/>
          <w:color w:val="000000" w:themeColor="text1"/>
          <w:sz w:val="24"/>
          <w:highlight w:val="none"/>
          <w14:textFill>
            <w14:solidFill>
              <w14:schemeClr w14:val="tx1"/>
            </w14:solidFill>
          </w14:textFill>
        </w:rPr>
        <w:t>向乙方支付违约金。</w:t>
      </w:r>
    </w:p>
    <w:p w14:paraId="5041852E">
      <w:pPr>
        <w:pStyle w:val="16"/>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3.乙方未能如期提供服务的，每日向甲方支付合同款项的</w:t>
      </w:r>
      <w:r>
        <w:rPr>
          <w:rFonts w:ascii="Times New Roman" w:hAnsi="Times New Roman"/>
          <w:color w:val="000000" w:themeColor="text1"/>
          <w:sz w:val="24"/>
          <w:highlight w:val="none"/>
          <w:u w:val="single"/>
          <w14:textFill>
            <w14:solidFill>
              <w14:schemeClr w14:val="tx1"/>
            </w14:solidFill>
          </w14:textFill>
        </w:rPr>
        <w:t>千分之六</w:t>
      </w:r>
      <w:r>
        <w:rPr>
          <w:rFonts w:ascii="Times New Roman" w:hAnsi="Times New Roman"/>
          <w:color w:val="000000" w:themeColor="text1"/>
          <w:sz w:val="24"/>
          <w:highlight w:val="none"/>
          <w14:textFill>
            <w14:solidFill>
              <w14:schemeClr w14:val="tx1"/>
            </w14:solidFill>
          </w14:textFill>
        </w:rPr>
        <w:t>作为违约</w:t>
      </w:r>
    </w:p>
    <w:p w14:paraId="7C9F1025">
      <w:pPr>
        <w:pStyle w:val="16"/>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金。乙方超过约定日期10个工作日仍不能提供服务的，甲方可解除本合同。乙</w:t>
      </w:r>
    </w:p>
    <w:p w14:paraId="7D3B64DB">
      <w:pPr>
        <w:pStyle w:val="16"/>
        <w:snapToGrid w:val="0"/>
        <w:spacing w:line="360" w:lineRule="auto"/>
        <w:ind w:left="410" w:hanging="410" w:hangingChars="171"/>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方因未能如期提供服务或因其他违约行为导致甲方解除合同的，乙方应向甲方支</w:t>
      </w:r>
    </w:p>
    <w:p w14:paraId="6A992ADB">
      <w:pPr>
        <w:pStyle w:val="16"/>
        <w:snapToGrid w:val="0"/>
        <w:spacing w:line="360" w:lineRule="auto"/>
        <w:ind w:left="410" w:hanging="410" w:hangingChars="171"/>
        <w:rPr>
          <w:rFonts w:ascii="Times New Roman" w:hAnsi="Times New Roman"/>
          <w:sz w:val="24"/>
          <w:highlight w:val="none"/>
        </w:rPr>
      </w:pPr>
      <w:r>
        <w:rPr>
          <w:rFonts w:ascii="Times New Roman" w:hAnsi="Times New Roman"/>
          <w:color w:val="000000" w:themeColor="text1"/>
          <w:sz w:val="24"/>
          <w:highlight w:val="none"/>
          <w14:textFill>
            <w14:solidFill>
              <w14:schemeClr w14:val="tx1"/>
            </w14:solidFill>
          </w14:textFill>
        </w:rPr>
        <w:t>付合同总值</w:t>
      </w:r>
      <w:r>
        <w:rPr>
          <w:rFonts w:ascii="Times New Roman" w:hAnsi="Times New Roman"/>
          <w:color w:val="000000" w:themeColor="text1"/>
          <w:sz w:val="24"/>
          <w:highlight w:val="none"/>
          <w:u w:val="single"/>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的违约金</w:t>
      </w:r>
      <w:r>
        <w:rPr>
          <w:rFonts w:ascii="Times New Roman" w:hAnsi="Times New Roman"/>
          <w:sz w:val="24"/>
          <w:highlight w:val="none"/>
        </w:rPr>
        <w:t>，如造成甲方损失超过违约金的，超出部分由乙方继续</w:t>
      </w:r>
    </w:p>
    <w:p w14:paraId="110DF2CC">
      <w:pPr>
        <w:pStyle w:val="16"/>
        <w:snapToGrid w:val="0"/>
        <w:spacing w:line="360" w:lineRule="auto"/>
        <w:ind w:left="410" w:hanging="410" w:hangingChars="171"/>
        <w:rPr>
          <w:rFonts w:ascii="Times New Roman" w:hAnsi="Times New Roman"/>
          <w:sz w:val="24"/>
          <w:highlight w:val="none"/>
        </w:rPr>
      </w:pPr>
      <w:r>
        <w:rPr>
          <w:rFonts w:ascii="Times New Roman" w:hAnsi="Times New Roman"/>
          <w:sz w:val="24"/>
          <w:highlight w:val="none"/>
        </w:rPr>
        <w:t xml:space="preserve">承担赔偿责任。 </w:t>
      </w:r>
    </w:p>
    <w:p w14:paraId="5F282A6A">
      <w:pPr>
        <w:pStyle w:val="16"/>
        <w:snapToGrid w:val="0"/>
        <w:spacing w:line="360" w:lineRule="auto"/>
        <w:rPr>
          <w:rFonts w:ascii="Times New Roman" w:hAnsi="Times New Roman"/>
          <w:b/>
          <w:sz w:val="24"/>
          <w:highlight w:val="none"/>
        </w:rPr>
      </w:pPr>
      <w:r>
        <w:rPr>
          <w:rFonts w:ascii="Times New Roman" w:hAnsi="Times New Roman"/>
          <w:b/>
          <w:sz w:val="24"/>
          <w:highlight w:val="none"/>
        </w:rPr>
        <w:t>十五、不可抗力事件处理</w:t>
      </w:r>
    </w:p>
    <w:p w14:paraId="22F00817">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1.在合同有效期内，任何一方因不可抗力事件导致不能履行合同，则合同</w:t>
      </w:r>
    </w:p>
    <w:p w14:paraId="6D731D30">
      <w:pPr>
        <w:pStyle w:val="16"/>
        <w:snapToGrid w:val="0"/>
        <w:spacing w:line="360" w:lineRule="auto"/>
        <w:rPr>
          <w:rFonts w:ascii="Times New Roman" w:hAnsi="Times New Roman"/>
          <w:sz w:val="24"/>
          <w:highlight w:val="none"/>
        </w:rPr>
      </w:pPr>
      <w:r>
        <w:rPr>
          <w:rFonts w:ascii="Times New Roman" w:hAnsi="Times New Roman"/>
          <w:sz w:val="24"/>
          <w:highlight w:val="none"/>
        </w:rPr>
        <w:t>履行期可延长，其延长期与不可抗力影响期相同。</w:t>
      </w:r>
    </w:p>
    <w:p w14:paraId="7433BB89">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2.不可抗力事件发生后，应立即通知对方，并寄送有关权威机构出具的证明。</w:t>
      </w:r>
    </w:p>
    <w:p w14:paraId="7FAE75C5">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3.不可抗力事件延续120天以上，双方应通过友好协商，确定是否继续履行合同。</w:t>
      </w:r>
    </w:p>
    <w:p w14:paraId="62E90245">
      <w:pPr>
        <w:pStyle w:val="16"/>
        <w:snapToGrid w:val="0"/>
        <w:spacing w:line="360" w:lineRule="auto"/>
        <w:rPr>
          <w:rFonts w:ascii="Times New Roman" w:hAnsi="Times New Roman"/>
          <w:b/>
          <w:sz w:val="24"/>
          <w:highlight w:val="none"/>
        </w:rPr>
      </w:pPr>
      <w:r>
        <w:rPr>
          <w:rFonts w:ascii="Times New Roman" w:hAnsi="Times New Roman"/>
          <w:b/>
          <w:sz w:val="24"/>
          <w:highlight w:val="none"/>
        </w:rPr>
        <w:t>十六、解决争议的方法</w:t>
      </w:r>
    </w:p>
    <w:p w14:paraId="20090D13">
      <w:pPr>
        <w:pStyle w:val="16"/>
        <w:snapToGrid w:val="0"/>
        <w:spacing w:line="360" w:lineRule="auto"/>
        <w:rPr>
          <w:rFonts w:ascii="Times New Roman" w:hAnsi="Times New Roman"/>
          <w:kern w:val="0"/>
          <w:sz w:val="24"/>
          <w:highlight w:val="none"/>
        </w:rPr>
      </w:pPr>
      <w:r>
        <w:rPr>
          <w:rFonts w:ascii="Times New Roman" w:hAnsi="Times New Roman"/>
          <w:kern w:val="0"/>
          <w:sz w:val="24"/>
          <w:highlight w:val="none"/>
        </w:rPr>
        <w:t>1.如双方在履行合同时发生纠纷，应协商解决；协商不成时，可提请政府采购管理部门调解；调解不成的通过以下方式（1）解决：</w:t>
      </w:r>
    </w:p>
    <w:p w14:paraId="16475CFC">
      <w:pPr>
        <w:pStyle w:val="16"/>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（1） 提交</w:t>
      </w:r>
      <w:r>
        <w:rPr>
          <w:rFonts w:ascii="Times New Roman" w:hAnsi="Times New Roman"/>
          <w:color w:val="000000" w:themeColor="text1"/>
          <w:sz w:val="24"/>
          <w:highlight w:val="none"/>
          <w:u w:val="single"/>
          <w14:textFill>
            <w14:solidFill>
              <w14:schemeClr w14:val="tx1"/>
            </w14:solidFill>
          </w14:textFill>
        </w:rPr>
        <w:t>台州</w:t>
      </w:r>
      <w:r>
        <w:rPr>
          <w:rFonts w:ascii="Times New Roman" w:hAnsi="Times New Roman"/>
          <w:kern w:val="0"/>
          <w:sz w:val="24"/>
          <w:highlight w:val="none"/>
        </w:rPr>
        <w:t>仲裁委员会仲裁。</w:t>
      </w:r>
    </w:p>
    <w:p w14:paraId="4AC6E32C">
      <w:pPr>
        <w:pStyle w:val="16"/>
        <w:snapToGrid w:val="0"/>
        <w:spacing w:line="360" w:lineRule="auto"/>
        <w:rPr>
          <w:rFonts w:ascii="Times New Roman" w:hAnsi="Times New Roman"/>
          <w:kern w:val="0"/>
          <w:sz w:val="24"/>
          <w:highlight w:val="none"/>
        </w:rPr>
      </w:pPr>
      <w:r>
        <w:rPr>
          <w:rFonts w:ascii="Times New Roman" w:hAnsi="Times New Roman"/>
          <w:kern w:val="0"/>
          <w:sz w:val="24"/>
          <w:highlight w:val="none"/>
        </w:rPr>
        <w:t xml:space="preserve">   （2） 依法向甲方人民法院提起诉讼。</w:t>
      </w:r>
    </w:p>
    <w:p w14:paraId="4B05EE98">
      <w:pPr>
        <w:pStyle w:val="16"/>
        <w:snapToGrid w:val="0"/>
        <w:spacing w:line="360" w:lineRule="auto"/>
        <w:rPr>
          <w:rFonts w:ascii="Times New Roman" w:hAnsi="Times New Roman"/>
          <w:b/>
          <w:sz w:val="24"/>
          <w:highlight w:val="none"/>
        </w:rPr>
      </w:pPr>
      <w:r>
        <w:rPr>
          <w:rFonts w:ascii="Times New Roman" w:hAnsi="Times New Roman"/>
          <w:b/>
          <w:sz w:val="24"/>
          <w:highlight w:val="none"/>
        </w:rPr>
        <w:t>十七、合同生效及其它</w:t>
      </w:r>
    </w:p>
    <w:p w14:paraId="3D9F0E5E">
      <w:pPr>
        <w:pStyle w:val="16"/>
        <w:snapToGrid w:val="0"/>
        <w:spacing w:line="360" w:lineRule="auto"/>
        <w:rPr>
          <w:rFonts w:ascii="Times New Roman" w:hAnsi="Times New Roman"/>
          <w:sz w:val="24"/>
          <w:highlight w:val="none"/>
        </w:rPr>
      </w:pPr>
      <w:r>
        <w:rPr>
          <w:rFonts w:ascii="Times New Roman" w:hAnsi="Times New Roman"/>
          <w:sz w:val="24"/>
          <w:highlight w:val="none"/>
        </w:rPr>
        <w:t xml:space="preserve">    1.合同经双方法定代表人或授权代表签字并加盖单位公章后生效。</w:t>
      </w:r>
    </w:p>
    <w:p w14:paraId="19F6FB20">
      <w:pPr>
        <w:pStyle w:val="16"/>
        <w:snapToGrid w:val="0"/>
        <w:spacing w:line="360" w:lineRule="auto"/>
        <w:ind w:left="480" w:hanging="480" w:hangingChars="200"/>
        <w:rPr>
          <w:rFonts w:ascii="Times New Roman" w:hAnsi="Times New Roman"/>
          <w:sz w:val="24"/>
          <w:highlight w:val="none"/>
        </w:rPr>
      </w:pPr>
      <w:r>
        <w:rPr>
          <w:rFonts w:ascii="Times New Roman" w:hAnsi="Times New Roman"/>
          <w:sz w:val="24"/>
          <w:highlight w:val="none"/>
        </w:rPr>
        <w:t>2.本合同未尽事宜，遵照《中华人民共和国民法典》有关条文执行。</w:t>
      </w:r>
    </w:p>
    <w:p w14:paraId="330CBF56">
      <w:pPr>
        <w:widowControl/>
        <w:spacing w:line="360" w:lineRule="auto"/>
        <w:rPr>
          <w:sz w:val="24"/>
          <w:highlight w:val="none"/>
        </w:rPr>
      </w:pPr>
      <w:r>
        <w:rPr>
          <w:sz w:val="24"/>
          <w:highlight w:val="none"/>
        </w:rPr>
        <w:t>3.本合同一式陆份。甲、乙双方各执贰份，采购代理机构备案执贰份。本项目未尽事宜以磋商采购文件、磋商响应文件及澄清文件等为准。</w:t>
      </w:r>
    </w:p>
    <w:p w14:paraId="0B150F60">
      <w:pPr>
        <w:widowControl/>
        <w:spacing w:line="360" w:lineRule="auto"/>
        <w:rPr>
          <w:b/>
          <w:sz w:val="24"/>
          <w:highlight w:val="none"/>
        </w:rPr>
      </w:pPr>
    </w:p>
    <w:p w14:paraId="41FB9424">
      <w:pPr>
        <w:spacing w:line="360" w:lineRule="auto"/>
        <w:rPr>
          <w:sz w:val="24"/>
          <w:highlight w:val="none"/>
        </w:rPr>
      </w:pPr>
      <w:r>
        <w:rPr>
          <w:sz w:val="24"/>
          <w:highlight w:val="none"/>
        </w:rPr>
        <w:t>甲方（公章）                                     乙方（公章）</w:t>
      </w:r>
    </w:p>
    <w:p w14:paraId="6B6F00BE">
      <w:pPr>
        <w:spacing w:line="360" w:lineRule="auto"/>
        <w:rPr>
          <w:sz w:val="24"/>
          <w:highlight w:val="none"/>
        </w:rPr>
      </w:pPr>
      <w:r>
        <w:rPr>
          <w:sz w:val="24"/>
          <w:highlight w:val="none"/>
        </w:rPr>
        <w:t>法定代表人：                                     法定代表人：</w:t>
      </w:r>
    </w:p>
    <w:p w14:paraId="1C7C66CC">
      <w:pPr>
        <w:spacing w:line="360" w:lineRule="auto"/>
        <w:rPr>
          <w:sz w:val="24"/>
          <w:highlight w:val="none"/>
        </w:rPr>
      </w:pPr>
      <w:r>
        <w:rPr>
          <w:sz w:val="24"/>
          <w:highlight w:val="none"/>
        </w:rPr>
        <w:t>委托代理人：                                     委托代理人：</w:t>
      </w:r>
    </w:p>
    <w:p w14:paraId="6B8057A1">
      <w:pPr>
        <w:spacing w:line="360" w:lineRule="auto"/>
        <w:rPr>
          <w:sz w:val="24"/>
          <w:highlight w:val="none"/>
        </w:rPr>
      </w:pPr>
      <w:r>
        <w:rPr>
          <w:sz w:val="24"/>
          <w:highlight w:val="none"/>
        </w:rPr>
        <w:t>联系电话：                                       联系电话：</w:t>
      </w:r>
    </w:p>
    <w:p w14:paraId="35AEAC2E">
      <w:pPr>
        <w:spacing w:line="360" w:lineRule="auto"/>
        <w:rPr>
          <w:sz w:val="24"/>
          <w:highlight w:val="none"/>
        </w:rPr>
      </w:pPr>
      <w:r>
        <w:rPr>
          <w:sz w:val="24"/>
          <w:highlight w:val="none"/>
        </w:rPr>
        <w:t>开户银行：                                       开户银行：</w:t>
      </w:r>
    </w:p>
    <w:p w14:paraId="091041BF">
      <w:pPr>
        <w:spacing w:line="360" w:lineRule="auto"/>
        <w:rPr>
          <w:sz w:val="24"/>
          <w:highlight w:val="none"/>
        </w:rPr>
      </w:pPr>
      <w:r>
        <w:rPr>
          <w:sz w:val="24"/>
          <w:highlight w:val="none"/>
        </w:rPr>
        <w:t>帐号：                                           帐号：</w:t>
      </w:r>
    </w:p>
    <w:p w14:paraId="4FB6F87B">
      <w:pPr>
        <w:spacing w:line="360" w:lineRule="auto"/>
        <w:rPr>
          <w:sz w:val="24"/>
          <w:highlight w:val="none"/>
        </w:rPr>
      </w:pPr>
      <w:r>
        <w:rPr>
          <w:sz w:val="24"/>
          <w:highlight w:val="none"/>
        </w:rPr>
        <w:t>地址及邮编：                                     地址及邮编：</w:t>
      </w:r>
    </w:p>
    <w:p w14:paraId="39675416">
      <w:pPr>
        <w:spacing w:line="360" w:lineRule="auto"/>
        <w:rPr>
          <w:sz w:val="24"/>
          <w:highlight w:val="none"/>
        </w:rPr>
      </w:pPr>
    </w:p>
    <w:p w14:paraId="4C119BD2">
      <w:pPr>
        <w:spacing w:line="360" w:lineRule="auto"/>
        <w:ind w:firstLine="4920" w:firstLineChars="2050"/>
        <w:rPr>
          <w:sz w:val="24"/>
          <w:highlight w:val="none"/>
        </w:rPr>
      </w:pPr>
      <w:r>
        <w:rPr>
          <w:sz w:val="24"/>
          <w:highlight w:val="none"/>
        </w:rPr>
        <w:t>签订时间：    年   月    日</w:t>
      </w:r>
    </w:p>
    <w:p w14:paraId="5A939A3C">
      <w:pPr>
        <w:spacing w:line="360" w:lineRule="auto"/>
        <w:jc w:val="center"/>
        <w:rPr>
          <w:b/>
          <w:color w:val="000000" w:themeColor="text1"/>
          <w:sz w:val="36"/>
          <w:highlight w:val="none"/>
          <w14:textFill>
            <w14:solidFill>
              <w14:schemeClr w14:val="tx1"/>
            </w14:solidFill>
          </w14:textFill>
        </w:rPr>
      </w:pPr>
    </w:p>
    <w:p w14:paraId="6B90CC8E">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2D045ED8">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1BB756AB">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63849B8F">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7150BB0D">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4124D676">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3D4446B5">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7F595F6C">
      <w:pPr>
        <w:pStyle w:val="2"/>
        <w:ind w:firstLine="723"/>
        <w:rPr>
          <w:rFonts w:ascii="Times New Roman" w:hAnsi="Times New Roman" w:cs="Times New Roman"/>
          <w:b/>
          <w:color w:val="000000" w:themeColor="text1"/>
          <w:sz w:val="36"/>
          <w:highlight w:val="none"/>
          <w14:textFill>
            <w14:solidFill>
              <w14:schemeClr w14:val="tx1"/>
            </w14:solidFill>
          </w14:textFill>
        </w:rPr>
      </w:pPr>
    </w:p>
    <w:p w14:paraId="22AEB1FD">
      <w:pPr>
        <w:spacing w:line="360" w:lineRule="auto"/>
        <w:jc w:val="center"/>
        <w:rPr>
          <w:b/>
          <w:color w:val="000000" w:themeColor="text1"/>
          <w:sz w:val="36"/>
          <w:highlight w:val="none"/>
          <w14:textFill>
            <w14:solidFill>
              <w14:schemeClr w14:val="tx1"/>
            </w14:solidFill>
          </w14:textFill>
        </w:rPr>
      </w:pPr>
    </w:p>
    <w:p w14:paraId="22EF0536">
      <w:pPr>
        <w:pStyle w:val="2"/>
        <w:ind w:firstLine="560"/>
        <w:rPr>
          <w:rFonts w:ascii="Times New Roman" w:hAnsi="Times New Roman" w:cs="Times New Roman"/>
          <w:highlight w:val="none"/>
        </w:rPr>
      </w:pPr>
    </w:p>
    <w:p w14:paraId="46A7BB57">
      <w:pPr>
        <w:pStyle w:val="2"/>
        <w:ind w:firstLine="560"/>
        <w:rPr>
          <w:rFonts w:ascii="Times New Roman" w:hAnsi="Times New Roman" w:cs="Times New Roman"/>
          <w:highlight w:val="none"/>
        </w:rPr>
      </w:pPr>
    </w:p>
    <w:p w14:paraId="2BCAC077">
      <w:pPr>
        <w:spacing w:line="360" w:lineRule="auto"/>
        <w:jc w:val="center"/>
        <w:rPr>
          <w:b/>
          <w:color w:val="000000" w:themeColor="text1"/>
          <w:sz w:val="36"/>
          <w:highlight w:val="none"/>
          <w14:textFill>
            <w14:solidFill>
              <w14:schemeClr w14:val="tx1"/>
            </w14:solidFill>
          </w14:textFill>
        </w:rPr>
      </w:pPr>
    </w:p>
    <w:p w14:paraId="1C465020">
      <w:pPr>
        <w:spacing w:line="360" w:lineRule="auto"/>
        <w:jc w:val="center"/>
        <w:rPr>
          <w:b/>
          <w:color w:val="000000" w:themeColor="text1"/>
          <w:sz w:val="36"/>
          <w:highlight w:val="none"/>
          <w14:textFill>
            <w14:solidFill>
              <w14:schemeClr w14:val="tx1"/>
            </w14:solidFill>
          </w14:textFill>
        </w:rPr>
      </w:pPr>
    </w:p>
    <w:p w14:paraId="507CAC9F">
      <w:pPr>
        <w:spacing w:line="360" w:lineRule="auto"/>
        <w:jc w:val="center"/>
        <w:rPr>
          <w:b/>
          <w:color w:val="000000" w:themeColor="text1"/>
          <w:sz w:val="36"/>
          <w:highlight w:val="none"/>
          <w14:textFill>
            <w14:solidFill>
              <w14:schemeClr w14:val="tx1"/>
            </w14:solidFill>
          </w14:textFill>
        </w:rPr>
      </w:pPr>
    </w:p>
    <w:p w14:paraId="59F73729">
      <w:pPr>
        <w:spacing w:line="360" w:lineRule="auto"/>
        <w:jc w:val="center"/>
        <w:rPr>
          <w:b/>
          <w:color w:val="000000" w:themeColor="text1"/>
          <w:sz w:val="36"/>
          <w:highlight w:val="none"/>
          <w14:textFill>
            <w14:solidFill>
              <w14:schemeClr w14:val="tx1"/>
            </w14:solidFill>
          </w14:textFill>
        </w:rPr>
      </w:pPr>
    </w:p>
    <w:p w14:paraId="7C0C1335">
      <w:pPr>
        <w:spacing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专用条款</w:t>
      </w:r>
    </w:p>
    <w:p w14:paraId="7649C6FF">
      <w:pPr>
        <w:spacing w:line="360" w:lineRule="auto"/>
        <w:jc w:val="left"/>
        <w:rPr>
          <w:color w:val="000000" w:themeColor="text1"/>
          <w:sz w:val="28"/>
          <w:szCs w:val="28"/>
          <w:highlight w:val="none"/>
          <w14:textFill>
            <w14:solidFill>
              <w14:schemeClr w14:val="tx1"/>
            </w14:solidFill>
          </w14:textFill>
        </w:rPr>
      </w:pPr>
      <w:r>
        <w:rPr>
          <w:color w:val="000000" w:themeColor="text1"/>
          <w:sz w:val="36"/>
          <w:highlight w:val="none"/>
          <w14:textFill>
            <w14:solidFill>
              <w14:schemeClr w14:val="tx1"/>
            </w14:solidFill>
          </w14:textFill>
        </w:rPr>
        <w:t>（</w:t>
      </w:r>
      <w:r>
        <w:rPr>
          <w:color w:val="000000" w:themeColor="text1"/>
          <w:sz w:val="28"/>
          <w:szCs w:val="28"/>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14:paraId="07641076">
      <w:pPr>
        <w:spacing w:line="312" w:lineRule="auto"/>
        <w:jc w:val="center"/>
        <w:rPr>
          <w:b/>
          <w:color w:val="000000" w:themeColor="text1"/>
          <w:sz w:val="36"/>
          <w:szCs w:val="36"/>
          <w:highlight w:val="none"/>
          <w14:textFill>
            <w14:solidFill>
              <w14:schemeClr w14:val="tx1"/>
            </w14:solidFill>
          </w14:textFill>
        </w:rPr>
      </w:pPr>
    </w:p>
    <w:p w14:paraId="3A8E9882">
      <w:pPr>
        <w:autoSpaceDE w:val="0"/>
        <w:autoSpaceDN w:val="0"/>
        <w:spacing w:line="400" w:lineRule="exact"/>
        <w:ind w:firstLine="482"/>
        <w:rPr>
          <w:color w:val="000000" w:themeColor="text1"/>
          <w:sz w:val="24"/>
          <w:highlight w:val="none"/>
          <w14:textFill>
            <w14:solidFill>
              <w14:schemeClr w14:val="tx1"/>
            </w14:solidFill>
          </w14:textFill>
        </w:rPr>
        <w:sectPr>
          <w:headerReference r:id="rId5" w:type="default"/>
          <w:footerReference r:id="rId6" w:type="default"/>
          <w:footnotePr>
            <w:numRestart w:val="eachPage"/>
          </w:footnotePr>
          <w:endnotePr>
            <w:numRestart w:val="eachSect"/>
          </w:endnotePr>
          <w:pgSz w:w="11906" w:h="16838"/>
          <w:pgMar w:top="1440" w:right="1800" w:bottom="1440" w:left="1800" w:header="680" w:footer="822" w:gutter="0"/>
          <w:pgNumType w:start="1"/>
          <w:cols w:space="720" w:num="1"/>
          <w:docGrid w:linePitch="435" w:charSpace="0"/>
        </w:sectPr>
      </w:pPr>
    </w:p>
    <w:p w14:paraId="1743924C">
      <w:pPr>
        <w:spacing w:line="360" w:lineRule="auto"/>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第六章：</w:t>
      </w:r>
      <w:r>
        <w:rPr>
          <w:rFonts w:hint="eastAsia"/>
          <w:b/>
          <w:color w:val="000000" w:themeColor="text1"/>
          <w:sz w:val="36"/>
          <w:szCs w:val="36"/>
          <w:highlight w:val="none"/>
          <w:lang w:val="en-US" w:eastAsia="zh-CN"/>
          <w14:textFill>
            <w14:solidFill>
              <w14:schemeClr w14:val="tx1"/>
            </w14:solidFill>
          </w14:textFill>
        </w:rPr>
        <w:t>磋商</w:t>
      </w:r>
      <w:r>
        <w:rPr>
          <w:b/>
          <w:color w:val="000000" w:themeColor="text1"/>
          <w:sz w:val="36"/>
          <w:szCs w:val="36"/>
          <w:highlight w:val="none"/>
          <w14:textFill>
            <w14:solidFill>
              <w14:schemeClr w14:val="tx1"/>
            </w14:solidFill>
          </w14:textFill>
        </w:rPr>
        <w:t>响应文件格式附件</w:t>
      </w:r>
    </w:p>
    <w:p w14:paraId="16501E8A">
      <w:pPr>
        <w:spacing w:line="360" w:lineRule="auto"/>
        <w:jc w:val="center"/>
        <w:rPr>
          <w:bCs/>
          <w:color w:val="000000" w:themeColor="text1"/>
          <w:sz w:val="24"/>
          <w:highlight w:val="none"/>
          <w14:textFill>
            <w14:solidFill>
              <w14:schemeClr w14:val="tx1"/>
            </w14:solidFill>
          </w14:textFill>
        </w:rPr>
      </w:pPr>
      <w:r>
        <w:rPr>
          <w:b/>
          <w:color w:val="000000" w:themeColor="text1"/>
          <w:kern w:val="0"/>
          <w:sz w:val="28"/>
          <w:szCs w:val="28"/>
          <w:highlight w:val="none"/>
          <w14:textFill>
            <w14:solidFill>
              <w14:schemeClr w14:val="tx1"/>
            </w14:solidFill>
          </w14:textFill>
        </w:rPr>
        <w:t>附件1</w:t>
      </w:r>
      <w:r>
        <w:rPr>
          <w:color w:val="000000" w:themeColor="text1"/>
          <w:sz w:val="30"/>
          <w:szCs w:val="30"/>
          <w:highlight w:val="none"/>
          <w14:textFill>
            <w14:solidFill>
              <w14:schemeClr w14:val="tx1"/>
            </w14:solidFill>
          </w14:textFill>
        </w:rPr>
        <w:t xml:space="preserve">                                         　</w:t>
      </w:r>
      <w:r>
        <w:rPr>
          <w:color w:val="000000" w:themeColor="text1"/>
          <w:sz w:val="30"/>
          <w:szCs w:val="30"/>
          <w:highlight w:val="none"/>
          <w:u w:val="single"/>
          <w14:textFill>
            <w14:solidFill>
              <w14:schemeClr w14:val="tx1"/>
            </w14:solidFill>
          </w14:textFill>
        </w:rPr>
        <w:t>　　</w:t>
      </w:r>
      <w:r>
        <w:rPr>
          <w:bCs/>
          <w:color w:val="000000" w:themeColor="text1"/>
          <w:sz w:val="24"/>
          <w:highlight w:val="none"/>
          <w14:textFill>
            <w14:solidFill>
              <w14:schemeClr w14:val="tx1"/>
            </w14:solidFill>
          </w14:textFill>
        </w:rPr>
        <w:t>本</w:t>
      </w:r>
    </w:p>
    <w:p w14:paraId="1AB05F10">
      <w:pPr>
        <w:spacing w:line="360" w:lineRule="auto"/>
        <w:jc w:val="center"/>
        <w:rPr>
          <w:color w:val="000000" w:themeColor="text1"/>
          <w:sz w:val="52"/>
          <w:szCs w:val="52"/>
          <w:highlight w:val="none"/>
          <w14:textFill>
            <w14:solidFill>
              <w14:schemeClr w14:val="tx1"/>
            </w14:solidFill>
          </w14:textFill>
        </w:rPr>
      </w:pPr>
      <w:r>
        <w:rPr>
          <w:color w:val="000000" w:themeColor="text1"/>
          <w:sz w:val="52"/>
          <w:szCs w:val="52"/>
          <w:highlight w:val="none"/>
          <w14:textFill>
            <w14:solidFill>
              <w14:schemeClr w14:val="tx1"/>
            </w14:solidFill>
          </w14:textFill>
        </w:rPr>
        <w:t>项 目 名 称</w:t>
      </w:r>
    </w:p>
    <w:p w14:paraId="7B3BB4DD">
      <w:pPr>
        <w:spacing w:line="360" w:lineRule="auto"/>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项目编号：WLCG-2024-CS046号</w:t>
      </w:r>
    </w:p>
    <w:p w14:paraId="3C966A23">
      <w:pPr>
        <w:spacing w:line="360" w:lineRule="auto"/>
        <w:jc w:val="center"/>
        <w:rPr>
          <w:color w:val="000000" w:themeColor="text1"/>
          <w:sz w:val="32"/>
          <w:szCs w:val="32"/>
          <w:highlight w:val="none"/>
          <w14:textFill>
            <w14:solidFill>
              <w14:schemeClr w14:val="tx1"/>
            </w14:solidFill>
          </w14:textFill>
        </w:rPr>
      </w:pPr>
    </w:p>
    <w:p w14:paraId="7172914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磋</w:t>
      </w:r>
    </w:p>
    <w:p w14:paraId="533B9B4B">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商</w:t>
      </w:r>
    </w:p>
    <w:p w14:paraId="30C17213">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响</w:t>
      </w:r>
    </w:p>
    <w:p w14:paraId="084216F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应</w:t>
      </w:r>
    </w:p>
    <w:p w14:paraId="6A7820A7">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文</w:t>
      </w:r>
    </w:p>
    <w:p w14:paraId="1D898A7A">
      <w:pPr>
        <w:spacing w:line="360" w:lineRule="auto"/>
        <w:ind w:right="-108"/>
        <w:jc w:val="center"/>
        <w:rPr>
          <w:b/>
          <w:color w:val="000000" w:themeColor="text1"/>
          <w:spacing w:val="40"/>
          <w:sz w:val="72"/>
          <w:szCs w:val="72"/>
          <w:highlight w:val="none"/>
          <w14:textFill>
            <w14:solidFill>
              <w14:schemeClr w14:val="tx1"/>
            </w14:solidFill>
          </w14:textFill>
        </w:rPr>
      </w:pPr>
      <w:r>
        <w:rPr>
          <w:b/>
          <w:color w:val="000000" w:themeColor="text1"/>
          <w:spacing w:val="40"/>
          <w:sz w:val="72"/>
          <w:szCs w:val="72"/>
          <w:highlight w:val="none"/>
          <w14:textFill>
            <w14:solidFill>
              <w14:schemeClr w14:val="tx1"/>
            </w14:solidFill>
          </w14:textFill>
        </w:rPr>
        <w:t>件</w:t>
      </w:r>
    </w:p>
    <w:p w14:paraId="40921BB3">
      <w:pPr>
        <w:spacing w:line="360" w:lineRule="auto"/>
        <w:ind w:right="532"/>
        <w:rPr>
          <w:color w:val="000000" w:themeColor="text1"/>
          <w:sz w:val="28"/>
          <w:szCs w:val="28"/>
          <w:highlight w:val="none"/>
          <w:lang w:val="zh-CN"/>
          <w14:textFill>
            <w14:solidFill>
              <w14:schemeClr w14:val="tx1"/>
            </w14:solidFill>
          </w14:textFill>
        </w:rPr>
      </w:pPr>
    </w:p>
    <w:p w14:paraId="403D7067">
      <w:pPr>
        <w:spacing w:line="360" w:lineRule="auto"/>
        <w:ind w:right="532"/>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供应商全称（公章）：</w:t>
      </w:r>
    </w:p>
    <w:p w14:paraId="100DF91C">
      <w:pPr>
        <w:spacing w:line="360" w:lineRule="auto"/>
        <w:ind w:right="-108" w:firstLine="720" w:firstLineChars="2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地    址：</w:t>
      </w:r>
    </w:p>
    <w:p w14:paraId="031A6AE9">
      <w:pPr>
        <w:spacing w:line="360" w:lineRule="auto"/>
        <w:ind w:right="-108" w:firstLine="720" w:firstLineChars="200"/>
        <w:rPr>
          <w:b/>
          <w:bCs/>
          <w:color w:val="000000" w:themeColor="text1"/>
          <w:sz w:val="32"/>
          <w:szCs w:val="32"/>
          <w:highlight w:val="none"/>
          <w14:textFill>
            <w14:solidFill>
              <w14:schemeClr w14:val="tx1"/>
            </w14:solidFill>
          </w14:textFill>
        </w:rPr>
      </w:pPr>
      <w:r>
        <w:rPr>
          <w:color w:val="000000" w:themeColor="text1"/>
          <w:sz w:val="36"/>
          <w:szCs w:val="36"/>
          <w:highlight w:val="none"/>
          <w14:textFill>
            <w14:solidFill>
              <w14:schemeClr w14:val="tx1"/>
            </w14:solidFill>
          </w14:textFill>
        </w:rPr>
        <w:t>时    间：</w:t>
      </w:r>
    </w:p>
    <w:p w14:paraId="278427EA">
      <w:pPr>
        <w:snapToGrid w:val="0"/>
        <w:spacing w:before="50" w:after="50" w:line="288" w:lineRule="auto"/>
        <w:jc w:val="center"/>
        <w:rPr>
          <w:b/>
          <w:bCs/>
          <w:color w:val="000000" w:themeColor="text1"/>
          <w:sz w:val="36"/>
          <w:szCs w:val="36"/>
          <w:highlight w:val="none"/>
          <w14:textFill>
            <w14:solidFill>
              <w14:schemeClr w14:val="tx1"/>
            </w14:solidFill>
          </w14:textFill>
        </w:rPr>
      </w:pPr>
      <w:r>
        <w:rPr>
          <w:b/>
          <w:bCs/>
          <w:color w:val="000000" w:themeColor="text1"/>
          <w:sz w:val="36"/>
          <w:szCs w:val="36"/>
          <w:highlight w:val="none"/>
          <w14:textFill>
            <w14:solidFill>
              <w14:schemeClr w14:val="tx1"/>
            </w14:solidFill>
          </w14:textFill>
        </w:rPr>
        <w:t>磋商响应文件目录</w:t>
      </w:r>
    </w:p>
    <w:p w14:paraId="13FC097D">
      <w:pPr>
        <w:snapToGrid w:val="0"/>
        <w:spacing w:before="50" w:after="50" w:line="288" w:lineRule="auto"/>
        <w:ind w:firstLine="420"/>
        <w:rPr>
          <w:b/>
          <w:bCs/>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第一部分：资格证明部分</w:t>
      </w:r>
    </w:p>
    <w:p w14:paraId="4704C3D8">
      <w:pPr>
        <w:numPr>
          <w:ilvl w:val="0"/>
          <w:numId w:val="4"/>
        </w:numPr>
        <w:snapToGrid w:val="0"/>
        <w:spacing w:line="288" w:lineRule="auto"/>
        <w:ind w:firstLine="470" w:firstLineChars="19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磋商声明书（附件2）；</w:t>
      </w:r>
    </w:p>
    <w:p w14:paraId="1CDA2198">
      <w:pPr>
        <w:numPr>
          <w:ilvl w:val="0"/>
          <w:numId w:val="4"/>
        </w:numPr>
        <w:snapToGrid w:val="0"/>
        <w:spacing w:line="288" w:lineRule="auto"/>
        <w:ind w:firstLine="470" w:firstLineChars="196"/>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授权委托书或法定代表人证明书（附件3）；</w:t>
      </w:r>
    </w:p>
    <w:p w14:paraId="77477BD0">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3、法人或者其他组织的营业执照等证明文件，自然人的身份证明；</w:t>
      </w:r>
    </w:p>
    <w:p w14:paraId="0C65D23A">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p>
    <w:p w14:paraId="393EB1B2">
      <w:pPr>
        <w:pStyle w:val="2"/>
        <w:spacing w:line="288" w:lineRule="auto"/>
        <w:ind w:firstLine="480"/>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5、具备履行合同所必需的设备和专业技术能力的承诺函；</w:t>
      </w:r>
    </w:p>
    <w:p w14:paraId="3533BD1A">
      <w:pPr>
        <w:widowControl/>
        <w:spacing w:line="288" w:lineRule="auto"/>
        <w:ind w:firstLine="480" w:firstLineChars="200"/>
        <w:jc w:val="left"/>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6、中小企业声明函等政府采购优惠政策相关资料；</w:t>
      </w:r>
    </w:p>
    <w:p w14:paraId="1CEA5435">
      <w:pPr>
        <w:snapToGrid w:val="0"/>
        <w:spacing w:line="288"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7、提供采购公告中符合供应商特定条件的有效资质证书复印件（磋商供应商特定条件中有要求的必须提供），以及需要说明的其他资料</w:t>
      </w:r>
    </w:p>
    <w:p w14:paraId="64AD2CD9">
      <w:pPr>
        <w:snapToGrid w:val="0"/>
        <w:spacing w:line="288" w:lineRule="auto"/>
        <w:ind w:firstLine="422" w:firstLineChars="150"/>
        <w:rPr>
          <w:b/>
          <w:bCs/>
          <w:color w:val="000000" w:themeColor="text1"/>
          <w:sz w:val="32"/>
          <w:szCs w:val="32"/>
          <w:highlight w:val="none"/>
          <w14:textFill>
            <w14:solidFill>
              <w14:schemeClr w14:val="tx1"/>
            </w14:solidFill>
          </w14:textFill>
        </w:rPr>
      </w:pPr>
      <w:r>
        <w:rPr>
          <w:b/>
          <w:bCs/>
          <w:color w:val="000000" w:themeColor="text1"/>
          <w:sz w:val="28"/>
          <w:szCs w:val="28"/>
          <w:highlight w:val="none"/>
          <w:lang w:val="zh-CN"/>
          <w14:textFill>
            <w14:solidFill>
              <w14:schemeClr w14:val="tx1"/>
            </w14:solidFill>
          </w14:textFill>
        </w:rPr>
        <w:t>第二部分：商务与技术</w:t>
      </w:r>
      <w:r>
        <w:rPr>
          <w:b/>
          <w:bCs/>
          <w:color w:val="000000" w:themeColor="text1"/>
          <w:sz w:val="28"/>
          <w:szCs w:val="28"/>
          <w:highlight w:val="none"/>
          <w14:textFill>
            <w14:solidFill>
              <w14:schemeClr w14:val="tx1"/>
            </w14:solidFill>
          </w14:textFill>
        </w:rPr>
        <w:t>部分</w:t>
      </w:r>
    </w:p>
    <w:p w14:paraId="629E787E">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color w:val="000000" w:themeColor="text1"/>
          <w:kern w:val="0"/>
          <w:sz w:val="24"/>
          <w:highlight w:val="none"/>
          <w14:textFill>
            <w14:solidFill>
              <w14:schemeClr w14:val="tx1"/>
            </w14:solidFill>
          </w14:textFill>
        </w:rPr>
        <w:t>供应商情况介绍（附件4）；</w:t>
      </w:r>
    </w:p>
    <w:p w14:paraId="748156AE">
      <w:pPr>
        <w:snapToGrid w:val="0"/>
        <w:spacing w:line="288"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2、项目组织实施方案(可视情选用附件5、附件6)； </w:t>
      </w:r>
    </w:p>
    <w:p w14:paraId="20E75A68">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3、响应产品技术规格资料</w:t>
      </w:r>
      <w:r>
        <w:rPr>
          <w:color w:val="000000" w:themeColor="text1"/>
          <w:kern w:val="0"/>
          <w:sz w:val="24"/>
          <w:highlight w:val="none"/>
          <w14:textFill>
            <w14:solidFill>
              <w14:schemeClr w14:val="tx1"/>
            </w14:solidFill>
          </w14:textFill>
        </w:rPr>
        <w:t>（</w:t>
      </w:r>
      <w:r>
        <w:rPr>
          <w:color w:val="000000" w:themeColor="text1"/>
          <w:sz w:val="24"/>
          <w:highlight w:val="none"/>
          <w14:textFill>
            <w14:solidFill>
              <w14:schemeClr w14:val="tx1"/>
            </w14:solidFill>
          </w14:textFill>
        </w:rPr>
        <w:t>可视情选用附件7</w:t>
      </w:r>
      <w:r>
        <w:rPr>
          <w:color w:val="000000" w:themeColor="text1"/>
          <w:kern w:val="0"/>
          <w:sz w:val="24"/>
          <w:highlight w:val="none"/>
          <w14:textFill>
            <w14:solidFill>
              <w14:schemeClr w14:val="tx1"/>
            </w14:solidFill>
          </w14:textFill>
        </w:rPr>
        <w:t>）；</w:t>
      </w:r>
    </w:p>
    <w:p w14:paraId="668411BC">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4、商务及技术响应表</w:t>
      </w:r>
      <w:r>
        <w:rPr>
          <w:color w:val="000000" w:themeColor="text1"/>
          <w:sz w:val="24"/>
          <w:highlight w:val="none"/>
          <w14:textFill>
            <w14:solidFill>
              <w14:schemeClr w14:val="tx1"/>
            </w14:solidFill>
          </w14:textFill>
        </w:rPr>
        <w:t>（可视情选用附件8）</w:t>
      </w:r>
      <w:r>
        <w:rPr>
          <w:color w:val="000000" w:themeColor="text1"/>
          <w:kern w:val="0"/>
          <w:sz w:val="24"/>
          <w:highlight w:val="none"/>
          <w14:textFill>
            <w14:solidFill>
              <w14:schemeClr w14:val="tx1"/>
            </w14:solidFill>
          </w14:textFill>
        </w:rPr>
        <w:t>；</w:t>
      </w:r>
    </w:p>
    <w:p w14:paraId="73A93DD9">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5、证书一览表（附件9）；</w:t>
      </w:r>
    </w:p>
    <w:p w14:paraId="3EB6A4E5">
      <w:pPr>
        <w:snapToGrid w:val="0"/>
        <w:spacing w:line="288" w:lineRule="auto"/>
        <w:ind w:firstLine="470" w:firstLineChars="196"/>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6、</w:t>
      </w:r>
      <w:r>
        <w:rPr>
          <w:color w:val="000000" w:themeColor="text1"/>
          <w:sz w:val="24"/>
          <w:highlight w:val="none"/>
          <w14:textFill>
            <w14:solidFill>
              <w14:schemeClr w14:val="tx1"/>
            </w14:solidFill>
          </w14:textFill>
        </w:rPr>
        <w:t>类似项目业绩一览表</w:t>
      </w:r>
      <w:r>
        <w:rPr>
          <w:color w:val="000000" w:themeColor="text1"/>
          <w:kern w:val="0"/>
          <w:sz w:val="24"/>
          <w:highlight w:val="none"/>
          <w14:textFill>
            <w14:solidFill>
              <w14:schemeClr w14:val="tx1"/>
            </w14:solidFill>
          </w14:textFill>
        </w:rPr>
        <w:t>（附件10）</w:t>
      </w:r>
    </w:p>
    <w:p w14:paraId="7FE0B0CA">
      <w:pPr>
        <w:snapToGrid w:val="0"/>
        <w:spacing w:line="288" w:lineRule="auto"/>
        <w:ind w:firstLine="470" w:firstLineChars="196"/>
        <w:rPr>
          <w:b/>
          <w:bCs/>
          <w:color w:val="000000" w:themeColor="text1"/>
          <w:kern w:val="0"/>
          <w:sz w:val="28"/>
          <w:szCs w:val="28"/>
          <w:highlight w:val="none"/>
          <w14:textFill>
            <w14:solidFill>
              <w14:schemeClr w14:val="tx1"/>
            </w14:solidFill>
          </w14:textFill>
        </w:rPr>
      </w:pPr>
      <w:r>
        <w:rPr>
          <w:color w:val="000000" w:themeColor="text1"/>
          <w:kern w:val="0"/>
          <w:sz w:val="24"/>
          <w:highlight w:val="none"/>
          <w14:textFill>
            <w14:solidFill>
              <w14:schemeClr w14:val="tx1"/>
            </w14:solidFill>
          </w14:textFill>
        </w:rPr>
        <w:t>7、</w:t>
      </w:r>
      <w:r>
        <w:rPr>
          <w:color w:val="000000" w:themeColor="text1"/>
          <w:sz w:val="24"/>
          <w:highlight w:val="none"/>
          <w14:textFill>
            <w14:solidFill>
              <w14:schemeClr w14:val="tx1"/>
            </w14:solidFill>
          </w14:textFill>
        </w:rPr>
        <w:t>售后服务措施及承诺</w:t>
      </w:r>
      <w:r>
        <w:rPr>
          <w:color w:val="000000" w:themeColor="text1"/>
          <w:kern w:val="0"/>
          <w:sz w:val="24"/>
          <w:highlight w:val="none"/>
          <w14:textFill>
            <w14:solidFill>
              <w14:schemeClr w14:val="tx1"/>
            </w14:solidFill>
          </w14:textFill>
        </w:rPr>
        <w:t>（可视情选用附件11）；</w:t>
      </w:r>
    </w:p>
    <w:p w14:paraId="69EB4026">
      <w:pPr>
        <w:snapToGrid w:val="0"/>
        <w:spacing w:line="288" w:lineRule="auto"/>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第三部分 ：</w:t>
      </w:r>
      <w:r>
        <w:rPr>
          <w:b/>
          <w:color w:val="000000" w:themeColor="text1"/>
          <w:sz w:val="28"/>
          <w:szCs w:val="28"/>
          <w:highlight w:val="none"/>
          <w14:textFill>
            <w14:solidFill>
              <w14:schemeClr w14:val="tx1"/>
            </w14:solidFill>
          </w14:textFill>
        </w:rPr>
        <w:t>报价</w:t>
      </w:r>
      <w:r>
        <w:rPr>
          <w:b/>
          <w:bCs/>
          <w:color w:val="000000" w:themeColor="text1"/>
          <w:sz w:val="28"/>
          <w:szCs w:val="28"/>
          <w:highlight w:val="none"/>
          <w14:textFill>
            <w14:solidFill>
              <w14:schemeClr w14:val="tx1"/>
            </w14:solidFill>
          </w14:textFill>
        </w:rPr>
        <w:t>部分</w:t>
      </w:r>
    </w:p>
    <w:p w14:paraId="0108DAEF">
      <w:pPr>
        <w:snapToGrid w:val="0"/>
        <w:spacing w:line="288"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1、首次报价一览表（附件12）；</w:t>
      </w:r>
    </w:p>
    <w:p w14:paraId="4BC3B03B">
      <w:pPr>
        <w:snapToGrid w:val="0"/>
        <w:spacing w:line="288"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2、报价明细表（附件13）；</w:t>
      </w:r>
    </w:p>
    <w:p w14:paraId="2D4CA41F">
      <w:pPr>
        <w:spacing w:line="288" w:lineRule="auto"/>
        <w:ind w:left="216" w:leftChars="103" w:right="-108" w:firstLine="202" w:firstLineChars="72"/>
        <w:rPr>
          <w:color w:val="000000" w:themeColor="text1"/>
          <w:sz w:val="24"/>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第四部分 ：</w:t>
      </w:r>
      <w:r>
        <w:rPr>
          <w:b/>
          <w:color w:val="000000" w:themeColor="text1"/>
          <w:sz w:val="28"/>
          <w:szCs w:val="28"/>
          <w:highlight w:val="none"/>
          <w14:textFill>
            <w14:solidFill>
              <w14:schemeClr w14:val="tx1"/>
            </w14:solidFill>
          </w14:textFill>
        </w:rPr>
        <w:t>其他</w:t>
      </w:r>
      <w:r>
        <w:rPr>
          <w:b/>
          <w:bCs/>
          <w:color w:val="000000" w:themeColor="text1"/>
          <w:sz w:val="28"/>
          <w:szCs w:val="28"/>
          <w:highlight w:val="none"/>
          <w14:textFill>
            <w14:solidFill>
              <w14:schemeClr w14:val="tx1"/>
            </w14:solidFill>
          </w14:textFill>
        </w:rPr>
        <w:t>部分</w:t>
      </w:r>
    </w:p>
    <w:p w14:paraId="704112A6">
      <w:pPr>
        <w:snapToGrid w:val="0"/>
        <w:spacing w:line="288" w:lineRule="auto"/>
        <w:ind w:firstLine="480" w:firstLineChars="200"/>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1、针对磋商，响应供应商认为其他需要说明的；</w:t>
      </w:r>
    </w:p>
    <w:p w14:paraId="0B755EE6">
      <w:pPr>
        <w:snapToGrid w:val="0"/>
        <w:spacing w:line="288" w:lineRule="auto"/>
        <w:ind w:left="837" w:leftChars="223" w:hanging="369" w:hangingChars="154"/>
        <w:rPr>
          <w:highlight w:val="none"/>
        </w:rPr>
      </w:pPr>
      <w:r>
        <w:rPr>
          <w:color w:val="000000" w:themeColor="text1"/>
          <w:kern w:val="0"/>
          <w:sz w:val="24"/>
          <w:highlight w:val="none"/>
          <w14:textFill>
            <w14:solidFill>
              <w14:schemeClr w14:val="tx1"/>
            </w14:solidFill>
          </w14:textFill>
        </w:rPr>
        <w:t>（以上内容具体描述详见“第三章 供应商须知”中“二、磋商响应文件”的组成说明）</w:t>
      </w:r>
    </w:p>
    <w:p w14:paraId="30C642F2">
      <w:pPr>
        <w:spacing w:line="336" w:lineRule="auto"/>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附件2</w:t>
      </w:r>
    </w:p>
    <w:p w14:paraId="410309E4">
      <w:pPr>
        <w:adjustRightInd w:val="0"/>
        <w:snapToGrid w:val="0"/>
        <w:spacing w:line="336" w:lineRule="auto"/>
        <w:ind w:right="480"/>
        <w:jc w:val="center"/>
        <w:rPr>
          <w:b/>
          <w:color w:val="000000" w:themeColor="text1"/>
          <w:kern w:val="0"/>
          <w:sz w:val="32"/>
          <w:szCs w:val="32"/>
          <w:highlight w:val="none"/>
          <w:lang w:val="zh-CN"/>
          <w14:textFill>
            <w14:solidFill>
              <w14:schemeClr w14:val="tx1"/>
            </w14:solidFill>
          </w14:textFill>
        </w:rPr>
      </w:pPr>
      <w:r>
        <w:rPr>
          <w:b/>
          <w:color w:val="000000" w:themeColor="text1"/>
          <w:kern w:val="0"/>
          <w:sz w:val="32"/>
          <w:szCs w:val="32"/>
          <w:highlight w:val="none"/>
          <w:lang w:val="zh-CN"/>
          <w14:textFill>
            <w14:solidFill>
              <w14:schemeClr w14:val="tx1"/>
            </w14:solidFill>
          </w14:textFill>
        </w:rPr>
        <w:t>磋商声明书</w:t>
      </w:r>
    </w:p>
    <w:p w14:paraId="2C9F50B6">
      <w:pPr>
        <w:snapToGrid w:val="0"/>
        <w:spacing w:line="360" w:lineRule="exact"/>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台州蔚蓝投资咨询有限公司</w:t>
      </w:r>
      <w:r>
        <w:rPr>
          <w:color w:val="000000" w:themeColor="text1"/>
          <w:kern w:val="0"/>
          <w:sz w:val="24"/>
          <w:highlight w:val="none"/>
          <w14:textFill>
            <w14:solidFill>
              <w14:schemeClr w14:val="tx1"/>
            </w14:solidFill>
          </w14:textFill>
        </w:rPr>
        <w:t>：</w:t>
      </w:r>
    </w:p>
    <w:p w14:paraId="76E82AA2">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（投标人名称）系中华人民共和国合法企业，经营地址</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w:t>
      </w:r>
    </w:p>
    <w:p w14:paraId="43B884DC">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我（</w:t>
      </w:r>
      <w:r>
        <w:rPr>
          <w:color w:val="000000" w:themeColor="text1"/>
          <w:kern w:val="0"/>
          <w:sz w:val="24"/>
          <w:highlight w:val="none"/>
          <w:u w:val="single"/>
          <w14:textFill>
            <w14:solidFill>
              <w14:schemeClr w14:val="tx1"/>
            </w14:solidFill>
          </w14:textFill>
        </w:rPr>
        <w:t xml:space="preserve"> 姓名 </w:t>
      </w:r>
      <w:r>
        <w:rPr>
          <w:color w:val="000000" w:themeColor="text1"/>
          <w:kern w:val="0"/>
          <w:sz w:val="24"/>
          <w:highlight w:val="none"/>
          <w14:textFill>
            <w14:solidFill>
              <w14:schemeClr w14:val="tx1"/>
            </w14:solidFill>
          </w14:textFill>
        </w:rPr>
        <w:t>）系（</w:t>
      </w:r>
      <w:r>
        <w:rPr>
          <w:color w:val="000000" w:themeColor="text1"/>
          <w:kern w:val="0"/>
          <w:sz w:val="24"/>
          <w:highlight w:val="none"/>
          <w:u w:val="single"/>
          <w14:textFill>
            <w14:solidFill>
              <w14:schemeClr w14:val="tx1"/>
            </w14:solidFill>
          </w14:textFill>
        </w:rPr>
        <w:t xml:space="preserve"> 投标人名称 </w:t>
      </w:r>
      <w:r>
        <w:rPr>
          <w:color w:val="000000" w:themeColor="text1"/>
          <w:kern w:val="0"/>
          <w:sz w:val="24"/>
          <w:highlight w:val="none"/>
          <w14:textFill>
            <w14:solidFill>
              <w14:schemeClr w14:val="tx1"/>
            </w14:solidFill>
          </w14:textFill>
        </w:rPr>
        <w:t>）的法定代表人，我公司自愿参加贵方组织的（</w:t>
      </w:r>
      <w:r>
        <w:rPr>
          <w:color w:val="000000" w:themeColor="text1"/>
          <w:kern w:val="0"/>
          <w:sz w:val="24"/>
          <w:highlight w:val="none"/>
          <w:u w:val="single"/>
          <w14:textFill>
            <w14:solidFill>
              <w14:schemeClr w14:val="tx1"/>
            </w14:solidFill>
          </w14:textFill>
        </w:rPr>
        <w:t>项目</w:t>
      </w:r>
      <w:r>
        <w:rPr>
          <w:color w:val="000000" w:themeColor="text1"/>
          <w:kern w:val="0"/>
          <w:sz w:val="24"/>
          <w:highlight w:val="none"/>
          <w14:textFill>
            <w14:solidFill>
              <w14:schemeClr w14:val="tx1"/>
            </w14:solidFill>
          </w14:textFill>
        </w:rPr>
        <w:t>）（编号为</w:t>
      </w:r>
      <w:r>
        <w:rPr>
          <w:color w:val="000000" w:themeColor="text1"/>
          <w:kern w:val="0"/>
          <w:sz w:val="24"/>
          <w:highlight w:val="none"/>
          <w:u w:val="single"/>
          <w14:textFill>
            <w14:solidFill>
              <w14:schemeClr w14:val="tx1"/>
            </w14:solidFill>
          </w14:textFill>
        </w:rPr>
        <w:t>WLCG-2024-CS046号</w:t>
      </w:r>
      <w:r>
        <w:rPr>
          <w:color w:val="000000" w:themeColor="text1"/>
          <w:kern w:val="0"/>
          <w:sz w:val="24"/>
          <w:highlight w:val="none"/>
          <w14:textFill>
            <w14:solidFill>
              <w14:schemeClr w14:val="tx1"/>
            </w14:solidFill>
          </w14:textFill>
        </w:rPr>
        <w:t>）的投标，为此，我公司就本次投标有关事项郑重声明如下：</w:t>
      </w:r>
    </w:p>
    <w:p w14:paraId="18CDB714">
      <w:pPr>
        <w:snapToGrid w:val="0"/>
        <w:spacing w:line="360" w:lineRule="exact"/>
        <w:ind w:firstLine="480" w:firstLineChars="200"/>
        <w:rPr>
          <w:b/>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w:t>
      </w:r>
      <w:r>
        <w:rPr>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6F534DD">
      <w:pPr>
        <w:snapToGrid w:val="0"/>
        <w:spacing w:line="360" w:lineRule="exact"/>
        <w:ind w:firstLine="480" w:firstLineChars="20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7F9B769">
      <w:pPr>
        <w:numPr>
          <w:ilvl w:val="255"/>
          <w:numId w:val="0"/>
        </w:num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1FE08AB">
      <w:pPr>
        <w:snapToGrid w:val="0"/>
        <w:spacing w:line="360" w:lineRule="exact"/>
        <w:ind w:firstLine="480" w:firstLineChars="200"/>
        <w:rPr>
          <w:color w:val="000000" w:themeColor="text1"/>
          <w:kern w:val="0"/>
          <w:sz w:val="24"/>
          <w:highlight w:val="none"/>
          <w:lang w:val="af-ZA"/>
          <w14:textFill>
            <w14:solidFill>
              <w14:schemeClr w14:val="tx1"/>
            </w14:solidFill>
          </w14:textFill>
        </w:rPr>
      </w:pPr>
      <w:r>
        <w:rPr>
          <w:color w:val="000000" w:themeColor="text1"/>
          <w:sz w:val="24"/>
          <w:highlight w:val="none"/>
          <w14:textFill>
            <w14:solidFill>
              <w14:schemeClr w14:val="tx1"/>
            </w14:solidFill>
          </w14:textFill>
        </w:rPr>
        <w:t>4、</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14:textFill>
            <w14:solidFill>
              <w14:schemeClr w14:val="tx1"/>
            </w14:solidFill>
          </w14:textFill>
        </w:rPr>
        <w:t>保证，</w:t>
      </w:r>
      <w:r>
        <w:rPr>
          <w:color w:val="000000" w:themeColor="text1"/>
          <w:kern w:val="0"/>
          <w:sz w:val="24"/>
          <w:highlight w:val="none"/>
          <w:lang w:val="af-ZA"/>
          <w14:textFill>
            <w14:solidFill>
              <w14:schemeClr w14:val="tx1"/>
            </w14:solidFill>
          </w14:textFill>
        </w:rPr>
        <w:t>采购人在中华人民共和国境内使用</w:t>
      </w:r>
      <w:r>
        <w:rPr>
          <w:color w:val="000000" w:themeColor="text1"/>
          <w:kern w:val="0"/>
          <w:sz w:val="24"/>
          <w:highlight w:val="none"/>
          <w14:textFill>
            <w14:solidFill>
              <w14:schemeClr w14:val="tx1"/>
            </w14:solidFill>
          </w14:textFill>
        </w:rPr>
        <w:t>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9F5392">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kern w:val="0"/>
          <w:sz w:val="24"/>
          <w:highlight w:val="none"/>
          <w:lang w:val="af-ZA"/>
          <w14:textFill>
            <w14:solidFill>
              <w14:schemeClr w14:val="tx1"/>
            </w14:solidFill>
          </w14:textFill>
        </w:rPr>
        <w:t>5、我</w:t>
      </w:r>
      <w:r>
        <w:rPr>
          <w:color w:val="000000" w:themeColor="text1"/>
          <w:kern w:val="0"/>
          <w:sz w:val="24"/>
          <w:highlight w:val="none"/>
          <w:lang w:val="zh-CN"/>
          <w14:textFill>
            <w14:solidFill>
              <w14:schemeClr w14:val="tx1"/>
            </w14:solidFill>
          </w14:textFill>
        </w:rPr>
        <w:t>公司</w:t>
      </w:r>
      <w:r>
        <w:rPr>
          <w:color w:val="000000" w:themeColor="text1"/>
          <w:kern w:val="0"/>
          <w:sz w:val="24"/>
          <w:highlight w:val="none"/>
          <w:lang w:val="af-ZA"/>
          <w14:textFill>
            <w14:solidFill>
              <w14:schemeClr w14:val="tx1"/>
            </w14:solidFill>
          </w14:textFill>
        </w:rPr>
        <w:t>严格履行政府采购合同，</w:t>
      </w:r>
      <w:r>
        <w:rPr>
          <w:kern w:val="0"/>
          <w:sz w:val="24"/>
          <w:highlight w:val="none"/>
          <w:lang w:val="af-ZA"/>
        </w:rPr>
        <w:t>除在投标文件中明确拒绝的之外，均接受招标文件中的全部条件，</w:t>
      </w:r>
      <w:r>
        <w:rPr>
          <w:color w:val="000000" w:themeColor="text1"/>
          <w:kern w:val="0"/>
          <w:sz w:val="24"/>
          <w:highlight w:val="none"/>
          <w:lang w:val="af-ZA"/>
          <w14:textFill>
            <w14:solidFill>
              <w14:schemeClr w14:val="tx1"/>
            </w14:solidFill>
          </w14:textFill>
        </w:rPr>
        <w:t>不降低合同约定的产品质量和服务，不擅自变更、中止、终止合同，或拒绝履行合同义务；</w:t>
      </w:r>
    </w:p>
    <w:p w14:paraId="705604DE">
      <w:pPr>
        <w:snapToGrid w:val="0"/>
        <w:spacing w:line="3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6、以上事项如有虚假或隐瞒，我</w:t>
      </w:r>
      <w:r>
        <w:rPr>
          <w:color w:val="000000" w:themeColor="text1"/>
          <w:kern w:val="0"/>
          <w:sz w:val="24"/>
          <w:highlight w:val="none"/>
          <w:lang w:val="zh-CN"/>
          <w14:textFill>
            <w14:solidFill>
              <w14:schemeClr w14:val="tx1"/>
            </w14:solidFill>
          </w14:textFill>
        </w:rPr>
        <w:t>公司</w:t>
      </w:r>
      <w:r>
        <w:rPr>
          <w:color w:val="000000" w:themeColor="text1"/>
          <w:sz w:val="24"/>
          <w:highlight w:val="none"/>
          <w14:textFill>
            <w14:solidFill>
              <w14:schemeClr w14:val="tx1"/>
            </w14:solidFill>
          </w14:textFill>
        </w:rPr>
        <w:t>愿意承担一切后果，并不再寻求任何旨在减轻或免除法律责任的辩解。</w:t>
      </w:r>
    </w:p>
    <w:p w14:paraId="2F05AA2B">
      <w:pPr>
        <w:adjustRightInd w:val="0"/>
        <w:snapToGrid w:val="0"/>
        <w:spacing w:line="360" w:lineRule="exact"/>
        <w:ind w:firstLine="480"/>
        <w:rPr>
          <w:color w:val="000000" w:themeColor="text1"/>
          <w:kern w:val="0"/>
          <w:sz w:val="24"/>
          <w:highlight w:val="none"/>
          <w14:textFill>
            <w14:solidFill>
              <w14:schemeClr w14:val="tx1"/>
            </w14:solidFill>
          </w14:textFill>
        </w:rPr>
      </w:pPr>
    </w:p>
    <w:p w14:paraId="075DEE4B">
      <w:pPr>
        <w:adjustRightInd w:val="0"/>
        <w:snapToGrid w:val="0"/>
        <w:spacing w:line="360" w:lineRule="exact"/>
        <w:ind w:firstLine="4680" w:firstLineChars="1950"/>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供应商名称(公章)：</w:t>
      </w:r>
    </w:p>
    <w:p w14:paraId="398B6F57">
      <w:pPr>
        <w:adjustRightInd w:val="0"/>
        <w:snapToGrid w:val="0"/>
        <w:spacing w:line="360" w:lineRule="exact"/>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法定代表人或授权委托人(签字)：</w:t>
      </w:r>
    </w:p>
    <w:p w14:paraId="353B2A02">
      <w:pPr>
        <w:adjustRightInd w:val="0"/>
        <w:snapToGrid w:val="0"/>
        <w:spacing w:line="360" w:lineRule="exact"/>
        <w:ind w:right="480"/>
        <w:jc w:val="center"/>
        <w:rPr>
          <w:color w:val="000000" w:themeColor="text1"/>
          <w:kern w:val="0"/>
          <w:sz w:val="24"/>
          <w:highlight w:val="none"/>
          <w:lang w:val="zh-CN"/>
          <w14:textFill>
            <w14:solidFill>
              <w14:schemeClr w14:val="tx1"/>
            </w14:solidFill>
          </w14:textFill>
        </w:rPr>
      </w:pPr>
      <w:r>
        <w:rPr>
          <w:color w:val="000000" w:themeColor="text1"/>
          <w:kern w:val="0"/>
          <w:sz w:val="24"/>
          <w:highlight w:val="none"/>
          <w:lang w:val="zh-CN"/>
          <w14:textFill>
            <w14:solidFill>
              <w14:schemeClr w14:val="tx1"/>
            </w14:solidFill>
          </w14:textFill>
        </w:rPr>
        <w:t xml:space="preserve">                                  日期：</w:t>
      </w:r>
      <w:r>
        <w:rPr>
          <w:color w:val="000000" w:themeColor="text1"/>
          <w:sz w:val="24"/>
          <w:highlight w:val="none"/>
          <w14:textFill>
            <w14:solidFill>
              <w14:schemeClr w14:val="tx1"/>
            </w14:solidFill>
          </w14:textFill>
        </w:rPr>
        <w:t>2024</w:t>
      </w:r>
      <w:r>
        <w:rPr>
          <w:color w:val="000000" w:themeColor="text1"/>
          <w:kern w:val="0"/>
          <w:sz w:val="24"/>
          <w:highlight w:val="none"/>
          <w:lang w:val="zh-CN"/>
          <w14:textFill>
            <w14:solidFill>
              <w14:schemeClr w14:val="tx1"/>
            </w14:solidFill>
          </w14:textFill>
        </w:rPr>
        <w:t xml:space="preserve">年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月 </w:t>
      </w:r>
      <w:r>
        <w:rPr>
          <w:color w:val="000000" w:themeColor="text1"/>
          <w:sz w:val="24"/>
          <w:highlight w:val="none"/>
          <w14:textFill>
            <w14:solidFill>
              <w14:schemeClr w14:val="tx1"/>
            </w14:solidFill>
          </w14:textFill>
        </w:rPr>
        <w:t>××</w:t>
      </w:r>
      <w:r>
        <w:rPr>
          <w:color w:val="000000" w:themeColor="text1"/>
          <w:kern w:val="0"/>
          <w:sz w:val="24"/>
          <w:highlight w:val="none"/>
          <w:lang w:val="zh-CN"/>
          <w14:textFill>
            <w14:solidFill>
              <w14:schemeClr w14:val="tx1"/>
            </w14:solidFill>
          </w14:textFill>
        </w:rPr>
        <w:t xml:space="preserve"> 日</w:t>
      </w:r>
    </w:p>
    <w:p w14:paraId="39C75A8E">
      <w:pPr>
        <w:jc w:val="left"/>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2FE9CC88">
      <w:pPr>
        <w:adjustRightInd w:val="0"/>
        <w:snapToGrid w:val="0"/>
        <w:spacing w:line="360" w:lineRule="auto"/>
        <w:ind w:right="480"/>
        <w:rPr>
          <w:b/>
          <w:sz w:val="30"/>
          <w:szCs w:val="30"/>
          <w:highlight w:val="none"/>
        </w:rPr>
      </w:pPr>
      <w:r>
        <w:rPr>
          <w:b/>
          <w:sz w:val="28"/>
          <w:highlight w:val="none"/>
        </w:rPr>
        <w:t>附件3</w:t>
      </w:r>
    </w:p>
    <w:p w14:paraId="37585A2B">
      <w:pPr>
        <w:spacing w:line="360" w:lineRule="auto"/>
        <w:ind w:firstLine="321" w:firstLineChars="100"/>
        <w:jc w:val="center"/>
        <w:rPr>
          <w:b/>
          <w:sz w:val="32"/>
          <w:szCs w:val="32"/>
          <w:highlight w:val="none"/>
          <w:u w:val="single"/>
        </w:rPr>
      </w:pPr>
      <w:r>
        <w:rPr>
          <w:b/>
          <w:sz w:val="32"/>
          <w:szCs w:val="32"/>
          <w:highlight w:val="none"/>
        </w:rPr>
        <w:t>授权委托书</w:t>
      </w:r>
    </w:p>
    <w:p w14:paraId="5387F884">
      <w:pPr>
        <w:pStyle w:val="16"/>
        <w:spacing w:line="500" w:lineRule="exact"/>
        <w:rPr>
          <w:rFonts w:ascii="Times New Roman" w:hAnsi="Times New Roman"/>
          <w:b/>
          <w:sz w:val="24"/>
          <w:highlight w:val="none"/>
        </w:rPr>
      </w:pPr>
      <w:r>
        <w:rPr>
          <w:rFonts w:ascii="Times New Roman" w:hAnsi="Times New Roman"/>
          <w:sz w:val="24"/>
          <w:highlight w:val="none"/>
        </w:rPr>
        <w:t>台州蔚蓝投资咨询有限公司</w:t>
      </w:r>
      <w:r>
        <w:rPr>
          <w:rFonts w:ascii="Times New Roman" w:hAnsi="Times New Roman"/>
          <w:b/>
          <w:sz w:val="24"/>
          <w:highlight w:val="none"/>
        </w:rPr>
        <w:t>：</w:t>
      </w:r>
    </w:p>
    <w:p w14:paraId="2255B214">
      <w:pPr>
        <w:pStyle w:val="16"/>
        <w:spacing w:line="500" w:lineRule="exact"/>
        <w:ind w:left="240" w:hanging="240" w:hangingChars="100"/>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（供应商全称）  </w:t>
      </w:r>
      <w:r>
        <w:rPr>
          <w:rFonts w:ascii="Times New Roman" w:hAnsi="Times New Roman"/>
          <w:sz w:val="24"/>
          <w:highlight w:val="none"/>
        </w:rPr>
        <w:t>法定代表人（或营业执照中单位负责人）</w:t>
      </w:r>
      <w:r>
        <w:rPr>
          <w:rFonts w:ascii="Times New Roman" w:hAnsi="Times New Roman"/>
          <w:sz w:val="24"/>
          <w:highlight w:val="none"/>
          <w:u w:val="single"/>
        </w:rPr>
        <w:tab/>
      </w:r>
      <w:r>
        <w:rPr>
          <w:rFonts w:ascii="Times New Roman" w:hAnsi="Times New Roman"/>
          <w:sz w:val="24"/>
          <w:highlight w:val="none"/>
          <w:u w:val="single"/>
        </w:rPr>
        <w:t xml:space="preserve">（法定代表人或营业执照中单位负责人姓名） </w:t>
      </w:r>
      <w:r>
        <w:rPr>
          <w:rFonts w:ascii="Times New Roman" w:hAnsi="Times New Roman"/>
          <w:sz w:val="24"/>
          <w:highlight w:val="none"/>
        </w:rPr>
        <w:t>授权</w:t>
      </w:r>
      <w:r>
        <w:rPr>
          <w:rFonts w:ascii="Times New Roman" w:hAnsi="Times New Roman"/>
          <w:sz w:val="24"/>
          <w:highlight w:val="none"/>
          <w:u w:val="single"/>
        </w:rPr>
        <w:t xml:space="preserve">   （全权代表姓名） </w:t>
      </w:r>
      <w:r>
        <w:rPr>
          <w:rFonts w:ascii="Times New Roman" w:hAnsi="Times New Roman"/>
          <w:sz w:val="24"/>
          <w:highlight w:val="none"/>
        </w:rPr>
        <w:t>为全权代表，参加贵单位组织的</w:t>
      </w:r>
      <w:r>
        <w:rPr>
          <w:rFonts w:ascii="Times New Roman" w:hAnsi="Times New Roman"/>
          <w:sz w:val="24"/>
          <w:highlight w:val="none"/>
          <w:u w:val="single"/>
        </w:rPr>
        <w:tab/>
      </w:r>
      <w:r>
        <w:rPr>
          <w:rFonts w:ascii="Times New Roman" w:hAnsi="Times New Roman"/>
          <w:sz w:val="24"/>
          <w:highlight w:val="none"/>
          <w:u w:val="single"/>
        </w:rPr>
        <w:t xml:space="preserve">    </w:t>
      </w:r>
      <w:r>
        <w:rPr>
          <w:rFonts w:ascii="Times New Roman" w:hAnsi="Times New Roman"/>
          <w:sz w:val="24"/>
          <w:highlight w:val="none"/>
        </w:rPr>
        <w:t>项目的采购活动，并代表我方全权办理针对上述项目的磋商、签约等具体事务和签署相关文件。我方对全权代表的签字事项负全部责任。</w:t>
      </w:r>
    </w:p>
    <w:p w14:paraId="4C9D5FBD">
      <w:pPr>
        <w:pStyle w:val="16"/>
        <w:spacing w:line="360" w:lineRule="auto"/>
        <w:ind w:left="139" w:leftChars="66"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在撤销授权的书面通知以前，本授权书一直有效。全权代表在授权委托书有效期内签署的所有文件不因授权的撤销而失效。</w:t>
      </w:r>
    </w:p>
    <w:p w14:paraId="4C6EB186">
      <w:pPr>
        <w:pStyle w:val="16"/>
        <w:spacing w:line="240" w:lineRule="atLeast"/>
        <w:ind w:left="139" w:leftChars="66" w:firstLine="480" w:firstLineChars="200"/>
        <w:rPr>
          <w:rFonts w:ascii="Times New Roman" w:hAnsi="Times New Roman"/>
          <w:sz w:val="24"/>
          <w:highlight w:val="none"/>
        </w:rPr>
      </w:pPr>
      <w:r>
        <w:rPr>
          <w:rFonts w:ascii="Times New Roman" w:hAnsi="Times New Roman"/>
          <w:sz w:val="24"/>
          <w:highlight w:val="none"/>
        </w:rPr>
        <w:t>全权代表无转委托权，特此委托。</w:t>
      </w:r>
    </w:p>
    <w:p w14:paraId="4D9D2FAE">
      <w:pPr>
        <w:spacing w:line="360" w:lineRule="auto"/>
        <w:rPr>
          <w:sz w:val="24"/>
          <w:highlight w:val="none"/>
        </w:rPr>
      </w:pPr>
      <w:r>
        <w:rPr>
          <w:sz w:val="24"/>
          <w:highlight w:val="none"/>
        </w:rPr>
        <w:t>法定代表人签字或盖章：</w:t>
      </w:r>
    </w:p>
    <w:p w14:paraId="223B036D">
      <w:pPr>
        <w:spacing w:line="360" w:lineRule="auto"/>
        <w:rPr>
          <w:sz w:val="24"/>
          <w:highlight w:val="none"/>
        </w:rPr>
      </w:pPr>
      <w:r>
        <w:rPr>
          <w:sz w:val="24"/>
          <w:highlight w:val="none"/>
        </w:rPr>
        <w:t>供应商全称（公章）：                              日期：</w:t>
      </w:r>
    </w:p>
    <w:p w14:paraId="4CFF1E93">
      <w:pPr>
        <w:spacing w:line="360" w:lineRule="auto"/>
        <w:rPr>
          <w:b/>
          <w:sz w:val="24"/>
          <w:highlight w:val="none"/>
        </w:rPr>
      </w:pPr>
      <w:r>
        <w:rPr>
          <w:b/>
          <w:sz w:val="24"/>
          <w:highlight w:val="none"/>
        </w:rPr>
        <w:t>附：</w:t>
      </w: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9EA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244CD28">
            <w:pPr>
              <w:spacing w:line="360" w:lineRule="auto"/>
              <w:rPr>
                <w:b/>
                <w:sz w:val="24"/>
                <w:highlight w:val="none"/>
              </w:rPr>
            </w:pPr>
          </w:p>
          <w:p w14:paraId="547F7CFA">
            <w:pPr>
              <w:spacing w:line="360" w:lineRule="auto"/>
              <w:ind w:firstLine="361" w:firstLineChars="150"/>
              <w:rPr>
                <w:b/>
                <w:sz w:val="24"/>
                <w:highlight w:val="none"/>
              </w:rPr>
            </w:pPr>
            <w:r>
              <w:rPr>
                <w:b/>
                <w:sz w:val="24"/>
                <w:highlight w:val="none"/>
              </w:rPr>
              <w:t>法定代表身份证复印件粘帖处</w:t>
            </w:r>
          </w:p>
        </w:tc>
      </w:tr>
    </w:tbl>
    <w:p w14:paraId="71D72FB3">
      <w:pPr>
        <w:spacing w:line="240" w:lineRule="auto"/>
        <w:rPr>
          <w:sz w:val="24"/>
          <w:highlight w:val="none"/>
        </w:rPr>
      </w:pPr>
      <w:r>
        <w:rPr>
          <w:sz w:val="24"/>
          <w:highlight w:val="none"/>
        </w:rPr>
        <w:t xml:space="preserve">法定代表人姓名：                                 </w:t>
      </w:r>
    </w:p>
    <w:p w14:paraId="674DCA5B">
      <w:pPr>
        <w:spacing w:line="240" w:lineRule="auto"/>
        <w:rPr>
          <w:sz w:val="24"/>
          <w:highlight w:val="none"/>
        </w:rPr>
      </w:pPr>
      <w:r>
        <w:rPr>
          <w:sz w:val="24"/>
          <w:highlight w:val="none"/>
        </w:rPr>
        <w:t>传真：</w:t>
      </w:r>
    </w:p>
    <w:p w14:paraId="2E58E74A">
      <w:pPr>
        <w:spacing w:line="240" w:lineRule="auto"/>
        <w:rPr>
          <w:sz w:val="24"/>
          <w:highlight w:val="none"/>
        </w:rPr>
      </w:pPr>
      <w:r>
        <w:rPr>
          <w:sz w:val="24"/>
          <w:highlight w:val="none"/>
        </w:rPr>
        <w:t>电话：</w:t>
      </w:r>
    </w:p>
    <w:p w14:paraId="23ADE0BE">
      <w:pPr>
        <w:spacing w:line="240" w:lineRule="auto"/>
        <w:rPr>
          <w:sz w:val="24"/>
          <w:highlight w:val="none"/>
        </w:rPr>
      </w:pPr>
      <w:r>
        <w:rPr>
          <w:sz w:val="24"/>
          <w:highlight w:val="none"/>
        </w:rPr>
        <w:t>详细通讯地址：</w:t>
      </w:r>
    </w:p>
    <w:p w14:paraId="6093B136">
      <w:pPr>
        <w:spacing w:line="240" w:lineRule="auto"/>
        <w:rPr>
          <w:sz w:val="24"/>
          <w:highlight w:val="none"/>
        </w:rPr>
      </w:pPr>
      <w:r>
        <w:rPr>
          <w:sz w:val="24"/>
          <w:highlight w:val="none"/>
        </w:rPr>
        <w:t>邮政编码：</w:t>
      </w:r>
    </w:p>
    <w:p w14:paraId="1D025CCE">
      <w:pPr>
        <w:spacing w:line="240" w:lineRule="auto"/>
        <w:rPr>
          <w:b/>
          <w:sz w:val="24"/>
          <w:highlight w:val="none"/>
        </w:rPr>
      </w:pPr>
    </w:p>
    <w:tbl>
      <w:tblPr>
        <w:tblStyle w:val="29"/>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2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AF0BCC">
            <w:pPr>
              <w:spacing w:line="240" w:lineRule="auto"/>
              <w:rPr>
                <w:b/>
                <w:sz w:val="24"/>
                <w:highlight w:val="none"/>
              </w:rPr>
            </w:pPr>
          </w:p>
          <w:p w14:paraId="1C647D75">
            <w:pPr>
              <w:spacing w:line="240" w:lineRule="auto"/>
              <w:ind w:firstLine="361" w:firstLineChars="150"/>
              <w:rPr>
                <w:b/>
                <w:sz w:val="24"/>
                <w:highlight w:val="none"/>
              </w:rPr>
            </w:pPr>
            <w:r>
              <w:rPr>
                <w:b/>
                <w:sz w:val="24"/>
                <w:highlight w:val="none"/>
              </w:rPr>
              <w:t>全权代表身份证复印件粘帖处</w:t>
            </w:r>
          </w:p>
        </w:tc>
      </w:tr>
    </w:tbl>
    <w:p w14:paraId="33E4D767">
      <w:pPr>
        <w:spacing w:line="240" w:lineRule="auto"/>
        <w:rPr>
          <w:sz w:val="24"/>
          <w:highlight w:val="none"/>
        </w:rPr>
      </w:pPr>
      <w:r>
        <w:rPr>
          <w:sz w:val="24"/>
          <w:highlight w:val="none"/>
        </w:rPr>
        <w:t xml:space="preserve">全权代表姓名：       </w:t>
      </w:r>
    </w:p>
    <w:p w14:paraId="6D286035">
      <w:pPr>
        <w:spacing w:line="240" w:lineRule="auto"/>
        <w:rPr>
          <w:sz w:val="24"/>
          <w:highlight w:val="none"/>
        </w:rPr>
      </w:pPr>
      <w:r>
        <w:rPr>
          <w:sz w:val="24"/>
          <w:highlight w:val="none"/>
        </w:rPr>
        <w:t xml:space="preserve">职务：                           </w:t>
      </w:r>
    </w:p>
    <w:p w14:paraId="40FFD0A2">
      <w:pPr>
        <w:spacing w:line="240" w:lineRule="auto"/>
        <w:rPr>
          <w:sz w:val="24"/>
          <w:highlight w:val="none"/>
        </w:rPr>
      </w:pPr>
      <w:r>
        <w:rPr>
          <w:sz w:val="24"/>
          <w:highlight w:val="none"/>
        </w:rPr>
        <w:t>传真：</w:t>
      </w:r>
    </w:p>
    <w:p w14:paraId="30F3A899">
      <w:pPr>
        <w:spacing w:line="240" w:lineRule="auto"/>
        <w:rPr>
          <w:sz w:val="24"/>
          <w:highlight w:val="none"/>
        </w:rPr>
      </w:pPr>
      <w:r>
        <w:rPr>
          <w:sz w:val="24"/>
          <w:highlight w:val="none"/>
        </w:rPr>
        <w:t>电话：</w:t>
      </w:r>
    </w:p>
    <w:p w14:paraId="0E97D5F1">
      <w:pPr>
        <w:spacing w:line="240" w:lineRule="auto"/>
        <w:rPr>
          <w:sz w:val="24"/>
          <w:highlight w:val="none"/>
        </w:rPr>
      </w:pPr>
      <w:r>
        <w:rPr>
          <w:sz w:val="24"/>
          <w:highlight w:val="none"/>
        </w:rPr>
        <w:t>详细通讯地址：</w:t>
      </w:r>
    </w:p>
    <w:p w14:paraId="71F748A7">
      <w:pPr>
        <w:spacing w:line="240" w:lineRule="auto"/>
        <w:rPr>
          <w:sz w:val="24"/>
          <w:highlight w:val="none"/>
        </w:rPr>
      </w:pPr>
      <w:r>
        <w:rPr>
          <w:sz w:val="24"/>
          <w:highlight w:val="none"/>
        </w:rPr>
        <w:t>邮政编码：</w:t>
      </w:r>
    </w:p>
    <w:p w14:paraId="36AB2129">
      <w:pPr>
        <w:spacing w:line="360" w:lineRule="auto"/>
        <w:ind w:firstLine="321" w:firstLineChars="100"/>
        <w:jc w:val="center"/>
        <w:rPr>
          <w:b/>
          <w:color w:val="000000"/>
          <w:sz w:val="32"/>
          <w:szCs w:val="32"/>
          <w:highlight w:val="none"/>
        </w:rPr>
      </w:pPr>
      <w:r>
        <w:rPr>
          <w:b/>
          <w:color w:val="000000"/>
          <w:sz w:val="32"/>
          <w:szCs w:val="32"/>
          <w:highlight w:val="none"/>
        </w:rPr>
        <w:t>法定代表人证明书</w:t>
      </w:r>
    </w:p>
    <w:p w14:paraId="5E23EA59">
      <w:pPr>
        <w:spacing w:line="360" w:lineRule="auto"/>
        <w:rPr>
          <w:highlight w:val="none"/>
          <w:u w:val="single"/>
        </w:rPr>
      </w:pPr>
      <w:r>
        <w:rPr>
          <w:sz w:val="24"/>
          <w:highlight w:val="none"/>
        </w:rPr>
        <w:t>单位名称：</w:t>
      </w:r>
      <w:r>
        <w:rPr>
          <w:highlight w:val="none"/>
          <w:u w:val="single"/>
        </w:rPr>
        <w:t xml:space="preserve">                                                             </w:t>
      </w:r>
    </w:p>
    <w:p w14:paraId="22E24AF9">
      <w:pPr>
        <w:spacing w:line="360" w:lineRule="auto"/>
        <w:rPr>
          <w:highlight w:val="none"/>
          <w:u w:val="single"/>
        </w:rPr>
      </w:pPr>
      <w:r>
        <w:rPr>
          <w:sz w:val="24"/>
          <w:highlight w:val="none"/>
        </w:rPr>
        <w:t>单位性质：</w:t>
      </w:r>
      <w:r>
        <w:rPr>
          <w:highlight w:val="none"/>
          <w:u w:val="single"/>
        </w:rPr>
        <w:t xml:space="preserve">                                                             </w:t>
      </w:r>
    </w:p>
    <w:p w14:paraId="5E6308D9">
      <w:pPr>
        <w:pStyle w:val="19"/>
        <w:spacing w:line="360" w:lineRule="auto"/>
        <w:rPr>
          <w:rFonts w:eastAsia="宋体"/>
          <w:sz w:val="21"/>
          <w:highlight w:val="none"/>
        </w:rPr>
      </w:pPr>
      <w:r>
        <w:rPr>
          <w:rFonts w:eastAsia="宋体"/>
          <w:sz w:val="24"/>
          <w:highlight w:val="none"/>
        </w:rPr>
        <w:t>地    址</w:t>
      </w:r>
      <w:r>
        <w:rPr>
          <w:rFonts w:eastAsia="宋体"/>
          <w:color w:val="000000"/>
          <w:sz w:val="24"/>
          <w:highlight w:val="none"/>
        </w:rPr>
        <w:t>：</w:t>
      </w:r>
      <w:r>
        <w:rPr>
          <w:rFonts w:eastAsia="宋体"/>
          <w:sz w:val="21"/>
          <w:highlight w:val="none"/>
          <w:u w:val="single"/>
        </w:rPr>
        <w:t xml:space="preserve">                                                             </w:t>
      </w:r>
    </w:p>
    <w:p w14:paraId="1857573C">
      <w:pPr>
        <w:spacing w:line="360" w:lineRule="auto"/>
        <w:rPr>
          <w:highlight w:val="none"/>
        </w:rPr>
      </w:pPr>
      <w:r>
        <w:rPr>
          <w:sz w:val="24"/>
          <w:highlight w:val="none"/>
        </w:rPr>
        <w:t>姓    名：</w:t>
      </w:r>
      <w:r>
        <w:rPr>
          <w:highlight w:val="none"/>
          <w:u w:val="single"/>
        </w:rPr>
        <w:t xml:space="preserve">               </w:t>
      </w:r>
      <w:r>
        <w:rPr>
          <w:sz w:val="24"/>
          <w:highlight w:val="none"/>
        </w:rPr>
        <w:t>性别：</w:t>
      </w:r>
      <w:r>
        <w:rPr>
          <w:highlight w:val="none"/>
          <w:u w:val="single"/>
        </w:rPr>
        <w:t xml:space="preserve">              </w:t>
      </w:r>
      <w:r>
        <w:rPr>
          <w:sz w:val="24"/>
          <w:highlight w:val="none"/>
        </w:rPr>
        <w:t xml:space="preserve">年龄： </w:t>
      </w:r>
      <w:r>
        <w:rPr>
          <w:highlight w:val="none"/>
          <w:u w:val="single"/>
        </w:rPr>
        <w:t xml:space="preserve">                 </w:t>
      </w:r>
    </w:p>
    <w:p w14:paraId="69BA4993">
      <w:pPr>
        <w:spacing w:line="360" w:lineRule="auto"/>
        <w:rPr>
          <w:highlight w:val="none"/>
        </w:rPr>
      </w:pPr>
      <w:r>
        <w:rPr>
          <w:sz w:val="24"/>
          <w:highlight w:val="none"/>
        </w:rPr>
        <w:t xml:space="preserve">职务： </w:t>
      </w:r>
      <w:r>
        <w:rPr>
          <w:highlight w:val="none"/>
          <w:u w:val="single"/>
        </w:rPr>
        <w:t xml:space="preserve">             </w:t>
      </w:r>
      <w:r>
        <w:rPr>
          <w:sz w:val="24"/>
          <w:highlight w:val="none"/>
        </w:rPr>
        <w:t xml:space="preserve">系   </w:t>
      </w:r>
      <w:r>
        <w:rPr>
          <w:highlight w:val="none"/>
          <w:u w:val="single"/>
        </w:rPr>
        <w:t xml:space="preserve">                                </w:t>
      </w:r>
      <w:r>
        <w:rPr>
          <w:sz w:val="24"/>
          <w:highlight w:val="none"/>
        </w:rPr>
        <w:t>的法定代表人</w:t>
      </w:r>
    </w:p>
    <w:p w14:paraId="2AA56FC2">
      <w:pPr>
        <w:pStyle w:val="19"/>
        <w:rPr>
          <w:highlight w:val="none"/>
        </w:rPr>
      </w:pPr>
    </w:p>
    <w:p w14:paraId="27BD39C6">
      <w:pPr>
        <w:rPr>
          <w:highlight w:val="none"/>
        </w:rPr>
      </w:pPr>
      <w:r>
        <w:rPr>
          <w:color w:val="000000"/>
          <w:sz w:val="24"/>
          <w:highlight w:val="none"/>
        </w:rPr>
        <w:t xml:space="preserve">特此证明。 </w:t>
      </w:r>
      <w:r>
        <w:rPr>
          <w:highlight w:val="none"/>
        </w:rPr>
        <w:t xml:space="preserve">   </w:t>
      </w:r>
    </w:p>
    <w:p w14:paraId="215E21AC">
      <w:pPr>
        <w:rPr>
          <w:highlight w:val="none"/>
        </w:rPr>
      </w:pPr>
    </w:p>
    <w:p w14:paraId="333E7490">
      <w:pPr>
        <w:pStyle w:val="26"/>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2679700</wp:posOffset>
                </wp:positionH>
                <wp:positionV relativeFrom="paragraph">
                  <wp:posOffset>140335</wp:posOffset>
                </wp:positionV>
                <wp:extent cx="2867025" cy="1714500"/>
                <wp:effectExtent l="6350" t="6350" r="22225" b="12700"/>
                <wp:wrapNone/>
                <wp:docPr id="4" name="矩形 4"/>
                <wp:cNvGraphicFramePr/>
                <a:graphic xmlns:a="http://schemas.openxmlformats.org/drawingml/2006/main">
                  <a:graphicData uri="http://schemas.microsoft.com/office/word/2010/wordprocessingShape">
                    <wps:wsp>
                      <wps:cNvSpPr/>
                      <wps:spPr>
                        <a:xfrm>
                          <a:off x="0" y="0"/>
                          <a:ext cx="286702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11.05pt;height:135pt;width:225.75pt;z-index:251660288;v-text-anchor:middle;mso-width-relative:page;mso-height-relative:page;" filled="f" stroked="t" coordsize="21600,21600" o:gfxdata="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Y61iNgAAAAKAQAADwAAAAAAAAABACAAAAAiAAAAZHJzL2Rvd25yZXYueG1sUEsB&#10;AhQAFAAAAAgAh07iQFkKCMBnAgAAzAQAAA4AAAAAAAAAAQAgAAAAJwEAAGRycy9lMm9Eb2MueG1s&#10;UEsFBgAAAAAGAAYAWQEAAAAGAAAAAA==&#10;">
                <v:fill on="f" focussize="0,0"/>
                <v:stroke weight="1pt" color="#000000 [3213]" miterlimit="8" joinstyle="miter"/>
                <v:imagedata o:title=""/>
                <o:lock v:ext="edit" aspectratio="f"/>
              </v:rect>
            </w:pict>
          </mc:Fallback>
        </mc:AlternateContent>
      </w:r>
      <w:r>
        <w:rPr>
          <w:rFonts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130810</wp:posOffset>
                </wp:positionV>
                <wp:extent cx="2761615" cy="1714500"/>
                <wp:effectExtent l="6350" t="6350" r="13335" b="12700"/>
                <wp:wrapNone/>
                <wp:docPr id="3" name="矩形 3"/>
                <wp:cNvGraphicFramePr/>
                <a:graphic xmlns:a="http://schemas.openxmlformats.org/drawingml/2006/main">
                  <a:graphicData uri="http://schemas.microsoft.com/office/word/2010/wordprocessingShape">
                    <wps:wsp>
                      <wps:cNvSpPr/>
                      <wps:spPr>
                        <a:xfrm>
                          <a:off x="1156335" y="4665345"/>
                          <a:ext cx="276161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5pt;margin-top:10.3pt;height:135pt;width:217.45pt;z-index:251659264;v-text-anchor:middle;mso-width-relative:page;mso-height-relative:page;" filled="f" stroked="t" coordsize="21600,21600" o:gfxdata="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6+/mNkAAAAKAQAADwAAAAAAAAABACAAAAAiAAAAZHJz&#10;L2Rvd25yZXYueG1sUEsBAhQAFAAAAAgAh07iQNDOg6F1AgAA2AQAAA4AAAAAAAAAAQAgAAAAKAEA&#10;AGRycy9lMm9Eb2MueG1sUEsFBgAAAAAGAAYAWQEAAA8GAAAAAA==&#10;">
                <v:fill on="f" focussize="0,0"/>
                <v:stroke weight="1pt" color="#000000 [3213]" miterlimit="8" joinstyle="miter"/>
                <v:imagedata o:title=""/>
                <o:lock v:ext="edit" aspectratio="f"/>
              </v:rect>
            </w:pict>
          </mc:Fallback>
        </mc:AlternateContent>
      </w:r>
    </w:p>
    <w:p w14:paraId="7E0A912D">
      <w:pPr>
        <w:rPr>
          <w:highlight w:val="none"/>
        </w:rPr>
      </w:pP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3213735</wp:posOffset>
                </wp:positionH>
                <wp:positionV relativeFrom="paragraph">
                  <wp:posOffset>36195</wp:posOffset>
                </wp:positionV>
                <wp:extent cx="1943100" cy="6286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62CC">
                            <w:r>
                              <w:rPr>
                                <w:rFonts w:hint="eastAsia" w:ascii="宋体" w:hAnsi="宋体"/>
                                <w:b/>
                                <w:color w:val="000000"/>
                                <w:sz w:val="24"/>
                              </w:rPr>
                              <w:t>法定代表身份证反面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05pt;margin-top:2.85pt;height:49.5pt;width:153pt;z-index:251662336;mso-width-relative:page;mso-height-relative:page;" filled="f" stroked="f" coordsize="21600,21600" o:gfxdata="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5HWxbZAAAACQEAAA8AAAAAAAAAAQAgAAAAIgAAAGRycy9k&#10;b3ducmV2LnhtbFBLAQIUABQAAAAIAIdO4kApD4AXOgIAAGYEAAAOAAAAAAAAAAEAIAAAACgBAABk&#10;cnMvZTJvRG9jLnhtbFBLBQYAAAAABgAGAFkBAADUBQAAAAA=&#10;">
                <v:fill on="f" focussize="0,0"/>
                <v:stroke on="f" weight="0.5pt"/>
                <v:imagedata o:title=""/>
                <o:lock v:ext="edit" aspectratio="f"/>
                <v:textbox>
                  <w:txbxContent>
                    <w:p w14:paraId="2F6C62CC">
                      <w:r>
                        <w:rPr>
                          <w:rFonts w:hint="eastAsia" w:ascii="宋体" w:hAnsi="宋体"/>
                          <w:b/>
                          <w:color w:val="000000"/>
                          <w:sz w:val="24"/>
                        </w:rPr>
                        <w:t>法定代表身份证反面</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26670</wp:posOffset>
                </wp:positionV>
                <wp:extent cx="1943100" cy="628650"/>
                <wp:effectExtent l="0" t="0" r="0" b="0"/>
                <wp:wrapNone/>
                <wp:docPr id="5" name="文本框 5"/>
                <wp:cNvGraphicFramePr/>
                <a:graphic xmlns:a="http://schemas.openxmlformats.org/drawingml/2006/main">
                  <a:graphicData uri="http://schemas.microsoft.com/office/word/2010/wordprocessingShape">
                    <wps:wsp>
                      <wps:cNvSpPr txBox="1"/>
                      <wps:spPr>
                        <a:xfrm>
                          <a:off x="1242060" y="4760595"/>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650F">
                            <w:r>
                              <w:rPr>
                                <w:rFonts w:hint="eastAsia" w:ascii="宋体" w:hAnsi="宋体"/>
                                <w:b/>
                                <w:color w:val="000000"/>
                                <w:sz w:val="24"/>
                              </w:rPr>
                              <w:t>法定代表身份证正面</w:t>
                            </w:r>
                          </w:p>
                          <w:p w14:paraId="2960DB1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2.1pt;height:49.5pt;width:153pt;z-index:251661312;mso-width-relative:page;mso-height-relative:page;" filled="f" stroked="f" coordsize="21600,21600" o:gfxdata="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BXCTYAAAACAEAAA8AAAAAAAAAAQAg&#10;AAAAIgAAAGRycy9kb3ducmV2LnhtbFBLAQIUABQAAAAIAIdO4kA0EPHlRwIAAHIEAAAOAAAAAAAA&#10;AAEAIAAAACcBAABkcnMvZTJvRG9jLnhtbFBLBQYAAAAABgAGAFkBAADgBQAAAAA=&#10;">
                <v:fill on="f" focussize="0,0"/>
                <v:stroke on="f" weight="0.5pt"/>
                <v:imagedata o:title=""/>
                <o:lock v:ext="edit" aspectratio="f"/>
                <v:textbox>
                  <w:txbxContent>
                    <w:p w14:paraId="4AFB650F">
                      <w:r>
                        <w:rPr>
                          <w:rFonts w:hint="eastAsia" w:ascii="宋体" w:hAnsi="宋体"/>
                          <w:b/>
                          <w:color w:val="000000"/>
                          <w:sz w:val="24"/>
                        </w:rPr>
                        <w:t>法定代表身份证正面</w:t>
                      </w:r>
                    </w:p>
                    <w:p w14:paraId="2960DB13"/>
                  </w:txbxContent>
                </v:textbox>
              </v:shape>
            </w:pict>
          </mc:Fallback>
        </mc:AlternateContent>
      </w:r>
    </w:p>
    <w:p w14:paraId="76705585">
      <w:pPr>
        <w:pStyle w:val="19"/>
        <w:ind w:firstLine="2310" w:firstLineChars="1100"/>
        <w:rPr>
          <w:rFonts w:eastAsia="宋体"/>
          <w:sz w:val="21"/>
          <w:highlight w:val="none"/>
        </w:rPr>
      </w:pPr>
    </w:p>
    <w:p w14:paraId="4E8DB7FE">
      <w:pPr>
        <w:pStyle w:val="19"/>
        <w:spacing w:line="360" w:lineRule="auto"/>
        <w:rPr>
          <w:rFonts w:eastAsia="宋体"/>
          <w:color w:val="000000"/>
          <w:sz w:val="24"/>
          <w:highlight w:val="none"/>
        </w:rPr>
      </w:pPr>
    </w:p>
    <w:p w14:paraId="2DD85BAC">
      <w:pPr>
        <w:rPr>
          <w:highlight w:val="none"/>
        </w:rPr>
      </w:pPr>
    </w:p>
    <w:p w14:paraId="6041AB80">
      <w:pPr>
        <w:pStyle w:val="19"/>
        <w:spacing w:line="360" w:lineRule="auto"/>
        <w:ind w:firstLine="2640" w:firstLineChars="1100"/>
        <w:rPr>
          <w:rFonts w:eastAsia="宋体"/>
          <w:color w:val="000000"/>
          <w:sz w:val="24"/>
          <w:highlight w:val="none"/>
        </w:rPr>
      </w:pPr>
    </w:p>
    <w:p w14:paraId="525D3B6B">
      <w:pPr>
        <w:pStyle w:val="19"/>
        <w:spacing w:line="360" w:lineRule="auto"/>
        <w:ind w:firstLine="2640" w:firstLineChars="1100"/>
        <w:rPr>
          <w:rFonts w:eastAsia="宋体"/>
          <w:color w:val="000000"/>
          <w:sz w:val="24"/>
          <w:highlight w:val="none"/>
        </w:rPr>
      </w:pPr>
    </w:p>
    <w:p w14:paraId="5DBD639E">
      <w:pPr>
        <w:pStyle w:val="19"/>
        <w:spacing w:line="360" w:lineRule="auto"/>
        <w:ind w:firstLine="2640" w:firstLineChars="1100"/>
        <w:rPr>
          <w:rFonts w:eastAsia="宋体"/>
          <w:color w:val="000000"/>
          <w:sz w:val="24"/>
          <w:highlight w:val="none"/>
        </w:rPr>
      </w:pPr>
      <w:r>
        <w:rPr>
          <w:rFonts w:eastAsia="宋体"/>
          <w:color w:val="000000"/>
          <w:sz w:val="24"/>
          <w:highlight w:val="none"/>
        </w:rPr>
        <w:t>公司名称（盖章）：</w:t>
      </w:r>
      <w:r>
        <w:rPr>
          <w:rFonts w:eastAsia="宋体"/>
          <w:color w:val="000000"/>
          <w:sz w:val="24"/>
          <w:highlight w:val="none"/>
          <w:u w:val="single"/>
        </w:rPr>
        <w:t xml:space="preserve">                          </w:t>
      </w:r>
      <w:r>
        <w:rPr>
          <w:rFonts w:eastAsia="宋体"/>
          <w:color w:val="000000"/>
          <w:sz w:val="24"/>
          <w:highlight w:val="none"/>
        </w:rPr>
        <w:t xml:space="preserve">    </w:t>
      </w:r>
    </w:p>
    <w:p w14:paraId="45A385E1">
      <w:pPr>
        <w:pStyle w:val="19"/>
        <w:spacing w:line="360" w:lineRule="auto"/>
        <w:rPr>
          <w:highlight w:val="none"/>
        </w:rPr>
      </w:pPr>
      <w:r>
        <w:rPr>
          <w:rFonts w:eastAsia="宋体"/>
          <w:color w:val="000000"/>
          <w:sz w:val="24"/>
          <w:highlight w:val="none"/>
        </w:rPr>
        <w:t xml:space="preserve">                              日    期：</w:t>
      </w:r>
      <w:r>
        <w:rPr>
          <w:rFonts w:eastAsia="宋体"/>
          <w:color w:val="000000"/>
          <w:sz w:val="24"/>
          <w:highlight w:val="none"/>
          <w:u w:val="single"/>
        </w:rPr>
        <w:t xml:space="preserve">      </w:t>
      </w:r>
      <w:r>
        <w:rPr>
          <w:rFonts w:eastAsia="宋体"/>
          <w:color w:val="000000"/>
          <w:sz w:val="24"/>
          <w:highlight w:val="none"/>
        </w:rPr>
        <w:t>年</w:t>
      </w:r>
      <w:r>
        <w:rPr>
          <w:rFonts w:eastAsia="宋体"/>
          <w:color w:val="000000"/>
          <w:sz w:val="24"/>
          <w:highlight w:val="none"/>
          <w:u w:val="single"/>
        </w:rPr>
        <w:t xml:space="preserve">    </w:t>
      </w:r>
      <w:r>
        <w:rPr>
          <w:rFonts w:eastAsia="宋体"/>
          <w:color w:val="000000"/>
          <w:sz w:val="24"/>
          <w:highlight w:val="none"/>
        </w:rPr>
        <w:t>月</w:t>
      </w:r>
      <w:r>
        <w:rPr>
          <w:rFonts w:eastAsia="宋体"/>
          <w:color w:val="000000"/>
          <w:sz w:val="24"/>
          <w:highlight w:val="none"/>
          <w:u w:val="single"/>
        </w:rPr>
        <w:t xml:space="preserve">    </w:t>
      </w:r>
      <w:r>
        <w:rPr>
          <w:rFonts w:eastAsia="宋体"/>
          <w:color w:val="000000"/>
          <w:sz w:val="24"/>
          <w:highlight w:val="none"/>
        </w:rPr>
        <w:t>日</w:t>
      </w:r>
    </w:p>
    <w:p w14:paraId="2D53EEA4">
      <w:pPr>
        <w:snapToGrid w:val="0"/>
        <w:spacing w:line="360" w:lineRule="auto"/>
        <w:rPr>
          <w:b/>
          <w:color w:val="000000" w:themeColor="text1"/>
          <w:sz w:val="28"/>
          <w:highlight w:val="none"/>
          <w14:textFill>
            <w14:solidFill>
              <w14:schemeClr w14:val="tx1"/>
            </w14:solidFill>
          </w14:textFill>
        </w:rPr>
      </w:pPr>
    </w:p>
    <w:p w14:paraId="07F6E49F">
      <w:pPr>
        <w:snapToGrid w:val="0"/>
        <w:spacing w:line="360" w:lineRule="auto"/>
        <w:rPr>
          <w:b/>
          <w:color w:val="000000" w:themeColor="text1"/>
          <w:sz w:val="28"/>
          <w:highlight w:val="none"/>
          <w14:textFill>
            <w14:solidFill>
              <w14:schemeClr w14:val="tx1"/>
            </w14:solidFill>
          </w14:textFill>
        </w:rPr>
      </w:pPr>
    </w:p>
    <w:p w14:paraId="25AD4F7A">
      <w:pPr>
        <w:snapToGrid w:val="0"/>
        <w:spacing w:line="360" w:lineRule="auto"/>
        <w:rPr>
          <w:b/>
          <w:color w:val="000000" w:themeColor="text1"/>
          <w:sz w:val="28"/>
          <w:highlight w:val="none"/>
          <w14:textFill>
            <w14:solidFill>
              <w14:schemeClr w14:val="tx1"/>
            </w14:solidFill>
          </w14:textFill>
        </w:rPr>
      </w:pPr>
    </w:p>
    <w:p w14:paraId="04CEB924">
      <w:pPr>
        <w:snapToGrid w:val="0"/>
        <w:spacing w:line="360" w:lineRule="auto"/>
        <w:rPr>
          <w:b/>
          <w:color w:val="000000" w:themeColor="text1"/>
          <w:sz w:val="28"/>
          <w:highlight w:val="none"/>
          <w14:textFill>
            <w14:solidFill>
              <w14:schemeClr w14:val="tx1"/>
            </w14:solidFill>
          </w14:textFill>
        </w:rPr>
      </w:pPr>
    </w:p>
    <w:p w14:paraId="09A147F0">
      <w:pPr>
        <w:snapToGrid w:val="0"/>
        <w:spacing w:line="360" w:lineRule="auto"/>
        <w:rPr>
          <w:color w:val="000000" w:themeColor="text1"/>
          <w:kern w:val="0"/>
          <w:sz w:val="28"/>
          <w:szCs w:val="28"/>
          <w:highlight w:val="none"/>
          <w14:textFill>
            <w14:solidFill>
              <w14:schemeClr w14:val="tx1"/>
            </w14:solidFill>
          </w14:textFill>
        </w:rPr>
      </w:pPr>
      <w:r>
        <w:rPr>
          <w:b/>
          <w:color w:val="000000" w:themeColor="text1"/>
          <w:sz w:val="28"/>
          <w:highlight w:val="none"/>
          <w14:textFill>
            <w14:solidFill>
              <w14:schemeClr w14:val="tx1"/>
            </w14:solidFill>
          </w14:textFill>
        </w:rPr>
        <w:t>附件4</w:t>
      </w:r>
    </w:p>
    <w:p w14:paraId="0B517BF6">
      <w:pPr>
        <w:pStyle w:val="37"/>
        <w:widowControl w:val="0"/>
        <w:shd w:val="clear" w:color="auto" w:fill="FFFFFF"/>
        <w:spacing w:before="0" w:beforeAutospacing="0" w:after="0" w:afterAutospacing="0" w:line="360" w:lineRule="auto"/>
        <w:jc w:val="center"/>
        <w:rPr>
          <w:rFonts w:ascii="Times New Roman" w:hAnsi="Times New Roman" w:cs="Times New Roman"/>
          <w:b/>
          <w:bCs/>
          <w:color w:val="000000" w:themeColor="text1"/>
          <w:spacing w:val="21"/>
          <w:sz w:val="32"/>
          <w:szCs w:val="32"/>
          <w:highlight w:val="none"/>
          <w14:textFill>
            <w14:solidFill>
              <w14:schemeClr w14:val="tx1"/>
            </w14:solidFill>
          </w14:textFill>
        </w:rPr>
      </w:pPr>
      <w:r>
        <w:rPr>
          <w:rFonts w:ascii="Times New Roman" w:hAnsi="Times New Roman" w:cs="Times New Roman"/>
          <w:b/>
          <w:color w:val="000000" w:themeColor="text1"/>
          <w:sz w:val="32"/>
          <w:szCs w:val="32"/>
          <w:highlight w:val="none"/>
          <w14:textFill>
            <w14:solidFill>
              <w14:schemeClr w14:val="tx1"/>
            </w14:solidFill>
          </w14:textFill>
        </w:rPr>
        <w:t xml:space="preserve">  供应商</w:t>
      </w:r>
      <w:r>
        <w:rPr>
          <w:rFonts w:ascii="Times New Roman" w:hAnsi="Times New Roman" w:cs="Times New Roman"/>
          <w:b/>
          <w:bCs/>
          <w:color w:val="000000" w:themeColor="text1"/>
          <w:spacing w:val="21"/>
          <w:sz w:val="32"/>
          <w:szCs w:val="32"/>
          <w:highlight w:val="none"/>
          <w14:textFill>
            <w14:solidFill>
              <w14:schemeClr w14:val="tx1"/>
            </w14:solidFill>
          </w14:textFill>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F48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00D419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企业名称</w:t>
            </w:r>
          </w:p>
        </w:tc>
        <w:tc>
          <w:tcPr>
            <w:tcW w:w="3979" w:type="dxa"/>
            <w:gridSpan w:val="6"/>
          </w:tcPr>
          <w:p w14:paraId="2799302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001" w:type="dxa"/>
            <w:gridSpan w:val="3"/>
          </w:tcPr>
          <w:p w14:paraId="3AD9A8F4">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法人代表</w:t>
            </w:r>
          </w:p>
        </w:tc>
        <w:tc>
          <w:tcPr>
            <w:tcW w:w="2151" w:type="dxa"/>
            <w:gridSpan w:val="2"/>
          </w:tcPr>
          <w:p w14:paraId="4B336F7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1386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282B2D2">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1B1307E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44229B5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企业性质</w:t>
            </w:r>
          </w:p>
        </w:tc>
        <w:tc>
          <w:tcPr>
            <w:tcW w:w="2151" w:type="dxa"/>
            <w:gridSpan w:val="2"/>
          </w:tcPr>
          <w:p w14:paraId="7EAED09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CAA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B8981A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14:paraId="053F83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70ADB99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14:paraId="53B6683E">
            <w:pPr>
              <w:snapToGrid w:val="0"/>
              <w:spacing w:line="336" w:lineRule="auto"/>
              <w:jc w:val="left"/>
              <w:rPr>
                <w:bCs/>
                <w:color w:val="000000" w:themeColor="text1"/>
                <w:spacing w:val="16"/>
                <w:kern w:val="0"/>
                <w:sz w:val="24"/>
                <w:highlight w:val="none"/>
                <w14:textFill>
                  <w14:solidFill>
                    <w14:schemeClr w14:val="tx1"/>
                  </w14:solidFill>
                </w14:textFill>
              </w:rPr>
            </w:pPr>
          </w:p>
          <w:p w14:paraId="17C9F2F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397A721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股东关系</w:t>
            </w:r>
          </w:p>
        </w:tc>
        <w:tc>
          <w:tcPr>
            <w:tcW w:w="2151" w:type="dxa"/>
            <w:gridSpan w:val="2"/>
          </w:tcPr>
          <w:p w14:paraId="2977314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r>
      <w:tr w14:paraId="0E8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03B1BA1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联系人</w:t>
            </w:r>
            <w:r>
              <w:rPr>
                <w:rFonts w:ascii="Times New Roman" w:hAnsi="Times New Roman" w:cs="Times New Roman"/>
                <w:bCs/>
                <w:color w:val="000000" w:themeColor="text1"/>
                <w:spacing w:val="27"/>
                <w:highlight w:val="none"/>
                <w14:textFill>
                  <w14:solidFill>
                    <w14:schemeClr w14:val="tx1"/>
                  </w14:solidFill>
                </w14:textFill>
              </w:rPr>
              <w:t>姓名</w:t>
            </w:r>
          </w:p>
        </w:tc>
        <w:tc>
          <w:tcPr>
            <w:tcW w:w="701" w:type="dxa"/>
            <w:vMerge w:val="restart"/>
            <w:tcBorders>
              <w:top w:val="nil"/>
            </w:tcBorders>
          </w:tcPr>
          <w:p w14:paraId="543D12D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4609BAEB">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7E54B544">
            <w:pPr>
              <w:snapToGrid w:val="0"/>
              <w:spacing w:line="336" w:lineRule="auto"/>
              <w:jc w:val="left"/>
              <w:rPr>
                <w:bCs/>
                <w:color w:val="000000" w:themeColor="text1"/>
                <w:spacing w:val="16"/>
                <w:kern w:val="0"/>
                <w:sz w:val="24"/>
                <w:highlight w:val="none"/>
                <w14:textFill>
                  <w14:solidFill>
                    <w14:schemeClr w14:val="tx1"/>
                  </w14:solidFill>
                </w14:textFill>
              </w:rPr>
            </w:pPr>
          </w:p>
          <w:p w14:paraId="12BAE12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restart"/>
          </w:tcPr>
          <w:p w14:paraId="265B400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传真</w:t>
            </w:r>
          </w:p>
        </w:tc>
        <w:tc>
          <w:tcPr>
            <w:tcW w:w="2151" w:type="dxa"/>
            <w:gridSpan w:val="2"/>
            <w:vMerge w:val="restart"/>
          </w:tcPr>
          <w:p w14:paraId="15B2FC65">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563C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49D802A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7EEA951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086748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7D4A0EF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vMerge w:val="continue"/>
          </w:tcPr>
          <w:p w14:paraId="1D2D014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151" w:type="dxa"/>
            <w:gridSpan w:val="2"/>
            <w:vMerge w:val="continue"/>
          </w:tcPr>
          <w:p w14:paraId="6297023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18F5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57C83657">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1.</w:t>
            </w:r>
          </w:p>
          <w:p w14:paraId="36D97BD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p>
          <w:p w14:paraId="50702DC9">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业</w:t>
            </w:r>
          </w:p>
          <w:p w14:paraId="7A99539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27"/>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概</w:t>
            </w:r>
          </w:p>
          <w:p w14:paraId="6728539E">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况</w:t>
            </w:r>
          </w:p>
        </w:tc>
        <w:tc>
          <w:tcPr>
            <w:tcW w:w="701" w:type="dxa"/>
            <w:tcBorders>
              <w:top w:val="nil"/>
            </w:tcBorders>
          </w:tcPr>
          <w:p w14:paraId="111CC22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1751C96F">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1163" w:type="dxa"/>
            <w:tcBorders>
              <w:top w:val="nil"/>
            </w:tcBorders>
          </w:tcPr>
          <w:p w14:paraId="37A96AB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8"/>
                <w:highlight w:val="none"/>
                <w14:textFill>
                  <w14:solidFill>
                    <w14:schemeClr w14:val="tx1"/>
                  </w14:solidFill>
                </w14:textFill>
              </w:rPr>
              <w:t>具备大专以</w:t>
            </w:r>
            <w:r>
              <w:rPr>
                <w:rFonts w:ascii="Times New Roman" w:hAnsi="Times New Roman" w:cs="Times New Roman"/>
                <w:bCs/>
                <w:color w:val="000000" w:themeColor="text1"/>
                <w:spacing w:val="12"/>
                <w:highlight w:val="none"/>
                <w14:textFill>
                  <w14:solidFill>
                    <w14:schemeClr w14:val="tx1"/>
                  </w14:solidFill>
                </w14:textFill>
              </w:rPr>
              <w:t>上学历人数</w:t>
            </w:r>
          </w:p>
        </w:tc>
        <w:tc>
          <w:tcPr>
            <w:tcW w:w="1205" w:type="dxa"/>
            <w:gridSpan w:val="2"/>
            <w:tcBorders>
              <w:top w:val="nil"/>
            </w:tcBorders>
          </w:tcPr>
          <w:p w14:paraId="796EA0B9">
            <w:pPr>
              <w:snapToGrid w:val="0"/>
              <w:spacing w:line="336" w:lineRule="auto"/>
              <w:jc w:val="left"/>
              <w:rPr>
                <w:bCs/>
                <w:color w:val="000000" w:themeColor="text1"/>
                <w:spacing w:val="16"/>
                <w:kern w:val="0"/>
                <w:sz w:val="24"/>
                <w:highlight w:val="none"/>
                <w14:textFill>
                  <w14:solidFill>
                    <w14:schemeClr w14:val="tx1"/>
                  </w14:solidFill>
                </w14:textFill>
              </w:rPr>
            </w:pPr>
          </w:p>
          <w:p w14:paraId="2418E1A7">
            <w:pPr>
              <w:snapToGrid w:val="0"/>
              <w:spacing w:line="336" w:lineRule="auto"/>
              <w:jc w:val="left"/>
              <w:rPr>
                <w:bCs/>
                <w:color w:val="000000" w:themeColor="text1"/>
                <w:spacing w:val="16"/>
                <w:kern w:val="0"/>
                <w:sz w:val="24"/>
                <w:highlight w:val="none"/>
                <w14:textFill>
                  <w14:solidFill>
                    <w14:schemeClr w14:val="tx1"/>
                  </w14:solidFill>
                </w14:textFill>
              </w:rPr>
            </w:pPr>
          </w:p>
          <w:p w14:paraId="699594AA">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c>
          <w:tcPr>
            <w:tcW w:w="2001" w:type="dxa"/>
            <w:gridSpan w:val="3"/>
          </w:tcPr>
          <w:p w14:paraId="2A752529">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65"/>
                <w:highlight w:val="none"/>
                <w14:textFill>
                  <w14:solidFill>
                    <w14:schemeClr w14:val="tx1"/>
                  </w14:solidFill>
                </w14:textFill>
              </w:rPr>
              <w:t>国家授予技</w:t>
            </w:r>
            <w:r>
              <w:rPr>
                <w:rFonts w:ascii="Times New Roman" w:hAnsi="Times New Roman" w:cs="Times New Roman"/>
                <w:bCs/>
                <w:color w:val="000000" w:themeColor="text1"/>
                <w:spacing w:val="12"/>
                <w:highlight w:val="none"/>
                <w14:textFill>
                  <w14:solidFill>
                    <w14:schemeClr w14:val="tx1"/>
                  </w14:solidFill>
                </w14:textFill>
              </w:rPr>
              <w:t>术职称人数</w:t>
            </w:r>
          </w:p>
        </w:tc>
        <w:tc>
          <w:tcPr>
            <w:tcW w:w="2151" w:type="dxa"/>
            <w:gridSpan w:val="2"/>
          </w:tcPr>
          <w:p w14:paraId="6B1F62D8">
            <w:pPr>
              <w:snapToGrid w:val="0"/>
              <w:spacing w:line="336" w:lineRule="auto"/>
              <w:jc w:val="left"/>
              <w:rPr>
                <w:bCs/>
                <w:color w:val="000000" w:themeColor="text1"/>
                <w:spacing w:val="16"/>
                <w:kern w:val="0"/>
                <w:sz w:val="24"/>
                <w:highlight w:val="none"/>
                <w14:textFill>
                  <w14:solidFill>
                    <w14:schemeClr w14:val="tx1"/>
                  </w14:solidFill>
                </w14:textFill>
              </w:rPr>
            </w:pPr>
          </w:p>
          <w:p w14:paraId="2E1FE73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432D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2DC92724">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18EF4B80">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注册资金</w:t>
            </w:r>
          </w:p>
        </w:tc>
        <w:tc>
          <w:tcPr>
            <w:tcW w:w="910" w:type="dxa"/>
            <w:gridSpan w:val="2"/>
          </w:tcPr>
          <w:p w14:paraId="2F30228D">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p>
        </w:tc>
        <w:tc>
          <w:tcPr>
            <w:tcW w:w="1163" w:type="dxa"/>
          </w:tcPr>
          <w:p w14:paraId="64AA45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注册发证</w:t>
            </w:r>
            <w:r>
              <w:rPr>
                <w:rFonts w:ascii="Times New Roman" w:hAnsi="Times New Roman" w:cs="Times New Roman"/>
                <w:bCs/>
                <w:color w:val="000000" w:themeColor="text1"/>
                <w:spacing w:val="27"/>
                <w:highlight w:val="none"/>
                <w14:textFill>
                  <w14:solidFill>
                    <w14:schemeClr w14:val="tx1"/>
                  </w14:solidFill>
                </w14:textFill>
              </w:rPr>
              <w:t>机关</w:t>
            </w:r>
          </w:p>
        </w:tc>
        <w:tc>
          <w:tcPr>
            <w:tcW w:w="3206" w:type="dxa"/>
            <w:gridSpan w:val="5"/>
          </w:tcPr>
          <w:p w14:paraId="7343B2DD">
            <w:pPr>
              <w:snapToGrid w:val="0"/>
              <w:spacing w:line="336" w:lineRule="auto"/>
              <w:jc w:val="left"/>
              <w:rPr>
                <w:bCs/>
                <w:color w:val="000000" w:themeColor="text1"/>
                <w:kern w:val="0"/>
                <w:sz w:val="24"/>
                <w:highlight w:val="none"/>
                <w14:textFill>
                  <w14:solidFill>
                    <w14:schemeClr w14:val="tx1"/>
                  </w14:solidFill>
                </w14:textFill>
              </w:rPr>
            </w:pPr>
          </w:p>
          <w:p w14:paraId="0731C4B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218" w:type="dxa"/>
          </w:tcPr>
          <w:p w14:paraId="1B557BA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公司成</w:t>
            </w:r>
            <w:r>
              <w:rPr>
                <w:rFonts w:ascii="Times New Roman" w:hAnsi="Times New Roman" w:cs="Times New Roman"/>
                <w:bCs/>
                <w:color w:val="000000" w:themeColor="text1"/>
                <w:spacing w:val="12"/>
                <w:highlight w:val="none"/>
                <w14:textFill>
                  <w14:solidFill>
                    <w14:schemeClr w14:val="tx1"/>
                  </w14:solidFill>
                </w14:textFill>
              </w:rPr>
              <w:t>立时间</w:t>
            </w:r>
          </w:p>
        </w:tc>
        <w:tc>
          <w:tcPr>
            <w:tcW w:w="933" w:type="dxa"/>
          </w:tcPr>
          <w:p w14:paraId="3974715B">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6369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45A58780">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701" w:type="dxa"/>
          </w:tcPr>
          <w:p w14:paraId="7A4C22C5">
            <w:pPr>
              <w:pStyle w:val="37"/>
              <w:widowControl w:val="0"/>
              <w:shd w:val="clear" w:color="auto" w:fill="FFFFFF"/>
              <w:snapToGrid w:val="0"/>
              <w:spacing w:before="0" w:beforeAutospacing="0" w:after="0" w:afterAutospacing="0" w:line="336" w:lineRule="auto"/>
              <w:ind w:left="2"/>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核准经营范围</w:t>
            </w:r>
          </w:p>
        </w:tc>
        <w:tc>
          <w:tcPr>
            <w:tcW w:w="7430" w:type="dxa"/>
            <w:gridSpan w:val="10"/>
          </w:tcPr>
          <w:p w14:paraId="55DEE7A3">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r>
      <w:tr w14:paraId="7269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54E31E11">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8131" w:type="dxa"/>
            <w:gridSpan w:val="11"/>
          </w:tcPr>
          <w:p w14:paraId="280567B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3"/>
                <w:highlight w:val="none"/>
                <w14:textFill>
                  <w14:solidFill>
                    <w14:schemeClr w14:val="tx1"/>
                  </w14:solidFill>
                </w14:textFill>
              </w:rPr>
            </w:pPr>
            <w:r>
              <w:rPr>
                <w:rFonts w:ascii="Times New Roman" w:hAnsi="Times New Roman" w:cs="Times New Roman"/>
                <w:bCs/>
                <w:color w:val="000000" w:themeColor="text1"/>
                <w:spacing w:val="13"/>
                <w:highlight w:val="none"/>
                <w14:textFill>
                  <w14:solidFill>
                    <w14:schemeClr w14:val="tx1"/>
                  </w14:solidFill>
                </w14:textFill>
              </w:rPr>
              <w:t>发展历程及主要荣誉：</w:t>
            </w:r>
          </w:p>
        </w:tc>
      </w:tr>
      <w:tr w14:paraId="2DE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57DD3B8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2．</w:t>
            </w:r>
          </w:p>
          <w:p w14:paraId="5D42C2C6">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企</w:t>
            </w:r>
            <w:r>
              <w:rPr>
                <w:rFonts w:ascii="Times New Roman" w:hAnsi="Times New Roman" w:cs="Times New Roman"/>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6537205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2"/>
                <w:highlight w:val="none"/>
                <w14:textFill>
                  <w14:solidFill>
                    <w14:schemeClr w14:val="tx1"/>
                  </w14:solidFill>
                </w14:textFill>
              </w:rPr>
              <w:t>产品生产许可证情况</w:t>
            </w:r>
            <w:r>
              <w:rPr>
                <w:rFonts w:ascii="Times New Roman" w:hAnsi="Times New Roman" w:cs="Times New Roman"/>
                <w:bCs/>
                <w:color w:val="000000" w:themeColor="text1"/>
                <w:spacing w:val="41"/>
                <w:highlight w:val="none"/>
                <w14:textFill>
                  <w14:solidFill>
                    <w14:schemeClr w14:val="tx1"/>
                  </w14:solidFill>
                </w14:textFill>
              </w:rPr>
              <w:t>（对需获得生产许可证的</w:t>
            </w:r>
            <w:r>
              <w:rPr>
                <w:rFonts w:ascii="Times New Roman" w:hAnsi="Times New Roman" w:cs="Times New Roman"/>
                <w:bCs/>
                <w:color w:val="000000" w:themeColor="text1"/>
                <w:spacing w:val="11"/>
                <w:highlight w:val="none"/>
                <w14:textFill>
                  <w14:solidFill>
                    <w14:schemeClr w14:val="tx1"/>
                  </w14:solidFill>
                </w14:textFill>
              </w:rPr>
              <w:t>产品要填写此栏）</w:t>
            </w:r>
          </w:p>
        </w:tc>
        <w:tc>
          <w:tcPr>
            <w:tcW w:w="1333" w:type="dxa"/>
            <w:gridSpan w:val="3"/>
          </w:tcPr>
          <w:p w14:paraId="0EE161FC">
            <w:pPr>
              <w:pStyle w:val="37"/>
              <w:widowControl w:val="0"/>
              <w:shd w:val="clear" w:color="auto" w:fill="FFFFFF"/>
              <w:snapToGrid w:val="0"/>
              <w:spacing w:before="0" w:beforeAutospacing="0" w:after="0" w:afterAutospacing="0" w:line="336" w:lineRule="auto"/>
              <w:ind w:right="-78" w:rightChars="-37"/>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产品名称</w:t>
            </w:r>
          </w:p>
        </w:tc>
        <w:tc>
          <w:tcPr>
            <w:tcW w:w="1418" w:type="dxa"/>
            <w:gridSpan w:val="2"/>
          </w:tcPr>
          <w:p w14:paraId="7778BDFC">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发证机关</w:t>
            </w:r>
          </w:p>
        </w:tc>
        <w:tc>
          <w:tcPr>
            <w:tcW w:w="1276" w:type="dxa"/>
          </w:tcPr>
          <w:p w14:paraId="6E1D6AA6">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编号</w:t>
            </w:r>
          </w:p>
        </w:tc>
        <w:tc>
          <w:tcPr>
            <w:tcW w:w="1618" w:type="dxa"/>
            <w:gridSpan w:val="2"/>
          </w:tcPr>
          <w:p w14:paraId="7991571D">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16"/>
                <w:highlight w:val="none"/>
                <w14:textFill>
                  <w14:solidFill>
                    <w14:schemeClr w14:val="tx1"/>
                  </w14:solidFill>
                </w14:textFill>
              </w:rPr>
              <w:t>发证时间</w:t>
            </w:r>
          </w:p>
        </w:tc>
        <w:tc>
          <w:tcPr>
            <w:tcW w:w="933" w:type="dxa"/>
          </w:tcPr>
          <w:p w14:paraId="57C7FAA1">
            <w:pPr>
              <w:pStyle w:val="37"/>
              <w:widowControl w:val="0"/>
              <w:shd w:val="clear" w:color="auto" w:fill="FFFFFF"/>
              <w:snapToGrid w:val="0"/>
              <w:spacing w:before="0" w:beforeAutospacing="0" w:after="0" w:afterAutospacing="0" w:line="336" w:lineRule="auto"/>
              <w:jc w:val="center"/>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spacing w:val="27"/>
                <w:highlight w:val="none"/>
                <w14:textFill>
                  <w14:solidFill>
                    <w14:schemeClr w14:val="tx1"/>
                  </w14:solidFill>
                </w14:textFill>
              </w:rPr>
              <w:t>期限</w:t>
            </w:r>
          </w:p>
        </w:tc>
      </w:tr>
      <w:tr w14:paraId="0499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0D196315">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highlight w:val="none"/>
                <w14:textFill>
                  <w14:solidFill>
                    <w14:schemeClr w14:val="tx1"/>
                  </w14:solidFill>
                </w14:textFill>
              </w:rPr>
            </w:pPr>
          </w:p>
        </w:tc>
        <w:tc>
          <w:tcPr>
            <w:tcW w:w="1553" w:type="dxa"/>
            <w:gridSpan w:val="2"/>
            <w:vMerge w:val="continue"/>
          </w:tcPr>
          <w:p w14:paraId="21FAE2D7">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333" w:type="dxa"/>
            <w:gridSpan w:val="3"/>
          </w:tcPr>
          <w:p w14:paraId="30DD0D26">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418" w:type="dxa"/>
            <w:gridSpan w:val="2"/>
          </w:tcPr>
          <w:p w14:paraId="2B4E49BE">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1276" w:type="dxa"/>
          </w:tcPr>
          <w:p w14:paraId="756FB6D1">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c>
          <w:tcPr>
            <w:tcW w:w="2551" w:type="dxa"/>
            <w:gridSpan w:val="3"/>
          </w:tcPr>
          <w:p w14:paraId="59C563FD">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highlight w:val="none"/>
                <w14:textFill>
                  <w14:solidFill>
                    <w14:schemeClr w14:val="tx1"/>
                  </w14:solidFill>
                </w14:textFill>
              </w:rPr>
            </w:pPr>
          </w:p>
        </w:tc>
      </w:tr>
      <w:tr w14:paraId="44D5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1AB4D15F">
            <w:pPr>
              <w:pStyle w:val="37"/>
              <w:widowControl w:val="0"/>
              <w:shd w:val="clear" w:color="auto" w:fill="FFFFFF"/>
              <w:snapToGrid w:val="0"/>
              <w:spacing w:before="0" w:beforeAutospacing="0" w:after="0" w:afterAutospacing="0" w:line="336" w:lineRule="auto"/>
              <w:ind w:left="107"/>
              <w:rPr>
                <w:rFonts w:ascii="Times New Roman" w:hAnsi="Times New Roman" w:cs="Times New Roman"/>
                <w:bCs/>
                <w:color w:val="000000" w:themeColor="text1"/>
                <w:spacing w:val="16"/>
                <w:highlight w:val="none"/>
                <w14:textFill>
                  <w14:solidFill>
                    <w14:schemeClr w14:val="tx1"/>
                  </w14:solidFill>
                </w14:textFill>
              </w:rPr>
            </w:pPr>
          </w:p>
        </w:tc>
        <w:tc>
          <w:tcPr>
            <w:tcW w:w="1553" w:type="dxa"/>
            <w:gridSpan w:val="2"/>
          </w:tcPr>
          <w:p w14:paraId="25D0DD4A">
            <w:pPr>
              <w:pStyle w:val="37"/>
              <w:widowControl w:val="0"/>
              <w:shd w:val="clear" w:color="auto" w:fill="FFFFFF"/>
              <w:snapToGrid w:val="0"/>
              <w:spacing w:before="0" w:beforeAutospacing="0" w:after="0" w:afterAutospacing="0" w:line="336" w:lineRule="auto"/>
              <w:ind w:right="-107" w:rightChars="-51"/>
              <w:rPr>
                <w:rFonts w:ascii="Times New Roman" w:hAnsi="Times New Roman" w:cs="Times New Roman"/>
                <w:bCs/>
                <w:color w:val="000000" w:themeColor="text1"/>
                <w:spacing w:val="41"/>
                <w:highlight w:val="none"/>
                <w14:textFill>
                  <w14:solidFill>
                    <w14:schemeClr w14:val="tx1"/>
                  </w14:solidFill>
                </w14:textFill>
              </w:rPr>
            </w:pPr>
            <w:r>
              <w:rPr>
                <w:rFonts w:ascii="Times New Roman" w:hAnsi="Times New Roman" w:cs="Times New Roman"/>
                <w:bCs/>
                <w:color w:val="000000" w:themeColor="text1"/>
                <w:spacing w:val="41"/>
                <w:highlight w:val="none"/>
                <w14:textFill>
                  <w14:solidFill>
                    <w14:schemeClr w14:val="tx1"/>
                  </w14:solidFill>
                </w14:textFill>
              </w:rPr>
              <w:t>企业通过质量体系、环保</w:t>
            </w:r>
            <w:r>
              <w:rPr>
                <w:rFonts w:ascii="Times New Roman" w:hAnsi="Times New Roman" w:cs="Times New Roman"/>
                <w:bCs/>
                <w:color w:val="000000" w:themeColor="text1"/>
                <w:spacing w:val="11"/>
                <w:highlight w:val="none"/>
                <w14:textFill>
                  <w14:solidFill>
                    <w14:schemeClr w14:val="tx1"/>
                  </w14:solidFill>
                </w14:textFill>
              </w:rPr>
              <w:t>体系、计量等认证情况</w:t>
            </w:r>
          </w:p>
        </w:tc>
        <w:tc>
          <w:tcPr>
            <w:tcW w:w="6578" w:type="dxa"/>
            <w:gridSpan w:val="9"/>
          </w:tcPr>
          <w:p w14:paraId="58C62710">
            <w:pPr>
              <w:pStyle w:val="37"/>
              <w:widowControl w:val="0"/>
              <w:shd w:val="clear" w:color="auto" w:fill="FFFFFF"/>
              <w:snapToGrid w:val="0"/>
              <w:spacing w:before="0" w:beforeAutospacing="0" w:after="0" w:afterAutospacing="0" w:line="336" w:lineRule="auto"/>
              <w:rPr>
                <w:rFonts w:ascii="Times New Roman" w:hAnsi="Times New Roman" w:cs="Times New Roman"/>
                <w:bCs/>
                <w:color w:val="000000" w:themeColor="text1"/>
                <w:spacing w:val="16"/>
                <w:highlight w:val="none"/>
                <w14:textFill>
                  <w14:solidFill>
                    <w14:schemeClr w14:val="tx1"/>
                  </w14:solidFill>
                </w14:textFill>
              </w:rPr>
            </w:pPr>
          </w:p>
        </w:tc>
      </w:tr>
      <w:tr w14:paraId="688A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D9F755A">
            <w:pPr>
              <w:pStyle w:val="37"/>
              <w:widowControl w:val="0"/>
              <w:shd w:val="clear" w:color="auto" w:fill="FFFFFF"/>
              <w:snapToGrid w:val="0"/>
              <w:spacing w:before="0" w:beforeAutospacing="0" w:after="0" w:afterAutospacing="0" w:line="360" w:lineRule="auto"/>
              <w:ind w:left="107"/>
              <w:rPr>
                <w:rFonts w:ascii="Times New Roman" w:hAnsi="Times New Roman" w:cs="Times New Roman"/>
                <w:bCs/>
                <w:color w:val="000000" w:themeColor="text1"/>
                <w:spacing w:val="27"/>
                <w:highlight w:val="none"/>
                <w14:textFill>
                  <w14:solidFill>
                    <w14:schemeClr w14:val="tx1"/>
                  </w14:solidFill>
                </w14:textFill>
              </w:rPr>
            </w:pPr>
          </w:p>
        </w:tc>
        <w:tc>
          <w:tcPr>
            <w:tcW w:w="1553" w:type="dxa"/>
            <w:gridSpan w:val="2"/>
          </w:tcPr>
          <w:p w14:paraId="7965E1B9">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r>
              <w:rPr>
                <w:rFonts w:ascii="Times New Roman" w:hAnsi="Times New Roman" w:cs="Times New Roman"/>
                <w:bCs/>
                <w:color w:val="000000" w:themeColor="text1"/>
                <w:spacing w:val="10"/>
                <w:highlight w:val="none"/>
                <w14:textFill>
                  <w14:solidFill>
                    <w14:schemeClr w14:val="tx1"/>
                  </w14:solidFill>
                </w14:textFill>
              </w:rPr>
              <w:t>企业获得专利情况</w:t>
            </w:r>
          </w:p>
        </w:tc>
        <w:tc>
          <w:tcPr>
            <w:tcW w:w="6578" w:type="dxa"/>
            <w:gridSpan w:val="9"/>
          </w:tcPr>
          <w:p w14:paraId="549162DA">
            <w:pPr>
              <w:pStyle w:val="37"/>
              <w:widowControl w:val="0"/>
              <w:shd w:val="clear" w:color="auto" w:fill="FFFFFF"/>
              <w:snapToGrid w:val="0"/>
              <w:spacing w:before="0" w:beforeAutospacing="0" w:after="0" w:afterAutospacing="0" w:line="360" w:lineRule="auto"/>
              <w:rPr>
                <w:rFonts w:ascii="Times New Roman" w:hAnsi="Times New Roman" w:cs="Times New Roman"/>
                <w:bCs/>
                <w:color w:val="000000" w:themeColor="text1"/>
                <w:spacing w:val="16"/>
                <w:highlight w:val="none"/>
                <w14:textFill>
                  <w14:solidFill>
                    <w14:schemeClr w14:val="tx1"/>
                  </w14:solidFill>
                </w14:textFill>
              </w:rPr>
            </w:pPr>
          </w:p>
        </w:tc>
      </w:tr>
    </w:tbl>
    <w:p w14:paraId="1808D499">
      <w:pPr>
        <w:pStyle w:val="37"/>
        <w:widowControl w:val="0"/>
        <w:shd w:val="clear" w:color="auto" w:fill="FFFFFF"/>
        <w:spacing w:before="0" w:beforeAutospacing="0" w:after="0" w:afterAutospacing="0" w:line="360" w:lineRule="auto"/>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要求：</w:t>
      </w:r>
    </w:p>
    <w:p w14:paraId="25D0A283">
      <w:pPr>
        <w:pStyle w:val="37"/>
        <w:widowControl w:val="0"/>
        <w:shd w:val="clear" w:color="auto" w:fill="FFFFFF"/>
        <w:spacing w:before="0" w:beforeAutospacing="0" w:after="0" w:afterAutospacing="0" w:line="360" w:lineRule="auto"/>
        <w:ind w:firstLine="424" w:firstLineChars="202"/>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1.姓名栏必须将所有股东都统计在内，若非股份公司此行（第三行）无需填写；</w:t>
      </w:r>
    </w:p>
    <w:p w14:paraId="4FF74684">
      <w:pPr>
        <w:ind w:left="437"/>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2.在填写时，如本表格不适合投标单位的实际情况，可根据本表格式自行划表填写。</w:t>
      </w:r>
    </w:p>
    <w:p w14:paraId="5C59285E">
      <w:pPr>
        <w:pStyle w:val="13"/>
        <w:rPr>
          <w:color w:val="000000" w:themeColor="text1"/>
          <w:highlight w:val="none"/>
          <w14:textFill>
            <w14:solidFill>
              <w14:schemeClr w14:val="tx1"/>
            </w14:solidFill>
          </w14:textFill>
        </w:rPr>
      </w:pPr>
    </w:p>
    <w:p w14:paraId="636E85FF">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2177E66">
      <w:pPr>
        <w:spacing w:line="360" w:lineRule="auto"/>
        <w:ind w:left="420"/>
        <w:rPr>
          <w:color w:val="000000" w:themeColor="text1"/>
          <w:sz w:val="24"/>
          <w:highlight w:val="none"/>
          <w14:textFill>
            <w14:solidFill>
              <w14:schemeClr w14:val="tx1"/>
            </w14:solidFill>
          </w14:textFill>
        </w:rPr>
      </w:pPr>
    </w:p>
    <w:p w14:paraId="7A58E512">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磋商供应商代表签字或签章：</w:t>
      </w:r>
    </w:p>
    <w:p w14:paraId="3F58D176">
      <w:pPr>
        <w:spacing w:line="360" w:lineRule="auto"/>
        <w:ind w:firstLine="435"/>
        <w:rPr>
          <w:color w:val="000000" w:themeColor="text1"/>
          <w:sz w:val="24"/>
          <w:highlight w:val="none"/>
          <w14:textFill>
            <w14:solidFill>
              <w14:schemeClr w14:val="tx1"/>
            </w14:solidFill>
          </w14:textFill>
        </w:rPr>
      </w:pPr>
    </w:p>
    <w:p w14:paraId="4D686153">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86A959A">
      <w:pPr>
        <w:spacing w:line="360" w:lineRule="auto"/>
        <w:rPr>
          <w:color w:val="000000" w:themeColor="text1"/>
          <w:sz w:val="24"/>
          <w:highlight w:val="none"/>
          <w14:textFill>
            <w14:solidFill>
              <w14:schemeClr w14:val="tx1"/>
            </w14:solidFill>
          </w14:textFill>
        </w:rPr>
      </w:pPr>
    </w:p>
    <w:p w14:paraId="6BFA16B9">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7446B8FB">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8336619">
      <w:pPr>
        <w:spacing w:line="360" w:lineRule="auto"/>
        <w:rPr>
          <w:color w:val="000000" w:themeColor="text1"/>
          <w:sz w:val="24"/>
          <w:highlight w:val="none"/>
          <w14:textFill>
            <w14:solidFill>
              <w14:schemeClr w14:val="tx1"/>
            </w14:solidFill>
          </w14:textFill>
        </w:rPr>
      </w:pPr>
      <w:r>
        <w:rPr>
          <w:b/>
          <w:color w:val="000000" w:themeColor="text1"/>
          <w:sz w:val="28"/>
          <w:highlight w:val="none"/>
          <w14:textFill>
            <w14:solidFill>
              <w14:schemeClr w14:val="tx1"/>
            </w14:solidFill>
          </w14:textFill>
        </w:rPr>
        <w:t>附件5</w:t>
      </w:r>
    </w:p>
    <w:p w14:paraId="46E0C318">
      <w:pPr>
        <w:snapToGrid w:val="0"/>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项目实施人员一览表</w:t>
      </w:r>
    </w:p>
    <w:p w14:paraId="37A94CC8">
      <w:pPr>
        <w:snapToGrid w:val="0"/>
        <w:spacing w:line="360" w:lineRule="auto"/>
        <w:ind w:firstLine="2400" w:firstLineChars="1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0C75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4F35F0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792AA73">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0A1DC1E">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C861250">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E794F5F">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EE6ADD9">
            <w:pPr>
              <w:snapToGrid w:val="0"/>
              <w:spacing w:before="156" w:beforeLines="50" w:after="50" w:line="360" w:lineRule="auto"/>
              <w:jc w:val="center"/>
              <w:rPr>
                <w:b/>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2A862D4">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0E448BD">
            <w:pPr>
              <w:snapToGrid w:val="0"/>
              <w:spacing w:before="156" w:beforeLines="50" w:after="50" w:line="360" w:lineRule="auto"/>
              <w:jc w:val="center"/>
              <w:rPr>
                <w:b/>
                <w:bCs/>
                <w:color w:val="000000" w:themeColor="text1"/>
                <w:sz w:val="24"/>
                <w:szCs w:val="20"/>
                <w:highlight w:val="none"/>
                <w14:textFill>
                  <w14:solidFill>
                    <w14:schemeClr w14:val="tx1"/>
                  </w14:solidFill>
                </w14:textFill>
              </w:rPr>
            </w:pPr>
            <w:r>
              <w:rPr>
                <w:b/>
                <w:color w:val="000000" w:themeColor="text1"/>
                <w:sz w:val="24"/>
                <w:highlight w:val="none"/>
                <w14:textFill>
                  <w14:solidFill>
                    <w14:schemeClr w14:val="tx1"/>
                  </w14:solidFill>
                </w14:textFill>
              </w:rPr>
              <w:t>劳动合同编号</w:t>
            </w:r>
          </w:p>
        </w:tc>
      </w:tr>
      <w:tr w14:paraId="0C40D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BB67084">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10744C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EE580E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58FAB4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3AAE95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EC7401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CF2B21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5A7AA6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4929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E7D8F2E">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1EA923B">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F8B5F4">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669274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B14E698">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BDF559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1E2A1B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E630E52">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2103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1157EC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0AEB72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9B5E30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1D29D45">
            <w:pPr>
              <w:pStyle w:val="17"/>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7E815DE">
            <w:pPr>
              <w:pStyle w:val="17"/>
              <w:snapToGrid w:val="0"/>
              <w:spacing w:before="156" w:beforeLines="50" w:after="50" w:line="360" w:lineRule="auto"/>
              <w:ind w:left="5250"/>
              <w:rPr>
                <w:rFonts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D9BA92A">
            <w:pPr>
              <w:pStyle w:val="17"/>
              <w:spacing w:line="360" w:lineRule="auto"/>
              <w:ind w:left="5250"/>
              <w:rPr>
                <w:rFonts w:eastAsia="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7B5569F">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2C8EB9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1B3F2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56C3AF1">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741DE559">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F4713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1A7CB0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D25B8E5">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B32F6B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D30B0CA">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3FFB0016">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r w14:paraId="3D9F8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12807B6">
            <w:pPr>
              <w:snapToGrid w:val="0"/>
              <w:spacing w:before="156" w:beforeLines="50" w:after="50" w:line="360" w:lineRule="auto"/>
              <w:rPr>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7BCC6C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021BAB3">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9041DAD">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F3359E">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65CA001">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A730347">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951AE7C">
            <w:pPr>
              <w:snapToGrid w:val="0"/>
              <w:spacing w:before="156" w:beforeLines="50" w:after="50" w:line="360" w:lineRule="auto"/>
              <w:rPr>
                <w:b/>
                <w:color w:val="000000" w:themeColor="text1"/>
                <w:kern w:val="44"/>
                <w:sz w:val="24"/>
                <w:szCs w:val="20"/>
                <w:highlight w:val="none"/>
                <w14:textFill>
                  <w14:solidFill>
                    <w14:schemeClr w14:val="tx1"/>
                  </w14:solidFill>
                </w14:textFill>
              </w:rPr>
            </w:pPr>
          </w:p>
        </w:tc>
      </w:tr>
    </w:tbl>
    <w:p w14:paraId="2D608E59">
      <w:pP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C41C8B7">
      <w:pPr>
        <w:ind w:left="43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在填写时，如本表格不适合投标单位的实际情况，可根据本表格式自行划表填写。</w:t>
      </w:r>
    </w:p>
    <w:p w14:paraId="32BE1343">
      <w:pPr>
        <w:pStyle w:val="60"/>
        <w:ind w:left="424" w:left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2.附人员证书复印件；</w:t>
      </w:r>
    </w:p>
    <w:p w14:paraId="40F5B1B4">
      <w:pPr>
        <w:pStyle w:val="60"/>
        <w:ind w:left="424" w:hanging="424" w:hangingChars="202"/>
        <w:rPr>
          <w:color w:val="000000" w:themeColor="text1"/>
          <w:sz w:val="24"/>
          <w:szCs w:val="20"/>
          <w:highlight w:val="none"/>
          <w14:textFill>
            <w14:solidFill>
              <w14:schemeClr w14:val="tx1"/>
            </w14:solidFill>
          </w14:textFill>
        </w:rPr>
      </w:pPr>
      <w:r>
        <w:rPr>
          <w:color w:val="000000" w:themeColor="text1"/>
          <w:szCs w:val="21"/>
          <w:highlight w:val="none"/>
          <w14:textFill>
            <w14:solidFill>
              <w14:schemeClr w14:val="tx1"/>
            </w14:solidFill>
          </w14:textFill>
        </w:rPr>
        <w:t>　　3.出具上述人员在本单位服务的外部证明，如：投标截止日之前按评分表月份要求的代缴个税税单、参加社会保险的《投保单》或《社会保险参保人员证明》等。</w:t>
      </w:r>
    </w:p>
    <w:p w14:paraId="2CAF215B">
      <w:pPr>
        <w:snapToGrid w:val="0"/>
        <w:spacing w:before="50" w:after="156" w:afterLines="50" w:line="360" w:lineRule="auto"/>
        <w:jc w:val="left"/>
        <w:rPr>
          <w:color w:val="000000" w:themeColor="text1"/>
          <w:sz w:val="24"/>
          <w:szCs w:val="20"/>
          <w:highlight w:val="none"/>
          <w14:textFill>
            <w14:solidFill>
              <w14:schemeClr w14:val="tx1"/>
            </w14:solidFill>
          </w14:textFill>
        </w:rPr>
      </w:pPr>
    </w:p>
    <w:p w14:paraId="559F672A">
      <w:pPr>
        <w:spacing w:line="24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5F459E8E">
      <w:pPr>
        <w:spacing w:line="360" w:lineRule="auto"/>
        <w:ind w:left="420"/>
        <w:rPr>
          <w:color w:val="000000" w:themeColor="text1"/>
          <w:sz w:val="24"/>
          <w:highlight w:val="none"/>
          <w14:textFill>
            <w14:solidFill>
              <w14:schemeClr w14:val="tx1"/>
            </w14:solidFill>
          </w14:textFill>
        </w:rPr>
      </w:pPr>
    </w:p>
    <w:p w14:paraId="0CE0A7CC">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191FA67">
      <w:pPr>
        <w:spacing w:line="360" w:lineRule="auto"/>
        <w:ind w:firstLine="435"/>
        <w:rPr>
          <w:color w:val="000000" w:themeColor="text1"/>
          <w:sz w:val="24"/>
          <w:highlight w:val="none"/>
          <w14:textFill>
            <w14:solidFill>
              <w14:schemeClr w14:val="tx1"/>
            </w14:solidFill>
          </w14:textFill>
        </w:rPr>
      </w:pPr>
    </w:p>
    <w:p w14:paraId="78400B3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4BFB6053">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05AB2919">
      <w:pPr>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附件6</w:t>
      </w:r>
    </w:p>
    <w:p w14:paraId="12544880">
      <w:pPr>
        <w:spacing w:line="360" w:lineRule="auto"/>
        <w:ind w:right="-1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项目负责人资格情况表</w:t>
      </w:r>
    </w:p>
    <w:p w14:paraId="466E149E">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采购项目：                                        采购编号：WLCG-2024-CS046号</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FA5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tcBorders>
              <w:top w:val="single" w:color="auto" w:sz="12" w:space="0"/>
              <w:left w:val="single" w:color="auto" w:sz="12" w:space="0"/>
              <w:bottom w:val="single" w:color="auto" w:sz="4" w:space="0"/>
              <w:right w:val="single" w:color="auto" w:sz="4" w:space="0"/>
            </w:tcBorders>
            <w:vAlign w:val="center"/>
          </w:tcPr>
          <w:p w14:paraId="0819BB2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E2CB0A3">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73813A46">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近年来主要工作业绩</w:t>
            </w:r>
          </w:p>
        </w:tc>
      </w:tr>
      <w:tr w14:paraId="658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B33E63D">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1149777">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E0379E3">
            <w:pPr>
              <w:autoSpaceDE w:val="0"/>
              <w:autoSpaceDN w:val="0"/>
              <w:adjustRightInd w:val="0"/>
              <w:snapToGrid w:val="0"/>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注：业绩证明应提供旁证材料</w:t>
            </w:r>
          </w:p>
          <w:p w14:paraId="5667C22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（供货合同或中标通知书）。</w:t>
            </w:r>
          </w:p>
        </w:tc>
      </w:tr>
      <w:tr w14:paraId="4432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5C8F5227">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14F8DB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FB8BE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561E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4D9C32F5">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C5BB1A0">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BA320C">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E7B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7850F8B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563B08B">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C78B9C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23B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43C062">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0382D91">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638F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43C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14:paraId="09EB271F">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D48997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53455D5">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6DA4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1974" w:type="dxa"/>
            <w:tcBorders>
              <w:top w:val="single" w:color="auto" w:sz="4" w:space="0"/>
              <w:left w:val="single" w:color="auto" w:sz="12" w:space="0"/>
              <w:bottom w:val="single" w:color="auto" w:sz="4" w:space="0"/>
              <w:right w:val="single" w:color="auto" w:sz="4" w:space="0"/>
            </w:tcBorders>
            <w:vAlign w:val="center"/>
          </w:tcPr>
          <w:p w14:paraId="3CBD5118">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5DCE002">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58A81D8">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r w14:paraId="33A1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74" w:type="dxa"/>
            <w:tcBorders>
              <w:top w:val="single" w:color="auto" w:sz="4" w:space="0"/>
              <w:left w:val="single" w:color="auto" w:sz="12" w:space="0"/>
              <w:bottom w:val="single" w:color="auto" w:sz="12" w:space="0"/>
              <w:right w:val="single" w:color="auto" w:sz="4" w:space="0"/>
            </w:tcBorders>
            <w:vAlign w:val="center"/>
          </w:tcPr>
          <w:p w14:paraId="4CCC329C">
            <w:pPr>
              <w:autoSpaceDE w:val="0"/>
              <w:autoSpaceDN w:val="0"/>
              <w:adjustRightInd w:val="0"/>
              <w:snapToGrid w:val="0"/>
              <w:spacing w:line="360" w:lineRule="auto"/>
              <w:jc w:val="center"/>
              <w:rPr>
                <w:b/>
                <w:bCs/>
                <w:color w:val="000000" w:themeColor="text1"/>
                <w:highlight w:val="none"/>
                <w:lang w:val="zh-CN"/>
                <w14:textFill>
                  <w14:solidFill>
                    <w14:schemeClr w14:val="tx1"/>
                  </w14:solidFill>
                </w14:textFill>
              </w:rPr>
            </w:pPr>
            <w:r>
              <w:rPr>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0BE67CF">
            <w:pPr>
              <w:autoSpaceDE w:val="0"/>
              <w:autoSpaceDN w:val="0"/>
              <w:adjustRightInd w:val="0"/>
              <w:snapToGrid w:val="0"/>
              <w:spacing w:line="360" w:lineRule="auto"/>
              <w:jc w:val="center"/>
              <w:rPr>
                <w:color w:val="000000" w:themeColor="text1"/>
                <w:highlight w:val="none"/>
                <w:lang w:val="zh-CN"/>
                <w14:textFill>
                  <w14:solidFill>
                    <w14:schemeClr w14:val="tx1"/>
                  </w14:solidFill>
                </w14:textFill>
              </w:rPr>
            </w:pPr>
          </w:p>
        </w:tc>
      </w:tr>
    </w:tbl>
    <w:p w14:paraId="4C5D61EB">
      <w:pPr>
        <w:spacing w:line="360" w:lineRule="auto"/>
        <w:ind w:left="420"/>
        <w:rPr>
          <w:color w:val="000000" w:themeColor="text1"/>
          <w:sz w:val="24"/>
          <w:highlight w:val="none"/>
          <w14:textFill>
            <w14:solidFill>
              <w14:schemeClr w14:val="tx1"/>
            </w14:solidFill>
          </w14:textFill>
        </w:rPr>
      </w:pPr>
    </w:p>
    <w:p w14:paraId="35825315">
      <w:pPr>
        <w:spacing w:line="360" w:lineRule="auto"/>
        <w:ind w:firstLine="480" w:firstLineChars="20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3BA16E2">
      <w:pPr>
        <w:spacing w:line="360" w:lineRule="auto"/>
        <w:ind w:left="420"/>
        <w:rPr>
          <w:color w:val="000000" w:themeColor="text1"/>
          <w:sz w:val="24"/>
          <w:highlight w:val="none"/>
          <w14:textFill>
            <w14:solidFill>
              <w14:schemeClr w14:val="tx1"/>
            </w14:solidFill>
          </w14:textFill>
        </w:rPr>
      </w:pPr>
    </w:p>
    <w:p w14:paraId="750CB62A">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03B54FD7">
      <w:pPr>
        <w:spacing w:line="360" w:lineRule="auto"/>
        <w:ind w:firstLine="435"/>
        <w:rPr>
          <w:color w:val="000000" w:themeColor="text1"/>
          <w:sz w:val="24"/>
          <w:highlight w:val="none"/>
          <w14:textFill>
            <w14:solidFill>
              <w14:schemeClr w14:val="tx1"/>
            </w14:solidFill>
          </w14:textFill>
        </w:rPr>
      </w:pPr>
    </w:p>
    <w:p w14:paraId="5DC491D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591BE1C9">
      <w:pPr>
        <w:spacing w:line="360" w:lineRule="auto"/>
        <w:ind w:firstLine="435"/>
        <w:rPr>
          <w:color w:val="000000" w:themeColor="text1"/>
          <w:sz w:val="24"/>
          <w:highlight w:val="none"/>
          <w14:textFill>
            <w14:solidFill>
              <w14:schemeClr w14:val="tx1"/>
            </w14:solidFill>
          </w14:textFill>
        </w:rPr>
      </w:pPr>
    </w:p>
    <w:p w14:paraId="1DB1BF74">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470A7A0A">
      <w:pPr>
        <w:spacing w:line="360" w:lineRule="auto"/>
        <w:rPr>
          <w:b/>
          <w:color w:val="000000"/>
          <w:sz w:val="28"/>
          <w:highlight w:val="none"/>
        </w:rPr>
      </w:pPr>
      <w:r>
        <w:rPr>
          <w:b/>
          <w:color w:val="000000"/>
          <w:sz w:val="28"/>
          <w:highlight w:val="none"/>
        </w:rPr>
        <w:t>附件7：</w:t>
      </w:r>
    </w:p>
    <w:p w14:paraId="77F8B49C">
      <w:pPr>
        <w:spacing w:line="360" w:lineRule="auto"/>
        <w:ind w:left="480"/>
        <w:jc w:val="center"/>
        <w:rPr>
          <w:b/>
          <w:color w:val="000000"/>
          <w:sz w:val="32"/>
          <w:szCs w:val="32"/>
          <w:highlight w:val="none"/>
        </w:rPr>
      </w:pPr>
      <w:r>
        <w:rPr>
          <w:b/>
          <w:color w:val="000000"/>
          <w:sz w:val="32"/>
          <w:szCs w:val="32"/>
          <w:highlight w:val="none"/>
        </w:rPr>
        <w:t>供货清单 (第 标)</w:t>
      </w:r>
    </w:p>
    <w:p w14:paraId="1B35C2DB">
      <w:pPr>
        <w:spacing w:line="360" w:lineRule="auto"/>
        <w:rPr>
          <w:color w:val="000000"/>
          <w:sz w:val="24"/>
          <w:highlight w:val="none"/>
        </w:rPr>
      </w:pPr>
      <w:r>
        <w:rPr>
          <w:color w:val="000000"/>
          <w:sz w:val="24"/>
          <w:highlight w:val="none"/>
        </w:rPr>
        <w:t xml:space="preserve">  项目编号：</w:t>
      </w:r>
    </w:p>
    <w:tbl>
      <w:tblPr>
        <w:tblStyle w:val="2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14:paraId="1FB4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7880FA89">
            <w:pPr>
              <w:spacing w:line="360" w:lineRule="auto"/>
              <w:rPr>
                <w:b/>
                <w:color w:val="000000"/>
                <w:sz w:val="24"/>
                <w:highlight w:val="none"/>
              </w:rPr>
            </w:pPr>
            <w:r>
              <w:rPr>
                <w:b/>
                <w:color w:val="000000"/>
                <w:sz w:val="24"/>
                <w:highlight w:val="none"/>
              </w:rPr>
              <w:t>序号</w:t>
            </w:r>
          </w:p>
        </w:tc>
        <w:tc>
          <w:tcPr>
            <w:tcW w:w="2169" w:type="dxa"/>
            <w:vAlign w:val="center"/>
          </w:tcPr>
          <w:p w14:paraId="071855B4">
            <w:pPr>
              <w:tabs>
                <w:tab w:val="left" w:pos="8280"/>
              </w:tabs>
              <w:autoSpaceDE w:val="0"/>
              <w:autoSpaceDN w:val="0"/>
              <w:adjustRightInd w:val="0"/>
              <w:spacing w:line="360" w:lineRule="auto"/>
              <w:ind w:right="25" w:firstLine="361" w:firstLineChars="150"/>
              <w:jc w:val="center"/>
              <w:rPr>
                <w:b/>
                <w:color w:val="000000"/>
                <w:sz w:val="24"/>
                <w:highlight w:val="none"/>
              </w:rPr>
            </w:pPr>
            <w:r>
              <w:rPr>
                <w:b/>
                <w:color w:val="000000"/>
                <w:sz w:val="24"/>
                <w:highlight w:val="none"/>
              </w:rPr>
              <w:t>名称</w:t>
            </w:r>
          </w:p>
        </w:tc>
        <w:tc>
          <w:tcPr>
            <w:tcW w:w="1134" w:type="dxa"/>
            <w:vAlign w:val="center"/>
          </w:tcPr>
          <w:p w14:paraId="4B9C9EA6">
            <w:pPr>
              <w:tabs>
                <w:tab w:val="left" w:pos="8280"/>
              </w:tabs>
              <w:autoSpaceDE w:val="0"/>
              <w:autoSpaceDN w:val="0"/>
              <w:adjustRightInd w:val="0"/>
              <w:spacing w:line="360" w:lineRule="auto"/>
              <w:ind w:right="25"/>
              <w:jc w:val="center"/>
              <w:rPr>
                <w:b/>
                <w:color w:val="000000"/>
                <w:sz w:val="24"/>
                <w:highlight w:val="none"/>
              </w:rPr>
            </w:pPr>
            <w:r>
              <w:rPr>
                <w:b/>
                <w:color w:val="000000"/>
                <w:sz w:val="24"/>
                <w:highlight w:val="none"/>
              </w:rPr>
              <w:t>品牌</w:t>
            </w:r>
          </w:p>
        </w:tc>
        <w:tc>
          <w:tcPr>
            <w:tcW w:w="1842" w:type="dxa"/>
            <w:vAlign w:val="center"/>
          </w:tcPr>
          <w:p w14:paraId="527F325A">
            <w:pPr>
              <w:tabs>
                <w:tab w:val="left" w:pos="8280"/>
              </w:tabs>
              <w:autoSpaceDE w:val="0"/>
              <w:autoSpaceDN w:val="0"/>
              <w:adjustRightInd w:val="0"/>
              <w:spacing w:line="360" w:lineRule="auto"/>
              <w:ind w:right="25"/>
              <w:jc w:val="center"/>
              <w:rPr>
                <w:b/>
                <w:color w:val="000000"/>
                <w:sz w:val="24"/>
                <w:highlight w:val="none"/>
              </w:rPr>
            </w:pPr>
            <w:r>
              <w:rPr>
                <w:b/>
                <w:color w:val="000000"/>
                <w:sz w:val="24"/>
                <w:highlight w:val="none"/>
              </w:rPr>
              <w:t>规格型号</w:t>
            </w:r>
          </w:p>
        </w:tc>
        <w:tc>
          <w:tcPr>
            <w:tcW w:w="993" w:type="dxa"/>
            <w:vAlign w:val="center"/>
          </w:tcPr>
          <w:p w14:paraId="74BB7DAF">
            <w:pPr>
              <w:spacing w:line="360" w:lineRule="auto"/>
              <w:ind w:left="52"/>
              <w:jc w:val="center"/>
              <w:rPr>
                <w:b/>
                <w:color w:val="000000"/>
                <w:sz w:val="24"/>
                <w:highlight w:val="none"/>
              </w:rPr>
            </w:pPr>
            <w:r>
              <w:rPr>
                <w:b/>
                <w:color w:val="000000"/>
                <w:sz w:val="24"/>
                <w:highlight w:val="none"/>
              </w:rPr>
              <w:t>产地</w:t>
            </w:r>
          </w:p>
        </w:tc>
        <w:tc>
          <w:tcPr>
            <w:tcW w:w="1559" w:type="dxa"/>
            <w:vAlign w:val="center"/>
          </w:tcPr>
          <w:p w14:paraId="57D19E5B">
            <w:pPr>
              <w:spacing w:line="360" w:lineRule="auto"/>
              <w:ind w:left="152"/>
              <w:jc w:val="center"/>
              <w:rPr>
                <w:b/>
                <w:color w:val="000000"/>
                <w:sz w:val="24"/>
                <w:highlight w:val="none"/>
              </w:rPr>
            </w:pPr>
            <w:r>
              <w:rPr>
                <w:b/>
                <w:color w:val="000000"/>
                <w:sz w:val="24"/>
                <w:highlight w:val="none"/>
              </w:rPr>
              <w:t>数量</w:t>
            </w:r>
          </w:p>
        </w:tc>
      </w:tr>
      <w:tr w14:paraId="23A0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79D8DE91">
            <w:pPr>
              <w:spacing w:line="360" w:lineRule="auto"/>
              <w:rPr>
                <w:color w:val="000000"/>
                <w:sz w:val="24"/>
                <w:highlight w:val="none"/>
              </w:rPr>
            </w:pPr>
          </w:p>
        </w:tc>
        <w:tc>
          <w:tcPr>
            <w:tcW w:w="2169" w:type="dxa"/>
            <w:vAlign w:val="center"/>
          </w:tcPr>
          <w:p w14:paraId="0FDF6587">
            <w:pPr>
              <w:spacing w:line="360" w:lineRule="auto"/>
              <w:rPr>
                <w:color w:val="000000"/>
                <w:sz w:val="24"/>
                <w:highlight w:val="none"/>
              </w:rPr>
            </w:pPr>
          </w:p>
        </w:tc>
        <w:tc>
          <w:tcPr>
            <w:tcW w:w="1134" w:type="dxa"/>
            <w:vAlign w:val="center"/>
          </w:tcPr>
          <w:p w14:paraId="0846A178">
            <w:pPr>
              <w:spacing w:line="360" w:lineRule="auto"/>
              <w:rPr>
                <w:color w:val="000000"/>
                <w:sz w:val="24"/>
                <w:highlight w:val="none"/>
              </w:rPr>
            </w:pPr>
          </w:p>
        </w:tc>
        <w:tc>
          <w:tcPr>
            <w:tcW w:w="1842" w:type="dxa"/>
            <w:vAlign w:val="center"/>
          </w:tcPr>
          <w:p w14:paraId="18AD3FA1">
            <w:pPr>
              <w:spacing w:line="360" w:lineRule="auto"/>
              <w:rPr>
                <w:color w:val="000000"/>
                <w:sz w:val="24"/>
                <w:highlight w:val="none"/>
              </w:rPr>
            </w:pPr>
          </w:p>
        </w:tc>
        <w:tc>
          <w:tcPr>
            <w:tcW w:w="993" w:type="dxa"/>
            <w:vAlign w:val="center"/>
          </w:tcPr>
          <w:p w14:paraId="496EBE75">
            <w:pPr>
              <w:spacing w:line="360" w:lineRule="auto"/>
              <w:rPr>
                <w:color w:val="000000"/>
                <w:sz w:val="24"/>
                <w:highlight w:val="none"/>
              </w:rPr>
            </w:pPr>
          </w:p>
        </w:tc>
        <w:tc>
          <w:tcPr>
            <w:tcW w:w="1559" w:type="dxa"/>
            <w:vAlign w:val="center"/>
          </w:tcPr>
          <w:p w14:paraId="388D6678">
            <w:pPr>
              <w:spacing w:line="360" w:lineRule="auto"/>
              <w:rPr>
                <w:color w:val="000000"/>
                <w:sz w:val="24"/>
                <w:highlight w:val="none"/>
              </w:rPr>
            </w:pPr>
          </w:p>
        </w:tc>
      </w:tr>
      <w:tr w14:paraId="669C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6FAC1AB3">
            <w:pPr>
              <w:spacing w:line="360" w:lineRule="auto"/>
              <w:rPr>
                <w:color w:val="000000"/>
                <w:sz w:val="24"/>
                <w:highlight w:val="none"/>
              </w:rPr>
            </w:pPr>
          </w:p>
        </w:tc>
        <w:tc>
          <w:tcPr>
            <w:tcW w:w="2169" w:type="dxa"/>
            <w:vAlign w:val="center"/>
          </w:tcPr>
          <w:p w14:paraId="38893040">
            <w:pPr>
              <w:spacing w:line="360" w:lineRule="auto"/>
              <w:rPr>
                <w:color w:val="000000"/>
                <w:sz w:val="24"/>
                <w:highlight w:val="none"/>
              </w:rPr>
            </w:pPr>
          </w:p>
        </w:tc>
        <w:tc>
          <w:tcPr>
            <w:tcW w:w="1134" w:type="dxa"/>
            <w:vAlign w:val="center"/>
          </w:tcPr>
          <w:p w14:paraId="020CDE65">
            <w:pPr>
              <w:spacing w:line="360" w:lineRule="auto"/>
              <w:rPr>
                <w:color w:val="000000"/>
                <w:sz w:val="24"/>
                <w:highlight w:val="none"/>
              </w:rPr>
            </w:pPr>
          </w:p>
        </w:tc>
        <w:tc>
          <w:tcPr>
            <w:tcW w:w="1842" w:type="dxa"/>
            <w:vAlign w:val="center"/>
          </w:tcPr>
          <w:p w14:paraId="42BC85AF">
            <w:pPr>
              <w:spacing w:line="360" w:lineRule="auto"/>
              <w:rPr>
                <w:color w:val="000000"/>
                <w:sz w:val="24"/>
                <w:highlight w:val="none"/>
              </w:rPr>
            </w:pPr>
          </w:p>
        </w:tc>
        <w:tc>
          <w:tcPr>
            <w:tcW w:w="993" w:type="dxa"/>
            <w:vAlign w:val="center"/>
          </w:tcPr>
          <w:p w14:paraId="55615EDF">
            <w:pPr>
              <w:spacing w:line="360" w:lineRule="auto"/>
              <w:rPr>
                <w:color w:val="000000"/>
                <w:sz w:val="24"/>
                <w:highlight w:val="none"/>
              </w:rPr>
            </w:pPr>
          </w:p>
        </w:tc>
        <w:tc>
          <w:tcPr>
            <w:tcW w:w="1559" w:type="dxa"/>
            <w:vAlign w:val="center"/>
          </w:tcPr>
          <w:p w14:paraId="138168C1">
            <w:pPr>
              <w:spacing w:line="360" w:lineRule="auto"/>
              <w:rPr>
                <w:color w:val="000000"/>
                <w:sz w:val="24"/>
                <w:highlight w:val="none"/>
              </w:rPr>
            </w:pPr>
          </w:p>
        </w:tc>
      </w:tr>
      <w:tr w14:paraId="4637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14:paraId="1D46CF1A">
            <w:pPr>
              <w:spacing w:line="360" w:lineRule="auto"/>
              <w:rPr>
                <w:color w:val="000000"/>
                <w:sz w:val="24"/>
                <w:highlight w:val="none"/>
              </w:rPr>
            </w:pPr>
          </w:p>
        </w:tc>
        <w:tc>
          <w:tcPr>
            <w:tcW w:w="2169" w:type="dxa"/>
            <w:vAlign w:val="center"/>
          </w:tcPr>
          <w:p w14:paraId="4083DC2E">
            <w:pPr>
              <w:spacing w:line="360" w:lineRule="auto"/>
              <w:rPr>
                <w:color w:val="000000"/>
                <w:sz w:val="24"/>
                <w:highlight w:val="none"/>
              </w:rPr>
            </w:pPr>
          </w:p>
        </w:tc>
        <w:tc>
          <w:tcPr>
            <w:tcW w:w="1134" w:type="dxa"/>
            <w:vAlign w:val="center"/>
          </w:tcPr>
          <w:p w14:paraId="1DA2B258">
            <w:pPr>
              <w:spacing w:line="360" w:lineRule="auto"/>
              <w:rPr>
                <w:color w:val="000000"/>
                <w:sz w:val="24"/>
                <w:highlight w:val="none"/>
              </w:rPr>
            </w:pPr>
          </w:p>
        </w:tc>
        <w:tc>
          <w:tcPr>
            <w:tcW w:w="1842" w:type="dxa"/>
            <w:vAlign w:val="center"/>
          </w:tcPr>
          <w:p w14:paraId="05A0A773">
            <w:pPr>
              <w:spacing w:line="360" w:lineRule="auto"/>
              <w:rPr>
                <w:color w:val="000000"/>
                <w:sz w:val="24"/>
                <w:highlight w:val="none"/>
              </w:rPr>
            </w:pPr>
          </w:p>
        </w:tc>
        <w:tc>
          <w:tcPr>
            <w:tcW w:w="993" w:type="dxa"/>
            <w:vAlign w:val="center"/>
          </w:tcPr>
          <w:p w14:paraId="7F449335">
            <w:pPr>
              <w:spacing w:line="360" w:lineRule="auto"/>
              <w:rPr>
                <w:color w:val="000000"/>
                <w:sz w:val="24"/>
                <w:highlight w:val="none"/>
              </w:rPr>
            </w:pPr>
          </w:p>
        </w:tc>
        <w:tc>
          <w:tcPr>
            <w:tcW w:w="1559" w:type="dxa"/>
            <w:vAlign w:val="center"/>
          </w:tcPr>
          <w:p w14:paraId="04D04D72">
            <w:pPr>
              <w:spacing w:line="360" w:lineRule="auto"/>
              <w:rPr>
                <w:color w:val="000000"/>
                <w:sz w:val="24"/>
                <w:highlight w:val="none"/>
              </w:rPr>
            </w:pPr>
          </w:p>
        </w:tc>
      </w:tr>
      <w:tr w14:paraId="2E0A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14:paraId="649493CF">
            <w:pPr>
              <w:spacing w:line="360" w:lineRule="auto"/>
              <w:rPr>
                <w:color w:val="000000"/>
                <w:sz w:val="24"/>
                <w:highlight w:val="none"/>
              </w:rPr>
            </w:pPr>
          </w:p>
        </w:tc>
        <w:tc>
          <w:tcPr>
            <w:tcW w:w="2169" w:type="dxa"/>
            <w:vAlign w:val="center"/>
          </w:tcPr>
          <w:p w14:paraId="32F75014">
            <w:pPr>
              <w:spacing w:line="360" w:lineRule="auto"/>
              <w:rPr>
                <w:color w:val="000000"/>
                <w:sz w:val="24"/>
                <w:highlight w:val="none"/>
              </w:rPr>
            </w:pPr>
          </w:p>
        </w:tc>
        <w:tc>
          <w:tcPr>
            <w:tcW w:w="1134" w:type="dxa"/>
            <w:vAlign w:val="center"/>
          </w:tcPr>
          <w:p w14:paraId="54C7EDF9">
            <w:pPr>
              <w:spacing w:line="360" w:lineRule="auto"/>
              <w:rPr>
                <w:color w:val="000000"/>
                <w:sz w:val="24"/>
                <w:highlight w:val="none"/>
              </w:rPr>
            </w:pPr>
          </w:p>
        </w:tc>
        <w:tc>
          <w:tcPr>
            <w:tcW w:w="1842" w:type="dxa"/>
            <w:vAlign w:val="center"/>
          </w:tcPr>
          <w:p w14:paraId="15015A14">
            <w:pPr>
              <w:spacing w:line="360" w:lineRule="auto"/>
              <w:rPr>
                <w:color w:val="000000"/>
                <w:sz w:val="24"/>
                <w:highlight w:val="none"/>
              </w:rPr>
            </w:pPr>
          </w:p>
        </w:tc>
        <w:tc>
          <w:tcPr>
            <w:tcW w:w="993" w:type="dxa"/>
            <w:vAlign w:val="center"/>
          </w:tcPr>
          <w:p w14:paraId="6FE964F7">
            <w:pPr>
              <w:spacing w:line="360" w:lineRule="auto"/>
              <w:rPr>
                <w:color w:val="000000"/>
                <w:sz w:val="24"/>
                <w:highlight w:val="none"/>
              </w:rPr>
            </w:pPr>
          </w:p>
        </w:tc>
        <w:tc>
          <w:tcPr>
            <w:tcW w:w="1559" w:type="dxa"/>
            <w:vAlign w:val="center"/>
          </w:tcPr>
          <w:p w14:paraId="67D33E4E">
            <w:pPr>
              <w:spacing w:line="360" w:lineRule="auto"/>
              <w:rPr>
                <w:color w:val="000000"/>
                <w:sz w:val="24"/>
                <w:highlight w:val="none"/>
              </w:rPr>
            </w:pPr>
          </w:p>
        </w:tc>
      </w:tr>
      <w:tr w14:paraId="3C7B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14:paraId="56F273CA">
            <w:pPr>
              <w:spacing w:line="360" w:lineRule="auto"/>
              <w:rPr>
                <w:color w:val="000000"/>
                <w:sz w:val="24"/>
                <w:highlight w:val="none"/>
              </w:rPr>
            </w:pPr>
          </w:p>
        </w:tc>
        <w:tc>
          <w:tcPr>
            <w:tcW w:w="2169" w:type="dxa"/>
            <w:vAlign w:val="center"/>
          </w:tcPr>
          <w:p w14:paraId="2E50EFD0">
            <w:pPr>
              <w:spacing w:line="360" w:lineRule="auto"/>
              <w:rPr>
                <w:color w:val="000000"/>
                <w:sz w:val="24"/>
                <w:highlight w:val="none"/>
              </w:rPr>
            </w:pPr>
          </w:p>
        </w:tc>
        <w:tc>
          <w:tcPr>
            <w:tcW w:w="1134" w:type="dxa"/>
            <w:vAlign w:val="center"/>
          </w:tcPr>
          <w:p w14:paraId="720CD9D3">
            <w:pPr>
              <w:spacing w:line="360" w:lineRule="auto"/>
              <w:rPr>
                <w:color w:val="000000"/>
                <w:sz w:val="24"/>
                <w:highlight w:val="none"/>
              </w:rPr>
            </w:pPr>
          </w:p>
        </w:tc>
        <w:tc>
          <w:tcPr>
            <w:tcW w:w="1842" w:type="dxa"/>
            <w:vAlign w:val="center"/>
          </w:tcPr>
          <w:p w14:paraId="720D56A1">
            <w:pPr>
              <w:spacing w:line="360" w:lineRule="auto"/>
              <w:rPr>
                <w:color w:val="000000"/>
                <w:sz w:val="24"/>
                <w:highlight w:val="none"/>
              </w:rPr>
            </w:pPr>
          </w:p>
        </w:tc>
        <w:tc>
          <w:tcPr>
            <w:tcW w:w="993" w:type="dxa"/>
            <w:vAlign w:val="center"/>
          </w:tcPr>
          <w:p w14:paraId="04C15CBF">
            <w:pPr>
              <w:spacing w:line="360" w:lineRule="auto"/>
              <w:rPr>
                <w:color w:val="000000"/>
                <w:sz w:val="24"/>
                <w:highlight w:val="none"/>
              </w:rPr>
            </w:pPr>
          </w:p>
        </w:tc>
        <w:tc>
          <w:tcPr>
            <w:tcW w:w="1559" w:type="dxa"/>
            <w:vAlign w:val="center"/>
          </w:tcPr>
          <w:p w14:paraId="090FC16A">
            <w:pPr>
              <w:spacing w:line="360" w:lineRule="auto"/>
              <w:rPr>
                <w:color w:val="000000"/>
                <w:sz w:val="24"/>
                <w:highlight w:val="none"/>
              </w:rPr>
            </w:pPr>
          </w:p>
        </w:tc>
      </w:tr>
    </w:tbl>
    <w:p w14:paraId="7057A1AC">
      <w:pPr>
        <w:spacing w:line="360" w:lineRule="auto"/>
        <w:ind w:left="435"/>
        <w:rPr>
          <w:b/>
          <w:color w:val="000000"/>
          <w:szCs w:val="21"/>
          <w:highlight w:val="none"/>
        </w:rPr>
      </w:pPr>
      <w:r>
        <w:rPr>
          <w:b/>
          <w:color w:val="000000"/>
          <w:szCs w:val="21"/>
          <w:highlight w:val="none"/>
        </w:rPr>
        <w:t>要求：</w:t>
      </w:r>
    </w:p>
    <w:p w14:paraId="6CE244CF">
      <w:pPr>
        <w:spacing w:line="360" w:lineRule="auto"/>
        <w:ind w:left="435" w:firstLine="559" w:firstLineChars="265"/>
        <w:rPr>
          <w:color w:val="000000"/>
          <w:sz w:val="24"/>
          <w:highlight w:val="none"/>
        </w:rPr>
      </w:pPr>
      <w:r>
        <w:rPr>
          <w:b/>
          <w:color w:val="000000"/>
          <w:szCs w:val="21"/>
          <w:highlight w:val="none"/>
        </w:rPr>
        <w:t>1.</w:t>
      </w:r>
      <w:r>
        <w:rPr>
          <w:color w:val="000000"/>
          <w:szCs w:val="21"/>
          <w:highlight w:val="none"/>
        </w:rPr>
        <w:t>视情选用</w:t>
      </w:r>
    </w:p>
    <w:p w14:paraId="3F76A6D2">
      <w:pPr>
        <w:spacing w:line="360" w:lineRule="auto"/>
        <w:ind w:left="420"/>
        <w:rPr>
          <w:color w:val="000000"/>
          <w:sz w:val="24"/>
          <w:highlight w:val="none"/>
        </w:rPr>
      </w:pPr>
    </w:p>
    <w:p w14:paraId="45EA963D">
      <w:pPr>
        <w:spacing w:line="360" w:lineRule="auto"/>
        <w:ind w:left="420" w:firstLine="571" w:firstLineChars="238"/>
        <w:rPr>
          <w:color w:val="000000"/>
          <w:sz w:val="24"/>
          <w:highlight w:val="none"/>
          <w:u w:val="single"/>
        </w:rPr>
      </w:pPr>
      <w:r>
        <w:rPr>
          <w:color w:val="000000"/>
          <w:sz w:val="24"/>
          <w:highlight w:val="none"/>
        </w:rPr>
        <w:t>磋商供应商名称（盖章）：</w:t>
      </w:r>
    </w:p>
    <w:p w14:paraId="539274BB">
      <w:pPr>
        <w:spacing w:line="360" w:lineRule="auto"/>
        <w:ind w:left="420"/>
        <w:rPr>
          <w:color w:val="000000"/>
          <w:sz w:val="24"/>
          <w:highlight w:val="none"/>
        </w:rPr>
      </w:pPr>
    </w:p>
    <w:p w14:paraId="34950A38">
      <w:pPr>
        <w:spacing w:line="360" w:lineRule="auto"/>
        <w:ind w:firstLine="993"/>
        <w:rPr>
          <w:color w:val="000000"/>
          <w:sz w:val="24"/>
          <w:highlight w:val="none"/>
        </w:rPr>
      </w:pPr>
      <w:r>
        <w:rPr>
          <w:color w:val="000000"/>
          <w:sz w:val="24"/>
          <w:highlight w:val="none"/>
        </w:rPr>
        <w:t>磋商供应商代表签字：</w:t>
      </w:r>
    </w:p>
    <w:p w14:paraId="54B5C97B">
      <w:pPr>
        <w:spacing w:line="360" w:lineRule="auto"/>
        <w:ind w:firstLine="435"/>
        <w:rPr>
          <w:color w:val="000000"/>
          <w:sz w:val="24"/>
          <w:highlight w:val="none"/>
        </w:rPr>
      </w:pPr>
    </w:p>
    <w:p w14:paraId="5CFF43EE">
      <w:pPr>
        <w:spacing w:line="360" w:lineRule="auto"/>
        <w:ind w:firstLine="993"/>
        <w:rPr>
          <w:color w:val="000000"/>
          <w:sz w:val="24"/>
          <w:highlight w:val="none"/>
        </w:rPr>
      </w:pPr>
      <w:r>
        <w:rPr>
          <w:color w:val="000000"/>
          <w:sz w:val="24"/>
          <w:highlight w:val="none"/>
        </w:rPr>
        <w:t>职        务：</w:t>
      </w:r>
    </w:p>
    <w:p w14:paraId="47DDEFE8">
      <w:pPr>
        <w:spacing w:line="360" w:lineRule="auto"/>
        <w:ind w:firstLine="993"/>
        <w:rPr>
          <w:color w:val="000000"/>
          <w:sz w:val="24"/>
          <w:highlight w:val="none"/>
        </w:rPr>
      </w:pPr>
      <w:r>
        <w:rPr>
          <w:color w:val="000000"/>
          <w:sz w:val="24"/>
          <w:highlight w:val="none"/>
        </w:rPr>
        <w:t>日        期：</w:t>
      </w:r>
    </w:p>
    <w:p w14:paraId="28496715">
      <w:pPr>
        <w:pStyle w:val="2"/>
        <w:ind w:firstLine="560"/>
        <w:rPr>
          <w:rFonts w:ascii="Times New Roman" w:hAnsi="Times New Roman" w:cs="Times New Roman"/>
          <w:highlight w:val="none"/>
        </w:rPr>
      </w:pPr>
    </w:p>
    <w:p w14:paraId="23045544">
      <w:pPr>
        <w:rPr>
          <w:highlight w:val="none"/>
        </w:rPr>
      </w:pPr>
    </w:p>
    <w:p w14:paraId="7847D3DD">
      <w:pPr>
        <w:pStyle w:val="2"/>
        <w:ind w:firstLine="560"/>
        <w:rPr>
          <w:rFonts w:ascii="Times New Roman" w:hAnsi="Times New Roman" w:cs="Times New Roman"/>
          <w:highlight w:val="none"/>
        </w:rPr>
      </w:pPr>
    </w:p>
    <w:p w14:paraId="7697AE08">
      <w:pPr>
        <w:pStyle w:val="52"/>
        <w:tabs>
          <w:tab w:val="left" w:pos="1050"/>
        </w:tabs>
        <w:spacing w:line="360" w:lineRule="auto"/>
        <w:rPr>
          <w:color w:val="000000" w:themeColor="text1"/>
          <w:sz w:val="24"/>
          <w:highlight w:val="none"/>
          <w14:textFill>
            <w14:solidFill>
              <w14:schemeClr w14:val="tx1"/>
            </w14:solidFill>
          </w14:textFill>
        </w:rPr>
      </w:pPr>
      <w:r>
        <w:rPr>
          <w:b/>
          <w:color w:val="000000" w:themeColor="text1"/>
          <w:sz w:val="28"/>
          <w:highlight w:val="none"/>
          <w14:textFill>
            <w14:solidFill>
              <w14:schemeClr w14:val="tx1"/>
            </w14:solidFill>
          </w14:textFill>
        </w:rPr>
        <w:t>附件8</w:t>
      </w:r>
    </w:p>
    <w:p w14:paraId="33FC66B6">
      <w:pPr>
        <w:spacing w:line="360" w:lineRule="auto"/>
        <w:ind w:left="549" w:hanging="549" w:hangingChars="171"/>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CD3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FD2D0E">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1785" w:type="dxa"/>
            <w:vAlign w:val="center"/>
          </w:tcPr>
          <w:p w14:paraId="2FB6633B">
            <w:pP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内容</w:t>
            </w:r>
          </w:p>
        </w:tc>
        <w:tc>
          <w:tcPr>
            <w:tcW w:w="1785" w:type="dxa"/>
            <w:vAlign w:val="center"/>
          </w:tcPr>
          <w:p w14:paraId="03098CB4">
            <w:pPr>
              <w:ind w:left="53" w:leftChars="25" w:firstLine="241" w:firstLineChars="1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招标需求</w:t>
            </w:r>
          </w:p>
        </w:tc>
        <w:tc>
          <w:tcPr>
            <w:tcW w:w="1365" w:type="dxa"/>
            <w:vAlign w:val="center"/>
          </w:tcPr>
          <w:p w14:paraId="206786B2">
            <w:pPr>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是否响应</w:t>
            </w:r>
          </w:p>
        </w:tc>
        <w:tc>
          <w:tcPr>
            <w:tcW w:w="2625" w:type="dxa"/>
            <w:vAlign w:val="center"/>
          </w:tcPr>
          <w:p w14:paraId="3EA72213">
            <w:pPr>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投标人的承诺或说明</w:t>
            </w:r>
          </w:p>
        </w:tc>
      </w:tr>
      <w:tr w14:paraId="792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5E7BA5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785" w:type="dxa"/>
          </w:tcPr>
          <w:p w14:paraId="15E4F4A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售后服务保障要求</w:t>
            </w:r>
          </w:p>
        </w:tc>
        <w:tc>
          <w:tcPr>
            <w:tcW w:w="1785" w:type="dxa"/>
            <w:vAlign w:val="center"/>
          </w:tcPr>
          <w:p w14:paraId="0B8B4C7E">
            <w:pPr>
              <w:rPr>
                <w:color w:val="000000" w:themeColor="text1"/>
                <w:sz w:val="24"/>
                <w:highlight w:val="none"/>
                <w14:textFill>
                  <w14:solidFill>
                    <w14:schemeClr w14:val="tx1"/>
                  </w14:solidFill>
                </w14:textFill>
              </w:rPr>
            </w:pPr>
          </w:p>
        </w:tc>
        <w:tc>
          <w:tcPr>
            <w:tcW w:w="1365" w:type="dxa"/>
            <w:vAlign w:val="center"/>
          </w:tcPr>
          <w:p w14:paraId="7A0247B9">
            <w:pPr>
              <w:rPr>
                <w:color w:val="000000" w:themeColor="text1"/>
                <w:sz w:val="24"/>
                <w:highlight w:val="none"/>
                <w14:textFill>
                  <w14:solidFill>
                    <w14:schemeClr w14:val="tx1"/>
                  </w14:solidFill>
                </w14:textFill>
              </w:rPr>
            </w:pPr>
          </w:p>
        </w:tc>
        <w:tc>
          <w:tcPr>
            <w:tcW w:w="2625" w:type="dxa"/>
            <w:vAlign w:val="center"/>
          </w:tcPr>
          <w:p w14:paraId="44868F20">
            <w:pPr>
              <w:rPr>
                <w:color w:val="000000" w:themeColor="text1"/>
                <w:sz w:val="24"/>
                <w:highlight w:val="none"/>
                <w14:textFill>
                  <w14:solidFill>
                    <w14:schemeClr w14:val="tx1"/>
                  </w14:solidFill>
                </w14:textFill>
              </w:rPr>
            </w:pPr>
          </w:p>
        </w:tc>
      </w:tr>
      <w:tr w14:paraId="7282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3E5EE6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785" w:type="dxa"/>
          </w:tcPr>
          <w:p w14:paraId="06F87A95">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质保期</w:t>
            </w:r>
          </w:p>
        </w:tc>
        <w:tc>
          <w:tcPr>
            <w:tcW w:w="1785" w:type="dxa"/>
            <w:vAlign w:val="center"/>
          </w:tcPr>
          <w:p w14:paraId="05835556">
            <w:pPr>
              <w:rPr>
                <w:color w:val="000000" w:themeColor="text1"/>
                <w:sz w:val="24"/>
                <w:highlight w:val="none"/>
                <w14:textFill>
                  <w14:solidFill>
                    <w14:schemeClr w14:val="tx1"/>
                  </w14:solidFill>
                </w14:textFill>
              </w:rPr>
            </w:pPr>
          </w:p>
        </w:tc>
        <w:tc>
          <w:tcPr>
            <w:tcW w:w="1365" w:type="dxa"/>
            <w:vAlign w:val="center"/>
          </w:tcPr>
          <w:p w14:paraId="1A6D885B">
            <w:pPr>
              <w:rPr>
                <w:color w:val="000000" w:themeColor="text1"/>
                <w:sz w:val="24"/>
                <w:highlight w:val="none"/>
                <w14:textFill>
                  <w14:solidFill>
                    <w14:schemeClr w14:val="tx1"/>
                  </w14:solidFill>
                </w14:textFill>
              </w:rPr>
            </w:pPr>
          </w:p>
        </w:tc>
        <w:tc>
          <w:tcPr>
            <w:tcW w:w="2625" w:type="dxa"/>
            <w:vAlign w:val="center"/>
          </w:tcPr>
          <w:p w14:paraId="7714C2CD">
            <w:pPr>
              <w:rPr>
                <w:color w:val="000000" w:themeColor="text1"/>
                <w:sz w:val="24"/>
                <w:highlight w:val="none"/>
                <w14:textFill>
                  <w14:solidFill>
                    <w14:schemeClr w14:val="tx1"/>
                  </w14:solidFill>
                </w14:textFill>
              </w:rPr>
            </w:pPr>
          </w:p>
        </w:tc>
      </w:tr>
      <w:tr w14:paraId="57A5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8ADDF49">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785" w:type="dxa"/>
          </w:tcPr>
          <w:p w14:paraId="115BB7C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交货和服务</w:t>
            </w:r>
          </w:p>
          <w:p w14:paraId="06A63958">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时间及地点</w:t>
            </w:r>
          </w:p>
        </w:tc>
        <w:tc>
          <w:tcPr>
            <w:tcW w:w="1785" w:type="dxa"/>
            <w:vAlign w:val="center"/>
          </w:tcPr>
          <w:p w14:paraId="31F29599">
            <w:pPr>
              <w:rPr>
                <w:color w:val="000000" w:themeColor="text1"/>
                <w:sz w:val="24"/>
                <w:highlight w:val="none"/>
                <w14:textFill>
                  <w14:solidFill>
                    <w14:schemeClr w14:val="tx1"/>
                  </w14:solidFill>
                </w14:textFill>
              </w:rPr>
            </w:pPr>
          </w:p>
        </w:tc>
        <w:tc>
          <w:tcPr>
            <w:tcW w:w="1365" w:type="dxa"/>
            <w:vAlign w:val="center"/>
          </w:tcPr>
          <w:p w14:paraId="4261E400">
            <w:pPr>
              <w:rPr>
                <w:color w:val="000000" w:themeColor="text1"/>
                <w:sz w:val="24"/>
                <w:highlight w:val="none"/>
                <w14:textFill>
                  <w14:solidFill>
                    <w14:schemeClr w14:val="tx1"/>
                  </w14:solidFill>
                </w14:textFill>
              </w:rPr>
            </w:pPr>
          </w:p>
        </w:tc>
        <w:tc>
          <w:tcPr>
            <w:tcW w:w="2625" w:type="dxa"/>
            <w:vAlign w:val="center"/>
          </w:tcPr>
          <w:p w14:paraId="4074B089">
            <w:pPr>
              <w:rPr>
                <w:color w:val="000000" w:themeColor="text1"/>
                <w:sz w:val="24"/>
                <w:highlight w:val="none"/>
                <w14:textFill>
                  <w14:solidFill>
                    <w14:schemeClr w14:val="tx1"/>
                  </w14:solidFill>
                </w14:textFill>
              </w:rPr>
            </w:pPr>
          </w:p>
        </w:tc>
      </w:tr>
      <w:tr w14:paraId="0DE1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18A9BE">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1785" w:type="dxa"/>
          </w:tcPr>
          <w:p w14:paraId="1334E01A">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付款条件</w:t>
            </w:r>
          </w:p>
        </w:tc>
        <w:tc>
          <w:tcPr>
            <w:tcW w:w="1785" w:type="dxa"/>
            <w:vAlign w:val="center"/>
          </w:tcPr>
          <w:p w14:paraId="6E860582">
            <w:pPr>
              <w:rPr>
                <w:color w:val="000000" w:themeColor="text1"/>
                <w:sz w:val="24"/>
                <w:highlight w:val="none"/>
                <w14:textFill>
                  <w14:solidFill>
                    <w14:schemeClr w14:val="tx1"/>
                  </w14:solidFill>
                </w14:textFill>
              </w:rPr>
            </w:pPr>
          </w:p>
        </w:tc>
        <w:tc>
          <w:tcPr>
            <w:tcW w:w="1365" w:type="dxa"/>
            <w:vAlign w:val="center"/>
          </w:tcPr>
          <w:p w14:paraId="268E31AE">
            <w:pPr>
              <w:rPr>
                <w:color w:val="000000" w:themeColor="text1"/>
                <w:sz w:val="24"/>
                <w:highlight w:val="none"/>
                <w14:textFill>
                  <w14:solidFill>
                    <w14:schemeClr w14:val="tx1"/>
                  </w14:solidFill>
                </w14:textFill>
              </w:rPr>
            </w:pPr>
          </w:p>
        </w:tc>
        <w:tc>
          <w:tcPr>
            <w:tcW w:w="2625" w:type="dxa"/>
            <w:vAlign w:val="center"/>
          </w:tcPr>
          <w:p w14:paraId="3814B7F4">
            <w:pPr>
              <w:rPr>
                <w:color w:val="000000" w:themeColor="text1"/>
                <w:sz w:val="24"/>
                <w:highlight w:val="none"/>
                <w14:textFill>
                  <w14:solidFill>
                    <w14:schemeClr w14:val="tx1"/>
                  </w14:solidFill>
                </w14:textFill>
              </w:rPr>
            </w:pPr>
          </w:p>
        </w:tc>
      </w:tr>
      <w:tr w14:paraId="3ED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75A525">
            <w:pPr>
              <w:rPr>
                <w:color w:val="000000" w:themeColor="text1"/>
                <w:sz w:val="24"/>
                <w:highlight w:val="none"/>
                <w14:textFill>
                  <w14:solidFill>
                    <w14:schemeClr w14:val="tx1"/>
                  </w14:solidFill>
                </w14:textFill>
              </w:rPr>
            </w:pPr>
          </w:p>
        </w:tc>
        <w:tc>
          <w:tcPr>
            <w:tcW w:w="1785" w:type="dxa"/>
          </w:tcPr>
          <w:p w14:paraId="384D402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tc>
        <w:tc>
          <w:tcPr>
            <w:tcW w:w="1785" w:type="dxa"/>
            <w:vAlign w:val="center"/>
          </w:tcPr>
          <w:p w14:paraId="06A3DFFC">
            <w:pPr>
              <w:rPr>
                <w:color w:val="000000" w:themeColor="text1"/>
                <w:sz w:val="24"/>
                <w:highlight w:val="none"/>
                <w14:textFill>
                  <w14:solidFill>
                    <w14:schemeClr w14:val="tx1"/>
                  </w14:solidFill>
                </w14:textFill>
              </w:rPr>
            </w:pPr>
          </w:p>
        </w:tc>
        <w:tc>
          <w:tcPr>
            <w:tcW w:w="1365" w:type="dxa"/>
            <w:vAlign w:val="center"/>
          </w:tcPr>
          <w:p w14:paraId="57D46DA9">
            <w:pPr>
              <w:rPr>
                <w:color w:val="000000" w:themeColor="text1"/>
                <w:sz w:val="24"/>
                <w:highlight w:val="none"/>
                <w14:textFill>
                  <w14:solidFill>
                    <w14:schemeClr w14:val="tx1"/>
                  </w14:solidFill>
                </w14:textFill>
              </w:rPr>
            </w:pPr>
          </w:p>
        </w:tc>
        <w:tc>
          <w:tcPr>
            <w:tcW w:w="2625" w:type="dxa"/>
            <w:vAlign w:val="center"/>
          </w:tcPr>
          <w:p w14:paraId="0B7FBF32">
            <w:pPr>
              <w:rPr>
                <w:color w:val="000000" w:themeColor="text1"/>
                <w:sz w:val="24"/>
                <w:highlight w:val="none"/>
                <w14:textFill>
                  <w14:solidFill>
                    <w14:schemeClr w14:val="tx1"/>
                  </w14:solidFill>
                </w14:textFill>
              </w:rPr>
            </w:pPr>
          </w:p>
        </w:tc>
      </w:tr>
      <w:tr w14:paraId="63D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76A9C43">
            <w:pPr>
              <w:rPr>
                <w:color w:val="000000" w:themeColor="text1"/>
                <w:sz w:val="24"/>
                <w:highlight w:val="none"/>
                <w14:textFill>
                  <w14:solidFill>
                    <w14:schemeClr w14:val="tx1"/>
                  </w14:solidFill>
                </w14:textFill>
              </w:rPr>
            </w:pPr>
          </w:p>
        </w:tc>
        <w:tc>
          <w:tcPr>
            <w:tcW w:w="1785" w:type="dxa"/>
          </w:tcPr>
          <w:p w14:paraId="5FF987B6">
            <w:pPr>
              <w:snapToGrid w:val="0"/>
              <w:rPr>
                <w:color w:val="000000" w:themeColor="text1"/>
                <w:sz w:val="24"/>
                <w:highlight w:val="none"/>
                <w14:textFill>
                  <w14:solidFill>
                    <w14:schemeClr w14:val="tx1"/>
                  </w14:solidFill>
                </w14:textFill>
              </w:rPr>
            </w:pPr>
          </w:p>
        </w:tc>
        <w:tc>
          <w:tcPr>
            <w:tcW w:w="1785" w:type="dxa"/>
            <w:vAlign w:val="center"/>
          </w:tcPr>
          <w:p w14:paraId="02D83500">
            <w:pPr>
              <w:rPr>
                <w:color w:val="000000" w:themeColor="text1"/>
                <w:sz w:val="24"/>
                <w:highlight w:val="none"/>
                <w14:textFill>
                  <w14:solidFill>
                    <w14:schemeClr w14:val="tx1"/>
                  </w14:solidFill>
                </w14:textFill>
              </w:rPr>
            </w:pPr>
          </w:p>
        </w:tc>
        <w:tc>
          <w:tcPr>
            <w:tcW w:w="1365" w:type="dxa"/>
            <w:vAlign w:val="center"/>
          </w:tcPr>
          <w:p w14:paraId="3B75F959">
            <w:pPr>
              <w:rPr>
                <w:color w:val="000000" w:themeColor="text1"/>
                <w:sz w:val="24"/>
                <w:highlight w:val="none"/>
                <w14:textFill>
                  <w14:solidFill>
                    <w14:schemeClr w14:val="tx1"/>
                  </w14:solidFill>
                </w14:textFill>
              </w:rPr>
            </w:pPr>
          </w:p>
        </w:tc>
        <w:tc>
          <w:tcPr>
            <w:tcW w:w="2625" w:type="dxa"/>
            <w:vAlign w:val="center"/>
          </w:tcPr>
          <w:p w14:paraId="37EB9597">
            <w:pPr>
              <w:rPr>
                <w:color w:val="000000" w:themeColor="text1"/>
                <w:sz w:val="24"/>
                <w:highlight w:val="none"/>
                <w14:textFill>
                  <w14:solidFill>
                    <w14:schemeClr w14:val="tx1"/>
                  </w14:solidFill>
                </w14:textFill>
              </w:rPr>
            </w:pPr>
          </w:p>
        </w:tc>
      </w:tr>
      <w:tr w14:paraId="6763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8DB2776">
            <w:pPr>
              <w:rPr>
                <w:color w:val="000000" w:themeColor="text1"/>
                <w:sz w:val="24"/>
                <w:highlight w:val="none"/>
                <w14:textFill>
                  <w14:solidFill>
                    <w14:schemeClr w14:val="tx1"/>
                  </w14:solidFill>
                </w14:textFill>
              </w:rPr>
            </w:pPr>
          </w:p>
        </w:tc>
        <w:tc>
          <w:tcPr>
            <w:tcW w:w="1785" w:type="dxa"/>
          </w:tcPr>
          <w:p w14:paraId="4A85A7B8">
            <w:pPr>
              <w:snapToGrid w:val="0"/>
              <w:rPr>
                <w:color w:val="000000" w:themeColor="text1"/>
                <w:sz w:val="24"/>
                <w:highlight w:val="none"/>
                <w14:textFill>
                  <w14:solidFill>
                    <w14:schemeClr w14:val="tx1"/>
                  </w14:solidFill>
                </w14:textFill>
              </w:rPr>
            </w:pPr>
          </w:p>
        </w:tc>
        <w:tc>
          <w:tcPr>
            <w:tcW w:w="1785" w:type="dxa"/>
            <w:vAlign w:val="center"/>
          </w:tcPr>
          <w:p w14:paraId="04800D1F">
            <w:pPr>
              <w:rPr>
                <w:color w:val="000000" w:themeColor="text1"/>
                <w:sz w:val="24"/>
                <w:highlight w:val="none"/>
                <w14:textFill>
                  <w14:solidFill>
                    <w14:schemeClr w14:val="tx1"/>
                  </w14:solidFill>
                </w14:textFill>
              </w:rPr>
            </w:pPr>
          </w:p>
        </w:tc>
        <w:tc>
          <w:tcPr>
            <w:tcW w:w="1365" w:type="dxa"/>
            <w:vAlign w:val="center"/>
          </w:tcPr>
          <w:p w14:paraId="3F84187B">
            <w:pPr>
              <w:rPr>
                <w:color w:val="000000" w:themeColor="text1"/>
                <w:sz w:val="24"/>
                <w:highlight w:val="none"/>
                <w14:textFill>
                  <w14:solidFill>
                    <w14:schemeClr w14:val="tx1"/>
                  </w14:solidFill>
                </w14:textFill>
              </w:rPr>
            </w:pPr>
          </w:p>
        </w:tc>
        <w:tc>
          <w:tcPr>
            <w:tcW w:w="2625" w:type="dxa"/>
            <w:vAlign w:val="center"/>
          </w:tcPr>
          <w:p w14:paraId="49AC05B1">
            <w:pPr>
              <w:rPr>
                <w:color w:val="000000" w:themeColor="text1"/>
                <w:sz w:val="24"/>
                <w:highlight w:val="none"/>
                <w14:textFill>
                  <w14:solidFill>
                    <w14:schemeClr w14:val="tx1"/>
                  </w14:solidFill>
                </w14:textFill>
              </w:rPr>
            </w:pPr>
          </w:p>
        </w:tc>
      </w:tr>
      <w:tr w14:paraId="6D6F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5386E8A">
            <w:pPr>
              <w:rPr>
                <w:color w:val="000000" w:themeColor="text1"/>
                <w:sz w:val="24"/>
                <w:highlight w:val="none"/>
                <w14:textFill>
                  <w14:solidFill>
                    <w14:schemeClr w14:val="tx1"/>
                  </w14:solidFill>
                </w14:textFill>
              </w:rPr>
            </w:pPr>
          </w:p>
        </w:tc>
        <w:tc>
          <w:tcPr>
            <w:tcW w:w="1785" w:type="dxa"/>
          </w:tcPr>
          <w:p w14:paraId="40F58C35">
            <w:pPr>
              <w:snapToGrid w:val="0"/>
              <w:rPr>
                <w:color w:val="000000" w:themeColor="text1"/>
                <w:sz w:val="24"/>
                <w:highlight w:val="none"/>
                <w14:textFill>
                  <w14:solidFill>
                    <w14:schemeClr w14:val="tx1"/>
                  </w14:solidFill>
                </w14:textFill>
              </w:rPr>
            </w:pPr>
          </w:p>
        </w:tc>
        <w:tc>
          <w:tcPr>
            <w:tcW w:w="1785" w:type="dxa"/>
            <w:vAlign w:val="center"/>
          </w:tcPr>
          <w:p w14:paraId="2710B28F">
            <w:pPr>
              <w:rPr>
                <w:color w:val="000000" w:themeColor="text1"/>
                <w:sz w:val="24"/>
                <w:highlight w:val="none"/>
                <w14:textFill>
                  <w14:solidFill>
                    <w14:schemeClr w14:val="tx1"/>
                  </w14:solidFill>
                </w14:textFill>
              </w:rPr>
            </w:pPr>
          </w:p>
        </w:tc>
        <w:tc>
          <w:tcPr>
            <w:tcW w:w="1365" w:type="dxa"/>
            <w:vAlign w:val="center"/>
          </w:tcPr>
          <w:p w14:paraId="469EE19B">
            <w:pPr>
              <w:rPr>
                <w:color w:val="000000" w:themeColor="text1"/>
                <w:sz w:val="24"/>
                <w:highlight w:val="none"/>
                <w14:textFill>
                  <w14:solidFill>
                    <w14:schemeClr w14:val="tx1"/>
                  </w14:solidFill>
                </w14:textFill>
              </w:rPr>
            </w:pPr>
          </w:p>
        </w:tc>
        <w:tc>
          <w:tcPr>
            <w:tcW w:w="2625" w:type="dxa"/>
            <w:vAlign w:val="center"/>
          </w:tcPr>
          <w:p w14:paraId="5841BFFD">
            <w:pPr>
              <w:rPr>
                <w:color w:val="000000" w:themeColor="text1"/>
                <w:sz w:val="24"/>
                <w:highlight w:val="none"/>
                <w14:textFill>
                  <w14:solidFill>
                    <w14:schemeClr w14:val="tx1"/>
                  </w14:solidFill>
                </w14:textFill>
              </w:rPr>
            </w:pPr>
          </w:p>
        </w:tc>
      </w:tr>
    </w:tbl>
    <w:p w14:paraId="5D4818BF">
      <w:pPr>
        <w:spacing w:line="360" w:lineRule="auto"/>
        <w:rPr>
          <w:color w:val="000000" w:themeColor="text1"/>
          <w:sz w:val="24"/>
          <w:highlight w:val="none"/>
          <w14:textFill>
            <w14:solidFill>
              <w14:schemeClr w14:val="tx1"/>
            </w14:solidFill>
          </w14:textFill>
        </w:rPr>
      </w:pPr>
    </w:p>
    <w:p w14:paraId="31EA42E9">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0315B13A">
      <w:pPr>
        <w:spacing w:line="360" w:lineRule="auto"/>
        <w:ind w:left="420"/>
        <w:rPr>
          <w:color w:val="000000" w:themeColor="text1"/>
          <w:sz w:val="24"/>
          <w:highlight w:val="none"/>
          <w14:textFill>
            <w14:solidFill>
              <w14:schemeClr w14:val="tx1"/>
            </w14:solidFill>
          </w14:textFill>
        </w:rPr>
      </w:pPr>
    </w:p>
    <w:p w14:paraId="723CA39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B5D7197">
      <w:pPr>
        <w:spacing w:line="360" w:lineRule="auto"/>
        <w:ind w:firstLine="435"/>
        <w:rPr>
          <w:color w:val="000000" w:themeColor="text1"/>
          <w:sz w:val="24"/>
          <w:highlight w:val="none"/>
          <w14:textFill>
            <w14:solidFill>
              <w14:schemeClr w14:val="tx1"/>
            </w14:solidFill>
          </w14:textFill>
        </w:rPr>
      </w:pPr>
    </w:p>
    <w:p w14:paraId="6ADB773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007925CB">
      <w:pPr>
        <w:spacing w:line="360" w:lineRule="auto"/>
        <w:ind w:firstLine="435"/>
        <w:rPr>
          <w:color w:val="000000" w:themeColor="text1"/>
          <w:sz w:val="24"/>
          <w:highlight w:val="none"/>
          <w14:textFill>
            <w14:solidFill>
              <w14:schemeClr w14:val="tx1"/>
            </w14:solidFill>
          </w14:textFill>
        </w:rPr>
      </w:pPr>
    </w:p>
    <w:p w14:paraId="42AB81D6">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48A0C536">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14:paraId="5ABA7F15">
      <w:pPr>
        <w:spacing w:line="312" w:lineRule="auto"/>
        <w:ind w:left="480"/>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 xml:space="preserve">技术需求响应表 </w:t>
      </w:r>
    </w:p>
    <w:p w14:paraId="3FAA39FF">
      <w:pPr>
        <w:spacing w:line="312" w:lineRule="auto"/>
        <w:rPr>
          <w:color w:val="000000" w:themeColor="text1"/>
          <w:sz w:val="24"/>
          <w:highlight w:val="none"/>
          <w14:textFill>
            <w14:solidFill>
              <w14:schemeClr w14:val="tx1"/>
            </w14:solidFill>
          </w14:textFill>
        </w:rPr>
      </w:pPr>
    </w:p>
    <w:tbl>
      <w:tblPr>
        <w:tblStyle w:val="2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41"/>
        <w:gridCol w:w="2047"/>
        <w:gridCol w:w="1837"/>
        <w:gridCol w:w="1790"/>
      </w:tblGrid>
      <w:tr w14:paraId="075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962" w:type="dxa"/>
            <w:vAlign w:val="center"/>
          </w:tcPr>
          <w:p w14:paraId="007FBEA9">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41" w:type="dxa"/>
            <w:vAlign w:val="center"/>
          </w:tcPr>
          <w:p w14:paraId="3FC216C3">
            <w:pPr>
              <w:spacing w:line="312" w:lineRule="auto"/>
              <w:ind w:left="13" w:leftChars="6"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名称</w:t>
            </w:r>
          </w:p>
        </w:tc>
        <w:tc>
          <w:tcPr>
            <w:tcW w:w="2047" w:type="dxa"/>
            <w:vAlign w:val="center"/>
          </w:tcPr>
          <w:p w14:paraId="13F0079E">
            <w:pPr>
              <w:spacing w:line="312" w:lineRule="auto"/>
              <w:ind w:left="152"/>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招标参数</w:t>
            </w:r>
          </w:p>
        </w:tc>
        <w:tc>
          <w:tcPr>
            <w:tcW w:w="1837" w:type="dxa"/>
            <w:vAlign w:val="center"/>
          </w:tcPr>
          <w:p w14:paraId="7A60EFF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投标参数</w:t>
            </w:r>
          </w:p>
        </w:tc>
        <w:tc>
          <w:tcPr>
            <w:tcW w:w="1790" w:type="dxa"/>
            <w:vAlign w:val="center"/>
          </w:tcPr>
          <w:p w14:paraId="73E3DAEE">
            <w:pPr>
              <w:spacing w:line="312"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偏离说明</w:t>
            </w:r>
          </w:p>
        </w:tc>
      </w:tr>
      <w:tr w14:paraId="4C54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62" w:type="dxa"/>
            <w:vAlign w:val="center"/>
          </w:tcPr>
          <w:p w14:paraId="1160F213">
            <w:pPr>
              <w:spacing w:line="312" w:lineRule="auto"/>
              <w:rPr>
                <w:color w:val="000000" w:themeColor="text1"/>
                <w:sz w:val="24"/>
                <w:highlight w:val="none"/>
                <w14:textFill>
                  <w14:solidFill>
                    <w14:schemeClr w14:val="tx1"/>
                  </w14:solidFill>
                </w14:textFill>
              </w:rPr>
            </w:pPr>
          </w:p>
        </w:tc>
        <w:tc>
          <w:tcPr>
            <w:tcW w:w="2341" w:type="dxa"/>
            <w:vAlign w:val="center"/>
          </w:tcPr>
          <w:p w14:paraId="4F338FA1">
            <w:pPr>
              <w:spacing w:line="312" w:lineRule="auto"/>
              <w:rPr>
                <w:color w:val="000000" w:themeColor="text1"/>
                <w:sz w:val="24"/>
                <w:highlight w:val="none"/>
                <w14:textFill>
                  <w14:solidFill>
                    <w14:schemeClr w14:val="tx1"/>
                  </w14:solidFill>
                </w14:textFill>
              </w:rPr>
            </w:pPr>
          </w:p>
        </w:tc>
        <w:tc>
          <w:tcPr>
            <w:tcW w:w="2047" w:type="dxa"/>
            <w:vAlign w:val="center"/>
          </w:tcPr>
          <w:p w14:paraId="0819ED55">
            <w:pPr>
              <w:spacing w:line="312" w:lineRule="auto"/>
              <w:rPr>
                <w:color w:val="000000" w:themeColor="text1"/>
                <w:sz w:val="24"/>
                <w:highlight w:val="none"/>
                <w14:textFill>
                  <w14:solidFill>
                    <w14:schemeClr w14:val="tx1"/>
                  </w14:solidFill>
                </w14:textFill>
              </w:rPr>
            </w:pPr>
          </w:p>
        </w:tc>
        <w:tc>
          <w:tcPr>
            <w:tcW w:w="1837" w:type="dxa"/>
            <w:vAlign w:val="center"/>
          </w:tcPr>
          <w:p w14:paraId="65B2812F">
            <w:pPr>
              <w:spacing w:line="312" w:lineRule="auto"/>
              <w:rPr>
                <w:color w:val="000000" w:themeColor="text1"/>
                <w:sz w:val="24"/>
                <w:highlight w:val="none"/>
                <w14:textFill>
                  <w14:solidFill>
                    <w14:schemeClr w14:val="tx1"/>
                  </w14:solidFill>
                </w14:textFill>
              </w:rPr>
            </w:pPr>
          </w:p>
        </w:tc>
        <w:tc>
          <w:tcPr>
            <w:tcW w:w="1790" w:type="dxa"/>
            <w:vAlign w:val="center"/>
          </w:tcPr>
          <w:p w14:paraId="0C12E7D5">
            <w:pPr>
              <w:spacing w:line="312" w:lineRule="auto"/>
              <w:rPr>
                <w:color w:val="000000" w:themeColor="text1"/>
                <w:sz w:val="24"/>
                <w:highlight w:val="none"/>
                <w14:textFill>
                  <w14:solidFill>
                    <w14:schemeClr w14:val="tx1"/>
                  </w14:solidFill>
                </w14:textFill>
              </w:rPr>
            </w:pPr>
          </w:p>
        </w:tc>
      </w:tr>
      <w:tr w14:paraId="6D4D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607BDC46">
            <w:pPr>
              <w:spacing w:line="312" w:lineRule="auto"/>
              <w:rPr>
                <w:color w:val="000000" w:themeColor="text1"/>
                <w:sz w:val="24"/>
                <w:highlight w:val="none"/>
                <w14:textFill>
                  <w14:solidFill>
                    <w14:schemeClr w14:val="tx1"/>
                  </w14:solidFill>
                </w14:textFill>
              </w:rPr>
            </w:pPr>
          </w:p>
        </w:tc>
        <w:tc>
          <w:tcPr>
            <w:tcW w:w="2341" w:type="dxa"/>
            <w:vAlign w:val="center"/>
          </w:tcPr>
          <w:p w14:paraId="0ABE5BC6">
            <w:pPr>
              <w:spacing w:line="312" w:lineRule="auto"/>
              <w:rPr>
                <w:color w:val="000000" w:themeColor="text1"/>
                <w:sz w:val="24"/>
                <w:highlight w:val="none"/>
                <w14:textFill>
                  <w14:solidFill>
                    <w14:schemeClr w14:val="tx1"/>
                  </w14:solidFill>
                </w14:textFill>
              </w:rPr>
            </w:pPr>
          </w:p>
        </w:tc>
        <w:tc>
          <w:tcPr>
            <w:tcW w:w="2047" w:type="dxa"/>
            <w:vAlign w:val="center"/>
          </w:tcPr>
          <w:p w14:paraId="43D37573">
            <w:pPr>
              <w:spacing w:line="312" w:lineRule="auto"/>
              <w:rPr>
                <w:color w:val="000000" w:themeColor="text1"/>
                <w:sz w:val="24"/>
                <w:highlight w:val="none"/>
                <w14:textFill>
                  <w14:solidFill>
                    <w14:schemeClr w14:val="tx1"/>
                  </w14:solidFill>
                </w14:textFill>
              </w:rPr>
            </w:pPr>
          </w:p>
        </w:tc>
        <w:tc>
          <w:tcPr>
            <w:tcW w:w="1837" w:type="dxa"/>
            <w:vAlign w:val="center"/>
          </w:tcPr>
          <w:p w14:paraId="224D914C">
            <w:pPr>
              <w:spacing w:line="312" w:lineRule="auto"/>
              <w:rPr>
                <w:color w:val="000000" w:themeColor="text1"/>
                <w:sz w:val="24"/>
                <w:highlight w:val="none"/>
                <w14:textFill>
                  <w14:solidFill>
                    <w14:schemeClr w14:val="tx1"/>
                  </w14:solidFill>
                </w14:textFill>
              </w:rPr>
            </w:pPr>
          </w:p>
        </w:tc>
        <w:tc>
          <w:tcPr>
            <w:tcW w:w="1790" w:type="dxa"/>
            <w:vAlign w:val="center"/>
          </w:tcPr>
          <w:p w14:paraId="14CBE641">
            <w:pPr>
              <w:spacing w:line="312" w:lineRule="auto"/>
              <w:rPr>
                <w:color w:val="000000" w:themeColor="text1"/>
                <w:sz w:val="24"/>
                <w:highlight w:val="none"/>
                <w14:textFill>
                  <w14:solidFill>
                    <w14:schemeClr w14:val="tx1"/>
                  </w14:solidFill>
                </w14:textFill>
              </w:rPr>
            </w:pPr>
          </w:p>
        </w:tc>
      </w:tr>
      <w:tr w14:paraId="3BB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416C5E4A">
            <w:pPr>
              <w:spacing w:line="312" w:lineRule="auto"/>
              <w:rPr>
                <w:color w:val="000000" w:themeColor="text1"/>
                <w:sz w:val="24"/>
                <w:highlight w:val="none"/>
                <w14:textFill>
                  <w14:solidFill>
                    <w14:schemeClr w14:val="tx1"/>
                  </w14:solidFill>
                </w14:textFill>
              </w:rPr>
            </w:pPr>
          </w:p>
        </w:tc>
        <w:tc>
          <w:tcPr>
            <w:tcW w:w="2341" w:type="dxa"/>
            <w:vAlign w:val="center"/>
          </w:tcPr>
          <w:p w14:paraId="756A1C90">
            <w:pPr>
              <w:spacing w:line="312" w:lineRule="auto"/>
              <w:rPr>
                <w:color w:val="000000" w:themeColor="text1"/>
                <w:sz w:val="24"/>
                <w:highlight w:val="none"/>
                <w14:textFill>
                  <w14:solidFill>
                    <w14:schemeClr w14:val="tx1"/>
                  </w14:solidFill>
                </w14:textFill>
              </w:rPr>
            </w:pPr>
          </w:p>
        </w:tc>
        <w:tc>
          <w:tcPr>
            <w:tcW w:w="2047" w:type="dxa"/>
            <w:vAlign w:val="center"/>
          </w:tcPr>
          <w:p w14:paraId="02D6BECC">
            <w:pPr>
              <w:spacing w:line="312" w:lineRule="auto"/>
              <w:rPr>
                <w:color w:val="000000" w:themeColor="text1"/>
                <w:sz w:val="24"/>
                <w:highlight w:val="none"/>
                <w14:textFill>
                  <w14:solidFill>
                    <w14:schemeClr w14:val="tx1"/>
                  </w14:solidFill>
                </w14:textFill>
              </w:rPr>
            </w:pPr>
          </w:p>
        </w:tc>
        <w:tc>
          <w:tcPr>
            <w:tcW w:w="1837" w:type="dxa"/>
            <w:vAlign w:val="center"/>
          </w:tcPr>
          <w:p w14:paraId="03623C9A">
            <w:pPr>
              <w:spacing w:line="312" w:lineRule="auto"/>
              <w:rPr>
                <w:color w:val="000000" w:themeColor="text1"/>
                <w:sz w:val="24"/>
                <w:highlight w:val="none"/>
                <w14:textFill>
                  <w14:solidFill>
                    <w14:schemeClr w14:val="tx1"/>
                  </w14:solidFill>
                </w14:textFill>
              </w:rPr>
            </w:pPr>
          </w:p>
        </w:tc>
        <w:tc>
          <w:tcPr>
            <w:tcW w:w="1790" w:type="dxa"/>
            <w:vAlign w:val="center"/>
          </w:tcPr>
          <w:p w14:paraId="6ABBA507">
            <w:pPr>
              <w:spacing w:line="312" w:lineRule="auto"/>
              <w:rPr>
                <w:color w:val="000000" w:themeColor="text1"/>
                <w:sz w:val="24"/>
                <w:highlight w:val="none"/>
                <w14:textFill>
                  <w14:solidFill>
                    <w14:schemeClr w14:val="tx1"/>
                  </w14:solidFill>
                </w14:textFill>
              </w:rPr>
            </w:pPr>
          </w:p>
        </w:tc>
      </w:tr>
      <w:tr w14:paraId="3D2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14:paraId="769B5942">
            <w:pPr>
              <w:spacing w:line="312" w:lineRule="auto"/>
              <w:rPr>
                <w:color w:val="000000" w:themeColor="text1"/>
                <w:sz w:val="24"/>
                <w:highlight w:val="none"/>
                <w14:textFill>
                  <w14:solidFill>
                    <w14:schemeClr w14:val="tx1"/>
                  </w14:solidFill>
                </w14:textFill>
              </w:rPr>
            </w:pPr>
          </w:p>
        </w:tc>
        <w:tc>
          <w:tcPr>
            <w:tcW w:w="2341" w:type="dxa"/>
            <w:vAlign w:val="center"/>
          </w:tcPr>
          <w:p w14:paraId="40BC379B">
            <w:pPr>
              <w:spacing w:line="312" w:lineRule="auto"/>
              <w:rPr>
                <w:color w:val="000000" w:themeColor="text1"/>
                <w:sz w:val="24"/>
                <w:highlight w:val="none"/>
                <w14:textFill>
                  <w14:solidFill>
                    <w14:schemeClr w14:val="tx1"/>
                  </w14:solidFill>
                </w14:textFill>
              </w:rPr>
            </w:pPr>
          </w:p>
        </w:tc>
        <w:tc>
          <w:tcPr>
            <w:tcW w:w="2047" w:type="dxa"/>
            <w:vAlign w:val="center"/>
          </w:tcPr>
          <w:p w14:paraId="0FAE0E40">
            <w:pPr>
              <w:spacing w:line="312" w:lineRule="auto"/>
              <w:rPr>
                <w:color w:val="000000" w:themeColor="text1"/>
                <w:sz w:val="24"/>
                <w:highlight w:val="none"/>
                <w14:textFill>
                  <w14:solidFill>
                    <w14:schemeClr w14:val="tx1"/>
                  </w14:solidFill>
                </w14:textFill>
              </w:rPr>
            </w:pPr>
          </w:p>
        </w:tc>
        <w:tc>
          <w:tcPr>
            <w:tcW w:w="1837" w:type="dxa"/>
            <w:vAlign w:val="center"/>
          </w:tcPr>
          <w:p w14:paraId="23657808">
            <w:pPr>
              <w:spacing w:line="312" w:lineRule="auto"/>
              <w:rPr>
                <w:color w:val="000000" w:themeColor="text1"/>
                <w:sz w:val="24"/>
                <w:highlight w:val="none"/>
                <w14:textFill>
                  <w14:solidFill>
                    <w14:schemeClr w14:val="tx1"/>
                  </w14:solidFill>
                </w14:textFill>
              </w:rPr>
            </w:pPr>
          </w:p>
        </w:tc>
        <w:tc>
          <w:tcPr>
            <w:tcW w:w="1790" w:type="dxa"/>
            <w:vAlign w:val="center"/>
          </w:tcPr>
          <w:p w14:paraId="06BA8907">
            <w:pPr>
              <w:spacing w:line="312" w:lineRule="auto"/>
              <w:rPr>
                <w:color w:val="000000" w:themeColor="text1"/>
                <w:sz w:val="24"/>
                <w:highlight w:val="none"/>
                <w14:textFill>
                  <w14:solidFill>
                    <w14:schemeClr w14:val="tx1"/>
                  </w14:solidFill>
                </w14:textFill>
              </w:rPr>
            </w:pPr>
          </w:p>
        </w:tc>
      </w:tr>
      <w:tr w14:paraId="79E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962" w:type="dxa"/>
            <w:vAlign w:val="center"/>
          </w:tcPr>
          <w:p w14:paraId="2DBCDE4B">
            <w:pPr>
              <w:spacing w:line="312" w:lineRule="auto"/>
              <w:rPr>
                <w:color w:val="000000" w:themeColor="text1"/>
                <w:sz w:val="24"/>
                <w:highlight w:val="none"/>
                <w14:textFill>
                  <w14:solidFill>
                    <w14:schemeClr w14:val="tx1"/>
                  </w14:solidFill>
                </w14:textFill>
              </w:rPr>
            </w:pPr>
          </w:p>
        </w:tc>
        <w:tc>
          <w:tcPr>
            <w:tcW w:w="2341" w:type="dxa"/>
            <w:vAlign w:val="center"/>
          </w:tcPr>
          <w:p w14:paraId="41A8C04F">
            <w:pPr>
              <w:spacing w:line="312" w:lineRule="auto"/>
              <w:rPr>
                <w:color w:val="000000" w:themeColor="text1"/>
                <w:sz w:val="24"/>
                <w:highlight w:val="none"/>
                <w14:textFill>
                  <w14:solidFill>
                    <w14:schemeClr w14:val="tx1"/>
                  </w14:solidFill>
                </w14:textFill>
              </w:rPr>
            </w:pPr>
          </w:p>
        </w:tc>
        <w:tc>
          <w:tcPr>
            <w:tcW w:w="2047" w:type="dxa"/>
            <w:vAlign w:val="center"/>
          </w:tcPr>
          <w:p w14:paraId="01E6611B">
            <w:pPr>
              <w:spacing w:line="312" w:lineRule="auto"/>
              <w:rPr>
                <w:color w:val="000000" w:themeColor="text1"/>
                <w:sz w:val="24"/>
                <w:highlight w:val="none"/>
                <w14:textFill>
                  <w14:solidFill>
                    <w14:schemeClr w14:val="tx1"/>
                  </w14:solidFill>
                </w14:textFill>
              </w:rPr>
            </w:pPr>
          </w:p>
        </w:tc>
        <w:tc>
          <w:tcPr>
            <w:tcW w:w="1837" w:type="dxa"/>
            <w:vAlign w:val="center"/>
          </w:tcPr>
          <w:p w14:paraId="7E280A71">
            <w:pPr>
              <w:spacing w:line="312" w:lineRule="auto"/>
              <w:rPr>
                <w:color w:val="000000" w:themeColor="text1"/>
                <w:sz w:val="24"/>
                <w:highlight w:val="none"/>
                <w14:textFill>
                  <w14:solidFill>
                    <w14:schemeClr w14:val="tx1"/>
                  </w14:solidFill>
                </w14:textFill>
              </w:rPr>
            </w:pPr>
          </w:p>
        </w:tc>
        <w:tc>
          <w:tcPr>
            <w:tcW w:w="1790" w:type="dxa"/>
            <w:vAlign w:val="center"/>
          </w:tcPr>
          <w:p w14:paraId="612595C0">
            <w:pPr>
              <w:spacing w:line="312" w:lineRule="auto"/>
              <w:rPr>
                <w:color w:val="000000" w:themeColor="text1"/>
                <w:sz w:val="24"/>
                <w:highlight w:val="none"/>
                <w14:textFill>
                  <w14:solidFill>
                    <w14:schemeClr w14:val="tx1"/>
                  </w14:solidFill>
                </w14:textFill>
              </w:rPr>
            </w:pPr>
          </w:p>
        </w:tc>
      </w:tr>
      <w:tr w14:paraId="24E9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2" w:type="dxa"/>
            <w:vAlign w:val="center"/>
          </w:tcPr>
          <w:p w14:paraId="5902DFA5">
            <w:pPr>
              <w:spacing w:line="312" w:lineRule="auto"/>
              <w:rPr>
                <w:color w:val="000000" w:themeColor="text1"/>
                <w:sz w:val="24"/>
                <w:highlight w:val="none"/>
                <w14:textFill>
                  <w14:solidFill>
                    <w14:schemeClr w14:val="tx1"/>
                  </w14:solidFill>
                </w14:textFill>
              </w:rPr>
            </w:pPr>
          </w:p>
        </w:tc>
        <w:tc>
          <w:tcPr>
            <w:tcW w:w="2341" w:type="dxa"/>
            <w:vAlign w:val="center"/>
          </w:tcPr>
          <w:p w14:paraId="5E4AA278">
            <w:pPr>
              <w:spacing w:line="312" w:lineRule="auto"/>
              <w:rPr>
                <w:color w:val="000000" w:themeColor="text1"/>
                <w:sz w:val="24"/>
                <w:highlight w:val="none"/>
                <w14:textFill>
                  <w14:solidFill>
                    <w14:schemeClr w14:val="tx1"/>
                  </w14:solidFill>
                </w14:textFill>
              </w:rPr>
            </w:pPr>
          </w:p>
        </w:tc>
        <w:tc>
          <w:tcPr>
            <w:tcW w:w="2047" w:type="dxa"/>
            <w:vAlign w:val="center"/>
          </w:tcPr>
          <w:p w14:paraId="7047B427">
            <w:pPr>
              <w:spacing w:line="312" w:lineRule="auto"/>
              <w:rPr>
                <w:color w:val="000000" w:themeColor="text1"/>
                <w:sz w:val="24"/>
                <w:highlight w:val="none"/>
                <w14:textFill>
                  <w14:solidFill>
                    <w14:schemeClr w14:val="tx1"/>
                  </w14:solidFill>
                </w14:textFill>
              </w:rPr>
            </w:pPr>
          </w:p>
        </w:tc>
        <w:tc>
          <w:tcPr>
            <w:tcW w:w="1837" w:type="dxa"/>
            <w:vAlign w:val="center"/>
          </w:tcPr>
          <w:p w14:paraId="09D71EDA">
            <w:pPr>
              <w:spacing w:line="312" w:lineRule="auto"/>
              <w:rPr>
                <w:color w:val="000000" w:themeColor="text1"/>
                <w:sz w:val="24"/>
                <w:highlight w:val="none"/>
                <w14:textFill>
                  <w14:solidFill>
                    <w14:schemeClr w14:val="tx1"/>
                  </w14:solidFill>
                </w14:textFill>
              </w:rPr>
            </w:pPr>
          </w:p>
        </w:tc>
        <w:tc>
          <w:tcPr>
            <w:tcW w:w="1790" w:type="dxa"/>
            <w:vAlign w:val="center"/>
          </w:tcPr>
          <w:p w14:paraId="1CC74D37">
            <w:pPr>
              <w:spacing w:line="312" w:lineRule="auto"/>
              <w:rPr>
                <w:color w:val="000000" w:themeColor="text1"/>
                <w:sz w:val="24"/>
                <w:highlight w:val="none"/>
                <w14:textFill>
                  <w14:solidFill>
                    <w14:schemeClr w14:val="tx1"/>
                  </w14:solidFill>
                </w14:textFill>
              </w:rPr>
            </w:pPr>
          </w:p>
        </w:tc>
      </w:tr>
      <w:tr w14:paraId="037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14:paraId="3FAB9B75">
            <w:pPr>
              <w:spacing w:line="312" w:lineRule="auto"/>
              <w:rPr>
                <w:color w:val="000000" w:themeColor="text1"/>
                <w:sz w:val="24"/>
                <w:highlight w:val="none"/>
                <w14:textFill>
                  <w14:solidFill>
                    <w14:schemeClr w14:val="tx1"/>
                  </w14:solidFill>
                </w14:textFill>
              </w:rPr>
            </w:pPr>
          </w:p>
        </w:tc>
        <w:tc>
          <w:tcPr>
            <w:tcW w:w="2341" w:type="dxa"/>
            <w:vAlign w:val="center"/>
          </w:tcPr>
          <w:p w14:paraId="3577AA13">
            <w:pPr>
              <w:spacing w:line="312" w:lineRule="auto"/>
              <w:rPr>
                <w:color w:val="000000" w:themeColor="text1"/>
                <w:sz w:val="24"/>
                <w:highlight w:val="none"/>
                <w14:textFill>
                  <w14:solidFill>
                    <w14:schemeClr w14:val="tx1"/>
                  </w14:solidFill>
                </w14:textFill>
              </w:rPr>
            </w:pPr>
          </w:p>
        </w:tc>
        <w:tc>
          <w:tcPr>
            <w:tcW w:w="2047" w:type="dxa"/>
            <w:vAlign w:val="center"/>
          </w:tcPr>
          <w:p w14:paraId="4AC47B2F">
            <w:pPr>
              <w:spacing w:line="312" w:lineRule="auto"/>
              <w:rPr>
                <w:color w:val="000000" w:themeColor="text1"/>
                <w:sz w:val="24"/>
                <w:highlight w:val="none"/>
                <w14:textFill>
                  <w14:solidFill>
                    <w14:schemeClr w14:val="tx1"/>
                  </w14:solidFill>
                </w14:textFill>
              </w:rPr>
            </w:pPr>
          </w:p>
        </w:tc>
        <w:tc>
          <w:tcPr>
            <w:tcW w:w="1837" w:type="dxa"/>
            <w:vAlign w:val="center"/>
          </w:tcPr>
          <w:p w14:paraId="6EB6A392">
            <w:pPr>
              <w:spacing w:line="312" w:lineRule="auto"/>
              <w:rPr>
                <w:color w:val="000000" w:themeColor="text1"/>
                <w:sz w:val="24"/>
                <w:highlight w:val="none"/>
                <w14:textFill>
                  <w14:solidFill>
                    <w14:schemeClr w14:val="tx1"/>
                  </w14:solidFill>
                </w14:textFill>
              </w:rPr>
            </w:pPr>
          </w:p>
        </w:tc>
        <w:tc>
          <w:tcPr>
            <w:tcW w:w="1790" w:type="dxa"/>
            <w:vAlign w:val="center"/>
          </w:tcPr>
          <w:p w14:paraId="6FAE0EA6">
            <w:pPr>
              <w:spacing w:line="312" w:lineRule="auto"/>
              <w:rPr>
                <w:color w:val="000000" w:themeColor="text1"/>
                <w:sz w:val="24"/>
                <w:highlight w:val="none"/>
                <w14:textFill>
                  <w14:solidFill>
                    <w14:schemeClr w14:val="tx1"/>
                  </w14:solidFill>
                </w14:textFill>
              </w:rPr>
            </w:pPr>
          </w:p>
        </w:tc>
      </w:tr>
    </w:tbl>
    <w:p w14:paraId="367B497F">
      <w:pPr>
        <w:pStyle w:val="55"/>
        <w:tabs>
          <w:tab w:val="left" w:pos="360"/>
        </w:tabs>
        <w:spacing w:line="360" w:lineRule="auto"/>
        <w:ind w:right="84" w:rightChars="4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要求：</w:t>
      </w:r>
    </w:p>
    <w:p w14:paraId="32BF549F">
      <w:pPr>
        <w:pStyle w:val="55"/>
        <w:tabs>
          <w:tab w:val="left" w:pos="360"/>
        </w:tabs>
        <w:spacing w:line="360" w:lineRule="auto"/>
        <w:ind w:right="84" w:rightChars="40"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1.本表参照本招标文件第二章“采购需求”填制，投标人应根据投标服务指标，对照招标文件要求在“偏离情况”栏注明“正偏离”、“负偏离”或“无偏离”。</w:t>
      </w:r>
    </w:p>
    <w:p w14:paraId="711E162D">
      <w:pPr>
        <w:spacing w:line="360" w:lineRule="auto"/>
        <w:ind w:left="420"/>
        <w:rPr>
          <w:color w:val="000000" w:themeColor="text1"/>
          <w:sz w:val="24"/>
          <w:highlight w:val="none"/>
          <w14:textFill>
            <w14:solidFill>
              <w14:schemeClr w14:val="tx1"/>
            </w14:solidFill>
          </w14:textFill>
        </w:rPr>
      </w:pPr>
    </w:p>
    <w:p w14:paraId="2A45A1F4">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C62CCCE">
      <w:pPr>
        <w:pStyle w:val="13"/>
        <w:rPr>
          <w:highlight w:val="none"/>
        </w:rPr>
      </w:pPr>
    </w:p>
    <w:p w14:paraId="0557D966">
      <w:pPr>
        <w:spacing w:line="312"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163BDA60">
      <w:pPr>
        <w:pStyle w:val="13"/>
        <w:rPr>
          <w:highlight w:val="none"/>
        </w:rPr>
      </w:pPr>
    </w:p>
    <w:p w14:paraId="113550D2">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14:paraId="456A47C1">
      <w:pPr>
        <w:tabs>
          <w:tab w:val="left" w:pos="2460"/>
        </w:tabs>
        <w:spacing w:line="360" w:lineRule="auto"/>
        <w:ind w:firstLine="435"/>
        <w:rPr>
          <w:b/>
          <w:color w:val="000000" w:themeColor="text1"/>
          <w:sz w:val="28"/>
          <w:highlight w:val="none"/>
          <w14:textFill>
            <w14:solidFill>
              <w14:schemeClr w14:val="tx1"/>
            </w14:solidFill>
          </w14:textFill>
        </w:rPr>
      </w:pPr>
    </w:p>
    <w:p w14:paraId="194F8B2F">
      <w:pPr>
        <w:pStyle w:val="13"/>
        <w:rPr>
          <w:color w:val="000000" w:themeColor="text1"/>
          <w:highlight w:val="none"/>
          <w14:textFill>
            <w14:solidFill>
              <w14:schemeClr w14:val="tx1"/>
            </w14:solidFill>
          </w14:textFill>
        </w:rPr>
      </w:pPr>
    </w:p>
    <w:p w14:paraId="1B9B5C46">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322FA6DF">
      <w:pPr>
        <w:pStyle w:val="18"/>
        <w:ind w:left="0" w:leftChars="0"/>
        <w:rPr>
          <w:highlight w:val="none"/>
        </w:rPr>
      </w:pPr>
    </w:p>
    <w:p w14:paraId="692190C0">
      <w:pPr>
        <w:pStyle w:val="62"/>
        <w:spacing w:line="360" w:lineRule="auto"/>
        <w:jc w:val="left"/>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附件9</w:t>
      </w:r>
    </w:p>
    <w:p w14:paraId="47BB0A7D">
      <w:pPr>
        <w:pStyle w:val="5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4687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D8E3719">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14:paraId="03E4A42F">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14:paraId="757B5A57">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14:paraId="1845AF73">
            <w:pPr>
              <w:pStyle w:val="5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证书有效期</w:t>
            </w:r>
          </w:p>
        </w:tc>
      </w:tr>
      <w:tr w14:paraId="6478A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751552E">
            <w:pPr>
              <w:pStyle w:val="52"/>
              <w:spacing w:line="360" w:lineRule="auto"/>
              <w:jc w:val="center"/>
              <w:rPr>
                <w:color w:val="000000" w:themeColor="text1"/>
                <w:szCs w:val="21"/>
                <w:highlight w:val="none"/>
                <w14:textFill>
                  <w14:solidFill>
                    <w14:schemeClr w14:val="tx1"/>
                  </w14:solidFill>
                </w14:textFill>
              </w:rPr>
            </w:pPr>
          </w:p>
        </w:tc>
        <w:tc>
          <w:tcPr>
            <w:tcW w:w="2258" w:type="dxa"/>
            <w:tcBorders>
              <w:top w:val="single" w:color="auto" w:sz="4" w:space="0"/>
            </w:tcBorders>
          </w:tcPr>
          <w:p w14:paraId="063DC0F9">
            <w:pPr>
              <w:pStyle w:val="52"/>
              <w:spacing w:line="360" w:lineRule="auto"/>
              <w:jc w:val="center"/>
              <w:rPr>
                <w:color w:val="000000" w:themeColor="text1"/>
                <w:szCs w:val="21"/>
                <w:highlight w:val="none"/>
                <w14:textFill>
                  <w14:solidFill>
                    <w14:schemeClr w14:val="tx1"/>
                  </w14:solidFill>
                </w14:textFill>
              </w:rPr>
            </w:pPr>
          </w:p>
        </w:tc>
        <w:tc>
          <w:tcPr>
            <w:tcW w:w="2260" w:type="dxa"/>
            <w:tcBorders>
              <w:top w:val="single" w:color="auto" w:sz="4" w:space="0"/>
            </w:tcBorders>
          </w:tcPr>
          <w:p w14:paraId="0A20BC4B">
            <w:pPr>
              <w:pStyle w:val="52"/>
              <w:spacing w:line="360" w:lineRule="auto"/>
              <w:jc w:val="center"/>
              <w:rPr>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24E446B0">
            <w:pPr>
              <w:pStyle w:val="52"/>
              <w:spacing w:line="360" w:lineRule="auto"/>
              <w:jc w:val="center"/>
              <w:rPr>
                <w:color w:val="000000" w:themeColor="text1"/>
                <w:szCs w:val="21"/>
                <w:highlight w:val="none"/>
                <w14:textFill>
                  <w14:solidFill>
                    <w14:schemeClr w14:val="tx1"/>
                  </w14:solidFill>
                </w14:textFill>
              </w:rPr>
            </w:pPr>
          </w:p>
        </w:tc>
      </w:tr>
      <w:tr w14:paraId="21581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78D297">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4D339E2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504834CF">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D1ECAD4">
            <w:pPr>
              <w:pStyle w:val="52"/>
              <w:spacing w:line="360" w:lineRule="auto"/>
              <w:jc w:val="center"/>
              <w:rPr>
                <w:color w:val="000000" w:themeColor="text1"/>
                <w:szCs w:val="21"/>
                <w:highlight w:val="none"/>
                <w14:textFill>
                  <w14:solidFill>
                    <w14:schemeClr w14:val="tx1"/>
                  </w14:solidFill>
                </w14:textFill>
              </w:rPr>
            </w:pPr>
          </w:p>
        </w:tc>
      </w:tr>
      <w:tr w14:paraId="3C2DF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C0B168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606B2F9F">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B0EE206">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501ABF0">
            <w:pPr>
              <w:pStyle w:val="52"/>
              <w:spacing w:line="360" w:lineRule="auto"/>
              <w:jc w:val="center"/>
              <w:rPr>
                <w:color w:val="000000" w:themeColor="text1"/>
                <w:szCs w:val="21"/>
                <w:highlight w:val="none"/>
                <w14:textFill>
                  <w14:solidFill>
                    <w14:schemeClr w14:val="tx1"/>
                  </w14:solidFill>
                </w14:textFill>
              </w:rPr>
            </w:pPr>
          </w:p>
        </w:tc>
      </w:tr>
      <w:tr w14:paraId="0BE4C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9D1090B">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7354B8FE">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1449EBDA">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72E9BC2B">
            <w:pPr>
              <w:pStyle w:val="52"/>
              <w:spacing w:line="360" w:lineRule="auto"/>
              <w:jc w:val="center"/>
              <w:rPr>
                <w:color w:val="000000" w:themeColor="text1"/>
                <w:szCs w:val="21"/>
                <w:highlight w:val="none"/>
                <w14:textFill>
                  <w14:solidFill>
                    <w14:schemeClr w14:val="tx1"/>
                  </w14:solidFill>
                </w14:textFill>
              </w:rPr>
            </w:pPr>
          </w:p>
        </w:tc>
      </w:tr>
      <w:tr w14:paraId="58C0F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362F41">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53BFCBA5">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7FF45C8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5C8E4384">
            <w:pPr>
              <w:pStyle w:val="52"/>
              <w:spacing w:line="360" w:lineRule="auto"/>
              <w:jc w:val="center"/>
              <w:rPr>
                <w:color w:val="000000" w:themeColor="text1"/>
                <w:szCs w:val="21"/>
                <w:highlight w:val="none"/>
                <w14:textFill>
                  <w14:solidFill>
                    <w14:schemeClr w14:val="tx1"/>
                  </w14:solidFill>
                </w14:textFill>
              </w:rPr>
            </w:pPr>
          </w:p>
        </w:tc>
      </w:tr>
      <w:tr w14:paraId="36C2E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E37D3DD">
            <w:pPr>
              <w:pStyle w:val="52"/>
              <w:spacing w:line="360" w:lineRule="auto"/>
              <w:jc w:val="center"/>
              <w:rPr>
                <w:color w:val="000000" w:themeColor="text1"/>
                <w:szCs w:val="21"/>
                <w:highlight w:val="none"/>
                <w14:textFill>
                  <w14:solidFill>
                    <w14:schemeClr w14:val="tx1"/>
                  </w14:solidFill>
                </w14:textFill>
              </w:rPr>
            </w:pPr>
          </w:p>
        </w:tc>
        <w:tc>
          <w:tcPr>
            <w:tcW w:w="2258" w:type="dxa"/>
          </w:tcPr>
          <w:p w14:paraId="3EC7B9F3">
            <w:pPr>
              <w:pStyle w:val="52"/>
              <w:spacing w:line="360" w:lineRule="auto"/>
              <w:jc w:val="center"/>
              <w:rPr>
                <w:color w:val="000000" w:themeColor="text1"/>
                <w:szCs w:val="21"/>
                <w:highlight w:val="none"/>
                <w14:textFill>
                  <w14:solidFill>
                    <w14:schemeClr w14:val="tx1"/>
                  </w14:solidFill>
                </w14:textFill>
              </w:rPr>
            </w:pPr>
          </w:p>
        </w:tc>
        <w:tc>
          <w:tcPr>
            <w:tcW w:w="2260" w:type="dxa"/>
          </w:tcPr>
          <w:p w14:paraId="0F357214">
            <w:pPr>
              <w:pStyle w:val="52"/>
              <w:spacing w:line="360" w:lineRule="auto"/>
              <w:jc w:val="center"/>
              <w:rPr>
                <w:color w:val="000000" w:themeColor="text1"/>
                <w:szCs w:val="21"/>
                <w:highlight w:val="none"/>
                <w14:textFill>
                  <w14:solidFill>
                    <w14:schemeClr w14:val="tx1"/>
                  </w14:solidFill>
                </w14:textFill>
              </w:rPr>
            </w:pPr>
          </w:p>
        </w:tc>
        <w:tc>
          <w:tcPr>
            <w:tcW w:w="2047" w:type="dxa"/>
            <w:tcBorders>
              <w:right w:val="single" w:color="auto" w:sz="4" w:space="0"/>
            </w:tcBorders>
          </w:tcPr>
          <w:p w14:paraId="106611BB">
            <w:pPr>
              <w:pStyle w:val="52"/>
              <w:spacing w:line="360" w:lineRule="auto"/>
              <w:jc w:val="center"/>
              <w:rPr>
                <w:color w:val="000000" w:themeColor="text1"/>
                <w:szCs w:val="21"/>
                <w:highlight w:val="none"/>
                <w14:textFill>
                  <w14:solidFill>
                    <w14:schemeClr w14:val="tx1"/>
                  </w14:solidFill>
                </w14:textFill>
              </w:rPr>
            </w:pPr>
          </w:p>
        </w:tc>
      </w:tr>
      <w:tr w14:paraId="55384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E8C9620">
            <w:pPr>
              <w:pStyle w:val="52"/>
              <w:spacing w:line="360" w:lineRule="auto"/>
              <w:jc w:val="center"/>
              <w:rPr>
                <w:color w:val="000000" w:themeColor="text1"/>
                <w:szCs w:val="21"/>
                <w:highlight w:val="none"/>
                <w14:textFill>
                  <w14:solidFill>
                    <w14:schemeClr w14:val="tx1"/>
                  </w14:solidFill>
                </w14:textFill>
              </w:rPr>
            </w:pPr>
          </w:p>
        </w:tc>
        <w:tc>
          <w:tcPr>
            <w:tcW w:w="2258" w:type="dxa"/>
            <w:tcBorders>
              <w:bottom w:val="single" w:color="auto" w:sz="4" w:space="0"/>
            </w:tcBorders>
          </w:tcPr>
          <w:p w14:paraId="22682D82">
            <w:pPr>
              <w:pStyle w:val="52"/>
              <w:spacing w:line="360" w:lineRule="auto"/>
              <w:jc w:val="center"/>
              <w:rPr>
                <w:color w:val="000000" w:themeColor="text1"/>
                <w:szCs w:val="21"/>
                <w:highlight w:val="none"/>
                <w14:textFill>
                  <w14:solidFill>
                    <w14:schemeClr w14:val="tx1"/>
                  </w14:solidFill>
                </w14:textFill>
              </w:rPr>
            </w:pPr>
          </w:p>
        </w:tc>
        <w:tc>
          <w:tcPr>
            <w:tcW w:w="2260" w:type="dxa"/>
            <w:tcBorders>
              <w:bottom w:val="single" w:color="auto" w:sz="4" w:space="0"/>
            </w:tcBorders>
          </w:tcPr>
          <w:p w14:paraId="11A68CA7">
            <w:pPr>
              <w:pStyle w:val="52"/>
              <w:spacing w:line="360" w:lineRule="auto"/>
              <w:jc w:val="center"/>
              <w:rPr>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3D6E8D87">
            <w:pPr>
              <w:pStyle w:val="52"/>
              <w:spacing w:line="360" w:lineRule="auto"/>
              <w:jc w:val="center"/>
              <w:rPr>
                <w:color w:val="000000" w:themeColor="text1"/>
                <w:szCs w:val="21"/>
                <w:highlight w:val="none"/>
                <w14:textFill>
                  <w14:solidFill>
                    <w14:schemeClr w14:val="tx1"/>
                  </w14:solidFill>
                </w14:textFill>
              </w:rPr>
            </w:pPr>
          </w:p>
        </w:tc>
      </w:tr>
    </w:tbl>
    <w:p w14:paraId="6B7B2F7F">
      <w:pPr>
        <w:pStyle w:val="52"/>
        <w:tabs>
          <w:tab w:val="left" w:pos="1050"/>
        </w:tabs>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6FDA0B01">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1.填写投标人获得资质、认证或企业信誉证书；</w:t>
      </w:r>
    </w:p>
    <w:p w14:paraId="1AE5068C">
      <w:pPr>
        <w:pStyle w:val="52"/>
        <w:tabs>
          <w:tab w:val="left" w:pos="1050"/>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2.附所列证书复印件或其他证明材料。</w:t>
      </w:r>
    </w:p>
    <w:p w14:paraId="5F38F2F6">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26CDB9DC">
      <w:pPr>
        <w:pStyle w:val="52"/>
        <w:tabs>
          <w:tab w:val="left" w:pos="1050"/>
        </w:tabs>
        <w:spacing w:line="360" w:lineRule="auto"/>
        <w:ind w:firstLine="720" w:firstLineChars="300"/>
        <w:rPr>
          <w:color w:val="000000" w:themeColor="text1"/>
          <w:sz w:val="24"/>
          <w:highlight w:val="none"/>
          <w14:textFill>
            <w14:solidFill>
              <w14:schemeClr w14:val="tx1"/>
            </w14:solidFill>
          </w14:textFill>
        </w:rPr>
      </w:pPr>
    </w:p>
    <w:p w14:paraId="3D5FF561">
      <w:pPr>
        <w:spacing w:line="360" w:lineRule="auto"/>
        <w:ind w:firstLine="424" w:firstLineChars="177"/>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25555684">
      <w:pPr>
        <w:spacing w:line="360" w:lineRule="auto"/>
        <w:ind w:left="420"/>
        <w:rPr>
          <w:color w:val="000000" w:themeColor="text1"/>
          <w:sz w:val="24"/>
          <w:highlight w:val="none"/>
          <w14:textFill>
            <w14:solidFill>
              <w14:schemeClr w14:val="tx1"/>
            </w14:solidFill>
          </w14:textFill>
        </w:rPr>
      </w:pPr>
    </w:p>
    <w:p w14:paraId="55E4DC58">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47E6065E">
      <w:pPr>
        <w:spacing w:line="360" w:lineRule="auto"/>
        <w:ind w:firstLine="435"/>
        <w:rPr>
          <w:color w:val="000000" w:themeColor="text1"/>
          <w:sz w:val="24"/>
          <w:highlight w:val="none"/>
          <w14:textFill>
            <w14:solidFill>
              <w14:schemeClr w14:val="tx1"/>
            </w14:solidFill>
          </w14:textFill>
        </w:rPr>
      </w:pPr>
    </w:p>
    <w:p w14:paraId="5E8F1B4A">
      <w:pPr>
        <w:spacing w:line="360" w:lineRule="auto"/>
        <w:ind w:firstLine="424" w:firstLineChars="177"/>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3316C93D">
      <w:pPr>
        <w:pStyle w:val="37"/>
        <w:widowControl w:val="0"/>
        <w:shd w:val="clear" w:color="auto" w:fill="FFFFFF"/>
        <w:spacing w:before="0" w:beforeAutospacing="0" w:after="0" w:afterAutospacing="0" w:line="360" w:lineRule="auto"/>
        <w:ind w:firstLine="424" w:firstLineChars="177"/>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日        期：</w:t>
      </w:r>
    </w:p>
    <w:p w14:paraId="0C32FD75">
      <w:pPr>
        <w:pStyle w:val="37"/>
        <w:widowControl w:val="0"/>
        <w:shd w:val="clear" w:color="auto" w:fill="FFFFFF"/>
        <w:spacing w:before="0" w:beforeAutospacing="0" w:after="0" w:afterAutospacing="0" w:line="360" w:lineRule="auto"/>
        <w:ind w:firstLine="465" w:firstLineChars="177"/>
        <w:rPr>
          <w:rFonts w:ascii="Times New Roman" w:hAnsi="Times New Roman" w:cs="Times New Roman"/>
          <w:b/>
          <w:bCs/>
          <w:color w:val="000000" w:themeColor="text1"/>
          <w:spacing w:val="11"/>
          <w:highlight w:val="none"/>
          <w14:textFill>
            <w14:solidFill>
              <w14:schemeClr w14:val="tx1"/>
            </w14:solidFill>
          </w14:textFill>
        </w:rPr>
      </w:pPr>
    </w:p>
    <w:p w14:paraId="1B32323F">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附件10</w:t>
      </w:r>
    </w:p>
    <w:p w14:paraId="6FBE4BF6">
      <w:pPr>
        <w:pStyle w:val="62"/>
        <w:spacing w:line="360" w:lineRule="auto"/>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B20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2751B9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1B0808C">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B4024BF">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6CE7B78">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A637A6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55B3954">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B30DAE">
            <w:pPr>
              <w:pStyle w:val="62"/>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项目单位名称及其联系人电话</w:t>
            </w:r>
          </w:p>
        </w:tc>
      </w:tr>
      <w:tr w14:paraId="68B5D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B0B5AE0">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6DAA0E60">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FF6724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8A31B5">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CA1BD8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3F0B68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497A586">
            <w:pPr>
              <w:pStyle w:val="62"/>
              <w:spacing w:line="360" w:lineRule="auto"/>
              <w:rPr>
                <w:color w:val="000000" w:themeColor="text1"/>
                <w:sz w:val="24"/>
                <w:highlight w:val="none"/>
                <w14:textFill>
                  <w14:solidFill>
                    <w14:schemeClr w14:val="tx1"/>
                  </w14:solidFill>
                </w14:textFill>
              </w:rPr>
            </w:pPr>
          </w:p>
        </w:tc>
      </w:tr>
      <w:tr w14:paraId="4535F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28F3709">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6B3F203F">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FC4F1C4">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17BE728">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95FEC95">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003DE21">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F6D7534">
            <w:pPr>
              <w:pStyle w:val="62"/>
              <w:spacing w:line="360" w:lineRule="auto"/>
              <w:rPr>
                <w:color w:val="000000" w:themeColor="text1"/>
                <w:sz w:val="24"/>
                <w:highlight w:val="none"/>
                <w14:textFill>
                  <w14:solidFill>
                    <w14:schemeClr w14:val="tx1"/>
                  </w14:solidFill>
                </w14:textFill>
              </w:rPr>
            </w:pPr>
          </w:p>
        </w:tc>
      </w:tr>
      <w:tr w14:paraId="7BB32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3590D68">
            <w:pPr>
              <w:pStyle w:val="62"/>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4A642DDD">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0406463">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157C90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C92CE6">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3CC63B9">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31A86D4">
            <w:pPr>
              <w:pStyle w:val="62"/>
              <w:spacing w:line="360" w:lineRule="auto"/>
              <w:rPr>
                <w:color w:val="000000" w:themeColor="text1"/>
                <w:sz w:val="24"/>
                <w:highlight w:val="none"/>
                <w14:textFill>
                  <w14:solidFill>
                    <w14:schemeClr w14:val="tx1"/>
                  </w14:solidFill>
                </w14:textFill>
              </w:rPr>
            </w:pPr>
          </w:p>
        </w:tc>
      </w:tr>
      <w:tr w14:paraId="57CD0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2B60300">
            <w:pPr>
              <w:pStyle w:val="62"/>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3B9DD544">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10B695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DD628EC">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BEC9D2F">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F56D76E">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193A27A">
            <w:pPr>
              <w:pStyle w:val="62"/>
              <w:spacing w:line="360" w:lineRule="auto"/>
              <w:rPr>
                <w:color w:val="000000" w:themeColor="text1"/>
                <w:sz w:val="24"/>
                <w:highlight w:val="none"/>
                <w14:textFill>
                  <w14:solidFill>
                    <w14:schemeClr w14:val="tx1"/>
                  </w14:solidFill>
                </w14:textFill>
              </w:rPr>
            </w:pPr>
          </w:p>
        </w:tc>
      </w:tr>
      <w:tr w14:paraId="2D03B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F347414">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4A5621D2">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55C472F">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23C45F">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7313260">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56659C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28E0286">
            <w:pPr>
              <w:pStyle w:val="62"/>
              <w:spacing w:line="360" w:lineRule="auto"/>
              <w:rPr>
                <w:color w:val="000000" w:themeColor="text1"/>
                <w:sz w:val="24"/>
                <w:highlight w:val="none"/>
                <w14:textFill>
                  <w14:solidFill>
                    <w14:schemeClr w14:val="tx1"/>
                  </w14:solidFill>
                </w14:textFill>
              </w:rPr>
            </w:pPr>
          </w:p>
        </w:tc>
      </w:tr>
      <w:tr w14:paraId="7105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3AF021A">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BF0404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ADE399B">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A54E579">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5F417AA">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03CC440">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641AFE2">
            <w:pPr>
              <w:pStyle w:val="62"/>
              <w:spacing w:line="360" w:lineRule="auto"/>
              <w:rPr>
                <w:color w:val="000000" w:themeColor="text1"/>
                <w:sz w:val="24"/>
                <w:highlight w:val="none"/>
                <w14:textFill>
                  <w14:solidFill>
                    <w14:schemeClr w14:val="tx1"/>
                  </w14:solidFill>
                </w14:textFill>
              </w:rPr>
            </w:pPr>
          </w:p>
        </w:tc>
      </w:tr>
      <w:tr w14:paraId="7D926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05B72F">
            <w:pPr>
              <w:pStyle w:val="62"/>
              <w:spacing w:line="360" w:lineRule="auto"/>
              <w:rPr>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0F518A53">
            <w:pPr>
              <w:pStyle w:val="62"/>
              <w:spacing w:line="360" w:lineRule="auto"/>
              <w:rPr>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6345C8E">
            <w:pPr>
              <w:pStyle w:val="62"/>
              <w:spacing w:line="360" w:lineRule="auto"/>
              <w:rPr>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1CF9B96">
            <w:pPr>
              <w:pStyle w:val="62"/>
              <w:spacing w:line="360" w:lineRule="auto"/>
              <w:rPr>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490A7D3">
            <w:pPr>
              <w:pStyle w:val="62"/>
              <w:spacing w:line="360" w:lineRule="auto"/>
              <w:rPr>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C833DCA">
            <w:pPr>
              <w:pStyle w:val="62"/>
              <w:spacing w:line="360" w:lineRule="auto"/>
              <w:rPr>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E65D35">
            <w:pPr>
              <w:pStyle w:val="62"/>
              <w:spacing w:line="360" w:lineRule="auto"/>
              <w:rPr>
                <w:color w:val="000000" w:themeColor="text1"/>
                <w:sz w:val="24"/>
                <w:highlight w:val="none"/>
                <w14:textFill>
                  <w14:solidFill>
                    <w14:schemeClr w14:val="tx1"/>
                  </w14:solidFill>
                </w14:textFill>
              </w:rPr>
            </w:pPr>
          </w:p>
        </w:tc>
      </w:tr>
    </w:tbl>
    <w:p w14:paraId="738307E2">
      <w:pPr>
        <w:autoSpaceDE w:val="0"/>
        <w:autoSpaceDN w:val="0"/>
        <w:adjustRightIn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04D26676">
      <w:pPr>
        <w:autoSpaceDE w:val="0"/>
        <w:autoSpaceDN w:val="0"/>
        <w:adjustRightInd w:val="0"/>
        <w:ind w:firstLine="424" w:firstLineChars="202"/>
        <w:rPr>
          <w:b/>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16B16C00">
      <w:pPr>
        <w:ind w:firstLine="424" w:firstLineChars="202"/>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2.报价供应商可按此表格式复制。</w:t>
      </w:r>
    </w:p>
    <w:p w14:paraId="2F88F925">
      <w:pPr>
        <w:spacing w:line="360" w:lineRule="auto"/>
        <w:rPr>
          <w:color w:val="000000" w:themeColor="text1"/>
          <w:sz w:val="22"/>
          <w:szCs w:val="22"/>
          <w:highlight w:val="none"/>
          <w14:textFill>
            <w14:solidFill>
              <w14:schemeClr w14:val="tx1"/>
            </w14:solidFill>
          </w14:textFill>
        </w:rPr>
      </w:pPr>
    </w:p>
    <w:p w14:paraId="34CABC4F">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60A7018F">
      <w:pPr>
        <w:spacing w:line="360" w:lineRule="auto"/>
        <w:ind w:left="420"/>
        <w:rPr>
          <w:color w:val="000000" w:themeColor="text1"/>
          <w:sz w:val="24"/>
          <w:highlight w:val="none"/>
          <w14:textFill>
            <w14:solidFill>
              <w14:schemeClr w14:val="tx1"/>
            </w14:solidFill>
          </w14:textFill>
        </w:rPr>
      </w:pPr>
    </w:p>
    <w:p w14:paraId="01F3A325">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7AC66DE6">
      <w:pPr>
        <w:spacing w:line="360" w:lineRule="auto"/>
        <w:ind w:firstLine="435"/>
        <w:rPr>
          <w:color w:val="000000" w:themeColor="text1"/>
          <w:sz w:val="24"/>
          <w:highlight w:val="none"/>
          <w14:textFill>
            <w14:solidFill>
              <w14:schemeClr w14:val="tx1"/>
            </w14:solidFill>
          </w14:textFill>
        </w:rPr>
      </w:pPr>
    </w:p>
    <w:p w14:paraId="2972F7E3">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职        务：</w:t>
      </w:r>
    </w:p>
    <w:p w14:paraId="3A9C7617">
      <w:pPr>
        <w:spacing w:line="360" w:lineRule="auto"/>
        <w:rPr>
          <w:color w:val="000000" w:themeColor="text1"/>
          <w:sz w:val="24"/>
          <w:highlight w:val="none"/>
          <w14:textFill>
            <w14:solidFill>
              <w14:schemeClr w14:val="tx1"/>
            </w14:solidFill>
          </w14:textFill>
        </w:rPr>
      </w:pPr>
    </w:p>
    <w:p w14:paraId="1F6B13CB">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69E31881">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附件11</w:t>
      </w:r>
    </w:p>
    <w:p w14:paraId="482FEAD3">
      <w:pPr>
        <w:spacing w:line="360" w:lineRule="auto"/>
        <w:ind w:firstLine="435"/>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售后服务情况表</w:t>
      </w:r>
    </w:p>
    <w:tbl>
      <w:tblPr>
        <w:tblStyle w:val="29"/>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90"/>
        <w:gridCol w:w="4121"/>
        <w:gridCol w:w="1393"/>
      </w:tblGrid>
      <w:tr w14:paraId="6F711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50" w:type="dxa"/>
            <w:vAlign w:val="center"/>
          </w:tcPr>
          <w:p w14:paraId="715071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2390" w:type="dxa"/>
            <w:vAlign w:val="center"/>
          </w:tcPr>
          <w:p w14:paraId="36305430">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w:t>
            </w:r>
          </w:p>
        </w:tc>
        <w:tc>
          <w:tcPr>
            <w:tcW w:w="4121" w:type="dxa"/>
            <w:vAlign w:val="center"/>
          </w:tcPr>
          <w:p w14:paraId="771A9844">
            <w:pPr>
              <w:pStyle w:val="53"/>
              <w:spacing w:line="360" w:lineRule="auto"/>
              <w:jc w:val="center"/>
              <w:rPr>
                <w:b/>
                <w:color w:val="000000" w:themeColor="text1"/>
                <w:sz w:val="24"/>
                <w:highlight w:val="none"/>
                <w14:textFill>
                  <w14:solidFill>
                    <w14:schemeClr w14:val="tx1"/>
                  </w14:solidFill>
                </w14:textFill>
              </w:rPr>
            </w:pPr>
            <w:r>
              <w:rPr>
                <w:b/>
                <w:color w:val="000000"/>
                <w:sz w:val="24"/>
                <w:highlight w:val="none"/>
              </w:rPr>
              <w:t>磋商供应商承诺</w:t>
            </w:r>
          </w:p>
        </w:tc>
        <w:tc>
          <w:tcPr>
            <w:tcW w:w="1393" w:type="dxa"/>
            <w:vAlign w:val="center"/>
          </w:tcPr>
          <w:p w14:paraId="525058F2">
            <w:pPr>
              <w:pStyle w:val="53"/>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w:t>
            </w:r>
          </w:p>
        </w:tc>
      </w:tr>
      <w:tr w14:paraId="1648C5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2" w:hRule="atLeast"/>
          <w:jc w:val="center"/>
        </w:trPr>
        <w:tc>
          <w:tcPr>
            <w:tcW w:w="750" w:type="dxa"/>
            <w:vAlign w:val="center"/>
          </w:tcPr>
          <w:p w14:paraId="60F1D80F">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1</w:t>
            </w:r>
          </w:p>
        </w:tc>
        <w:tc>
          <w:tcPr>
            <w:tcW w:w="2390" w:type="dxa"/>
            <w:vAlign w:val="center"/>
          </w:tcPr>
          <w:p w14:paraId="38FAA0E0">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121" w:type="dxa"/>
          </w:tcPr>
          <w:p w14:paraId="01FA7AA9">
            <w:pPr>
              <w:pStyle w:val="53"/>
              <w:spacing w:line="360" w:lineRule="auto"/>
              <w:rPr>
                <w:bCs/>
                <w:color w:val="000000" w:themeColor="text1"/>
                <w:sz w:val="24"/>
                <w:highlight w:val="none"/>
                <w14:textFill>
                  <w14:solidFill>
                    <w14:schemeClr w14:val="tx1"/>
                  </w14:solidFill>
                </w14:textFill>
              </w:rPr>
            </w:pPr>
          </w:p>
          <w:p w14:paraId="01404B3D">
            <w:pPr>
              <w:pStyle w:val="53"/>
              <w:spacing w:line="360" w:lineRule="auto"/>
              <w:rPr>
                <w:bCs/>
                <w:color w:val="000000" w:themeColor="text1"/>
                <w:sz w:val="24"/>
                <w:highlight w:val="none"/>
                <w14:textFill>
                  <w14:solidFill>
                    <w14:schemeClr w14:val="tx1"/>
                  </w14:solidFill>
                </w14:textFill>
              </w:rPr>
            </w:pPr>
          </w:p>
        </w:tc>
        <w:tc>
          <w:tcPr>
            <w:tcW w:w="1393" w:type="dxa"/>
          </w:tcPr>
          <w:p w14:paraId="1A930C3A">
            <w:pPr>
              <w:pStyle w:val="53"/>
              <w:spacing w:line="360" w:lineRule="auto"/>
              <w:rPr>
                <w:bCs/>
                <w:color w:val="000000" w:themeColor="text1"/>
                <w:sz w:val="24"/>
                <w:highlight w:val="none"/>
                <w14:textFill>
                  <w14:solidFill>
                    <w14:schemeClr w14:val="tx1"/>
                  </w14:solidFill>
                </w14:textFill>
              </w:rPr>
            </w:pPr>
          </w:p>
        </w:tc>
      </w:tr>
      <w:tr w14:paraId="728989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exact"/>
          <w:jc w:val="center"/>
        </w:trPr>
        <w:tc>
          <w:tcPr>
            <w:tcW w:w="750" w:type="dxa"/>
            <w:vAlign w:val="center"/>
          </w:tcPr>
          <w:p w14:paraId="00DB69DD">
            <w:pPr>
              <w:pStyle w:val="53"/>
              <w:spacing w:line="360" w:lineRule="auto"/>
              <w:jc w:val="center"/>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2</w:t>
            </w:r>
          </w:p>
        </w:tc>
        <w:tc>
          <w:tcPr>
            <w:tcW w:w="2390" w:type="dxa"/>
            <w:vAlign w:val="center"/>
          </w:tcPr>
          <w:p w14:paraId="7C790041">
            <w:pPr>
              <w:pStyle w:val="53"/>
              <w:spacing w:line="360" w:lineRule="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保修期后售后服务</w:t>
            </w:r>
          </w:p>
        </w:tc>
        <w:tc>
          <w:tcPr>
            <w:tcW w:w="4121" w:type="dxa"/>
          </w:tcPr>
          <w:p w14:paraId="490BC01F">
            <w:pPr>
              <w:pStyle w:val="53"/>
              <w:spacing w:line="360" w:lineRule="auto"/>
              <w:jc w:val="left"/>
              <w:rPr>
                <w:bCs/>
                <w:color w:val="000000" w:themeColor="text1"/>
                <w:sz w:val="24"/>
                <w:highlight w:val="none"/>
                <w14:textFill>
                  <w14:solidFill>
                    <w14:schemeClr w14:val="tx1"/>
                  </w14:solidFill>
                </w14:textFill>
              </w:rPr>
            </w:pPr>
          </w:p>
          <w:p w14:paraId="62D63C40">
            <w:pPr>
              <w:pStyle w:val="53"/>
              <w:spacing w:line="360" w:lineRule="auto"/>
              <w:jc w:val="left"/>
              <w:rPr>
                <w:bCs/>
                <w:color w:val="000000" w:themeColor="text1"/>
                <w:sz w:val="24"/>
                <w:highlight w:val="none"/>
                <w14:textFill>
                  <w14:solidFill>
                    <w14:schemeClr w14:val="tx1"/>
                  </w14:solidFill>
                </w14:textFill>
              </w:rPr>
            </w:pPr>
          </w:p>
          <w:p w14:paraId="4FD25F08">
            <w:pPr>
              <w:pStyle w:val="53"/>
              <w:spacing w:line="360" w:lineRule="auto"/>
              <w:rPr>
                <w:bCs/>
                <w:color w:val="000000" w:themeColor="text1"/>
                <w:sz w:val="24"/>
                <w:highlight w:val="none"/>
                <w14:textFill>
                  <w14:solidFill>
                    <w14:schemeClr w14:val="tx1"/>
                  </w14:solidFill>
                </w14:textFill>
              </w:rPr>
            </w:pPr>
          </w:p>
        </w:tc>
        <w:tc>
          <w:tcPr>
            <w:tcW w:w="1393" w:type="dxa"/>
          </w:tcPr>
          <w:p w14:paraId="54949271">
            <w:pPr>
              <w:pStyle w:val="53"/>
              <w:spacing w:line="360" w:lineRule="auto"/>
              <w:jc w:val="left"/>
              <w:rPr>
                <w:bCs/>
                <w:color w:val="000000" w:themeColor="text1"/>
                <w:sz w:val="24"/>
                <w:highlight w:val="none"/>
                <w14:textFill>
                  <w14:solidFill>
                    <w14:schemeClr w14:val="tx1"/>
                  </w14:solidFill>
                </w14:textFill>
              </w:rPr>
            </w:pPr>
          </w:p>
          <w:p w14:paraId="62C2DF67">
            <w:pPr>
              <w:pStyle w:val="53"/>
              <w:spacing w:line="360" w:lineRule="auto"/>
              <w:jc w:val="left"/>
              <w:rPr>
                <w:bCs/>
                <w:color w:val="000000" w:themeColor="text1"/>
                <w:sz w:val="24"/>
                <w:highlight w:val="none"/>
                <w14:textFill>
                  <w14:solidFill>
                    <w14:schemeClr w14:val="tx1"/>
                  </w14:solidFill>
                </w14:textFill>
              </w:rPr>
            </w:pPr>
          </w:p>
          <w:p w14:paraId="690150E6">
            <w:pPr>
              <w:pStyle w:val="53"/>
              <w:spacing w:line="360" w:lineRule="auto"/>
              <w:rPr>
                <w:bCs/>
                <w:color w:val="000000" w:themeColor="text1"/>
                <w:sz w:val="24"/>
                <w:highlight w:val="none"/>
                <w14:textFill>
                  <w14:solidFill>
                    <w14:schemeClr w14:val="tx1"/>
                  </w14:solidFill>
                </w14:textFill>
              </w:rPr>
            </w:pPr>
          </w:p>
        </w:tc>
      </w:tr>
      <w:tr w14:paraId="0DAE0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26" w:hRule="exact"/>
          <w:jc w:val="center"/>
        </w:trPr>
        <w:tc>
          <w:tcPr>
            <w:tcW w:w="750" w:type="dxa"/>
            <w:vAlign w:val="center"/>
          </w:tcPr>
          <w:p w14:paraId="2171CBEB">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3</w:t>
            </w:r>
          </w:p>
        </w:tc>
        <w:tc>
          <w:tcPr>
            <w:tcW w:w="2390" w:type="dxa"/>
            <w:vAlign w:val="center"/>
          </w:tcPr>
          <w:p w14:paraId="25A8B58A">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培训方案（可用附页）</w:t>
            </w:r>
          </w:p>
        </w:tc>
        <w:tc>
          <w:tcPr>
            <w:tcW w:w="4121" w:type="dxa"/>
          </w:tcPr>
          <w:p w14:paraId="54492754">
            <w:pPr>
              <w:pStyle w:val="53"/>
              <w:spacing w:line="360" w:lineRule="auto"/>
              <w:jc w:val="left"/>
              <w:rPr>
                <w:bCs/>
                <w:i/>
                <w:color w:val="000000" w:themeColor="text1"/>
                <w:sz w:val="24"/>
                <w:highlight w:val="none"/>
                <w14:textFill>
                  <w14:solidFill>
                    <w14:schemeClr w14:val="tx1"/>
                  </w14:solidFill>
                </w14:textFill>
              </w:rPr>
            </w:pPr>
          </w:p>
          <w:p w14:paraId="1576A433">
            <w:pPr>
              <w:pStyle w:val="53"/>
              <w:spacing w:line="360" w:lineRule="auto"/>
              <w:jc w:val="left"/>
              <w:rPr>
                <w:bCs/>
                <w:i/>
                <w:color w:val="000000" w:themeColor="text1"/>
                <w:sz w:val="24"/>
                <w:highlight w:val="none"/>
                <w14:textFill>
                  <w14:solidFill>
                    <w14:schemeClr w14:val="tx1"/>
                  </w14:solidFill>
                </w14:textFill>
              </w:rPr>
            </w:pPr>
          </w:p>
        </w:tc>
        <w:tc>
          <w:tcPr>
            <w:tcW w:w="1393" w:type="dxa"/>
          </w:tcPr>
          <w:p w14:paraId="0385F479">
            <w:pPr>
              <w:pStyle w:val="53"/>
              <w:spacing w:line="360" w:lineRule="auto"/>
              <w:jc w:val="left"/>
              <w:rPr>
                <w:bCs/>
                <w:i/>
                <w:color w:val="000000" w:themeColor="text1"/>
                <w:sz w:val="24"/>
                <w:highlight w:val="none"/>
                <w14:textFill>
                  <w14:solidFill>
                    <w14:schemeClr w14:val="tx1"/>
                  </w14:solidFill>
                </w14:textFill>
              </w:rPr>
            </w:pPr>
          </w:p>
          <w:p w14:paraId="4500856C">
            <w:pPr>
              <w:pStyle w:val="53"/>
              <w:spacing w:line="360" w:lineRule="auto"/>
              <w:jc w:val="left"/>
              <w:rPr>
                <w:bCs/>
                <w:i/>
                <w:color w:val="000000" w:themeColor="text1"/>
                <w:sz w:val="24"/>
                <w:highlight w:val="none"/>
                <w14:textFill>
                  <w14:solidFill>
                    <w14:schemeClr w14:val="tx1"/>
                  </w14:solidFill>
                </w14:textFill>
              </w:rPr>
            </w:pPr>
          </w:p>
          <w:p w14:paraId="400B544E">
            <w:pPr>
              <w:pStyle w:val="53"/>
              <w:spacing w:line="360" w:lineRule="auto"/>
              <w:jc w:val="left"/>
              <w:rPr>
                <w:bCs/>
                <w:i/>
                <w:color w:val="000000" w:themeColor="text1"/>
                <w:sz w:val="24"/>
                <w:highlight w:val="none"/>
                <w14:textFill>
                  <w14:solidFill>
                    <w14:schemeClr w14:val="tx1"/>
                  </w14:solidFill>
                </w14:textFill>
              </w:rPr>
            </w:pPr>
          </w:p>
        </w:tc>
      </w:tr>
      <w:tr w14:paraId="10BF78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exact"/>
          <w:jc w:val="center"/>
        </w:trPr>
        <w:tc>
          <w:tcPr>
            <w:tcW w:w="750" w:type="dxa"/>
            <w:vAlign w:val="center"/>
          </w:tcPr>
          <w:p w14:paraId="683D7335">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2390" w:type="dxa"/>
            <w:vAlign w:val="center"/>
          </w:tcPr>
          <w:p w14:paraId="1879B65C">
            <w:pPr>
              <w:pStyle w:val="53"/>
              <w:spacing w:line="360" w:lineRule="auto"/>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w:t>
            </w:r>
          </w:p>
        </w:tc>
        <w:tc>
          <w:tcPr>
            <w:tcW w:w="4121" w:type="dxa"/>
          </w:tcPr>
          <w:p w14:paraId="1055B5CD">
            <w:pPr>
              <w:pStyle w:val="53"/>
              <w:spacing w:line="360" w:lineRule="auto"/>
              <w:jc w:val="left"/>
              <w:rPr>
                <w:bCs/>
                <w:color w:val="000000" w:themeColor="text1"/>
                <w:sz w:val="24"/>
                <w:highlight w:val="none"/>
                <w14:textFill>
                  <w14:solidFill>
                    <w14:schemeClr w14:val="tx1"/>
                  </w14:solidFill>
                </w14:textFill>
              </w:rPr>
            </w:pPr>
          </w:p>
        </w:tc>
        <w:tc>
          <w:tcPr>
            <w:tcW w:w="1393" w:type="dxa"/>
          </w:tcPr>
          <w:p w14:paraId="432C2CCC">
            <w:pPr>
              <w:pStyle w:val="53"/>
              <w:spacing w:line="360" w:lineRule="auto"/>
              <w:jc w:val="left"/>
              <w:rPr>
                <w:bCs/>
                <w:color w:val="000000" w:themeColor="text1"/>
                <w:sz w:val="24"/>
                <w:highlight w:val="none"/>
                <w14:textFill>
                  <w14:solidFill>
                    <w14:schemeClr w14:val="tx1"/>
                  </w14:solidFill>
                </w14:textFill>
              </w:rPr>
            </w:pPr>
          </w:p>
        </w:tc>
      </w:tr>
    </w:tbl>
    <w:p w14:paraId="1C736AE3">
      <w:pPr>
        <w:spacing w:line="360" w:lineRule="auto"/>
        <w:ind w:left="420"/>
        <w:rPr>
          <w:color w:val="000000" w:themeColor="text1"/>
          <w:sz w:val="24"/>
          <w:highlight w:val="none"/>
          <w14:textFill>
            <w14:solidFill>
              <w14:schemeClr w14:val="tx1"/>
            </w14:solidFill>
          </w14:textFill>
        </w:rPr>
      </w:pPr>
    </w:p>
    <w:p w14:paraId="12D853F2">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1019175A">
      <w:pPr>
        <w:spacing w:line="360" w:lineRule="auto"/>
        <w:ind w:left="420"/>
        <w:rPr>
          <w:color w:val="000000" w:themeColor="text1"/>
          <w:sz w:val="24"/>
          <w:highlight w:val="none"/>
          <w14:textFill>
            <w14:solidFill>
              <w14:schemeClr w14:val="tx1"/>
            </w14:solidFill>
          </w14:textFill>
        </w:rPr>
      </w:pPr>
    </w:p>
    <w:p w14:paraId="2DA1802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27BE5BAB">
      <w:pPr>
        <w:spacing w:line="360" w:lineRule="auto"/>
        <w:ind w:firstLine="435"/>
        <w:rPr>
          <w:color w:val="000000" w:themeColor="text1"/>
          <w:sz w:val="24"/>
          <w:highlight w:val="none"/>
          <w14:textFill>
            <w14:solidFill>
              <w14:schemeClr w14:val="tx1"/>
            </w14:solidFill>
          </w14:textFill>
        </w:rPr>
      </w:pPr>
    </w:p>
    <w:p w14:paraId="4CCF807E">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4F8145A7">
      <w:pPr>
        <w:spacing w:line="360" w:lineRule="auto"/>
        <w:ind w:firstLine="435"/>
        <w:rPr>
          <w:color w:val="000000" w:themeColor="text1"/>
          <w:sz w:val="24"/>
          <w:highlight w:val="none"/>
          <w14:textFill>
            <w14:solidFill>
              <w14:schemeClr w14:val="tx1"/>
            </w14:solidFill>
          </w14:textFill>
        </w:rPr>
      </w:pPr>
    </w:p>
    <w:p w14:paraId="2D59F661">
      <w:pPr>
        <w:spacing w:line="360" w:lineRule="auto"/>
        <w:ind w:firstLine="435"/>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日        期：</w:t>
      </w:r>
    </w:p>
    <w:p w14:paraId="6F4DB17D">
      <w:pPr>
        <w:rPr>
          <w:b/>
          <w:color w:val="000000" w:themeColor="text1"/>
          <w:sz w:val="28"/>
          <w:highlight w:val="none"/>
          <w14:textFill>
            <w14:solidFill>
              <w14:schemeClr w14:val="tx1"/>
            </w14:solidFill>
          </w14:textFill>
        </w:rPr>
      </w:pPr>
    </w:p>
    <w:p w14:paraId="129F08D7">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附件12</w:t>
      </w:r>
    </w:p>
    <w:p w14:paraId="7A22E077">
      <w:pPr>
        <w:spacing w:line="360" w:lineRule="auto"/>
        <w:ind w:left="-2" w:hanging="2"/>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首次报价一览表</w:t>
      </w:r>
    </w:p>
    <w:p w14:paraId="270A368F">
      <w:pPr>
        <w:pStyle w:val="16"/>
        <w:spacing w:line="320" w:lineRule="exact"/>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项目编号：WLCG-2024-CS046号</w:t>
      </w:r>
    </w:p>
    <w:p w14:paraId="4DDBD335">
      <w:pPr>
        <w:pStyle w:val="16"/>
        <w:spacing w:line="32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项目名称：</w:t>
      </w:r>
      <w:r>
        <w:rPr>
          <w:rFonts w:ascii="Times New Roman" w:hAnsi="Times New Roman"/>
          <w:color w:val="000000" w:themeColor="text1"/>
          <w:sz w:val="24"/>
          <w:highlight w:val="none"/>
          <w14:textFill>
            <w14:solidFill>
              <w14:schemeClr w14:val="tx1"/>
            </w14:solidFill>
          </w14:textFill>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CBE8B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5426822">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FA18597">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528ED642">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r w14:paraId="2E741A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4EB3837">
            <w:pPr>
              <w:rPr>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0ED872AC">
            <w:pPr>
              <w:autoSpaceDE w:val="0"/>
              <w:autoSpaceDN w:val="0"/>
              <w:spacing w:line="450" w:lineRule="exact"/>
              <w:jc w:val="center"/>
              <w:textAlignment w:val="bottom"/>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0B3D80C">
            <w:pPr>
              <w:autoSpaceDE w:val="0"/>
              <w:autoSpaceDN w:val="0"/>
              <w:spacing w:line="450" w:lineRule="exact"/>
              <w:jc w:val="center"/>
              <w:textAlignment w:val="bottom"/>
              <w:rPr>
                <w:color w:val="000000" w:themeColor="text1"/>
                <w:sz w:val="24"/>
                <w:highlight w:val="none"/>
                <w14:textFill>
                  <w14:solidFill>
                    <w14:schemeClr w14:val="tx1"/>
                  </w14:solidFill>
                </w14:textFill>
              </w:rPr>
            </w:pPr>
          </w:p>
        </w:tc>
      </w:tr>
    </w:tbl>
    <w:p w14:paraId="372D6268">
      <w:pPr>
        <w:rPr>
          <w:color w:val="000000" w:themeColor="text1"/>
          <w:sz w:val="24"/>
          <w:highlight w:val="none"/>
          <w14:textFill>
            <w14:solidFill>
              <w14:schemeClr w14:val="tx1"/>
            </w14:solidFill>
          </w14:textFill>
        </w:rPr>
      </w:pPr>
      <w:r>
        <w:rPr>
          <w:b/>
          <w:color w:val="000000" w:themeColor="text1"/>
          <w:szCs w:val="21"/>
          <w:highlight w:val="none"/>
          <w14:textFill>
            <w14:solidFill>
              <w14:schemeClr w14:val="tx1"/>
            </w14:solidFill>
          </w14:textFill>
        </w:rPr>
        <w:t>填报要求：</w:t>
      </w:r>
    </w:p>
    <w:p w14:paraId="63250F2A">
      <w:pPr>
        <w:pStyle w:val="9"/>
        <w:rPr>
          <w:kern w:val="0"/>
          <w:szCs w:val="21"/>
          <w:highlight w:val="none"/>
        </w:rPr>
      </w:pPr>
      <w:r>
        <w:rPr>
          <w:kern w:val="0"/>
          <w:szCs w:val="21"/>
          <w:highlight w:val="none"/>
        </w:rPr>
        <w:t>1.本项目投标报价为完成本项目的所有费用，投标人应考虑企业自身实力、经验及项目实施过程中的各种因素，在投标报价中应充分考虑所有可能发生的费用，否则采购人将视投标报价中已包括所有费用。</w:t>
      </w:r>
    </w:p>
    <w:p w14:paraId="1FC3A0DE">
      <w:pPr>
        <w:ind w:firstLine="420" w:firstLineChars="200"/>
        <w:rPr>
          <w:color w:val="000000" w:themeColor="text1"/>
          <w:sz w:val="24"/>
          <w:highlight w:val="none"/>
          <w14:textFill>
            <w14:solidFill>
              <w14:schemeClr w14:val="tx1"/>
            </w14:solidFill>
          </w14:textFill>
        </w:rPr>
      </w:pPr>
      <w:r>
        <w:rPr>
          <w:color w:val="000000" w:themeColor="text1"/>
          <w:kern w:val="0"/>
          <w:szCs w:val="21"/>
          <w:highlight w:val="none"/>
          <w14:textFill>
            <w14:solidFill>
              <w14:schemeClr w14:val="tx1"/>
            </w14:solidFill>
          </w14:textFill>
        </w:rPr>
        <w:t>2.报价一经涂改，应在涂改处加盖单位公章，或者由法定代表人或授权代表签字或盖章，否则其投标作无效标处理。</w:t>
      </w:r>
    </w:p>
    <w:p w14:paraId="2EFF19A0">
      <w:pPr>
        <w:spacing w:line="360" w:lineRule="auto"/>
        <w:rPr>
          <w:color w:val="000000" w:themeColor="text1"/>
          <w:sz w:val="24"/>
          <w:highlight w:val="none"/>
          <w14:textFill>
            <w14:solidFill>
              <w14:schemeClr w14:val="tx1"/>
            </w14:solidFill>
          </w14:textFill>
        </w:rPr>
      </w:pPr>
    </w:p>
    <w:p w14:paraId="0B86D2B7">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4E4E63D0">
      <w:pPr>
        <w:spacing w:line="360" w:lineRule="auto"/>
        <w:ind w:left="420"/>
        <w:rPr>
          <w:color w:val="000000" w:themeColor="text1"/>
          <w:sz w:val="24"/>
          <w:highlight w:val="none"/>
          <w14:textFill>
            <w14:solidFill>
              <w14:schemeClr w14:val="tx1"/>
            </w14:solidFill>
          </w14:textFill>
        </w:rPr>
      </w:pPr>
    </w:p>
    <w:p w14:paraId="3057F848">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39DCB434">
      <w:pPr>
        <w:pStyle w:val="19"/>
        <w:ind w:firstLine="480" w:firstLineChars="200"/>
        <w:rPr>
          <w:color w:val="000000" w:themeColor="text1"/>
          <w:sz w:val="24"/>
          <w:highlight w:val="none"/>
          <w14:textFill>
            <w14:solidFill>
              <w14:schemeClr w14:val="tx1"/>
            </w14:solidFill>
          </w14:textFill>
        </w:rPr>
      </w:pPr>
    </w:p>
    <w:p w14:paraId="62FA04C2">
      <w:pPr>
        <w:spacing w:line="360" w:lineRule="auto"/>
        <w:ind w:left="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p w14:paraId="2C956676">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7A888A7D">
      <w:pPr>
        <w:pStyle w:val="2"/>
        <w:ind w:firstLine="560"/>
        <w:rPr>
          <w:rFonts w:ascii="Times New Roman" w:hAnsi="Times New Roman" w:cs="Times New Roman"/>
          <w:highlight w:val="none"/>
        </w:rPr>
      </w:pPr>
    </w:p>
    <w:p w14:paraId="6335E481">
      <w:pPr>
        <w:rPr>
          <w:highlight w:val="none"/>
        </w:rPr>
      </w:pPr>
    </w:p>
    <w:p w14:paraId="258C15E3">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附件13</w:t>
      </w:r>
    </w:p>
    <w:p w14:paraId="0A3063F5">
      <w:pPr>
        <w:spacing w:line="360" w:lineRule="auto"/>
        <w:ind w:left="480"/>
        <w:jc w:val="center"/>
        <w:rPr>
          <w:color w:val="000000" w:themeColor="text1"/>
          <w:highlight w:val="none"/>
          <w14:textFill>
            <w14:solidFill>
              <w14:schemeClr w14:val="tx1"/>
            </w14:solidFill>
          </w14:textFill>
        </w:rPr>
      </w:pPr>
      <w:r>
        <w:rPr>
          <w:b/>
          <w:color w:val="000000" w:themeColor="text1"/>
          <w:sz w:val="32"/>
          <w:szCs w:val="32"/>
          <w:highlight w:val="none"/>
          <w14:textFill>
            <w14:solidFill>
              <w14:schemeClr w14:val="tx1"/>
            </w14:solidFill>
          </w14:textFill>
        </w:rPr>
        <w:t xml:space="preserve">报价明细表 </w:t>
      </w:r>
    </w:p>
    <w:p w14:paraId="7D777435">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项目编号：                                    [货币单位：人民币元]</w:t>
      </w:r>
    </w:p>
    <w:tbl>
      <w:tblPr>
        <w:tblStyle w:val="2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992"/>
        <w:gridCol w:w="992"/>
        <w:gridCol w:w="1134"/>
        <w:gridCol w:w="992"/>
        <w:gridCol w:w="709"/>
      </w:tblGrid>
      <w:tr w14:paraId="23DA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14:paraId="6AB21D06">
            <w:pPr>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序号</w:t>
            </w:r>
          </w:p>
        </w:tc>
        <w:tc>
          <w:tcPr>
            <w:tcW w:w="3119" w:type="dxa"/>
            <w:vAlign w:val="center"/>
          </w:tcPr>
          <w:p w14:paraId="4E104E1D">
            <w:pPr>
              <w:tabs>
                <w:tab w:val="left" w:pos="8280"/>
              </w:tabs>
              <w:autoSpaceDE w:val="0"/>
              <w:autoSpaceDN w:val="0"/>
              <w:adjustRightInd w:val="0"/>
              <w:spacing w:line="360" w:lineRule="auto"/>
              <w:ind w:right="25" w:firstLine="964" w:firstLineChars="4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工作内容</w:t>
            </w:r>
          </w:p>
        </w:tc>
        <w:tc>
          <w:tcPr>
            <w:tcW w:w="992" w:type="dxa"/>
            <w:vAlign w:val="center"/>
          </w:tcPr>
          <w:p w14:paraId="62918DB1">
            <w:pPr>
              <w:spacing w:line="360" w:lineRule="auto"/>
              <w:ind w:left="5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单位</w:t>
            </w:r>
          </w:p>
        </w:tc>
        <w:tc>
          <w:tcPr>
            <w:tcW w:w="992" w:type="dxa"/>
            <w:vAlign w:val="center"/>
          </w:tcPr>
          <w:p w14:paraId="04F5B35E">
            <w:pPr>
              <w:spacing w:line="360" w:lineRule="auto"/>
              <w:ind w:left="152"/>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数量</w:t>
            </w:r>
          </w:p>
        </w:tc>
        <w:tc>
          <w:tcPr>
            <w:tcW w:w="1134" w:type="dxa"/>
            <w:vAlign w:val="center"/>
          </w:tcPr>
          <w:p w14:paraId="60EEDE7C">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单价</w:t>
            </w:r>
          </w:p>
        </w:tc>
        <w:tc>
          <w:tcPr>
            <w:tcW w:w="992" w:type="dxa"/>
            <w:vAlign w:val="center"/>
          </w:tcPr>
          <w:p w14:paraId="46DA23DF">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小计</w:t>
            </w:r>
          </w:p>
        </w:tc>
        <w:tc>
          <w:tcPr>
            <w:tcW w:w="709" w:type="dxa"/>
            <w:vAlign w:val="center"/>
          </w:tcPr>
          <w:p w14:paraId="399F0046">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备注</w:t>
            </w:r>
          </w:p>
        </w:tc>
      </w:tr>
      <w:tr w14:paraId="783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14:paraId="0778A497">
            <w:pPr>
              <w:spacing w:line="360" w:lineRule="auto"/>
              <w:rPr>
                <w:color w:val="000000" w:themeColor="text1"/>
                <w:sz w:val="24"/>
                <w:highlight w:val="none"/>
                <w14:textFill>
                  <w14:solidFill>
                    <w14:schemeClr w14:val="tx1"/>
                  </w14:solidFill>
                </w14:textFill>
              </w:rPr>
            </w:pPr>
          </w:p>
        </w:tc>
        <w:tc>
          <w:tcPr>
            <w:tcW w:w="3119" w:type="dxa"/>
            <w:vAlign w:val="center"/>
          </w:tcPr>
          <w:p w14:paraId="3A4EF2D2">
            <w:pPr>
              <w:spacing w:line="360" w:lineRule="auto"/>
              <w:rPr>
                <w:color w:val="000000" w:themeColor="text1"/>
                <w:sz w:val="24"/>
                <w:highlight w:val="none"/>
                <w14:textFill>
                  <w14:solidFill>
                    <w14:schemeClr w14:val="tx1"/>
                  </w14:solidFill>
                </w14:textFill>
              </w:rPr>
            </w:pPr>
          </w:p>
        </w:tc>
        <w:tc>
          <w:tcPr>
            <w:tcW w:w="992" w:type="dxa"/>
            <w:vAlign w:val="center"/>
          </w:tcPr>
          <w:p w14:paraId="01C64473">
            <w:pPr>
              <w:spacing w:line="360" w:lineRule="auto"/>
              <w:rPr>
                <w:color w:val="000000" w:themeColor="text1"/>
                <w:sz w:val="24"/>
                <w:highlight w:val="none"/>
                <w14:textFill>
                  <w14:solidFill>
                    <w14:schemeClr w14:val="tx1"/>
                  </w14:solidFill>
                </w14:textFill>
              </w:rPr>
            </w:pPr>
          </w:p>
        </w:tc>
        <w:tc>
          <w:tcPr>
            <w:tcW w:w="992" w:type="dxa"/>
            <w:vAlign w:val="center"/>
          </w:tcPr>
          <w:p w14:paraId="2E3CA14E">
            <w:pPr>
              <w:spacing w:line="360" w:lineRule="auto"/>
              <w:rPr>
                <w:color w:val="000000" w:themeColor="text1"/>
                <w:sz w:val="24"/>
                <w:highlight w:val="none"/>
                <w14:textFill>
                  <w14:solidFill>
                    <w14:schemeClr w14:val="tx1"/>
                  </w14:solidFill>
                </w14:textFill>
              </w:rPr>
            </w:pPr>
          </w:p>
        </w:tc>
        <w:tc>
          <w:tcPr>
            <w:tcW w:w="1134" w:type="dxa"/>
            <w:vAlign w:val="center"/>
          </w:tcPr>
          <w:p w14:paraId="670509A6">
            <w:pPr>
              <w:spacing w:line="360" w:lineRule="auto"/>
              <w:rPr>
                <w:color w:val="000000" w:themeColor="text1"/>
                <w:sz w:val="24"/>
                <w:highlight w:val="none"/>
                <w14:textFill>
                  <w14:solidFill>
                    <w14:schemeClr w14:val="tx1"/>
                  </w14:solidFill>
                </w14:textFill>
              </w:rPr>
            </w:pPr>
          </w:p>
        </w:tc>
        <w:tc>
          <w:tcPr>
            <w:tcW w:w="992" w:type="dxa"/>
            <w:vAlign w:val="center"/>
          </w:tcPr>
          <w:p w14:paraId="47500DC1">
            <w:pPr>
              <w:spacing w:line="360" w:lineRule="auto"/>
              <w:rPr>
                <w:color w:val="000000" w:themeColor="text1"/>
                <w:sz w:val="24"/>
                <w:highlight w:val="none"/>
                <w14:textFill>
                  <w14:solidFill>
                    <w14:schemeClr w14:val="tx1"/>
                  </w14:solidFill>
                </w14:textFill>
              </w:rPr>
            </w:pPr>
          </w:p>
        </w:tc>
        <w:tc>
          <w:tcPr>
            <w:tcW w:w="709" w:type="dxa"/>
            <w:vAlign w:val="center"/>
          </w:tcPr>
          <w:p w14:paraId="652C86E5">
            <w:pPr>
              <w:spacing w:line="360" w:lineRule="auto"/>
              <w:rPr>
                <w:color w:val="000000" w:themeColor="text1"/>
                <w:sz w:val="24"/>
                <w:highlight w:val="none"/>
                <w14:textFill>
                  <w14:solidFill>
                    <w14:schemeClr w14:val="tx1"/>
                  </w14:solidFill>
                </w14:textFill>
              </w:rPr>
            </w:pPr>
          </w:p>
        </w:tc>
      </w:tr>
      <w:tr w14:paraId="53CC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vAlign w:val="center"/>
          </w:tcPr>
          <w:p w14:paraId="44B236DD">
            <w:pPr>
              <w:spacing w:line="360" w:lineRule="auto"/>
              <w:rPr>
                <w:color w:val="000000" w:themeColor="text1"/>
                <w:sz w:val="24"/>
                <w:highlight w:val="none"/>
                <w14:textFill>
                  <w14:solidFill>
                    <w14:schemeClr w14:val="tx1"/>
                  </w14:solidFill>
                </w14:textFill>
              </w:rPr>
            </w:pPr>
          </w:p>
        </w:tc>
        <w:tc>
          <w:tcPr>
            <w:tcW w:w="3119" w:type="dxa"/>
            <w:vAlign w:val="center"/>
          </w:tcPr>
          <w:p w14:paraId="03EF8BF0">
            <w:pPr>
              <w:spacing w:line="360" w:lineRule="auto"/>
              <w:rPr>
                <w:color w:val="000000" w:themeColor="text1"/>
                <w:sz w:val="24"/>
                <w:highlight w:val="none"/>
                <w14:textFill>
                  <w14:solidFill>
                    <w14:schemeClr w14:val="tx1"/>
                  </w14:solidFill>
                </w14:textFill>
              </w:rPr>
            </w:pPr>
          </w:p>
        </w:tc>
        <w:tc>
          <w:tcPr>
            <w:tcW w:w="992" w:type="dxa"/>
            <w:vAlign w:val="center"/>
          </w:tcPr>
          <w:p w14:paraId="17D82CE3">
            <w:pPr>
              <w:spacing w:line="360" w:lineRule="auto"/>
              <w:rPr>
                <w:color w:val="000000" w:themeColor="text1"/>
                <w:sz w:val="24"/>
                <w:highlight w:val="none"/>
                <w14:textFill>
                  <w14:solidFill>
                    <w14:schemeClr w14:val="tx1"/>
                  </w14:solidFill>
                </w14:textFill>
              </w:rPr>
            </w:pPr>
          </w:p>
        </w:tc>
        <w:tc>
          <w:tcPr>
            <w:tcW w:w="992" w:type="dxa"/>
            <w:vAlign w:val="center"/>
          </w:tcPr>
          <w:p w14:paraId="5B3ECADE">
            <w:pPr>
              <w:spacing w:line="360" w:lineRule="auto"/>
              <w:rPr>
                <w:color w:val="000000" w:themeColor="text1"/>
                <w:sz w:val="24"/>
                <w:highlight w:val="none"/>
                <w14:textFill>
                  <w14:solidFill>
                    <w14:schemeClr w14:val="tx1"/>
                  </w14:solidFill>
                </w14:textFill>
              </w:rPr>
            </w:pPr>
          </w:p>
        </w:tc>
        <w:tc>
          <w:tcPr>
            <w:tcW w:w="1134" w:type="dxa"/>
            <w:vAlign w:val="center"/>
          </w:tcPr>
          <w:p w14:paraId="12F98EA7">
            <w:pPr>
              <w:spacing w:line="360" w:lineRule="auto"/>
              <w:rPr>
                <w:color w:val="000000" w:themeColor="text1"/>
                <w:sz w:val="24"/>
                <w:highlight w:val="none"/>
                <w14:textFill>
                  <w14:solidFill>
                    <w14:schemeClr w14:val="tx1"/>
                  </w14:solidFill>
                </w14:textFill>
              </w:rPr>
            </w:pPr>
          </w:p>
        </w:tc>
        <w:tc>
          <w:tcPr>
            <w:tcW w:w="992" w:type="dxa"/>
            <w:vAlign w:val="center"/>
          </w:tcPr>
          <w:p w14:paraId="0AE254A5">
            <w:pPr>
              <w:spacing w:line="360" w:lineRule="auto"/>
              <w:rPr>
                <w:color w:val="000000" w:themeColor="text1"/>
                <w:sz w:val="24"/>
                <w:highlight w:val="none"/>
                <w14:textFill>
                  <w14:solidFill>
                    <w14:schemeClr w14:val="tx1"/>
                  </w14:solidFill>
                </w14:textFill>
              </w:rPr>
            </w:pPr>
          </w:p>
        </w:tc>
        <w:tc>
          <w:tcPr>
            <w:tcW w:w="709" w:type="dxa"/>
            <w:vAlign w:val="center"/>
          </w:tcPr>
          <w:p w14:paraId="27D5E55B">
            <w:pPr>
              <w:spacing w:line="360" w:lineRule="auto"/>
              <w:rPr>
                <w:color w:val="000000" w:themeColor="text1"/>
                <w:sz w:val="24"/>
                <w:highlight w:val="none"/>
                <w14:textFill>
                  <w14:solidFill>
                    <w14:schemeClr w14:val="tx1"/>
                  </w14:solidFill>
                </w14:textFill>
              </w:rPr>
            </w:pPr>
          </w:p>
        </w:tc>
      </w:tr>
      <w:tr w14:paraId="2D89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14:paraId="6B97807D">
            <w:pPr>
              <w:spacing w:line="360" w:lineRule="auto"/>
              <w:rPr>
                <w:color w:val="000000" w:themeColor="text1"/>
                <w:sz w:val="24"/>
                <w:highlight w:val="none"/>
                <w14:textFill>
                  <w14:solidFill>
                    <w14:schemeClr w14:val="tx1"/>
                  </w14:solidFill>
                </w14:textFill>
              </w:rPr>
            </w:pPr>
          </w:p>
        </w:tc>
        <w:tc>
          <w:tcPr>
            <w:tcW w:w="3119" w:type="dxa"/>
            <w:vAlign w:val="center"/>
          </w:tcPr>
          <w:p w14:paraId="2E291A0C">
            <w:pPr>
              <w:spacing w:line="360" w:lineRule="auto"/>
              <w:rPr>
                <w:color w:val="000000" w:themeColor="text1"/>
                <w:sz w:val="24"/>
                <w:highlight w:val="none"/>
                <w14:textFill>
                  <w14:solidFill>
                    <w14:schemeClr w14:val="tx1"/>
                  </w14:solidFill>
                </w14:textFill>
              </w:rPr>
            </w:pPr>
          </w:p>
        </w:tc>
        <w:tc>
          <w:tcPr>
            <w:tcW w:w="992" w:type="dxa"/>
            <w:vAlign w:val="center"/>
          </w:tcPr>
          <w:p w14:paraId="79D901B7">
            <w:pPr>
              <w:spacing w:line="360" w:lineRule="auto"/>
              <w:rPr>
                <w:color w:val="000000" w:themeColor="text1"/>
                <w:sz w:val="24"/>
                <w:highlight w:val="none"/>
                <w14:textFill>
                  <w14:solidFill>
                    <w14:schemeClr w14:val="tx1"/>
                  </w14:solidFill>
                </w14:textFill>
              </w:rPr>
            </w:pPr>
          </w:p>
        </w:tc>
        <w:tc>
          <w:tcPr>
            <w:tcW w:w="992" w:type="dxa"/>
            <w:vAlign w:val="center"/>
          </w:tcPr>
          <w:p w14:paraId="1523D500">
            <w:pPr>
              <w:spacing w:line="360" w:lineRule="auto"/>
              <w:rPr>
                <w:color w:val="000000" w:themeColor="text1"/>
                <w:sz w:val="24"/>
                <w:highlight w:val="none"/>
                <w14:textFill>
                  <w14:solidFill>
                    <w14:schemeClr w14:val="tx1"/>
                  </w14:solidFill>
                </w14:textFill>
              </w:rPr>
            </w:pPr>
          </w:p>
        </w:tc>
        <w:tc>
          <w:tcPr>
            <w:tcW w:w="1134" w:type="dxa"/>
            <w:vAlign w:val="center"/>
          </w:tcPr>
          <w:p w14:paraId="1AAF1CDF">
            <w:pPr>
              <w:spacing w:line="360" w:lineRule="auto"/>
              <w:rPr>
                <w:color w:val="000000" w:themeColor="text1"/>
                <w:sz w:val="24"/>
                <w:highlight w:val="none"/>
                <w14:textFill>
                  <w14:solidFill>
                    <w14:schemeClr w14:val="tx1"/>
                  </w14:solidFill>
                </w14:textFill>
              </w:rPr>
            </w:pPr>
          </w:p>
        </w:tc>
        <w:tc>
          <w:tcPr>
            <w:tcW w:w="992" w:type="dxa"/>
            <w:vAlign w:val="center"/>
          </w:tcPr>
          <w:p w14:paraId="4AF34F82">
            <w:pPr>
              <w:spacing w:line="360" w:lineRule="auto"/>
              <w:rPr>
                <w:color w:val="000000" w:themeColor="text1"/>
                <w:sz w:val="24"/>
                <w:highlight w:val="none"/>
                <w14:textFill>
                  <w14:solidFill>
                    <w14:schemeClr w14:val="tx1"/>
                  </w14:solidFill>
                </w14:textFill>
              </w:rPr>
            </w:pPr>
          </w:p>
        </w:tc>
        <w:tc>
          <w:tcPr>
            <w:tcW w:w="709" w:type="dxa"/>
            <w:vAlign w:val="center"/>
          </w:tcPr>
          <w:p w14:paraId="733E066A">
            <w:pPr>
              <w:spacing w:line="360" w:lineRule="auto"/>
              <w:rPr>
                <w:color w:val="000000" w:themeColor="text1"/>
                <w:sz w:val="24"/>
                <w:highlight w:val="none"/>
                <w14:textFill>
                  <w14:solidFill>
                    <w14:schemeClr w14:val="tx1"/>
                  </w14:solidFill>
                </w14:textFill>
              </w:rPr>
            </w:pPr>
          </w:p>
        </w:tc>
      </w:tr>
      <w:tr w14:paraId="7296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14:paraId="7D1F55A0">
            <w:pPr>
              <w:spacing w:line="360" w:lineRule="auto"/>
              <w:rPr>
                <w:color w:val="000000" w:themeColor="text1"/>
                <w:sz w:val="24"/>
                <w:highlight w:val="none"/>
                <w14:textFill>
                  <w14:solidFill>
                    <w14:schemeClr w14:val="tx1"/>
                  </w14:solidFill>
                </w14:textFill>
              </w:rPr>
            </w:pPr>
          </w:p>
        </w:tc>
        <w:tc>
          <w:tcPr>
            <w:tcW w:w="3119" w:type="dxa"/>
            <w:vAlign w:val="center"/>
          </w:tcPr>
          <w:p w14:paraId="3624C779">
            <w:pPr>
              <w:spacing w:line="360" w:lineRule="auto"/>
              <w:rPr>
                <w:color w:val="000000" w:themeColor="text1"/>
                <w:sz w:val="24"/>
                <w:highlight w:val="none"/>
                <w14:textFill>
                  <w14:solidFill>
                    <w14:schemeClr w14:val="tx1"/>
                  </w14:solidFill>
                </w14:textFill>
              </w:rPr>
            </w:pPr>
          </w:p>
        </w:tc>
        <w:tc>
          <w:tcPr>
            <w:tcW w:w="992" w:type="dxa"/>
            <w:vAlign w:val="center"/>
          </w:tcPr>
          <w:p w14:paraId="3C05399C">
            <w:pPr>
              <w:spacing w:line="360" w:lineRule="auto"/>
              <w:rPr>
                <w:color w:val="000000" w:themeColor="text1"/>
                <w:sz w:val="24"/>
                <w:highlight w:val="none"/>
                <w14:textFill>
                  <w14:solidFill>
                    <w14:schemeClr w14:val="tx1"/>
                  </w14:solidFill>
                </w14:textFill>
              </w:rPr>
            </w:pPr>
          </w:p>
        </w:tc>
        <w:tc>
          <w:tcPr>
            <w:tcW w:w="992" w:type="dxa"/>
            <w:vAlign w:val="center"/>
          </w:tcPr>
          <w:p w14:paraId="2F7FE88B">
            <w:pPr>
              <w:spacing w:line="360" w:lineRule="auto"/>
              <w:rPr>
                <w:color w:val="000000" w:themeColor="text1"/>
                <w:sz w:val="24"/>
                <w:highlight w:val="none"/>
                <w14:textFill>
                  <w14:solidFill>
                    <w14:schemeClr w14:val="tx1"/>
                  </w14:solidFill>
                </w14:textFill>
              </w:rPr>
            </w:pPr>
          </w:p>
        </w:tc>
        <w:tc>
          <w:tcPr>
            <w:tcW w:w="1134" w:type="dxa"/>
            <w:vAlign w:val="center"/>
          </w:tcPr>
          <w:p w14:paraId="5908F24A">
            <w:pPr>
              <w:spacing w:line="360" w:lineRule="auto"/>
              <w:rPr>
                <w:color w:val="000000" w:themeColor="text1"/>
                <w:sz w:val="24"/>
                <w:highlight w:val="none"/>
                <w14:textFill>
                  <w14:solidFill>
                    <w14:schemeClr w14:val="tx1"/>
                  </w14:solidFill>
                </w14:textFill>
              </w:rPr>
            </w:pPr>
          </w:p>
        </w:tc>
        <w:tc>
          <w:tcPr>
            <w:tcW w:w="992" w:type="dxa"/>
            <w:vAlign w:val="center"/>
          </w:tcPr>
          <w:p w14:paraId="4743D9E6">
            <w:pPr>
              <w:spacing w:line="360" w:lineRule="auto"/>
              <w:rPr>
                <w:color w:val="000000" w:themeColor="text1"/>
                <w:sz w:val="24"/>
                <w:highlight w:val="none"/>
                <w14:textFill>
                  <w14:solidFill>
                    <w14:schemeClr w14:val="tx1"/>
                  </w14:solidFill>
                </w14:textFill>
              </w:rPr>
            </w:pPr>
          </w:p>
        </w:tc>
        <w:tc>
          <w:tcPr>
            <w:tcW w:w="709" w:type="dxa"/>
            <w:vAlign w:val="center"/>
          </w:tcPr>
          <w:p w14:paraId="110B1E4E">
            <w:pPr>
              <w:spacing w:line="360" w:lineRule="auto"/>
              <w:rPr>
                <w:color w:val="000000" w:themeColor="text1"/>
                <w:sz w:val="24"/>
                <w:highlight w:val="none"/>
                <w14:textFill>
                  <w14:solidFill>
                    <w14:schemeClr w14:val="tx1"/>
                  </w14:solidFill>
                </w14:textFill>
              </w:rPr>
            </w:pPr>
          </w:p>
        </w:tc>
      </w:tr>
      <w:tr w14:paraId="455A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vAlign w:val="center"/>
          </w:tcPr>
          <w:p w14:paraId="0B9496FD">
            <w:pPr>
              <w:spacing w:line="360" w:lineRule="auto"/>
              <w:rPr>
                <w:color w:val="000000" w:themeColor="text1"/>
                <w:sz w:val="24"/>
                <w:highlight w:val="none"/>
                <w14:textFill>
                  <w14:solidFill>
                    <w14:schemeClr w14:val="tx1"/>
                  </w14:solidFill>
                </w14:textFill>
              </w:rPr>
            </w:pPr>
          </w:p>
        </w:tc>
        <w:tc>
          <w:tcPr>
            <w:tcW w:w="3119" w:type="dxa"/>
            <w:vAlign w:val="center"/>
          </w:tcPr>
          <w:p w14:paraId="5E710DBF">
            <w:pPr>
              <w:spacing w:line="360" w:lineRule="auto"/>
              <w:rPr>
                <w:color w:val="000000" w:themeColor="text1"/>
                <w:sz w:val="24"/>
                <w:highlight w:val="none"/>
                <w14:textFill>
                  <w14:solidFill>
                    <w14:schemeClr w14:val="tx1"/>
                  </w14:solidFill>
                </w14:textFill>
              </w:rPr>
            </w:pPr>
          </w:p>
        </w:tc>
        <w:tc>
          <w:tcPr>
            <w:tcW w:w="992" w:type="dxa"/>
            <w:vAlign w:val="center"/>
          </w:tcPr>
          <w:p w14:paraId="32294E2D">
            <w:pPr>
              <w:spacing w:line="360" w:lineRule="auto"/>
              <w:rPr>
                <w:color w:val="000000" w:themeColor="text1"/>
                <w:sz w:val="24"/>
                <w:highlight w:val="none"/>
                <w14:textFill>
                  <w14:solidFill>
                    <w14:schemeClr w14:val="tx1"/>
                  </w14:solidFill>
                </w14:textFill>
              </w:rPr>
            </w:pPr>
          </w:p>
        </w:tc>
        <w:tc>
          <w:tcPr>
            <w:tcW w:w="992" w:type="dxa"/>
            <w:vAlign w:val="center"/>
          </w:tcPr>
          <w:p w14:paraId="75A8DC80">
            <w:pPr>
              <w:spacing w:line="360" w:lineRule="auto"/>
              <w:rPr>
                <w:color w:val="000000" w:themeColor="text1"/>
                <w:sz w:val="24"/>
                <w:highlight w:val="none"/>
                <w14:textFill>
                  <w14:solidFill>
                    <w14:schemeClr w14:val="tx1"/>
                  </w14:solidFill>
                </w14:textFill>
              </w:rPr>
            </w:pPr>
          </w:p>
        </w:tc>
        <w:tc>
          <w:tcPr>
            <w:tcW w:w="1134" w:type="dxa"/>
            <w:vAlign w:val="center"/>
          </w:tcPr>
          <w:p w14:paraId="6A2017A1">
            <w:pPr>
              <w:spacing w:line="360" w:lineRule="auto"/>
              <w:rPr>
                <w:color w:val="000000" w:themeColor="text1"/>
                <w:sz w:val="24"/>
                <w:highlight w:val="none"/>
                <w14:textFill>
                  <w14:solidFill>
                    <w14:schemeClr w14:val="tx1"/>
                  </w14:solidFill>
                </w14:textFill>
              </w:rPr>
            </w:pPr>
          </w:p>
        </w:tc>
        <w:tc>
          <w:tcPr>
            <w:tcW w:w="992" w:type="dxa"/>
            <w:vAlign w:val="center"/>
          </w:tcPr>
          <w:p w14:paraId="6C376283">
            <w:pPr>
              <w:spacing w:line="360" w:lineRule="auto"/>
              <w:rPr>
                <w:color w:val="000000" w:themeColor="text1"/>
                <w:sz w:val="24"/>
                <w:highlight w:val="none"/>
                <w14:textFill>
                  <w14:solidFill>
                    <w14:schemeClr w14:val="tx1"/>
                  </w14:solidFill>
                </w14:textFill>
              </w:rPr>
            </w:pPr>
          </w:p>
        </w:tc>
        <w:tc>
          <w:tcPr>
            <w:tcW w:w="709" w:type="dxa"/>
            <w:vAlign w:val="center"/>
          </w:tcPr>
          <w:p w14:paraId="23CB326E">
            <w:pPr>
              <w:spacing w:line="360" w:lineRule="auto"/>
              <w:rPr>
                <w:color w:val="000000" w:themeColor="text1"/>
                <w:sz w:val="24"/>
                <w:highlight w:val="none"/>
                <w14:textFill>
                  <w14:solidFill>
                    <w14:schemeClr w14:val="tx1"/>
                  </w14:solidFill>
                </w14:textFill>
              </w:rPr>
            </w:pPr>
          </w:p>
        </w:tc>
      </w:tr>
      <w:tr w14:paraId="5C76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bottom w:val="single" w:color="auto" w:sz="4" w:space="0"/>
            </w:tcBorders>
            <w:vAlign w:val="center"/>
          </w:tcPr>
          <w:p w14:paraId="36A469AB">
            <w:pPr>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合计人民币：大写                               小写</w:t>
            </w:r>
          </w:p>
        </w:tc>
      </w:tr>
    </w:tbl>
    <w:p w14:paraId="4F3E43B5">
      <w:pP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要求：</w:t>
      </w:r>
    </w:p>
    <w:p w14:paraId="22B86760">
      <w:pPr>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14:paraId="17628194">
      <w:pPr>
        <w:ind w:firstLine="420" w:firstLineChars="200"/>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14:paraId="3911CAFB">
      <w:pPr>
        <w:ind w:firstLine="420" w:firstLineChars="200"/>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3.</w:t>
      </w:r>
      <w:r>
        <w:rPr>
          <w:color w:val="000000" w:themeColor="text1"/>
          <w:szCs w:val="21"/>
          <w:highlight w:val="none"/>
          <w:lang w:val="zh-CN"/>
          <w14:textFill>
            <w14:solidFill>
              <w14:schemeClr w14:val="tx1"/>
            </w14:solidFill>
          </w14:textFill>
        </w:rPr>
        <w:t xml:space="preserve">投标报价明细表所填内容按招标文件采购设备清单要求为准。如有漏报的，视同已包含在投标总价内或已作优惠处理。有重大缺项的将作无效标处理。 </w:t>
      </w:r>
    </w:p>
    <w:p w14:paraId="7AA4CC35">
      <w:pPr>
        <w:spacing w:line="360" w:lineRule="auto"/>
        <w:ind w:left="420"/>
        <w:rPr>
          <w:color w:val="000000" w:themeColor="text1"/>
          <w:kern w:val="0"/>
          <w:sz w:val="24"/>
          <w:highlight w:val="none"/>
          <w14:textFill>
            <w14:solidFill>
              <w14:schemeClr w14:val="tx1"/>
            </w14:solidFill>
          </w14:textFill>
        </w:rPr>
      </w:pPr>
    </w:p>
    <w:p w14:paraId="1F3B02F8">
      <w:pPr>
        <w:spacing w:line="360" w:lineRule="auto"/>
        <w:ind w:left="42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磋商供应商名称（盖章）：</w:t>
      </w:r>
    </w:p>
    <w:p w14:paraId="35EDA55B">
      <w:pPr>
        <w:spacing w:line="360" w:lineRule="auto"/>
        <w:ind w:left="420"/>
        <w:rPr>
          <w:color w:val="000000" w:themeColor="text1"/>
          <w:sz w:val="24"/>
          <w:highlight w:val="none"/>
          <w14:textFill>
            <w14:solidFill>
              <w14:schemeClr w14:val="tx1"/>
            </w14:solidFill>
          </w14:textFill>
        </w:rPr>
      </w:pPr>
    </w:p>
    <w:p w14:paraId="78ED75E9">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磋商供应商代表签字或盖章：</w:t>
      </w:r>
    </w:p>
    <w:p w14:paraId="48D17463">
      <w:pPr>
        <w:spacing w:line="360" w:lineRule="auto"/>
        <w:ind w:firstLine="435"/>
        <w:rPr>
          <w:b/>
          <w:color w:val="000000" w:themeColor="text1"/>
          <w:sz w:val="28"/>
          <w:highlight w:val="none"/>
          <w14:textFill>
            <w14:solidFill>
              <w14:schemeClr w14:val="tx1"/>
            </w14:solidFill>
          </w14:textFill>
        </w:rPr>
      </w:pPr>
      <w:r>
        <w:rPr>
          <w:color w:val="000000" w:themeColor="text1"/>
          <w:sz w:val="24"/>
          <w:highlight w:val="none"/>
          <w14:textFill>
            <w14:solidFill>
              <w14:schemeClr w14:val="tx1"/>
            </w14:solidFill>
          </w14:textFill>
        </w:rPr>
        <w:t>职        务：</w:t>
      </w:r>
    </w:p>
    <w:p w14:paraId="266AE6D6">
      <w:pPr>
        <w:spacing w:line="360" w:lineRule="auto"/>
        <w:ind w:firstLine="43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        期：</w:t>
      </w:r>
    </w:p>
    <w:p w14:paraId="6E2676A8">
      <w:pPr>
        <w:pStyle w:val="13"/>
        <w:rPr>
          <w:highlight w:val="none"/>
        </w:rPr>
      </w:pPr>
    </w:p>
    <w:p w14:paraId="54A2FFD8">
      <w:pPr>
        <w:spacing w:line="360" w:lineRule="auto"/>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附件14</w:t>
      </w:r>
    </w:p>
    <w:p w14:paraId="0C3DE234">
      <w:pPr>
        <w:pStyle w:val="65"/>
        <w:spacing w:after="0" w:line="360" w:lineRule="auto"/>
        <w:jc w:val="center"/>
        <w:rPr>
          <w:b/>
          <w:sz w:val="28"/>
          <w:szCs w:val="28"/>
          <w:highlight w:val="none"/>
        </w:rPr>
      </w:pPr>
      <w:r>
        <w:rPr>
          <w:b/>
          <w:sz w:val="28"/>
          <w:szCs w:val="28"/>
          <w:highlight w:val="none"/>
        </w:rPr>
        <w:t xml:space="preserve">中小企业声明函（工程、服务） </w:t>
      </w:r>
    </w:p>
    <w:p w14:paraId="3D1BAB79">
      <w:pPr>
        <w:spacing w:line="360" w:lineRule="auto"/>
        <w:ind w:firstLine="480" w:firstLineChars="200"/>
        <w:rPr>
          <w:sz w:val="24"/>
          <w:highlight w:val="none"/>
        </w:rPr>
      </w:pPr>
      <w:r>
        <w:rPr>
          <w:sz w:val="24"/>
          <w:highlight w:val="none"/>
        </w:rPr>
        <w:t xml:space="preserve">本公司（联合体）郑重声明，根据《政府采购促进中小企业发展管理办法》（财库﹝2020﹞46 号）的规定，本公司（联合体）参加 </w:t>
      </w:r>
      <w:r>
        <w:rPr>
          <w:sz w:val="24"/>
          <w:highlight w:val="none"/>
          <w:u w:val="single"/>
        </w:rPr>
        <w:t>（单位名称）</w:t>
      </w:r>
      <w:r>
        <w:rPr>
          <w:sz w:val="24"/>
          <w:highlight w:val="none"/>
        </w:rPr>
        <w:t xml:space="preserve"> 的 </w:t>
      </w:r>
      <w:r>
        <w:rPr>
          <w:sz w:val="24"/>
          <w:highlight w:val="none"/>
          <w:u w:val="single"/>
        </w:rPr>
        <w:t>（项目名称）</w:t>
      </w:r>
      <w:r>
        <w:rPr>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98E1ED7">
      <w:pPr>
        <w:spacing w:line="360" w:lineRule="auto"/>
        <w:ind w:firstLine="480" w:firstLineChars="200"/>
        <w:rPr>
          <w:sz w:val="24"/>
          <w:highlight w:val="none"/>
        </w:rPr>
      </w:pPr>
      <w:r>
        <w:rPr>
          <w:sz w:val="24"/>
          <w:highlight w:val="none"/>
        </w:rPr>
        <w:t xml:space="preserve">1.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0C420ECD">
      <w:pPr>
        <w:spacing w:line="360" w:lineRule="auto"/>
        <w:ind w:firstLine="480" w:firstLineChars="200"/>
        <w:rPr>
          <w:sz w:val="24"/>
          <w:highlight w:val="none"/>
        </w:rPr>
      </w:pPr>
      <w:r>
        <w:rPr>
          <w:sz w:val="24"/>
          <w:highlight w:val="none"/>
        </w:rPr>
        <w:t xml:space="preserve">2. </w:t>
      </w:r>
      <w:r>
        <w:rPr>
          <w:sz w:val="24"/>
          <w:highlight w:val="none"/>
          <w:u w:val="single"/>
        </w:rPr>
        <w:t>（标的名称）</w:t>
      </w:r>
      <w:r>
        <w:rPr>
          <w:sz w:val="24"/>
          <w:highlight w:val="none"/>
        </w:rPr>
        <w:t xml:space="preserve"> ，属于 </w:t>
      </w:r>
      <w:r>
        <w:rPr>
          <w:sz w:val="24"/>
          <w:highlight w:val="none"/>
          <w:u w:val="single"/>
        </w:rPr>
        <w:t>（采购文件中明确的所属行业）</w:t>
      </w:r>
      <w:r>
        <w:rPr>
          <w:sz w:val="24"/>
          <w:highlight w:val="none"/>
        </w:rPr>
        <w:t xml:space="preserve"> ；承建（承接）企业为</w:t>
      </w:r>
      <w:r>
        <w:rPr>
          <w:sz w:val="24"/>
          <w:highlight w:val="none"/>
          <w:u w:val="single"/>
        </w:rPr>
        <w:t xml:space="preserve"> （企业名称）</w:t>
      </w:r>
      <w:r>
        <w:rPr>
          <w:sz w:val="24"/>
          <w:highlight w:val="none"/>
        </w:rPr>
        <w:t xml:space="preserve"> ，从业人员人，营业收入为万元，资产总额为万元 ，属于</w:t>
      </w:r>
      <w:r>
        <w:rPr>
          <w:sz w:val="24"/>
          <w:highlight w:val="none"/>
          <w:u w:val="single"/>
        </w:rPr>
        <w:t xml:space="preserve"> （中型企业、小型企业、微型企业） </w:t>
      </w:r>
      <w:r>
        <w:rPr>
          <w:sz w:val="24"/>
          <w:highlight w:val="none"/>
        </w:rPr>
        <w:t>；</w:t>
      </w:r>
    </w:p>
    <w:p w14:paraId="5D3E8924">
      <w:pPr>
        <w:spacing w:line="360" w:lineRule="auto"/>
        <w:ind w:firstLine="480" w:firstLineChars="200"/>
        <w:rPr>
          <w:sz w:val="24"/>
          <w:highlight w:val="none"/>
        </w:rPr>
      </w:pPr>
      <w:r>
        <w:rPr>
          <w:sz w:val="24"/>
          <w:highlight w:val="none"/>
        </w:rPr>
        <w:t>……</w:t>
      </w:r>
    </w:p>
    <w:p w14:paraId="43200C89">
      <w:pPr>
        <w:spacing w:line="360" w:lineRule="auto"/>
        <w:ind w:firstLine="480" w:firstLineChars="200"/>
        <w:rPr>
          <w:sz w:val="24"/>
          <w:highlight w:val="none"/>
        </w:rPr>
      </w:pPr>
      <w:r>
        <w:rPr>
          <w:sz w:val="24"/>
          <w:highlight w:val="none"/>
        </w:rPr>
        <w:t>以上企业，不属于大企业的分支机构，不存在控股股东为大企业的情形，也不存在与大企业的负责人为同一人的情形。</w:t>
      </w:r>
    </w:p>
    <w:p w14:paraId="3F8DB12C">
      <w:pPr>
        <w:spacing w:line="360" w:lineRule="auto"/>
        <w:ind w:firstLine="480" w:firstLineChars="200"/>
        <w:rPr>
          <w:sz w:val="24"/>
          <w:highlight w:val="none"/>
        </w:rPr>
      </w:pPr>
      <w:r>
        <w:rPr>
          <w:sz w:val="24"/>
          <w:highlight w:val="none"/>
        </w:rPr>
        <w:t>本企业对上述声明内容的真实性负责。如有虚假，将依法承担相应责任。</w:t>
      </w:r>
    </w:p>
    <w:p w14:paraId="39D2B0D0">
      <w:pPr>
        <w:spacing w:line="360" w:lineRule="auto"/>
        <w:jc w:val="center"/>
        <w:rPr>
          <w:sz w:val="24"/>
          <w:highlight w:val="none"/>
        </w:rPr>
      </w:pPr>
    </w:p>
    <w:p w14:paraId="62D5EE82">
      <w:pPr>
        <w:spacing w:line="360" w:lineRule="auto"/>
        <w:ind w:right="960"/>
        <w:jc w:val="right"/>
        <w:rPr>
          <w:sz w:val="24"/>
          <w:highlight w:val="none"/>
        </w:rPr>
      </w:pPr>
      <w:r>
        <w:rPr>
          <w:sz w:val="24"/>
          <w:highlight w:val="none"/>
        </w:rPr>
        <w:t>企业名称（盖章）：</w:t>
      </w:r>
    </w:p>
    <w:p w14:paraId="442BCDFD">
      <w:pPr>
        <w:spacing w:line="360" w:lineRule="auto"/>
        <w:ind w:right="960" w:firstLine="5760" w:firstLineChars="2400"/>
        <w:rPr>
          <w:sz w:val="24"/>
          <w:highlight w:val="none"/>
        </w:rPr>
      </w:pPr>
      <w:r>
        <w:rPr>
          <w:sz w:val="24"/>
          <w:highlight w:val="none"/>
        </w:rPr>
        <w:t>日 期：</w:t>
      </w:r>
    </w:p>
    <w:p w14:paraId="5F8A37CD">
      <w:pPr>
        <w:pStyle w:val="13"/>
        <w:rPr>
          <w:highlight w:val="none"/>
        </w:rPr>
      </w:pPr>
    </w:p>
    <w:p w14:paraId="548BABF5">
      <w:pPr>
        <w:spacing w:line="360" w:lineRule="auto"/>
        <w:ind w:firstLine="420" w:firstLineChars="200"/>
        <w:rPr>
          <w:b/>
          <w:color w:val="000000" w:themeColor="text1"/>
          <w:sz w:val="32"/>
          <w:szCs w:val="32"/>
          <w:highlight w:val="none"/>
          <w:lang w:val="en-GB"/>
          <w14:textFill>
            <w14:solidFill>
              <w14:schemeClr w14:val="tx1"/>
            </w14:solidFill>
          </w14:textFill>
        </w:rPr>
      </w:pPr>
      <w:r>
        <w:rPr>
          <w:szCs w:val="21"/>
          <w:highlight w:val="none"/>
        </w:rPr>
        <w:t>注：从业人员、营业收入、资产总额填报上一年度数据，无上一年度数据的新成立企业可不填报。</w:t>
      </w:r>
    </w:p>
    <w:p w14:paraId="0D50B2D8">
      <w:pPr>
        <w:pStyle w:val="13"/>
        <w:rPr>
          <w:b/>
          <w:bCs/>
          <w:highlight w:val="none"/>
          <w:lang w:val="en-GB"/>
        </w:rPr>
      </w:pPr>
      <w:bookmarkStart w:id="53" w:name="_Hlk95221926"/>
      <w:r>
        <w:rPr>
          <w:b/>
          <w:bCs/>
          <w:highlight w:val="none"/>
          <w:lang w:val="en-GB"/>
        </w:rPr>
        <w:t>小微企业请规范如实填写，否则不予认可。</w:t>
      </w:r>
      <w:bookmarkEnd w:id="53"/>
    </w:p>
    <w:p w14:paraId="6BE9BDF7">
      <w:pPr>
        <w:spacing w:line="360" w:lineRule="auto"/>
        <w:ind w:left="-2" w:hanging="2"/>
        <w:jc w:val="center"/>
        <w:rPr>
          <w:b/>
          <w:color w:val="000000" w:themeColor="text1"/>
          <w:sz w:val="32"/>
          <w:szCs w:val="32"/>
          <w:highlight w:val="none"/>
          <w:lang w:val="en-GB"/>
          <w14:textFill>
            <w14:solidFill>
              <w14:schemeClr w14:val="tx1"/>
            </w14:solidFill>
          </w14:textFill>
        </w:rPr>
      </w:pPr>
    </w:p>
    <w:p w14:paraId="0129A119">
      <w:pPr>
        <w:spacing w:line="360" w:lineRule="auto"/>
        <w:ind w:left="-2" w:hanging="2"/>
        <w:jc w:val="center"/>
        <w:rPr>
          <w:b/>
          <w:color w:val="000000" w:themeColor="text1"/>
          <w:sz w:val="32"/>
          <w:szCs w:val="32"/>
          <w:highlight w:val="none"/>
          <w:lang w:val="en-GB"/>
          <w14:textFill>
            <w14:solidFill>
              <w14:schemeClr w14:val="tx1"/>
            </w14:solidFill>
          </w14:textFill>
        </w:rPr>
      </w:pPr>
      <w:r>
        <w:rPr>
          <w:b/>
          <w:color w:val="000000" w:themeColor="text1"/>
          <w:sz w:val="32"/>
          <w:szCs w:val="32"/>
          <w:highlight w:val="none"/>
          <w:lang w:val="en-GB"/>
          <w14:textFill>
            <w14:solidFill>
              <w14:schemeClr w14:val="tx1"/>
            </w14:solidFill>
          </w14:textFill>
        </w:rPr>
        <w:t>残疾人福利性单位声明函</w:t>
      </w:r>
    </w:p>
    <w:p w14:paraId="3515F3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6184CA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本单位对上述声明的真实性负责。如有虚假，将依法承担相应责任。</w:t>
      </w:r>
    </w:p>
    <w:p w14:paraId="0D4249A0">
      <w:pPr>
        <w:spacing w:line="360" w:lineRule="auto"/>
        <w:ind w:firstLine="480" w:firstLineChars="200"/>
        <w:rPr>
          <w:color w:val="000000" w:themeColor="text1"/>
          <w:sz w:val="24"/>
          <w:highlight w:val="none"/>
          <w14:textFill>
            <w14:solidFill>
              <w14:schemeClr w14:val="tx1"/>
            </w14:solidFill>
          </w14:textFill>
        </w:rPr>
      </w:pPr>
    </w:p>
    <w:p w14:paraId="430F46DE">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3C1E9CA3">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7D6BDD3F">
      <w:pPr>
        <w:pStyle w:val="16"/>
        <w:spacing w:line="312" w:lineRule="auto"/>
        <w:ind w:firstLine="964"/>
        <w:jc w:val="center"/>
        <w:outlineLvl w:val="1"/>
        <w:rPr>
          <w:rFonts w:ascii="Times New Roman" w:hAnsi="Times New Roman"/>
          <w:b/>
          <w:sz w:val="32"/>
          <w:szCs w:val="32"/>
          <w:highlight w:val="none"/>
          <w:lang w:val="en-GB"/>
        </w:rPr>
      </w:pPr>
    </w:p>
    <w:p w14:paraId="2E13B765">
      <w:pPr>
        <w:pStyle w:val="16"/>
        <w:spacing w:line="312" w:lineRule="auto"/>
        <w:ind w:firstLine="964"/>
        <w:jc w:val="center"/>
        <w:outlineLvl w:val="1"/>
        <w:rPr>
          <w:rFonts w:ascii="Times New Roman" w:hAnsi="Times New Roman"/>
          <w:b/>
          <w:sz w:val="32"/>
          <w:szCs w:val="32"/>
          <w:highlight w:val="none"/>
          <w:lang w:val="en-GB"/>
        </w:rPr>
      </w:pPr>
    </w:p>
    <w:p w14:paraId="456F5AC2">
      <w:pPr>
        <w:pStyle w:val="6"/>
        <w:ind w:firstLine="643"/>
        <w:jc w:val="center"/>
        <w:rPr>
          <w:rFonts w:ascii="Times New Roman" w:eastAsia="宋体" w:cs="Times New Roman"/>
          <w:bCs w:val="0"/>
          <w:color w:val="000000" w:themeColor="text1"/>
          <w:sz w:val="32"/>
          <w:szCs w:val="32"/>
          <w:highlight w:val="none"/>
          <w:lang w:val="en-GB"/>
          <w14:textFill>
            <w14:solidFill>
              <w14:schemeClr w14:val="tx1"/>
            </w14:solidFill>
          </w14:textFill>
        </w:rPr>
      </w:pPr>
      <w:r>
        <w:rPr>
          <w:rFonts w:ascii="Times New Roman" w:eastAsia="宋体" w:cs="Times New Roman"/>
          <w:bCs w:val="0"/>
          <w:color w:val="000000" w:themeColor="text1"/>
          <w:sz w:val="32"/>
          <w:szCs w:val="32"/>
          <w:highlight w:val="none"/>
          <w:lang w:val="en-GB"/>
          <w14:textFill>
            <w14:solidFill>
              <w14:schemeClr w14:val="tx1"/>
            </w14:solidFill>
          </w14:textFill>
        </w:rPr>
        <w:t>监狱企业资格证明材料</w:t>
      </w:r>
    </w:p>
    <w:p w14:paraId="5BF99FBD">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（省级以上监狱管理局、戒毒管理局（含新疆生产建设兵团）出具的属于监狱企业的证明文件）</w:t>
      </w:r>
    </w:p>
    <w:p w14:paraId="1271F8A5">
      <w:pPr>
        <w:ind w:firstLine="480"/>
        <w:rPr>
          <w:color w:val="000000" w:themeColor="text1"/>
          <w:sz w:val="24"/>
          <w:highlight w:val="none"/>
          <w14:textFill>
            <w14:solidFill>
              <w14:schemeClr w14:val="tx1"/>
            </w14:solidFill>
          </w14:textFill>
        </w:rPr>
      </w:pPr>
    </w:p>
    <w:p w14:paraId="395C8365">
      <w:pPr>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说明：根据财库[2014]68号的相关规定，监狱企业视同小型、微型企业。</w:t>
      </w:r>
    </w:p>
    <w:p w14:paraId="2D298F09">
      <w:pPr>
        <w:pStyle w:val="16"/>
        <w:spacing w:line="312" w:lineRule="auto"/>
        <w:ind w:firstLine="964"/>
        <w:jc w:val="center"/>
        <w:outlineLvl w:val="1"/>
        <w:rPr>
          <w:rFonts w:ascii="Times New Roman" w:hAnsi="Times New Roman"/>
          <w:b/>
          <w:sz w:val="32"/>
          <w:szCs w:val="32"/>
          <w:highlight w:val="none"/>
        </w:rPr>
      </w:pPr>
    </w:p>
    <w:p w14:paraId="2E6121D7">
      <w:pPr>
        <w:spacing w:line="360" w:lineRule="auto"/>
        <w:ind w:firstLine="2880" w:firstLineChars="1200"/>
        <w:rPr>
          <w:color w:val="000000" w:themeColor="text1"/>
          <w:sz w:val="24"/>
          <w:szCs w:val="32"/>
          <w:highlight w:val="none"/>
          <w14:textFill>
            <w14:solidFill>
              <w14:schemeClr w14:val="tx1"/>
            </w14:solidFill>
          </w14:textFill>
        </w:rPr>
      </w:pPr>
      <w:r>
        <w:rPr>
          <w:color w:val="000000" w:themeColor="text1"/>
          <w:sz w:val="24"/>
          <w:szCs w:val="32"/>
          <w:highlight w:val="none"/>
          <w14:textFill>
            <w14:solidFill>
              <w14:schemeClr w14:val="tx1"/>
            </w14:solidFill>
          </w14:textFill>
        </w:rPr>
        <w:t>单位名称（单位公章）：</w:t>
      </w:r>
    </w:p>
    <w:p w14:paraId="5F5BF937">
      <w:pPr>
        <w:pStyle w:val="65"/>
        <w:spacing w:line="360" w:lineRule="auto"/>
        <w:ind w:left="4253" w:leftChars="2025" w:right="360"/>
        <w:jc w:val="right"/>
        <w:rPr>
          <w:color w:val="000000" w:themeColor="text1"/>
          <w:sz w:val="24"/>
          <w:highlight w:val="none"/>
          <w14:textFill>
            <w14:solidFill>
              <w14:schemeClr w14:val="tx1"/>
            </w14:solidFill>
          </w14:textFill>
        </w:rPr>
      </w:pPr>
      <w:r>
        <w:rPr>
          <w:color w:val="000000" w:themeColor="text1"/>
          <w:sz w:val="24"/>
          <w:szCs w:val="32"/>
          <w:highlight w:val="none"/>
          <w14:textFill>
            <w14:solidFill>
              <w14:schemeClr w14:val="tx1"/>
            </w14:solidFill>
          </w14:textFill>
        </w:rPr>
        <w:t xml:space="preserve">日期：  </w:t>
      </w:r>
      <w:r>
        <w:rPr>
          <w:color w:val="000000" w:themeColor="text1"/>
          <w:sz w:val="24"/>
          <w:highlight w:val="none"/>
          <w14:textFill>
            <w14:solidFill>
              <w14:schemeClr w14:val="tx1"/>
            </w14:solidFill>
          </w14:textFill>
        </w:rPr>
        <w:t>年  月  日</w:t>
      </w:r>
    </w:p>
    <w:p w14:paraId="66749117">
      <w:pPr>
        <w:spacing w:line="288" w:lineRule="auto"/>
        <w:ind w:firstLine="506"/>
        <w:jc w:val="left"/>
        <w:rPr>
          <w:b/>
          <w:spacing w:val="6"/>
          <w:highlight w:val="none"/>
        </w:rPr>
      </w:pPr>
    </w:p>
    <w:p w14:paraId="20EEFE97">
      <w:pPr>
        <w:autoSpaceDE w:val="0"/>
        <w:autoSpaceDN w:val="0"/>
        <w:adjustRightInd w:val="0"/>
        <w:spacing w:line="380" w:lineRule="exact"/>
        <w:jc w:val="left"/>
        <w:rPr>
          <w:b/>
          <w:bCs/>
          <w:color w:val="000000" w:themeColor="text1"/>
          <w:kern w:val="0"/>
          <w:sz w:val="24"/>
          <w:highlight w:val="none"/>
          <w14:textFill>
            <w14:solidFill>
              <w14:schemeClr w14:val="tx1"/>
            </w14:solidFill>
          </w14:textFill>
        </w:rPr>
      </w:pPr>
    </w:p>
    <w:p w14:paraId="0BA9BB87">
      <w:pPr>
        <w:pStyle w:val="2"/>
        <w:ind w:firstLine="560"/>
        <w:rPr>
          <w:rFonts w:ascii="Times New Roman" w:hAnsi="Times New Roman" w:cs="Times New Roman"/>
          <w:highlight w:val="none"/>
        </w:rPr>
      </w:pPr>
    </w:p>
    <w:p w14:paraId="098BE743">
      <w:pPr>
        <w:autoSpaceDE w:val="0"/>
        <w:autoSpaceDN w:val="0"/>
        <w:adjustRightInd w:val="0"/>
        <w:spacing w:line="380" w:lineRule="exact"/>
        <w:ind w:firstLine="2650" w:firstLineChars="1100"/>
        <w:jc w:val="left"/>
        <w:rPr>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政府采购活动现场确认声明书</w:t>
      </w:r>
    </w:p>
    <w:p w14:paraId="5733B82D">
      <w:pPr>
        <w:autoSpaceDE w:val="0"/>
        <w:autoSpaceDN w:val="0"/>
        <w:adjustRightInd w:val="0"/>
        <w:spacing w:after="0" w:line="336" w:lineRule="auto"/>
        <w:jc w:val="left"/>
        <w:rPr>
          <w:kern w:val="0"/>
          <w:szCs w:val="21"/>
          <w:highlight w:val="none"/>
        </w:rPr>
      </w:pPr>
      <w:r>
        <w:rPr>
          <w:kern w:val="0"/>
          <w:szCs w:val="21"/>
          <w:highlight w:val="none"/>
        </w:rPr>
        <w:t>台州蔚蓝投资咨询有限公司：</w:t>
      </w:r>
    </w:p>
    <w:p w14:paraId="762D7115">
      <w:pPr>
        <w:autoSpaceDE w:val="0"/>
        <w:autoSpaceDN w:val="0"/>
        <w:adjustRightInd w:val="0"/>
        <w:spacing w:after="0" w:line="336" w:lineRule="auto"/>
        <w:ind w:firstLine="420"/>
        <w:jc w:val="left"/>
        <w:rPr>
          <w:kern w:val="0"/>
          <w:szCs w:val="21"/>
          <w:highlight w:val="none"/>
        </w:rPr>
      </w:pPr>
      <w:r>
        <w:rPr>
          <w:kern w:val="0"/>
          <w:szCs w:val="21"/>
          <w:highlight w:val="none"/>
        </w:rPr>
        <w:t>本人</w:t>
      </w:r>
      <w:r>
        <w:rPr>
          <w:kern w:val="0"/>
          <w:szCs w:val="21"/>
          <w:highlight w:val="none"/>
          <w:u w:val="single"/>
        </w:rPr>
        <w:t xml:space="preserve">             </w:t>
      </w:r>
      <w:r>
        <w:rPr>
          <w:kern w:val="0"/>
          <w:szCs w:val="21"/>
          <w:highlight w:val="none"/>
        </w:rPr>
        <w:t>（授权代表姓名），经由</w:t>
      </w:r>
      <w:r>
        <w:rPr>
          <w:kern w:val="0"/>
          <w:szCs w:val="21"/>
          <w:highlight w:val="none"/>
          <w:u w:val="single"/>
        </w:rPr>
        <w:t xml:space="preserve">                            </w:t>
      </w:r>
      <w:r>
        <w:rPr>
          <w:kern w:val="0"/>
          <w:szCs w:val="21"/>
          <w:highlight w:val="none"/>
        </w:rPr>
        <w:t>（单位）__________（法定代表人姓名）合法授权参加</w:t>
      </w:r>
      <w:r>
        <w:rPr>
          <w:kern w:val="0"/>
          <w:szCs w:val="21"/>
          <w:highlight w:val="none"/>
          <w:u w:val="single"/>
        </w:rPr>
        <w:t xml:space="preserve">                </w:t>
      </w:r>
      <w:r>
        <w:rPr>
          <w:kern w:val="0"/>
          <w:szCs w:val="21"/>
          <w:highlight w:val="none"/>
        </w:rPr>
        <w:t>项目（编号：WLCG-2024-CS046号）政府采购活动，经与本单位法人代表（负责人）联系确认，现就有关公平竞争事项郑重声明如下：</w:t>
      </w:r>
    </w:p>
    <w:p w14:paraId="4858318F">
      <w:pPr>
        <w:autoSpaceDE w:val="0"/>
        <w:autoSpaceDN w:val="0"/>
        <w:adjustRightInd w:val="0"/>
        <w:spacing w:after="0" w:line="336" w:lineRule="auto"/>
        <w:jc w:val="left"/>
        <w:rPr>
          <w:kern w:val="0"/>
          <w:szCs w:val="21"/>
          <w:highlight w:val="none"/>
        </w:rPr>
      </w:pPr>
      <w:r>
        <w:rPr>
          <w:kern w:val="0"/>
          <w:szCs w:val="21"/>
          <w:highlight w:val="none"/>
        </w:rPr>
        <w:t>一、本单位与采购人之间 □不存在利害关系 □存在下列利害关系 ：</w:t>
      </w:r>
    </w:p>
    <w:p w14:paraId="7A720965">
      <w:pPr>
        <w:autoSpaceDE w:val="0"/>
        <w:autoSpaceDN w:val="0"/>
        <w:adjustRightInd w:val="0"/>
        <w:spacing w:after="0" w:line="336" w:lineRule="auto"/>
        <w:jc w:val="left"/>
        <w:rPr>
          <w:kern w:val="0"/>
          <w:szCs w:val="21"/>
          <w:highlight w:val="none"/>
        </w:rPr>
      </w:pPr>
      <w:r>
        <w:rPr>
          <w:kern w:val="0"/>
          <w:szCs w:val="21"/>
          <w:highlight w:val="none"/>
        </w:rPr>
        <w:t>A. 投资关系 B. 行政隶属关系 C. 业务指导关系</w:t>
      </w:r>
    </w:p>
    <w:p w14:paraId="03DF6EB7">
      <w:pPr>
        <w:autoSpaceDE w:val="0"/>
        <w:autoSpaceDN w:val="0"/>
        <w:adjustRightInd w:val="0"/>
        <w:spacing w:after="0" w:line="336" w:lineRule="auto"/>
        <w:jc w:val="left"/>
        <w:rPr>
          <w:kern w:val="0"/>
          <w:szCs w:val="21"/>
          <w:highlight w:val="none"/>
        </w:rPr>
      </w:pPr>
      <w:r>
        <w:rPr>
          <w:kern w:val="0"/>
          <w:szCs w:val="21"/>
          <w:highlight w:val="none"/>
        </w:rPr>
        <w:t>D. 其他可能影响采购公正的利害关系（如有，请如实说明）。</w:t>
      </w:r>
    </w:p>
    <w:p w14:paraId="2DA7223F">
      <w:pPr>
        <w:autoSpaceDE w:val="0"/>
        <w:autoSpaceDN w:val="0"/>
        <w:adjustRightInd w:val="0"/>
        <w:spacing w:after="0" w:line="336" w:lineRule="auto"/>
        <w:jc w:val="left"/>
        <w:rPr>
          <w:kern w:val="0"/>
          <w:szCs w:val="21"/>
          <w:highlight w:val="none"/>
        </w:rPr>
      </w:pPr>
      <w:r>
        <w:rPr>
          <w:kern w:val="0"/>
          <w:szCs w:val="21"/>
          <w:highlight w:val="none"/>
        </w:rPr>
        <w:t xml:space="preserve"> 二、现已清楚知道参加本项目采购活动的其他所有供应商名称，本单位 □与其他所有供应商之间均不存在利害关系 □与</w:t>
      </w:r>
      <w:r>
        <w:rPr>
          <w:kern w:val="0"/>
          <w:szCs w:val="21"/>
          <w:highlight w:val="none"/>
          <w:u w:val="single"/>
        </w:rPr>
        <w:t xml:space="preserve">               </w:t>
      </w:r>
      <w:r>
        <w:rPr>
          <w:kern w:val="0"/>
          <w:szCs w:val="21"/>
          <w:highlight w:val="none"/>
        </w:rPr>
        <w:t xml:space="preserve"> （供应商名称）之间存在下列利害关系：</w:t>
      </w:r>
    </w:p>
    <w:p w14:paraId="7FD99476">
      <w:pPr>
        <w:autoSpaceDE w:val="0"/>
        <w:autoSpaceDN w:val="0"/>
        <w:adjustRightInd w:val="0"/>
        <w:spacing w:after="0" w:line="336" w:lineRule="auto"/>
        <w:jc w:val="left"/>
        <w:rPr>
          <w:kern w:val="0"/>
          <w:szCs w:val="21"/>
          <w:highlight w:val="none"/>
        </w:rPr>
      </w:pPr>
      <w:r>
        <w:rPr>
          <w:kern w:val="0"/>
          <w:szCs w:val="21"/>
          <w:highlight w:val="none"/>
        </w:rPr>
        <w:t>A. 法定代表人或负责人或实际控制人是同一人</w:t>
      </w:r>
    </w:p>
    <w:p w14:paraId="5921814E">
      <w:pPr>
        <w:autoSpaceDE w:val="0"/>
        <w:autoSpaceDN w:val="0"/>
        <w:adjustRightInd w:val="0"/>
        <w:spacing w:after="0" w:line="336" w:lineRule="auto"/>
        <w:jc w:val="left"/>
        <w:rPr>
          <w:kern w:val="0"/>
          <w:szCs w:val="21"/>
          <w:highlight w:val="none"/>
        </w:rPr>
      </w:pPr>
      <w:r>
        <w:rPr>
          <w:kern w:val="0"/>
          <w:szCs w:val="21"/>
          <w:highlight w:val="none"/>
        </w:rPr>
        <w:t>B. 法定代表人或负责人或实际控制人是夫妻关系</w:t>
      </w:r>
    </w:p>
    <w:p w14:paraId="756A72B6">
      <w:pPr>
        <w:autoSpaceDE w:val="0"/>
        <w:autoSpaceDN w:val="0"/>
        <w:adjustRightInd w:val="0"/>
        <w:spacing w:after="0" w:line="336" w:lineRule="auto"/>
        <w:jc w:val="left"/>
        <w:rPr>
          <w:kern w:val="0"/>
          <w:szCs w:val="21"/>
          <w:highlight w:val="none"/>
        </w:rPr>
      </w:pPr>
      <w:r>
        <w:rPr>
          <w:kern w:val="0"/>
          <w:szCs w:val="21"/>
          <w:highlight w:val="none"/>
        </w:rPr>
        <w:t>C. 法定代表人或负责人或实际控制人是直系血亲关系</w:t>
      </w:r>
    </w:p>
    <w:p w14:paraId="0FBFA71B">
      <w:pPr>
        <w:autoSpaceDE w:val="0"/>
        <w:autoSpaceDN w:val="0"/>
        <w:adjustRightInd w:val="0"/>
        <w:spacing w:after="0" w:line="336" w:lineRule="auto"/>
        <w:jc w:val="left"/>
        <w:rPr>
          <w:kern w:val="0"/>
          <w:szCs w:val="21"/>
          <w:highlight w:val="none"/>
        </w:rPr>
      </w:pPr>
      <w:r>
        <w:rPr>
          <w:kern w:val="0"/>
          <w:szCs w:val="21"/>
          <w:highlight w:val="none"/>
        </w:rPr>
        <w:t>D. 法定代表人或负责人或实际控制人存在三代以内旁系血亲关系</w:t>
      </w:r>
    </w:p>
    <w:p w14:paraId="467A7B5E">
      <w:pPr>
        <w:autoSpaceDE w:val="0"/>
        <w:autoSpaceDN w:val="0"/>
        <w:adjustRightInd w:val="0"/>
        <w:spacing w:after="0" w:line="336" w:lineRule="auto"/>
        <w:jc w:val="left"/>
        <w:rPr>
          <w:kern w:val="0"/>
          <w:szCs w:val="21"/>
          <w:highlight w:val="none"/>
        </w:rPr>
      </w:pPr>
      <w:r>
        <w:rPr>
          <w:kern w:val="0"/>
          <w:szCs w:val="21"/>
          <w:highlight w:val="none"/>
        </w:rPr>
        <w:t>E. 法定代表人或负责人或实际控制人存在近姻亲关系</w:t>
      </w:r>
    </w:p>
    <w:p w14:paraId="63DBA6B4">
      <w:pPr>
        <w:autoSpaceDE w:val="0"/>
        <w:autoSpaceDN w:val="0"/>
        <w:adjustRightInd w:val="0"/>
        <w:spacing w:after="0" w:line="336" w:lineRule="auto"/>
        <w:jc w:val="left"/>
        <w:rPr>
          <w:kern w:val="0"/>
          <w:szCs w:val="21"/>
          <w:highlight w:val="none"/>
        </w:rPr>
      </w:pPr>
      <w:r>
        <w:rPr>
          <w:kern w:val="0"/>
          <w:szCs w:val="21"/>
          <w:highlight w:val="none"/>
        </w:rPr>
        <w:t>F. 法定代表人或负责人或实际控制人存在股份控制或实际控制关系</w:t>
      </w:r>
    </w:p>
    <w:p w14:paraId="7C973442">
      <w:pPr>
        <w:autoSpaceDE w:val="0"/>
        <w:autoSpaceDN w:val="0"/>
        <w:adjustRightInd w:val="0"/>
        <w:spacing w:after="0" w:line="336" w:lineRule="auto"/>
        <w:jc w:val="left"/>
        <w:rPr>
          <w:kern w:val="0"/>
          <w:szCs w:val="21"/>
          <w:highlight w:val="none"/>
        </w:rPr>
      </w:pPr>
      <w:r>
        <w:rPr>
          <w:kern w:val="0"/>
          <w:szCs w:val="21"/>
          <w:highlight w:val="none"/>
        </w:rPr>
        <w:t>G. 存在共同直接或间接投资设立子公司、联营企业和合营企业情况</w:t>
      </w:r>
    </w:p>
    <w:p w14:paraId="4FBCC542">
      <w:pPr>
        <w:autoSpaceDE w:val="0"/>
        <w:autoSpaceDN w:val="0"/>
        <w:adjustRightInd w:val="0"/>
        <w:spacing w:after="0" w:line="336" w:lineRule="auto"/>
        <w:jc w:val="left"/>
        <w:rPr>
          <w:kern w:val="0"/>
          <w:szCs w:val="21"/>
          <w:highlight w:val="none"/>
        </w:rPr>
      </w:pPr>
      <w:r>
        <w:rPr>
          <w:kern w:val="0"/>
          <w:szCs w:val="21"/>
          <w:highlight w:val="none"/>
        </w:rPr>
        <w:t>H. 存在分级代理或代销关系、同一生产制造商关系、 管理关系、重要业务（占主营业务收入 50% 以上）或重要财务往来关系（如融资）等其他实质性控制关系</w:t>
      </w:r>
    </w:p>
    <w:p w14:paraId="17E8436E">
      <w:pPr>
        <w:autoSpaceDE w:val="0"/>
        <w:autoSpaceDN w:val="0"/>
        <w:adjustRightInd w:val="0"/>
        <w:spacing w:after="0" w:line="336" w:lineRule="auto"/>
        <w:jc w:val="left"/>
        <w:rPr>
          <w:kern w:val="0"/>
          <w:szCs w:val="21"/>
          <w:highlight w:val="none"/>
        </w:rPr>
      </w:pPr>
      <w:r>
        <w:rPr>
          <w:kern w:val="0"/>
          <w:szCs w:val="21"/>
          <w:highlight w:val="none"/>
        </w:rPr>
        <w:t xml:space="preserve">I . 其他利害关系情况 </w:t>
      </w:r>
      <w:r>
        <w:rPr>
          <w:kern w:val="0"/>
          <w:szCs w:val="21"/>
          <w:highlight w:val="none"/>
          <w:u w:val="single"/>
        </w:rPr>
        <w:t xml:space="preserve">                      </w:t>
      </w:r>
      <w:r>
        <w:rPr>
          <w:kern w:val="0"/>
          <w:szCs w:val="21"/>
          <w:highlight w:val="none"/>
        </w:rPr>
        <w:t>。</w:t>
      </w:r>
    </w:p>
    <w:p w14:paraId="446F8D41">
      <w:pPr>
        <w:autoSpaceDE w:val="0"/>
        <w:autoSpaceDN w:val="0"/>
        <w:adjustRightInd w:val="0"/>
        <w:spacing w:after="0" w:line="336" w:lineRule="auto"/>
        <w:jc w:val="left"/>
        <w:rPr>
          <w:kern w:val="0"/>
          <w:szCs w:val="21"/>
          <w:highlight w:val="none"/>
        </w:rPr>
      </w:pPr>
      <w:r>
        <w:rPr>
          <w:kern w:val="0"/>
          <w:szCs w:val="21"/>
          <w:highlight w:val="none"/>
        </w:rPr>
        <w:t>三、现已清楚知道并 严格遵守政府采购法律法规和现场纪律。</w:t>
      </w:r>
    </w:p>
    <w:p w14:paraId="068ADC98">
      <w:pPr>
        <w:autoSpaceDE w:val="0"/>
        <w:autoSpaceDN w:val="0"/>
        <w:adjustRightInd w:val="0"/>
        <w:spacing w:after="0" w:line="336" w:lineRule="auto"/>
        <w:jc w:val="left"/>
        <w:rPr>
          <w:kern w:val="0"/>
          <w:szCs w:val="21"/>
          <w:highlight w:val="none"/>
        </w:rPr>
      </w:pPr>
      <w:r>
        <w:rPr>
          <w:kern w:val="0"/>
          <w:szCs w:val="21"/>
          <w:highlight w:val="none"/>
        </w:rPr>
        <w:t>四、我发现</w:t>
      </w:r>
      <w:r>
        <w:rPr>
          <w:kern w:val="0"/>
          <w:szCs w:val="21"/>
          <w:highlight w:val="none"/>
          <w:u w:val="single"/>
        </w:rPr>
        <w:t xml:space="preserve">                  </w:t>
      </w:r>
      <w:r>
        <w:rPr>
          <w:kern w:val="0"/>
          <w:szCs w:val="21"/>
          <w:highlight w:val="none"/>
        </w:rPr>
        <w:t xml:space="preserve"> 供应商之间存在或可能存在上述第二条第</w:t>
      </w:r>
      <w:r>
        <w:rPr>
          <w:kern w:val="0"/>
          <w:szCs w:val="21"/>
          <w:highlight w:val="none"/>
          <w:u w:val="single"/>
        </w:rPr>
        <w:t xml:space="preserve">           </w:t>
      </w:r>
      <w:r>
        <w:rPr>
          <w:kern w:val="0"/>
          <w:szCs w:val="21"/>
          <w:highlight w:val="none"/>
        </w:rPr>
        <w:t xml:space="preserve"> 项利害关系。</w:t>
      </w:r>
    </w:p>
    <w:p w14:paraId="183D6EDD">
      <w:pPr>
        <w:autoSpaceDE w:val="0"/>
        <w:autoSpaceDN w:val="0"/>
        <w:adjustRightInd w:val="0"/>
        <w:spacing w:after="0" w:line="336" w:lineRule="auto"/>
        <w:jc w:val="left"/>
        <w:rPr>
          <w:kern w:val="0"/>
          <w:szCs w:val="21"/>
          <w:highlight w:val="none"/>
        </w:rPr>
      </w:pPr>
      <w:r>
        <w:rPr>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07D2DE3E">
      <w:pPr>
        <w:autoSpaceDE w:val="0"/>
        <w:autoSpaceDN w:val="0"/>
        <w:adjustRightInd w:val="0"/>
        <w:spacing w:after="0" w:line="336" w:lineRule="auto"/>
        <w:ind w:left="4200" w:firstLine="420"/>
        <w:jc w:val="left"/>
        <w:rPr>
          <w:kern w:val="0"/>
          <w:szCs w:val="21"/>
          <w:highlight w:val="none"/>
        </w:rPr>
      </w:pPr>
      <w:r>
        <w:rPr>
          <w:kern w:val="0"/>
          <w:szCs w:val="21"/>
          <w:highlight w:val="none"/>
        </w:rPr>
        <w:t>（供应商代表签名）：</w:t>
      </w:r>
    </w:p>
    <w:p w14:paraId="3FA4AEB7">
      <w:pPr>
        <w:spacing w:after="0" w:line="336" w:lineRule="auto"/>
        <w:ind w:left="5880"/>
        <w:rPr>
          <w:kern w:val="0"/>
          <w:szCs w:val="21"/>
          <w:highlight w:val="none"/>
        </w:rPr>
      </w:pPr>
      <w:r>
        <w:rPr>
          <w:kern w:val="0"/>
          <w:szCs w:val="21"/>
          <w:highlight w:val="none"/>
        </w:rPr>
        <w:t>2024 年</w:t>
      </w:r>
      <w:r>
        <w:rPr>
          <w:kern w:val="0"/>
          <w:szCs w:val="21"/>
          <w:highlight w:val="none"/>
          <w:u w:val="single"/>
        </w:rPr>
        <w:t xml:space="preserve">  </w:t>
      </w:r>
      <w:r>
        <w:rPr>
          <w:kern w:val="0"/>
          <w:szCs w:val="21"/>
          <w:highlight w:val="none"/>
        </w:rPr>
        <w:t>月</w:t>
      </w:r>
      <w:r>
        <w:rPr>
          <w:kern w:val="0"/>
          <w:szCs w:val="21"/>
          <w:highlight w:val="none"/>
          <w:u w:val="single"/>
        </w:rPr>
        <w:t xml:space="preserve">  </w:t>
      </w:r>
      <w:r>
        <w:rPr>
          <w:kern w:val="0"/>
          <w:szCs w:val="21"/>
          <w:highlight w:val="none"/>
        </w:rPr>
        <w:t>日</w:t>
      </w:r>
    </w:p>
    <w:p w14:paraId="2BCF732E">
      <w:pPr>
        <w:pStyle w:val="65"/>
        <w:spacing w:line="360" w:lineRule="auto"/>
        <w:rPr>
          <w:b/>
          <w:bCs/>
          <w:color w:val="000000" w:themeColor="text1"/>
          <w:kern w:val="0"/>
          <w:szCs w:val="21"/>
          <w:highlight w:val="none"/>
          <w14:textFill>
            <w14:solidFill>
              <w14:schemeClr w14:val="tx1"/>
            </w14:solidFill>
          </w14:textFill>
        </w:rPr>
      </w:pPr>
      <w:r>
        <w:rPr>
          <w:b/>
          <w:bCs/>
          <w:color w:val="000000" w:themeColor="text1"/>
          <w:kern w:val="0"/>
          <w:szCs w:val="21"/>
          <w:highlight w:val="none"/>
          <w14:textFill>
            <w14:solidFill>
              <w14:schemeClr w14:val="tx1"/>
            </w14:solidFill>
          </w14:textFill>
        </w:rPr>
        <w:t>注：解密完将本表发送代理机构</w:t>
      </w:r>
      <w:r>
        <w:rPr>
          <w:b/>
          <w:bCs/>
          <w:color w:val="FF0000"/>
          <w:kern w:val="0"/>
          <w:szCs w:val="21"/>
          <w:highlight w:val="none"/>
        </w:rPr>
        <w:t>3291544104</w:t>
      </w:r>
      <w:r>
        <w:rPr>
          <w:b/>
          <w:bCs/>
          <w:color w:val="000000" w:themeColor="text1"/>
          <w:kern w:val="0"/>
          <w:szCs w:val="21"/>
          <w:highlight w:val="none"/>
          <w14:textFill>
            <w14:solidFill>
              <w14:schemeClr w14:val="tx1"/>
            </w14:solidFill>
          </w14:textFill>
        </w:rPr>
        <w:t>@qq.com</w:t>
      </w: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BC09">
    <w:pPr>
      <w:pStyle w:val="2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8CF6">
    <w:pPr>
      <w:pStyle w:val="22"/>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21</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A740">
    <w:pPr>
      <w:pStyle w:val="22"/>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64</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66</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B5BE6F80"/>
    <w:multiLevelType w:val="singleLevel"/>
    <w:tmpl w:val="B5BE6F80"/>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pStyle w:val="8"/>
      <w:lvlText w:val="%1、"/>
      <w:lvlJc w:val="left"/>
      <w:pPr>
        <w:tabs>
          <w:tab w:val="left" w:pos="960"/>
        </w:tabs>
        <w:ind w:left="960" w:hanging="600"/>
      </w:pPr>
      <w:rPr>
        <w:lang w:val="en-US"/>
      </w:rPr>
    </w:lvl>
  </w:abstractNum>
  <w:abstractNum w:abstractNumId="3">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numRestart w:val="eachPage"/>
    <w:footnote w:id="0"/>
    <w:footnote w:id="1"/>
  </w:footnotePr>
  <w:endnotePr>
    <w:numRestart w:val="eachSect"/>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ZTljNGExZTYyMThmYjZlYWVmZTRiMDVlMmZlYTUifQ=="/>
  </w:docVars>
  <w:rsids>
    <w:rsidRoot w:val="004F744B"/>
    <w:rsid w:val="00005EC7"/>
    <w:rsid w:val="00011705"/>
    <w:rsid w:val="00026057"/>
    <w:rsid w:val="00031308"/>
    <w:rsid w:val="00037351"/>
    <w:rsid w:val="0004139D"/>
    <w:rsid w:val="000446B1"/>
    <w:rsid w:val="00046CA0"/>
    <w:rsid w:val="00053C3B"/>
    <w:rsid w:val="00054062"/>
    <w:rsid w:val="00056AA7"/>
    <w:rsid w:val="0006084C"/>
    <w:rsid w:val="000644BF"/>
    <w:rsid w:val="00065A27"/>
    <w:rsid w:val="00066F59"/>
    <w:rsid w:val="00071C6E"/>
    <w:rsid w:val="00072A5A"/>
    <w:rsid w:val="00072C80"/>
    <w:rsid w:val="00072DE1"/>
    <w:rsid w:val="000858CA"/>
    <w:rsid w:val="00085EEA"/>
    <w:rsid w:val="000873FC"/>
    <w:rsid w:val="000939A5"/>
    <w:rsid w:val="00095F6B"/>
    <w:rsid w:val="00096E1E"/>
    <w:rsid w:val="00097E27"/>
    <w:rsid w:val="000A002F"/>
    <w:rsid w:val="000B38A3"/>
    <w:rsid w:val="000B6A94"/>
    <w:rsid w:val="000C024B"/>
    <w:rsid w:val="000C200D"/>
    <w:rsid w:val="000D077D"/>
    <w:rsid w:val="000D46C8"/>
    <w:rsid w:val="000D6730"/>
    <w:rsid w:val="000D78D3"/>
    <w:rsid w:val="000F43C9"/>
    <w:rsid w:val="000F48C0"/>
    <w:rsid w:val="000F49AD"/>
    <w:rsid w:val="00111ABF"/>
    <w:rsid w:val="0011451C"/>
    <w:rsid w:val="001217D1"/>
    <w:rsid w:val="00125861"/>
    <w:rsid w:val="001278D9"/>
    <w:rsid w:val="0014032C"/>
    <w:rsid w:val="001555A4"/>
    <w:rsid w:val="00156BE4"/>
    <w:rsid w:val="00163111"/>
    <w:rsid w:val="00167BC7"/>
    <w:rsid w:val="0017606C"/>
    <w:rsid w:val="00184CA0"/>
    <w:rsid w:val="001927DB"/>
    <w:rsid w:val="00193B00"/>
    <w:rsid w:val="001A0365"/>
    <w:rsid w:val="001A2B51"/>
    <w:rsid w:val="001A63C2"/>
    <w:rsid w:val="001A7B57"/>
    <w:rsid w:val="001B3FD2"/>
    <w:rsid w:val="001B724A"/>
    <w:rsid w:val="001C02D0"/>
    <w:rsid w:val="001C5B7F"/>
    <w:rsid w:val="001C715D"/>
    <w:rsid w:val="001D4204"/>
    <w:rsid w:val="001D57EA"/>
    <w:rsid w:val="001E0413"/>
    <w:rsid w:val="001F0E16"/>
    <w:rsid w:val="00212885"/>
    <w:rsid w:val="00212C80"/>
    <w:rsid w:val="00213D94"/>
    <w:rsid w:val="00245B30"/>
    <w:rsid w:val="00250BEB"/>
    <w:rsid w:val="00260D3E"/>
    <w:rsid w:val="00265C1B"/>
    <w:rsid w:val="00272A0C"/>
    <w:rsid w:val="002760DB"/>
    <w:rsid w:val="00291922"/>
    <w:rsid w:val="00295666"/>
    <w:rsid w:val="002971FA"/>
    <w:rsid w:val="002A63FD"/>
    <w:rsid w:val="002A7D3D"/>
    <w:rsid w:val="002C1BA0"/>
    <w:rsid w:val="002C2475"/>
    <w:rsid w:val="002C646B"/>
    <w:rsid w:val="002D00C5"/>
    <w:rsid w:val="002D129B"/>
    <w:rsid w:val="002E20B7"/>
    <w:rsid w:val="002E223A"/>
    <w:rsid w:val="002F71E6"/>
    <w:rsid w:val="00302E4D"/>
    <w:rsid w:val="0030469C"/>
    <w:rsid w:val="00306987"/>
    <w:rsid w:val="00306B6E"/>
    <w:rsid w:val="00307107"/>
    <w:rsid w:val="00314243"/>
    <w:rsid w:val="00317026"/>
    <w:rsid w:val="0032192A"/>
    <w:rsid w:val="00341A21"/>
    <w:rsid w:val="00346F9E"/>
    <w:rsid w:val="00347F43"/>
    <w:rsid w:val="00347FD2"/>
    <w:rsid w:val="003532FE"/>
    <w:rsid w:val="003610B1"/>
    <w:rsid w:val="00365028"/>
    <w:rsid w:val="00367A91"/>
    <w:rsid w:val="00382010"/>
    <w:rsid w:val="00384B9C"/>
    <w:rsid w:val="003858CE"/>
    <w:rsid w:val="0038729E"/>
    <w:rsid w:val="00390187"/>
    <w:rsid w:val="00396923"/>
    <w:rsid w:val="003A540D"/>
    <w:rsid w:val="003C771A"/>
    <w:rsid w:val="003D29A2"/>
    <w:rsid w:val="003D5124"/>
    <w:rsid w:val="003E383E"/>
    <w:rsid w:val="003E5262"/>
    <w:rsid w:val="003E7909"/>
    <w:rsid w:val="003E7AA2"/>
    <w:rsid w:val="003F0B7A"/>
    <w:rsid w:val="003F3FDD"/>
    <w:rsid w:val="003F6BDD"/>
    <w:rsid w:val="004003FC"/>
    <w:rsid w:val="00401701"/>
    <w:rsid w:val="00401FC5"/>
    <w:rsid w:val="00402DFB"/>
    <w:rsid w:val="00415D07"/>
    <w:rsid w:val="004178F1"/>
    <w:rsid w:val="00423C6D"/>
    <w:rsid w:val="00423EFF"/>
    <w:rsid w:val="00431653"/>
    <w:rsid w:val="00437FE3"/>
    <w:rsid w:val="004434E3"/>
    <w:rsid w:val="00450F3F"/>
    <w:rsid w:val="004573A5"/>
    <w:rsid w:val="00457ACE"/>
    <w:rsid w:val="004618C1"/>
    <w:rsid w:val="00471663"/>
    <w:rsid w:val="004732CD"/>
    <w:rsid w:val="00487B1E"/>
    <w:rsid w:val="004920FC"/>
    <w:rsid w:val="00497AA1"/>
    <w:rsid w:val="004A021C"/>
    <w:rsid w:val="004B311B"/>
    <w:rsid w:val="004B322B"/>
    <w:rsid w:val="004D7A7A"/>
    <w:rsid w:val="004E55AA"/>
    <w:rsid w:val="004F744B"/>
    <w:rsid w:val="005033F5"/>
    <w:rsid w:val="00504087"/>
    <w:rsid w:val="005045E5"/>
    <w:rsid w:val="0050607F"/>
    <w:rsid w:val="005116B0"/>
    <w:rsid w:val="00513A0B"/>
    <w:rsid w:val="00523B85"/>
    <w:rsid w:val="0052410F"/>
    <w:rsid w:val="00531FF0"/>
    <w:rsid w:val="00532186"/>
    <w:rsid w:val="00541E6A"/>
    <w:rsid w:val="005450F6"/>
    <w:rsid w:val="00551EA8"/>
    <w:rsid w:val="005540B2"/>
    <w:rsid w:val="00554F26"/>
    <w:rsid w:val="0055500B"/>
    <w:rsid w:val="00561C5D"/>
    <w:rsid w:val="005659FB"/>
    <w:rsid w:val="00565BF7"/>
    <w:rsid w:val="0057627D"/>
    <w:rsid w:val="00577609"/>
    <w:rsid w:val="00592668"/>
    <w:rsid w:val="005A27F7"/>
    <w:rsid w:val="005A2F8E"/>
    <w:rsid w:val="005A40AB"/>
    <w:rsid w:val="005B1014"/>
    <w:rsid w:val="005B3696"/>
    <w:rsid w:val="005B39F1"/>
    <w:rsid w:val="005B3A67"/>
    <w:rsid w:val="005C1686"/>
    <w:rsid w:val="005C3E08"/>
    <w:rsid w:val="005C703D"/>
    <w:rsid w:val="005D0083"/>
    <w:rsid w:val="005D153D"/>
    <w:rsid w:val="005D1F6F"/>
    <w:rsid w:val="005D4EE4"/>
    <w:rsid w:val="005D53C4"/>
    <w:rsid w:val="005E4CB9"/>
    <w:rsid w:val="005F20AE"/>
    <w:rsid w:val="005F6820"/>
    <w:rsid w:val="005F78B9"/>
    <w:rsid w:val="00606192"/>
    <w:rsid w:val="0061103D"/>
    <w:rsid w:val="006145B4"/>
    <w:rsid w:val="006171A6"/>
    <w:rsid w:val="006204B7"/>
    <w:rsid w:val="0062558C"/>
    <w:rsid w:val="0062791C"/>
    <w:rsid w:val="00637947"/>
    <w:rsid w:val="00640F7A"/>
    <w:rsid w:val="00644296"/>
    <w:rsid w:val="00651DD3"/>
    <w:rsid w:val="00652805"/>
    <w:rsid w:val="00663F88"/>
    <w:rsid w:val="00664BDC"/>
    <w:rsid w:val="00664C54"/>
    <w:rsid w:val="00674D64"/>
    <w:rsid w:val="006771B0"/>
    <w:rsid w:val="00681C89"/>
    <w:rsid w:val="0068299D"/>
    <w:rsid w:val="0068586C"/>
    <w:rsid w:val="006961ED"/>
    <w:rsid w:val="006A60B2"/>
    <w:rsid w:val="006B0835"/>
    <w:rsid w:val="006B59DD"/>
    <w:rsid w:val="006C335C"/>
    <w:rsid w:val="006D419F"/>
    <w:rsid w:val="006D6094"/>
    <w:rsid w:val="006E59F7"/>
    <w:rsid w:val="006F06C2"/>
    <w:rsid w:val="007021F0"/>
    <w:rsid w:val="007022C9"/>
    <w:rsid w:val="007024DD"/>
    <w:rsid w:val="007041D2"/>
    <w:rsid w:val="00712CE3"/>
    <w:rsid w:val="00734840"/>
    <w:rsid w:val="0074365B"/>
    <w:rsid w:val="007450AB"/>
    <w:rsid w:val="007471CD"/>
    <w:rsid w:val="007542E6"/>
    <w:rsid w:val="00756D3C"/>
    <w:rsid w:val="00761B45"/>
    <w:rsid w:val="00766F85"/>
    <w:rsid w:val="0077085D"/>
    <w:rsid w:val="00771D16"/>
    <w:rsid w:val="0078555E"/>
    <w:rsid w:val="00785D50"/>
    <w:rsid w:val="007911C6"/>
    <w:rsid w:val="007A4BD5"/>
    <w:rsid w:val="007A7F9F"/>
    <w:rsid w:val="007B0494"/>
    <w:rsid w:val="007B403D"/>
    <w:rsid w:val="007B5E1F"/>
    <w:rsid w:val="007C103C"/>
    <w:rsid w:val="007C1456"/>
    <w:rsid w:val="007C4369"/>
    <w:rsid w:val="007C46EF"/>
    <w:rsid w:val="007E3808"/>
    <w:rsid w:val="007E49B5"/>
    <w:rsid w:val="007F5C99"/>
    <w:rsid w:val="007F6C9E"/>
    <w:rsid w:val="00802098"/>
    <w:rsid w:val="0080360F"/>
    <w:rsid w:val="00803CB4"/>
    <w:rsid w:val="00804600"/>
    <w:rsid w:val="008071F5"/>
    <w:rsid w:val="008112BD"/>
    <w:rsid w:val="00823B1D"/>
    <w:rsid w:val="00824069"/>
    <w:rsid w:val="008263CB"/>
    <w:rsid w:val="00851DE7"/>
    <w:rsid w:val="00852D3B"/>
    <w:rsid w:val="00856EB3"/>
    <w:rsid w:val="0086792A"/>
    <w:rsid w:val="00876CD3"/>
    <w:rsid w:val="00892123"/>
    <w:rsid w:val="0089375C"/>
    <w:rsid w:val="008959FC"/>
    <w:rsid w:val="008B5CF5"/>
    <w:rsid w:val="008C59CE"/>
    <w:rsid w:val="008D0035"/>
    <w:rsid w:val="008D500C"/>
    <w:rsid w:val="008D672D"/>
    <w:rsid w:val="008D718A"/>
    <w:rsid w:val="008E0522"/>
    <w:rsid w:val="008E1505"/>
    <w:rsid w:val="008E185A"/>
    <w:rsid w:val="008E484F"/>
    <w:rsid w:val="008F0D1B"/>
    <w:rsid w:val="00901E35"/>
    <w:rsid w:val="00903FCB"/>
    <w:rsid w:val="0090440D"/>
    <w:rsid w:val="00913823"/>
    <w:rsid w:val="00914D76"/>
    <w:rsid w:val="00915D57"/>
    <w:rsid w:val="00917C5F"/>
    <w:rsid w:val="0093100C"/>
    <w:rsid w:val="00931514"/>
    <w:rsid w:val="0093333F"/>
    <w:rsid w:val="00934CF2"/>
    <w:rsid w:val="00936E3F"/>
    <w:rsid w:val="0094252C"/>
    <w:rsid w:val="00943C94"/>
    <w:rsid w:val="00945E9E"/>
    <w:rsid w:val="00951E7D"/>
    <w:rsid w:val="00962783"/>
    <w:rsid w:val="0096396E"/>
    <w:rsid w:val="009649FB"/>
    <w:rsid w:val="009661E8"/>
    <w:rsid w:val="0097148C"/>
    <w:rsid w:val="0097274B"/>
    <w:rsid w:val="00974C48"/>
    <w:rsid w:val="00983EDA"/>
    <w:rsid w:val="00986073"/>
    <w:rsid w:val="009A4255"/>
    <w:rsid w:val="009A5A8E"/>
    <w:rsid w:val="009B51E9"/>
    <w:rsid w:val="009B6386"/>
    <w:rsid w:val="009C34FD"/>
    <w:rsid w:val="009D0EA3"/>
    <w:rsid w:val="009E62DF"/>
    <w:rsid w:val="009E7B58"/>
    <w:rsid w:val="00A01BED"/>
    <w:rsid w:val="00A111AB"/>
    <w:rsid w:val="00A24CE8"/>
    <w:rsid w:val="00A27E44"/>
    <w:rsid w:val="00A34742"/>
    <w:rsid w:val="00A37A6B"/>
    <w:rsid w:val="00A436C9"/>
    <w:rsid w:val="00A46504"/>
    <w:rsid w:val="00A5213F"/>
    <w:rsid w:val="00A53F00"/>
    <w:rsid w:val="00A620A7"/>
    <w:rsid w:val="00A80042"/>
    <w:rsid w:val="00A803F8"/>
    <w:rsid w:val="00A839E2"/>
    <w:rsid w:val="00A96685"/>
    <w:rsid w:val="00AA282A"/>
    <w:rsid w:val="00AA5B59"/>
    <w:rsid w:val="00AA73A8"/>
    <w:rsid w:val="00AB7AAF"/>
    <w:rsid w:val="00AB7EE3"/>
    <w:rsid w:val="00AC06DB"/>
    <w:rsid w:val="00AC222B"/>
    <w:rsid w:val="00AC3C56"/>
    <w:rsid w:val="00AC4428"/>
    <w:rsid w:val="00AC64F7"/>
    <w:rsid w:val="00AD10E6"/>
    <w:rsid w:val="00AD1E63"/>
    <w:rsid w:val="00AD75B4"/>
    <w:rsid w:val="00AE2A93"/>
    <w:rsid w:val="00AE310E"/>
    <w:rsid w:val="00AF0CFA"/>
    <w:rsid w:val="00AF114D"/>
    <w:rsid w:val="00B05D64"/>
    <w:rsid w:val="00B12816"/>
    <w:rsid w:val="00B12A63"/>
    <w:rsid w:val="00B23A89"/>
    <w:rsid w:val="00B2494E"/>
    <w:rsid w:val="00B24C18"/>
    <w:rsid w:val="00B30E23"/>
    <w:rsid w:val="00B42164"/>
    <w:rsid w:val="00B46918"/>
    <w:rsid w:val="00B50FBA"/>
    <w:rsid w:val="00B51FA3"/>
    <w:rsid w:val="00B60833"/>
    <w:rsid w:val="00B629A8"/>
    <w:rsid w:val="00B67ECD"/>
    <w:rsid w:val="00B735C3"/>
    <w:rsid w:val="00B765DB"/>
    <w:rsid w:val="00B76EF9"/>
    <w:rsid w:val="00B778EB"/>
    <w:rsid w:val="00B92181"/>
    <w:rsid w:val="00B954EB"/>
    <w:rsid w:val="00B960CE"/>
    <w:rsid w:val="00B96781"/>
    <w:rsid w:val="00BA1D5D"/>
    <w:rsid w:val="00BA6D77"/>
    <w:rsid w:val="00BB2066"/>
    <w:rsid w:val="00BB5370"/>
    <w:rsid w:val="00BB7A43"/>
    <w:rsid w:val="00BC1AED"/>
    <w:rsid w:val="00BC3031"/>
    <w:rsid w:val="00BC603D"/>
    <w:rsid w:val="00BC7093"/>
    <w:rsid w:val="00BC781A"/>
    <w:rsid w:val="00BD275F"/>
    <w:rsid w:val="00BD7B9A"/>
    <w:rsid w:val="00BE3A10"/>
    <w:rsid w:val="00BE4F6E"/>
    <w:rsid w:val="00C014D8"/>
    <w:rsid w:val="00C046BD"/>
    <w:rsid w:val="00C059DF"/>
    <w:rsid w:val="00C12890"/>
    <w:rsid w:val="00C13265"/>
    <w:rsid w:val="00C144F5"/>
    <w:rsid w:val="00C24275"/>
    <w:rsid w:val="00C319F4"/>
    <w:rsid w:val="00C35D5C"/>
    <w:rsid w:val="00C45684"/>
    <w:rsid w:val="00C51BB4"/>
    <w:rsid w:val="00C54006"/>
    <w:rsid w:val="00C554CD"/>
    <w:rsid w:val="00C6774B"/>
    <w:rsid w:val="00C76654"/>
    <w:rsid w:val="00C91CBB"/>
    <w:rsid w:val="00C93B61"/>
    <w:rsid w:val="00C95AC8"/>
    <w:rsid w:val="00C9675A"/>
    <w:rsid w:val="00C977A4"/>
    <w:rsid w:val="00C97D01"/>
    <w:rsid w:val="00CB29A6"/>
    <w:rsid w:val="00CB7ED0"/>
    <w:rsid w:val="00CC7493"/>
    <w:rsid w:val="00CD5F88"/>
    <w:rsid w:val="00D10D6F"/>
    <w:rsid w:val="00D12652"/>
    <w:rsid w:val="00D1292E"/>
    <w:rsid w:val="00D14095"/>
    <w:rsid w:val="00D14718"/>
    <w:rsid w:val="00D1482F"/>
    <w:rsid w:val="00D1573C"/>
    <w:rsid w:val="00D17DF3"/>
    <w:rsid w:val="00D20186"/>
    <w:rsid w:val="00D2450D"/>
    <w:rsid w:val="00D41214"/>
    <w:rsid w:val="00D44F51"/>
    <w:rsid w:val="00D4535A"/>
    <w:rsid w:val="00D471F6"/>
    <w:rsid w:val="00D5064B"/>
    <w:rsid w:val="00D50C8C"/>
    <w:rsid w:val="00D52865"/>
    <w:rsid w:val="00D7336D"/>
    <w:rsid w:val="00D814EF"/>
    <w:rsid w:val="00D86BBF"/>
    <w:rsid w:val="00D9077F"/>
    <w:rsid w:val="00D947C4"/>
    <w:rsid w:val="00D94B6D"/>
    <w:rsid w:val="00D974A3"/>
    <w:rsid w:val="00DA2067"/>
    <w:rsid w:val="00DA2195"/>
    <w:rsid w:val="00DA7ADA"/>
    <w:rsid w:val="00DB1B7E"/>
    <w:rsid w:val="00DB39DF"/>
    <w:rsid w:val="00DB44D8"/>
    <w:rsid w:val="00DC3335"/>
    <w:rsid w:val="00DC5F65"/>
    <w:rsid w:val="00DD1630"/>
    <w:rsid w:val="00DE3F78"/>
    <w:rsid w:val="00DE665A"/>
    <w:rsid w:val="00DF13DC"/>
    <w:rsid w:val="00DF14BA"/>
    <w:rsid w:val="00E02316"/>
    <w:rsid w:val="00E149FD"/>
    <w:rsid w:val="00E24286"/>
    <w:rsid w:val="00E279EC"/>
    <w:rsid w:val="00E306F6"/>
    <w:rsid w:val="00E33293"/>
    <w:rsid w:val="00E353B9"/>
    <w:rsid w:val="00E35D8B"/>
    <w:rsid w:val="00E35DE0"/>
    <w:rsid w:val="00E3607E"/>
    <w:rsid w:val="00E402F4"/>
    <w:rsid w:val="00E553BC"/>
    <w:rsid w:val="00E5635A"/>
    <w:rsid w:val="00E60A9C"/>
    <w:rsid w:val="00E6590B"/>
    <w:rsid w:val="00E65F7F"/>
    <w:rsid w:val="00E6617C"/>
    <w:rsid w:val="00E7035E"/>
    <w:rsid w:val="00E817CE"/>
    <w:rsid w:val="00E85D8E"/>
    <w:rsid w:val="00E921B3"/>
    <w:rsid w:val="00EB60BE"/>
    <w:rsid w:val="00EB6902"/>
    <w:rsid w:val="00EB75C8"/>
    <w:rsid w:val="00EC13B3"/>
    <w:rsid w:val="00EC2E56"/>
    <w:rsid w:val="00EC692B"/>
    <w:rsid w:val="00ED0F38"/>
    <w:rsid w:val="00ED2AD8"/>
    <w:rsid w:val="00ED7A46"/>
    <w:rsid w:val="00EE3BF2"/>
    <w:rsid w:val="00F13DF3"/>
    <w:rsid w:val="00F165AF"/>
    <w:rsid w:val="00F2081A"/>
    <w:rsid w:val="00F20D07"/>
    <w:rsid w:val="00F22F44"/>
    <w:rsid w:val="00F245EA"/>
    <w:rsid w:val="00F277DA"/>
    <w:rsid w:val="00F312B8"/>
    <w:rsid w:val="00F32602"/>
    <w:rsid w:val="00F33907"/>
    <w:rsid w:val="00F409B9"/>
    <w:rsid w:val="00F5049B"/>
    <w:rsid w:val="00F5092F"/>
    <w:rsid w:val="00F66648"/>
    <w:rsid w:val="00F82D24"/>
    <w:rsid w:val="00F90A27"/>
    <w:rsid w:val="00F938A7"/>
    <w:rsid w:val="00F9432B"/>
    <w:rsid w:val="00FA0445"/>
    <w:rsid w:val="00FA0B21"/>
    <w:rsid w:val="00FB261A"/>
    <w:rsid w:val="00FB69E0"/>
    <w:rsid w:val="00FC26B5"/>
    <w:rsid w:val="00FE3C7B"/>
    <w:rsid w:val="00FE3DC1"/>
    <w:rsid w:val="00FF0286"/>
    <w:rsid w:val="00FF5EC5"/>
    <w:rsid w:val="010B6B4F"/>
    <w:rsid w:val="012D66CB"/>
    <w:rsid w:val="01323CE1"/>
    <w:rsid w:val="013C246A"/>
    <w:rsid w:val="014063FE"/>
    <w:rsid w:val="01505F15"/>
    <w:rsid w:val="015E4AD6"/>
    <w:rsid w:val="01763BCE"/>
    <w:rsid w:val="017716F4"/>
    <w:rsid w:val="01852063"/>
    <w:rsid w:val="01877B89"/>
    <w:rsid w:val="01934780"/>
    <w:rsid w:val="01944054"/>
    <w:rsid w:val="0194674A"/>
    <w:rsid w:val="019D55FE"/>
    <w:rsid w:val="01A85D51"/>
    <w:rsid w:val="01AA1AC9"/>
    <w:rsid w:val="01B666C0"/>
    <w:rsid w:val="01BB7833"/>
    <w:rsid w:val="01C54B55"/>
    <w:rsid w:val="01CC1A40"/>
    <w:rsid w:val="01D86637"/>
    <w:rsid w:val="01EA0118"/>
    <w:rsid w:val="01EC5C3E"/>
    <w:rsid w:val="02025461"/>
    <w:rsid w:val="020F7B7E"/>
    <w:rsid w:val="0216715F"/>
    <w:rsid w:val="02204549"/>
    <w:rsid w:val="02247ACE"/>
    <w:rsid w:val="023575E5"/>
    <w:rsid w:val="02377801"/>
    <w:rsid w:val="02441F1E"/>
    <w:rsid w:val="02557C87"/>
    <w:rsid w:val="026D3223"/>
    <w:rsid w:val="027520D7"/>
    <w:rsid w:val="029116EB"/>
    <w:rsid w:val="029A7D90"/>
    <w:rsid w:val="02AB3D4B"/>
    <w:rsid w:val="02B726F0"/>
    <w:rsid w:val="02BA5D3C"/>
    <w:rsid w:val="02CD5A6F"/>
    <w:rsid w:val="02E852D3"/>
    <w:rsid w:val="02E903CF"/>
    <w:rsid w:val="02F56D74"/>
    <w:rsid w:val="02F72272"/>
    <w:rsid w:val="0301396B"/>
    <w:rsid w:val="030516AD"/>
    <w:rsid w:val="030F42DA"/>
    <w:rsid w:val="03265180"/>
    <w:rsid w:val="032D4760"/>
    <w:rsid w:val="03351867"/>
    <w:rsid w:val="03391357"/>
    <w:rsid w:val="033D74F4"/>
    <w:rsid w:val="037203C5"/>
    <w:rsid w:val="037B371D"/>
    <w:rsid w:val="039119BF"/>
    <w:rsid w:val="03962305"/>
    <w:rsid w:val="03A964D5"/>
    <w:rsid w:val="03B1713F"/>
    <w:rsid w:val="03B92498"/>
    <w:rsid w:val="03BC7892"/>
    <w:rsid w:val="03CC1953"/>
    <w:rsid w:val="03CE5F43"/>
    <w:rsid w:val="03CF5817"/>
    <w:rsid w:val="03F139E0"/>
    <w:rsid w:val="03F4702C"/>
    <w:rsid w:val="03F51722"/>
    <w:rsid w:val="04161698"/>
    <w:rsid w:val="04194CE4"/>
    <w:rsid w:val="041B533A"/>
    <w:rsid w:val="041B6CAE"/>
    <w:rsid w:val="04275653"/>
    <w:rsid w:val="0438160E"/>
    <w:rsid w:val="044C1304"/>
    <w:rsid w:val="04536448"/>
    <w:rsid w:val="04695C6C"/>
    <w:rsid w:val="04697A1A"/>
    <w:rsid w:val="04706FFA"/>
    <w:rsid w:val="0473673D"/>
    <w:rsid w:val="047C774D"/>
    <w:rsid w:val="047E366C"/>
    <w:rsid w:val="0495080F"/>
    <w:rsid w:val="049D76C3"/>
    <w:rsid w:val="049F343C"/>
    <w:rsid w:val="04A24CDA"/>
    <w:rsid w:val="04AE7B23"/>
    <w:rsid w:val="04C80BE4"/>
    <w:rsid w:val="04DA0918"/>
    <w:rsid w:val="04DA26C6"/>
    <w:rsid w:val="04EA42D8"/>
    <w:rsid w:val="04EA66E0"/>
    <w:rsid w:val="050012B3"/>
    <w:rsid w:val="05025778"/>
    <w:rsid w:val="050339CA"/>
    <w:rsid w:val="05054488"/>
    <w:rsid w:val="05094D59"/>
    <w:rsid w:val="05171224"/>
    <w:rsid w:val="051E25B2"/>
    <w:rsid w:val="051F457C"/>
    <w:rsid w:val="05373674"/>
    <w:rsid w:val="053A4F12"/>
    <w:rsid w:val="053E4A03"/>
    <w:rsid w:val="05485881"/>
    <w:rsid w:val="054F6C10"/>
    <w:rsid w:val="056326BB"/>
    <w:rsid w:val="057F6DC9"/>
    <w:rsid w:val="0580326D"/>
    <w:rsid w:val="058D598A"/>
    <w:rsid w:val="05A5521C"/>
    <w:rsid w:val="05AC22B4"/>
    <w:rsid w:val="05B44CC5"/>
    <w:rsid w:val="05BD337C"/>
    <w:rsid w:val="05C25634"/>
    <w:rsid w:val="05D0637A"/>
    <w:rsid w:val="05D13AC9"/>
    <w:rsid w:val="05D610DF"/>
    <w:rsid w:val="05D9472B"/>
    <w:rsid w:val="05E0756C"/>
    <w:rsid w:val="06035C4C"/>
    <w:rsid w:val="060C68AF"/>
    <w:rsid w:val="060F2843"/>
    <w:rsid w:val="061B11E8"/>
    <w:rsid w:val="061C291F"/>
    <w:rsid w:val="062E2CC9"/>
    <w:rsid w:val="062F259D"/>
    <w:rsid w:val="06466482"/>
    <w:rsid w:val="067F1777"/>
    <w:rsid w:val="068B011B"/>
    <w:rsid w:val="069A210C"/>
    <w:rsid w:val="069F0A21"/>
    <w:rsid w:val="06A20FC1"/>
    <w:rsid w:val="06AC1E40"/>
    <w:rsid w:val="06AE3E0A"/>
    <w:rsid w:val="06B31420"/>
    <w:rsid w:val="06C74ECC"/>
    <w:rsid w:val="06CD1D5E"/>
    <w:rsid w:val="06E4782C"/>
    <w:rsid w:val="06E635A4"/>
    <w:rsid w:val="06EC66E0"/>
    <w:rsid w:val="070677A2"/>
    <w:rsid w:val="071874D5"/>
    <w:rsid w:val="07293490"/>
    <w:rsid w:val="072B17AA"/>
    <w:rsid w:val="072D11D3"/>
    <w:rsid w:val="07300CC3"/>
    <w:rsid w:val="07372051"/>
    <w:rsid w:val="074958E1"/>
    <w:rsid w:val="0753050D"/>
    <w:rsid w:val="075449B1"/>
    <w:rsid w:val="07591FC8"/>
    <w:rsid w:val="076444C8"/>
    <w:rsid w:val="076F5347"/>
    <w:rsid w:val="07807554"/>
    <w:rsid w:val="07830DF3"/>
    <w:rsid w:val="07943000"/>
    <w:rsid w:val="07AF1BE8"/>
    <w:rsid w:val="07B83524"/>
    <w:rsid w:val="07BE62CF"/>
    <w:rsid w:val="07C3604B"/>
    <w:rsid w:val="07D23B28"/>
    <w:rsid w:val="07D57174"/>
    <w:rsid w:val="07D653C6"/>
    <w:rsid w:val="07F81CA6"/>
    <w:rsid w:val="080C528C"/>
    <w:rsid w:val="080F2686"/>
    <w:rsid w:val="081128A2"/>
    <w:rsid w:val="081D0AF4"/>
    <w:rsid w:val="0822060B"/>
    <w:rsid w:val="082712AB"/>
    <w:rsid w:val="082C148A"/>
    <w:rsid w:val="083B791F"/>
    <w:rsid w:val="084037EA"/>
    <w:rsid w:val="08406CE4"/>
    <w:rsid w:val="08471E20"/>
    <w:rsid w:val="084A5DB4"/>
    <w:rsid w:val="08514A4D"/>
    <w:rsid w:val="0856080A"/>
    <w:rsid w:val="086B306E"/>
    <w:rsid w:val="086C1887"/>
    <w:rsid w:val="086C5D2B"/>
    <w:rsid w:val="086E3851"/>
    <w:rsid w:val="08763498"/>
    <w:rsid w:val="088210AA"/>
    <w:rsid w:val="0889068B"/>
    <w:rsid w:val="08AA0601"/>
    <w:rsid w:val="08AE00F1"/>
    <w:rsid w:val="08B5322E"/>
    <w:rsid w:val="08C571E9"/>
    <w:rsid w:val="08D631A4"/>
    <w:rsid w:val="08E12275"/>
    <w:rsid w:val="08E7715F"/>
    <w:rsid w:val="08EE4992"/>
    <w:rsid w:val="09045F63"/>
    <w:rsid w:val="09095327"/>
    <w:rsid w:val="090B10A0"/>
    <w:rsid w:val="09102B5A"/>
    <w:rsid w:val="091F0FEF"/>
    <w:rsid w:val="09246605"/>
    <w:rsid w:val="092B1742"/>
    <w:rsid w:val="092C1016"/>
    <w:rsid w:val="093323A4"/>
    <w:rsid w:val="09420839"/>
    <w:rsid w:val="094445B2"/>
    <w:rsid w:val="09523172"/>
    <w:rsid w:val="095864DD"/>
    <w:rsid w:val="095A2027"/>
    <w:rsid w:val="096E5A5F"/>
    <w:rsid w:val="097924AD"/>
    <w:rsid w:val="09896468"/>
    <w:rsid w:val="098F1CD1"/>
    <w:rsid w:val="09B5725D"/>
    <w:rsid w:val="09B650A8"/>
    <w:rsid w:val="09C15C02"/>
    <w:rsid w:val="09D21BBD"/>
    <w:rsid w:val="09D724F3"/>
    <w:rsid w:val="09D75426"/>
    <w:rsid w:val="09E10052"/>
    <w:rsid w:val="09EF09C1"/>
    <w:rsid w:val="09FB55B8"/>
    <w:rsid w:val="09FE29B2"/>
    <w:rsid w:val="0A0D7099"/>
    <w:rsid w:val="0A116B8A"/>
    <w:rsid w:val="0A1246B0"/>
    <w:rsid w:val="0A193D10"/>
    <w:rsid w:val="0A3463D4"/>
    <w:rsid w:val="0A401985"/>
    <w:rsid w:val="0A40746F"/>
    <w:rsid w:val="0A424F95"/>
    <w:rsid w:val="0A426D43"/>
    <w:rsid w:val="0A466107"/>
    <w:rsid w:val="0A4D56E8"/>
    <w:rsid w:val="0A586566"/>
    <w:rsid w:val="0A690774"/>
    <w:rsid w:val="0A7B2255"/>
    <w:rsid w:val="0A801619"/>
    <w:rsid w:val="0A856C30"/>
    <w:rsid w:val="0A8F5D00"/>
    <w:rsid w:val="0A9F23E7"/>
    <w:rsid w:val="0AAD02CE"/>
    <w:rsid w:val="0AC41E4E"/>
    <w:rsid w:val="0ACC0D02"/>
    <w:rsid w:val="0AE0655C"/>
    <w:rsid w:val="0AE95411"/>
    <w:rsid w:val="0AF142C5"/>
    <w:rsid w:val="0AF65D7F"/>
    <w:rsid w:val="0B095AB3"/>
    <w:rsid w:val="0B0E30C9"/>
    <w:rsid w:val="0B246449"/>
    <w:rsid w:val="0B27418B"/>
    <w:rsid w:val="0B3F14D4"/>
    <w:rsid w:val="0B416FFB"/>
    <w:rsid w:val="0B674587"/>
    <w:rsid w:val="0B7849E6"/>
    <w:rsid w:val="0B7E6D40"/>
    <w:rsid w:val="0B941820"/>
    <w:rsid w:val="0B957346"/>
    <w:rsid w:val="0B9C552F"/>
    <w:rsid w:val="0BB579E9"/>
    <w:rsid w:val="0BD31C1D"/>
    <w:rsid w:val="0BD87233"/>
    <w:rsid w:val="0BDE6F3F"/>
    <w:rsid w:val="0C033E63"/>
    <w:rsid w:val="0C063DA0"/>
    <w:rsid w:val="0C0D15D3"/>
    <w:rsid w:val="0C22507E"/>
    <w:rsid w:val="0C2C7CAB"/>
    <w:rsid w:val="0C321039"/>
    <w:rsid w:val="0C3721AC"/>
    <w:rsid w:val="0C3923C8"/>
    <w:rsid w:val="0C394176"/>
    <w:rsid w:val="0C4274CE"/>
    <w:rsid w:val="0C4C20FB"/>
    <w:rsid w:val="0C507A26"/>
    <w:rsid w:val="0C5662DC"/>
    <w:rsid w:val="0C5B40EC"/>
    <w:rsid w:val="0C686809"/>
    <w:rsid w:val="0C7B478E"/>
    <w:rsid w:val="0C807FF6"/>
    <w:rsid w:val="0C8A49D1"/>
    <w:rsid w:val="0C914370"/>
    <w:rsid w:val="0CAF4438"/>
    <w:rsid w:val="0CBB2DDD"/>
    <w:rsid w:val="0CBF03AA"/>
    <w:rsid w:val="0CC91F69"/>
    <w:rsid w:val="0CD520F0"/>
    <w:rsid w:val="0CDB522D"/>
    <w:rsid w:val="0CE42333"/>
    <w:rsid w:val="0CE510AD"/>
    <w:rsid w:val="0CF462EF"/>
    <w:rsid w:val="0D0227BA"/>
    <w:rsid w:val="0D1424ED"/>
    <w:rsid w:val="0D15073F"/>
    <w:rsid w:val="0D2564A8"/>
    <w:rsid w:val="0D38442D"/>
    <w:rsid w:val="0D49663A"/>
    <w:rsid w:val="0D5F7C0C"/>
    <w:rsid w:val="0D643474"/>
    <w:rsid w:val="0D6E7E4F"/>
    <w:rsid w:val="0D7511DD"/>
    <w:rsid w:val="0D774F56"/>
    <w:rsid w:val="0D892EDB"/>
    <w:rsid w:val="0D9E6986"/>
    <w:rsid w:val="0DA10224"/>
    <w:rsid w:val="0DAF0B93"/>
    <w:rsid w:val="0DB241E0"/>
    <w:rsid w:val="0DB516D4"/>
    <w:rsid w:val="0DB77A48"/>
    <w:rsid w:val="0DC325BE"/>
    <w:rsid w:val="0DD33CB2"/>
    <w:rsid w:val="0DE16873"/>
    <w:rsid w:val="0DEC0F22"/>
    <w:rsid w:val="0DF742E8"/>
    <w:rsid w:val="0DFC18FF"/>
    <w:rsid w:val="0E3C619F"/>
    <w:rsid w:val="0E4137B5"/>
    <w:rsid w:val="0E567261"/>
    <w:rsid w:val="0E574D87"/>
    <w:rsid w:val="0E72571D"/>
    <w:rsid w:val="0E792F4F"/>
    <w:rsid w:val="0E8042DE"/>
    <w:rsid w:val="0E811E04"/>
    <w:rsid w:val="0E87741A"/>
    <w:rsid w:val="0E924011"/>
    <w:rsid w:val="0E9C4E5E"/>
    <w:rsid w:val="0E9D6C3E"/>
    <w:rsid w:val="0EC8358F"/>
    <w:rsid w:val="0EE20AF5"/>
    <w:rsid w:val="0EE303C9"/>
    <w:rsid w:val="0EE83C31"/>
    <w:rsid w:val="0F0C3DC3"/>
    <w:rsid w:val="0F274759"/>
    <w:rsid w:val="0F2E7896"/>
    <w:rsid w:val="0F4E7F38"/>
    <w:rsid w:val="0F6069D0"/>
    <w:rsid w:val="0F73799F"/>
    <w:rsid w:val="0F741087"/>
    <w:rsid w:val="0F784FB5"/>
    <w:rsid w:val="0F955B67"/>
    <w:rsid w:val="0FA45DAA"/>
    <w:rsid w:val="0FB00BF3"/>
    <w:rsid w:val="0FCB1589"/>
    <w:rsid w:val="0FCB77DB"/>
    <w:rsid w:val="0FED59A3"/>
    <w:rsid w:val="0FED7751"/>
    <w:rsid w:val="0FF30ADF"/>
    <w:rsid w:val="0FFC5BE6"/>
    <w:rsid w:val="100131FC"/>
    <w:rsid w:val="10086339"/>
    <w:rsid w:val="100F5919"/>
    <w:rsid w:val="101C3B92"/>
    <w:rsid w:val="101F3682"/>
    <w:rsid w:val="102B2027"/>
    <w:rsid w:val="10360822"/>
    <w:rsid w:val="103F3D25"/>
    <w:rsid w:val="10435886"/>
    <w:rsid w:val="10437371"/>
    <w:rsid w:val="10451F91"/>
    <w:rsid w:val="106612B1"/>
    <w:rsid w:val="1066305F"/>
    <w:rsid w:val="10675755"/>
    <w:rsid w:val="10686DD7"/>
    <w:rsid w:val="106B68C8"/>
    <w:rsid w:val="106D0AB9"/>
    <w:rsid w:val="106E343D"/>
    <w:rsid w:val="10771710"/>
    <w:rsid w:val="10790FE5"/>
    <w:rsid w:val="108005C5"/>
    <w:rsid w:val="10806817"/>
    <w:rsid w:val="108F6A5A"/>
    <w:rsid w:val="109B53FF"/>
    <w:rsid w:val="109E6C9D"/>
    <w:rsid w:val="10B0144C"/>
    <w:rsid w:val="10B62239"/>
    <w:rsid w:val="10BD35C7"/>
    <w:rsid w:val="10C2298C"/>
    <w:rsid w:val="10DC1574"/>
    <w:rsid w:val="10E01064"/>
    <w:rsid w:val="10E2380C"/>
    <w:rsid w:val="10EA5A3E"/>
    <w:rsid w:val="10FB40F0"/>
    <w:rsid w:val="11082369"/>
    <w:rsid w:val="110E3E23"/>
    <w:rsid w:val="11160F29"/>
    <w:rsid w:val="1122342A"/>
    <w:rsid w:val="11276C93"/>
    <w:rsid w:val="112A0531"/>
    <w:rsid w:val="112F3D99"/>
    <w:rsid w:val="1134315E"/>
    <w:rsid w:val="113D64B6"/>
    <w:rsid w:val="11427629"/>
    <w:rsid w:val="114415F3"/>
    <w:rsid w:val="114535BD"/>
    <w:rsid w:val="114C494B"/>
    <w:rsid w:val="115A0E16"/>
    <w:rsid w:val="115B4B8E"/>
    <w:rsid w:val="115B693C"/>
    <w:rsid w:val="115D4462"/>
    <w:rsid w:val="115F467E"/>
    <w:rsid w:val="11691059"/>
    <w:rsid w:val="117D68B3"/>
    <w:rsid w:val="119C142F"/>
    <w:rsid w:val="11AC53EA"/>
    <w:rsid w:val="11B147AE"/>
    <w:rsid w:val="11BF6ECB"/>
    <w:rsid w:val="11C20769"/>
    <w:rsid w:val="11CB1D14"/>
    <w:rsid w:val="11E3705D"/>
    <w:rsid w:val="11F56D91"/>
    <w:rsid w:val="11F8418B"/>
    <w:rsid w:val="11FC011F"/>
    <w:rsid w:val="120328B4"/>
    <w:rsid w:val="12086AC4"/>
    <w:rsid w:val="12137217"/>
    <w:rsid w:val="12211934"/>
    <w:rsid w:val="12244F80"/>
    <w:rsid w:val="12257C8F"/>
    <w:rsid w:val="12303925"/>
    <w:rsid w:val="123C49C0"/>
    <w:rsid w:val="12445622"/>
    <w:rsid w:val="124D097B"/>
    <w:rsid w:val="12505D75"/>
    <w:rsid w:val="12521AED"/>
    <w:rsid w:val="126D4444"/>
    <w:rsid w:val="127203E1"/>
    <w:rsid w:val="127E6D86"/>
    <w:rsid w:val="127F665A"/>
    <w:rsid w:val="12865C3B"/>
    <w:rsid w:val="129465AA"/>
    <w:rsid w:val="12955E7E"/>
    <w:rsid w:val="129E2F84"/>
    <w:rsid w:val="12A63A7D"/>
    <w:rsid w:val="12A83E03"/>
    <w:rsid w:val="12AF0CEE"/>
    <w:rsid w:val="12D06EB6"/>
    <w:rsid w:val="12D22C2E"/>
    <w:rsid w:val="12D44BF8"/>
    <w:rsid w:val="12DC3AAD"/>
    <w:rsid w:val="12F928B1"/>
    <w:rsid w:val="130059ED"/>
    <w:rsid w:val="13177405"/>
    <w:rsid w:val="132F1E2E"/>
    <w:rsid w:val="13347445"/>
    <w:rsid w:val="13394A5B"/>
    <w:rsid w:val="134A6C68"/>
    <w:rsid w:val="136C3083"/>
    <w:rsid w:val="137B1518"/>
    <w:rsid w:val="13833F28"/>
    <w:rsid w:val="13857CA0"/>
    <w:rsid w:val="1390405A"/>
    <w:rsid w:val="139D445C"/>
    <w:rsid w:val="13A47BFE"/>
    <w:rsid w:val="13A66595"/>
    <w:rsid w:val="13A91BE1"/>
    <w:rsid w:val="13CE33F5"/>
    <w:rsid w:val="13DF1AA7"/>
    <w:rsid w:val="140B63F8"/>
    <w:rsid w:val="141334FE"/>
    <w:rsid w:val="14461BF1"/>
    <w:rsid w:val="144E2788"/>
    <w:rsid w:val="14531B4D"/>
    <w:rsid w:val="145A2EDB"/>
    <w:rsid w:val="14665D24"/>
    <w:rsid w:val="14691370"/>
    <w:rsid w:val="14726477"/>
    <w:rsid w:val="14812B5E"/>
    <w:rsid w:val="14977C8B"/>
    <w:rsid w:val="149E54BE"/>
    <w:rsid w:val="14AD2E41"/>
    <w:rsid w:val="14BC3B96"/>
    <w:rsid w:val="14E76E65"/>
    <w:rsid w:val="14F24D66"/>
    <w:rsid w:val="14FB646C"/>
    <w:rsid w:val="14FC21E4"/>
    <w:rsid w:val="14FE41AE"/>
    <w:rsid w:val="15175270"/>
    <w:rsid w:val="15233C15"/>
    <w:rsid w:val="152754B3"/>
    <w:rsid w:val="15327E39"/>
    <w:rsid w:val="154020D1"/>
    <w:rsid w:val="154F4A0A"/>
    <w:rsid w:val="154F67B8"/>
    <w:rsid w:val="155618F4"/>
    <w:rsid w:val="157D1577"/>
    <w:rsid w:val="158A5A42"/>
    <w:rsid w:val="158D108E"/>
    <w:rsid w:val="158E72E0"/>
    <w:rsid w:val="15A2498E"/>
    <w:rsid w:val="15C2342E"/>
    <w:rsid w:val="15CC1BB7"/>
    <w:rsid w:val="15D05B4B"/>
    <w:rsid w:val="15D53161"/>
    <w:rsid w:val="15DA2525"/>
    <w:rsid w:val="15E46F00"/>
    <w:rsid w:val="15EE5FD1"/>
    <w:rsid w:val="15F80BFE"/>
    <w:rsid w:val="15FD4466"/>
    <w:rsid w:val="16007AB2"/>
    <w:rsid w:val="160457F4"/>
    <w:rsid w:val="160B6B83"/>
    <w:rsid w:val="160E6673"/>
    <w:rsid w:val="16113A6D"/>
    <w:rsid w:val="16135A37"/>
    <w:rsid w:val="161B669A"/>
    <w:rsid w:val="161D68B6"/>
    <w:rsid w:val="162C0588"/>
    <w:rsid w:val="16493207"/>
    <w:rsid w:val="164B3423"/>
    <w:rsid w:val="165F2A2B"/>
    <w:rsid w:val="1663076D"/>
    <w:rsid w:val="166718DF"/>
    <w:rsid w:val="166C0546"/>
    <w:rsid w:val="16702E8A"/>
    <w:rsid w:val="16781D3E"/>
    <w:rsid w:val="16797F90"/>
    <w:rsid w:val="168357F5"/>
    <w:rsid w:val="168D53BA"/>
    <w:rsid w:val="16AD1FDA"/>
    <w:rsid w:val="16BE3BF5"/>
    <w:rsid w:val="16C44F84"/>
    <w:rsid w:val="16CD4552"/>
    <w:rsid w:val="16CF7BB0"/>
    <w:rsid w:val="16E167EF"/>
    <w:rsid w:val="16F72127"/>
    <w:rsid w:val="16FE3FF2"/>
    <w:rsid w:val="1700420E"/>
    <w:rsid w:val="1706734A"/>
    <w:rsid w:val="170E3AEC"/>
    <w:rsid w:val="1719707D"/>
    <w:rsid w:val="17255A22"/>
    <w:rsid w:val="173C2D6C"/>
    <w:rsid w:val="17435EA8"/>
    <w:rsid w:val="174560C4"/>
    <w:rsid w:val="174C6FD9"/>
    <w:rsid w:val="174F484D"/>
    <w:rsid w:val="17575DF8"/>
    <w:rsid w:val="17606A5A"/>
    <w:rsid w:val="17680005"/>
    <w:rsid w:val="1780534F"/>
    <w:rsid w:val="17A80401"/>
    <w:rsid w:val="17AA4179"/>
    <w:rsid w:val="17AA4282"/>
    <w:rsid w:val="17C074F9"/>
    <w:rsid w:val="17CA0378"/>
    <w:rsid w:val="17CE7E68"/>
    <w:rsid w:val="17DB0649"/>
    <w:rsid w:val="17E21D1B"/>
    <w:rsid w:val="17E56F60"/>
    <w:rsid w:val="17E7105A"/>
    <w:rsid w:val="18147845"/>
    <w:rsid w:val="18226406"/>
    <w:rsid w:val="18277578"/>
    <w:rsid w:val="182E6B59"/>
    <w:rsid w:val="183548D7"/>
    <w:rsid w:val="183D0FF7"/>
    <w:rsid w:val="184243B2"/>
    <w:rsid w:val="18475E6C"/>
    <w:rsid w:val="185C36C6"/>
    <w:rsid w:val="185F457F"/>
    <w:rsid w:val="185F6D12"/>
    <w:rsid w:val="186500A0"/>
    <w:rsid w:val="186802BC"/>
    <w:rsid w:val="186A059D"/>
    <w:rsid w:val="186C7681"/>
    <w:rsid w:val="187466CD"/>
    <w:rsid w:val="187F5606"/>
    <w:rsid w:val="18826EA4"/>
    <w:rsid w:val="189746FE"/>
    <w:rsid w:val="18B0756E"/>
    <w:rsid w:val="18B51028"/>
    <w:rsid w:val="18BC23B6"/>
    <w:rsid w:val="18CC6420"/>
    <w:rsid w:val="18E95427"/>
    <w:rsid w:val="18F356AC"/>
    <w:rsid w:val="1901601B"/>
    <w:rsid w:val="190B6E9A"/>
    <w:rsid w:val="1910625E"/>
    <w:rsid w:val="19137AFC"/>
    <w:rsid w:val="193653E3"/>
    <w:rsid w:val="193C7053"/>
    <w:rsid w:val="1941239E"/>
    <w:rsid w:val="194B54E8"/>
    <w:rsid w:val="195B7EBF"/>
    <w:rsid w:val="195E521C"/>
    <w:rsid w:val="19636CD6"/>
    <w:rsid w:val="197744D1"/>
    <w:rsid w:val="197D7D98"/>
    <w:rsid w:val="19831126"/>
    <w:rsid w:val="198C7FDB"/>
    <w:rsid w:val="199E386A"/>
    <w:rsid w:val="19A616BA"/>
    <w:rsid w:val="19AC242B"/>
    <w:rsid w:val="19BE215E"/>
    <w:rsid w:val="19C05ED6"/>
    <w:rsid w:val="19C239FC"/>
    <w:rsid w:val="19D83220"/>
    <w:rsid w:val="19DB4ABE"/>
    <w:rsid w:val="19FB69EE"/>
    <w:rsid w:val="1A2C531A"/>
    <w:rsid w:val="1A2F6BB8"/>
    <w:rsid w:val="1A3441CE"/>
    <w:rsid w:val="1A383CBF"/>
    <w:rsid w:val="1A3A17E5"/>
    <w:rsid w:val="1A424B3D"/>
    <w:rsid w:val="1A5F56EF"/>
    <w:rsid w:val="1A646862"/>
    <w:rsid w:val="1A6525DA"/>
    <w:rsid w:val="1A676352"/>
    <w:rsid w:val="1A77629E"/>
    <w:rsid w:val="1A98475D"/>
    <w:rsid w:val="1AA94BBC"/>
    <w:rsid w:val="1AD734D7"/>
    <w:rsid w:val="1AF264E1"/>
    <w:rsid w:val="1B063DBD"/>
    <w:rsid w:val="1B075976"/>
    <w:rsid w:val="1B087B35"/>
    <w:rsid w:val="1B0D1B92"/>
    <w:rsid w:val="1B1738D4"/>
    <w:rsid w:val="1B222279"/>
    <w:rsid w:val="1B245FF1"/>
    <w:rsid w:val="1B252495"/>
    <w:rsid w:val="1B302A67"/>
    <w:rsid w:val="1B4346C9"/>
    <w:rsid w:val="1B4F12C0"/>
    <w:rsid w:val="1B520DB0"/>
    <w:rsid w:val="1B574618"/>
    <w:rsid w:val="1B5E59A7"/>
    <w:rsid w:val="1B632FBD"/>
    <w:rsid w:val="1B662AAD"/>
    <w:rsid w:val="1B682381"/>
    <w:rsid w:val="1B6F3710"/>
    <w:rsid w:val="1B6F54BE"/>
    <w:rsid w:val="1B7900EB"/>
    <w:rsid w:val="1B791190"/>
    <w:rsid w:val="1B862808"/>
    <w:rsid w:val="1B8F147A"/>
    <w:rsid w:val="1BA01B1B"/>
    <w:rsid w:val="1BBE4697"/>
    <w:rsid w:val="1BD96DDB"/>
    <w:rsid w:val="1BDD39C1"/>
    <w:rsid w:val="1BE4109B"/>
    <w:rsid w:val="1BEC2FB3"/>
    <w:rsid w:val="1BF1510D"/>
    <w:rsid w:val="1BF52034"/>
    <w:rsid w:val="1BF6798D"/>
    <w:rsid w:val="1C146065"/>
    <w:rsid w:val="1C177904"/>
    <w:rsid w:val="1C1B3898"/>
    <w:rsid w:val="1C202C5C"/>
    <w:rsid w:val="1C2C33AF"/>
    <w:rsid w:val="1C314E69"/>
    <w:rsid w:val="1C3404B6"/>
    <w:rsid w:val="1C381D54"/>
    <w:rsid w:val="1C3F5862"/>
    <w:rsid w:val="1C485D0F"/>
    <w:rsid w:val="1C4A7CD9"/>
    <w:rsid w:val="1C537094"/>
    <w:rsid w:val="1C640D9B"/>
    <w:rsid w:val="1C782A98"/>
    <w:rsid w:val="1C84143D"/>
    <w:rsid w:val="1C913B5A"/>
    <w:rsid w:val="1C9F303C"/>
    <w:rsid w:val="1CA05B4B"/>
    <w:rsid w:val="1CA92C52"/>
    <w:rsid w:val="1CB03FE0"/>
    <w:rsid w:val="1CBA09BB"/>
    <w:rsid w:val="1CC23D13"/>
    <w:rsid w:val="1CD242F4"/>
    <w:rsid w:val="1CDE38B7"/>
    <w:rsid w:val="1CDF7587"/>
    <w:rsid w:val="1CF77E61"/>
    <w:rsid w:val="1CF814E3"/>
    <w:rsid w:val="1D1207F7"/>
    <w:rsid w:val="1D126A49"/>
    <w:rsid w:val="1D1327C1"/>
    <w:rsid w:val="1D4D7A81"/>
    <w:rsid w:val="1D5A03F0"/>
    <w:rsid w:val="1D7C3EC2"/>
    <w:rsid w:val="1D8A2A83"/>
    <w:rsid w:val="1D8A4831"/>
    <w:rsid w:val="1DA43419"/>
    <w:rsid w:val="1DC7686B"/>
    <w:rsid w:val="1DCA7323"/>
    <w:rsid w:val="1DE33F41"/>
    <w:rsid w:val="1DFE521F"/>
    <w:rsid w:val="1E0839A8"/>
    <w:rsid w:val="1E2307E2"/>
    <w:rsid w:val="1E256308"/>
    <w:rsid w:val="1E2A7DC2"/>
    <w:rsid w:val="1E2C58E8"/>
    <w:rsid w:val="1E3D7AF5"/>
    <w:rsid w:val="1E454BFC"/>
    <w:rsid w:val="1E57048B"/>
    <w:rsid w:val="1E676920"/>
    <w:rsid w:val="1E9B481C"/>
    <w:rsid w:val="1E9F430C"/>
    <w:rsid w:val="1EA23DFC"/>
    <w:rsid w:val="1EBA7398"/>
    <w:rsid w:val="1ED33FB6"/>
    <w:rsid w:val="1ED61CF8"/>
    <w:rsid w:val="1EE00481"/>
    <w:rsid w:val="1EEC5078"/>
    <w:rsid w:val="1EFD1033"/>
    <w:rsid w:val="1EFF2FFD"/>
    <w:rsid w:val="1EFF4DAB"/>
    <w:rsid w:val="1F0C1276"/>
    <w:rsid w:val="1F29007A"/>
    <w:rsid w:val="1F394761"/>
    <w:rsid w:val="1F3C1B5B"/>
    <w:rsid w:val="1F4657BB"/>
    <w:rsid w:val="1F5F584A"/>
    <w:rsid w:val="1F75506D"/>
    <w:rsid w:val="1F7E6617"/>
    <w:rsid w:val="1F925C1F"/>
    <w:rsid w:val="1F971487"/>
    <w:rsid w:val="1F9D6372"/>
    <w:rsid w:val="1FA31BDA"/>
    <w:rsid w:val="1FAC3F84"/>
    <w:rsid w:val="1FBA5176"/>
    <w:rsid w:val="1FC85AE5"/>
    <w:rsid w:val="1FCB1131"/>
    <w:rsid w:val="1FD81D36"/>
    <w:rsid w:val="1FDE0E64"/>
    <w:rsid w:val="1FE3647B"/>
    <w:rsid w:val="1FE43FA1"/>
    <w:rsid w:val="1FEB3581"/>
    <w:rsid w:val="1FF16DE9"/>
    <w:rsid w:val="20052895"/>
    <w:rsid w:val="20092F2B"/>
    <w:rsid w:val="20174376"/>
    <w:rsid w:val="202D3B9A"/>
    <w:rsid w:val="203E5DA7"/>
    <w:rsid w:val="2059498F"/>
    <w:rsid w:val="20831A0C"/>
    <w:rsid w:val="20857532"/>
    <w:rsid w:val="20895274"/>
    <w:rsid w:val="20915ED7"/>
    <w:rsid w:val="20931C4F"/>
    <w:rsid w:val="20971013"/>
    <w:rsid w:val="20A35C0A"/>
    <w:rsid w:val="20A51982"/>
    <w:rsid w:val="20B56069"/>
    <w:rsid w:val="20B65FAF"/>
    <w:rsid w:val="20C95670"/>
    <w:rsid w:val="20E46E6E"/>
    <w:rsid w:val="20EF2BFD"/>
    <w:rsid w:val="21022930"/>
    <w:rsid w:val="211803A6"/>
    <w:rsid w:val="211A2370"/>
    <w:rsid w:val="212A1E87"/>
    <w:rsid w:val="212D20A3"/>
    <w:rsid w:val="213571AA"/>
    <w:rsid w:val="213C22E6"/>
    <w:rsid w:val="216929AF"/>
    <w:rsid w:val="217A2E0F"/>
    <w:rsid w:val="217F21D3"/>
    <w:rsid w:val="218912A4"/>
    <w:rsid w:val="21893052"/>
    <w:rsid w:val="2197576F"/>
    <w:rsid w:val="219914E7"/>
    <w:rsid w:val="21A25EC1"/>
    <w:rsid w:val="21A874E8"/>
    <w:rsid w:val="21AD4F92"/>
    <w:rsid w:val="21B7196D"/>
    <w:rsid w:val="21C83B7A"/>
    <w:rsid w:val="21CE7D40"/>
    <w:rsid w:val="21D40771"/>
    <w:rsid w:val="21D818E3"/>
    <w:rsid w:val="21E64507"/>
    <w:rsid w:val="22013E98"/>
    <w:rsid w:val="22105521"/>
    <w:rsid w:val="22192627"/>
    <w:rsid w:val="221E379A"/>
    <w:rsid w:val="22274D44"/>
    <w:rsid w:val="222D1C2F"/>
    <w:rsid w:val="222F3BF9"/>
    <w:rsid w:val="223034CD"/>
    <w:rsid w:val="22347461"/>
    <w:rsid w:val="223B07F0"/>
    <w:rsid w:val="225E003A"/>
    <w:rsid w:val="226715E5"/>
    <w:rsid w:val="2288155B"/>
    <w:rsid w:val="22A31EF1"/>
    <w:rsid w:val="22B3482A"/>
    <w:rsid w:val="22BD2FB3"/>
    <w:rsid w:val="22C205C9"/>
    <w:rsid w:val="22C500B9"/>
    <w:rsid w:val="22CC58EC"/>
    <w:rsid w:val="22D95913"/>
    <w:rsid w:val="22FA4207"/>
    <w:rsid w:val="22FB7F7F"/>
    <w:rsid w:val="2302130E"/>
    <w:rsid w:val="230706D2"/>
    <w:rsid w:val="230A01C2"/>
    <w:rsid w:val="230B6414"/>
    <w:rsid w:val="232272BA"/>
    <w:rsid w:val="2329689A"/>
    <w:rsid w:val="23597700"/>
    <w:rsid w:val="235A6A54"/>
    <w:rsid w:val="23720241"/>
    <w:rsid w:val="237A70F6"/>
    <w:rsid w:val="239161EE"/>
    <w:rsid w:val="23A423C5"/>
    <w:rsid w:val="23AC747E"/>
    <w:rsid w:val="23AD74CB"/>
    <w:rsid w:val="23B56380"/>
    <w:rsid w:val="23C67733"/>
    <w:rsid w:val="23CE7442"/>
    <w:rsid w:val="23D031BA"/>
    <w:rsid w:val="23D5257E"/>
    <w:rsid w:val="23E7405F"/>
    <w:rsid w:val="23EB1DA2"/>
    <w:rsid w:val="2418246B"/>
    <w:rsid w:val="24390D5F"/>
    <w:rsid w:val="244119C2"/>
    <w:rsid w:val="247955FF"/>
    <w:rsid w:val="247C0C4C"/>
    <w:rsid w:val="24912949"/>
    <w:rsid w:val="24A3442A"/>
    <w:rsid w:val="24AF4B7D"/>
    <w:rsid w:val="24BA7E5E"/>
    <w:rsid w:val="24C0322E"/>
    <w:rsid w:val="24C21962"/>
    <w:rsid w:val="24C44BED"/>
    <w:rsid w:val="24CC0649"/>
    <w:rsid w:val="24CE594B"/>
    <w:rsid w:val="24D942F0"/>
    <w:rsid w:val="24EF675B"/>
    <w:rsid w:val="250273A3"/>
    <w:rsid w:val="25050C41"/>
    <w:rsid w:val="251B0465"/>
    <w:rsid w:val="25470A19"/>
    <w:rsid w:val="254A0D4A"/>
    <w:rsid w:val="254E4396"/>
    <w:rsid w:val="256040C9"/>
    <w:rsid w:val="256C6F12"/>
    <w:rsid w:val="25715FF2"/>
    <w:rsid w:val="257F6C45"/>
    <w:rsid w:val="258E6E89"/>
    <w:rsid w:val="25A16BBC"/>
    <w:rsid w:val="25B20DC9"/>
    <w:rsid w:val="25B763DF"/>
    <w:rsid w:val="25B8407E"/>
    <w:rsid w:val="25C25679"/>
    <w:rsid w:val="25C70488"/>
    <w:rsid w:val="25D732AA"/>
    <w:rsid w:val="25E22D30"/>
    <w:rsid w:val="25E371D4"/>
    <w:rsid w:val="25E82A3D"/>
    <w:rsid w:val="25FC0296"/>
    <w:rsid w:val="26086C3B"/>
    <w:rsid w:val="260E3B25"/>
    <w:rsid w:val="261C2141"/>
    <w:rsid w:val="263A491A"/>
    <w:rsid w:val="26551754"/>
    <w:rsid w:val="26633E71"/>
    <w:rsid w:val="26946721"/>
    <w:rsid w:val="269C3827"/>
    <w:rsid w:val="26A06E73"/>
    <w:rsid w:val="26B97F35"/>
    <w:rsid w:val="26BE379D"/>
    <w:rsid w:val="26BE72FA"/>
    <w:rsid w:val="26C64400"/>
    <w:rsid w:val="26C66A4C"/>
    <w:rsid w:val="26D42FC1"/>
    <w:rsid w:val="26D905D7"/>
    <w:rsid w:val="26DA1973"/>
    <w:rsid w:val="26DB7EAB"/>
    <w:rsid w:val="26DE174A"/>
    <w:rsid w:val="26E1123A"/>
    <w:rsid w:val="26E34FB2"/>
    <w:rsid w:val="26EE4083"/>
    <w:rsid w:val="27054F28"/>
    <w:rsid w:val="270F5DA7"/>
    <w:rsid w:val="27190705"/>
    <w:rsid w:val="272A498F"/>
    <w:rsid w:val="272C6959"/>
    <w:rsid w:val="272C79C4"/>
    <w:rsid w:val="272F01F7"/>
    <w:rsid w:val="273F1867"/>
    <w:rsid w:val="275A1718"/>
    <w:rsid w:val="276854B7"/>
    <w:rsid w:val="27767BD4"/>
    <w:rsid w:val="27787DF0"/>
    <w:rsid w:val="2791110F"/>
    <w:rsid w:val="27932534"/>
    <w:rsid w:val="27982240"/>
    <w:rsid w:val="27983FEE"/>
    <w:rsid w:val="27996794"/>
    <w:rsid w:val="27A44741"/>
    <w:rsid w:val="27A97FAA"/>
    <w:rsid w:val="27AF30E6"/>
    <w:rsid w:val="27B5694E"/>
    <w:rsid w:val="27B801ED"/>
    <w:rsid w:val="27B84691"/>
    <w:rsid w:val="27D72D69"/>
    <w:rsid w:val="27F8683B"/>
    <w:rsid w:val="280671AA"/>
    <w:rsid w:val="28072F22"/>
    <w:rsid w:val="280B47C0"/>
    <w:rsid w:val="28212236"/>
    <w:rsid w:val="282910EA"/>
    <w:rsid w:val="282B6C11"/>
    <w:rsid w:val="2838132E"/>
    <w:rsid w:val="283905AF"/>
    <w:rsid w:val="283F7D2F"/>
    <w:rsid w:val="284321AC"/>
    <w:rsid w:val="28447CD2"/>
    <w:rsid w:val="285443B9"/>
    <w:rsid w:val="28546167"/>
    <w:rsid w:val="285C1723"/>
    <w:rsid w:val="286B1703"/>
    <w:rsid w:val="2874680A"/>
    <w:rsid w:val="287A36F4"/>
    <w:rsid w:val="287B7B98"/>
    <w:rsid w:val="288528F2"/>
    <w:rsid w:val="28902F18"/>
    <w:rsid w:val="289522DC"/>
    <w:rsid w:val="289724F8"/>
    <w:rsid w:val="289A78F2"/>
    <w:rsid w:val="28A6098D"/>
    <w:rsid w:val="28AA222B"/>
    <w:rsid w:val="28B5472C"/>
    <w:rsid w:val="28BC3D0D"/>
    <w:rsid w:val="28CD5F1A"/>
    <w:rsid w:val="28EC2844"/>
    <w:rsid w:val="28EF7C3E"/>
    <w:rsid w:val="28F10206"/>
    <w:rsid w:val="29001E4B"/>
    <w:rsid w:val="2919115F"/>
    <w:rsid w:val="291E0523"/>
    <w:rsid w:val="292A511A"/>
    <w:rsid w:val="29387837"/>
    <w:rsid w:val="293D0E67"/>
    <w:rsid w:val="2940049A"/>
    <w:rsid w:val="294F2DD3"/>
    <w:rsid w:val="295959FF"/>
    <w:rsid w:val="295E3016"/>
    <w:rsid w:val="296543A4"/>
    <w:rsid w:val="29763EBB"/>
    <w:rsid w:val="297E0FC2"/>
    <w:rsid w:val="29824F56"/>
    <w:rsid w:val="298505A2"/>
    <w:rsid w:val="298567F4"/>
    <w:rsid w:val="29883BEF"/>
    <w:rsid w:val="29974798"/>
    <w:rsid w:val="29995DFC"/>
    <w:rsid w:val="29AC3D81"/>
    <w:rsid w:val="29B175E9"/>
    <w:rsid w:val="29B6075C"/>
    <w:rsid w:val="29B669AE"/>
    <w:rsid w:val="29C410CB"/>
    <w:rsid w:val="29E4351B"/>
    <w:rsid w:val="29F51284"/>
    <w:rsid w:val="29FA4AED"/>
    <w:rsid w:val="29FC6AB7"/>
    <w:rsid w:val="2A0B0611"/>
    <w:rsid w:val="2A1262DA"/>
    <w:rsid w:val="2A144266"/>
    <w:rsid w:val="2A1A0CEB"/>
    <w:rsid w:val="2A246B9F"/>
    <w:rsid w:val="2A257690"/>
    <w:rsid w:val="2A2C0A1E"/>
    <w:rsid w:val="2A355B25"/>
    <w:rsid w:val="2A3C3357"/>
    <w:rsid w:val="2A3F69A3"/>
    <w:rsid w:val="2A44220C"/>
    <w:rsid w:val="2A557F75"/>
    <w:rsid w:val="2A720B27"/>
    <w:rsid w:val="2A73319F"/>
    <w:rsid w:val="2A7D127A"/>
    <w:rsid w:val="2A8B69DB"/>
    <w:rsid w:val="2A8E16D9"/>
    <w:rsid w:val="2A8FE887"/>
    <w:rsid w:val="2A992557"/>
    <w:rsid w:val="2A9A28C1"/>
    <w:rsid w:val="2A9F7442"/>
    <w:rsid w:val="2AB27175"/>
    <w:rsid w:val="2ABC1F06"/>
    <w:rsid w:val="2ABE5B1A"/>
    <w:rsid w:val="2AC266B2"/>
    <w:rsid w:val="2AC31382"/>
    <w:rsid w:val="2AC5334C"/>
    <w:rsid w:val="2ADC2444"/>
    <w:rsid w:val="2AE13EFE"/>
    <w:rsid w:val="2AE17A5A"/>
    <w:rsid w:val="2AEB08D9"/>
    <w:rsid w:val="2AF91248"/>
    <w:rsid w:val="2AFC4894"/>
    <w:rsid w:val="2B006133"/>
    <w:rsid w:val="2B0100FD"/>
    <w:rsid w:val="2B0759B7"/>
    <w:rsid w:val="2B1A4D1A"/>
    <w:rsid w:val="2B367DA6"/>
    <w:rsid w:val="2B3B716B"/>
    <w:rsid w:val="2B4C75CA"/>
    <w:rsid w:val="2B5E554F"/>
    <w:rsid w:val="2B683CD8"/>
    <w:rsid w:val="2B6C1A1A"/>
    <w:rsid w:val="2B6E5792"/>
    <w:rsid w:val="2B91322F"/>
    <w:rsid w:val="2B9729CB"/>
    <w:rsid w:val="2B97636B"/>
    <w:rsid w:val="2B9B40AD"/>
    <w:rsid w:val="2BE5357A"/>
    <w:rsid w:val="2BEF61A7"/>
    <w:rsid w:val="2BF65788"/>
    <w:rsid w:val="2C041C52"/>
    <w:rsid w:val="2C071743"/>
    <w:rsid w:val="2C0E487F"/>
    <w:rsid w:val="2C2534C9"/>
    <w:rsid w:val="2C275941"/>
    <w:rsid w:val="2C2E0A7D"/>
    <w:rsid w:val="2C3562B0"/>
    <w:rsid w:val="2C457612"/>
    <w:rsid w:val="2C504E98"/>
    <w:rsid w:val="2C567FD4"/>
    <w:rsid w:val="2C701096"/>
    <w:rsid w:val="2C732934"/>
    <w:rsid w:val="2C7768C8"/>
    <w:rsid w:val="2C7F39CF"/>
    <w:rsid w:val="2C8965FC"/>
    <w:rsid w:val="2C8E776E"/>
    <w:rsid w:val="2C9F7BCD"/>
    <w:rsid w:val="2CA84CD4"/>
    <w:rsid w:val="2CB2345D"/>
    <w:rsid w:val="2CB27900"/>
    <w:rsid w:val="2CC15D95"/>
    <w:rsid w:val="2CC31B0E"/>
    <w:rsid w:val="2CC869E8"/>
    <w:rsid w:val="2CD35FB2"/>
    <w:rsid w:val="2CD51841"/>
    <w:rsid w:val="2CD86C3B"/>
    <w:rsid w:val="2CF55A3F"/>
    <w:rsid w:val="2D085772"/>
    <w:rsid w:val="2D241E80"/>
    <w:rsid w:val="2D265BF9"/>
    <w:rsid w:val="2D320A41"/>
    <w:rsid w:val="2D3622E0"/>
    <w:rsid w:val="2D393B7E"/>
    <w:rsid w:val="2D4C7C99"/>
    <w:rsid w:val="2D5B1D46"/>
    <w:rsid w:val="2D7626DC"/>
    <w:rsid w:val="2D7B4196"/>
    <w:rsid w:val="2D7B7CF2"/>
    <w:rsid w:val="2D8A6187"/>
    <w:rsid w:val="2D8C1F00"/>
    <w:rsid w:val="2D99286E"/>
    <w:rsid w:val="2DA37249"/>
    <w:rsid w:val="2DA57465"/>
    <w:rsid w:val="2DAF2092"/>
    <w:rsid w:val="2DB651CE"/>
    <w:rsid w:val="2DBB27E5"/>
    <w:rsid w:val="2DC01BA9"/>
    <w:rsid w:val="2DC0604D"/>
    <w:rsid w:val="2DE53D06"/>
    <w:rsid w:val="2DF06932"/>
    <w:rsid w:val="2DF12E9C"/>
    <w:rsid w:val="2DFD4BAB"/>
    <w:rsid w:val="2E19750B"/>
    <w:rsid w:val="2E220AB6"/>
    <w:rsid w:val="2E3D31FA"/>
    <w:rsid w:val="2E3D769E"/>
    <w:rsid w:val="2E4427DA"/>
    <w:rsid w:val="2E476A05"/>
    <w:rsid w:val="2E4A5917"/>
    <w:rsid w:val="2E4C5B33"/>
    <w:rsid w:val="2E505623"/>
    <w:rsid w:val="2E5073D1"/>
    <w:rsid w:val="2E5D564A"/>
    <w:rsid w:val="2E701821"/>
    <w:rsid w:val="2E7B3D22"/>
    <w:rsid w:val="2E873102"/>
    <w:rsid w:val="2E8B4C27"/>
    <w:rsid w:val="2EA25753"/>
    <w:rsid w:val="2EB91986"/>
    <w:rsid w:val="2EBD3D50"/>
    <w:rsid w:val="2EC41EB1"/>
    <w:rsid w:val="2EC67693"/>
    <w:rsid w:val="2EE87609"/>
    <w:rsid w:val="2EF266DA"/>
    <w:rsid w:val="2F204FF5"/>
    <w:rsid w:val="2F212B1B"/>
    <w:rsid w:val="2F2D326E"/>
    <w:rsid w:val="2F436F36"/>
    <w:rsid w:val="2F452CAE"/>
    <w:rsid w:val="2F5E167A"/>
    <w:rsid w:val="2F9037FD"/>
    <w:rsid w:val="2FA07EE4"/>
    <w:rsid w:val="2FA23C5C"/>
    <w:rsid w:val="2FA63021"/>
    <w:rsid w:val="2FAF6379"/>
    <w:rsid w:val="2FB15C4D"/>
    <w:rsid w:val="2FC35981"/>
    <w:rsid w:val="2FC736C3"/>
    <w:rsid w:val="2FCA31B3"/>
    <w:rsid w:val="2FCF07C9"/>
    <w:rsid w:val="2FD162F0"/>
    <w:rsid w:val="2FE06533"/>
    <w:rsid w:val="2FE9188B"/>
    <w:rsid w:val="2FEA73B1"/>
    <w:rsid w:val="2FF5410A"/>
    <w:rsid w:val="2FFA3A98"/>
    <w:rsid w:val="2FFE39E8"/>
    <w:rsid w:val="301937F3"/>
    <w:rsid w:val="301F52AD"/>
    <w:rsid w:val="30442F65"/>
    <w:rsid w:val="3045283A"/>
    <w:rsid w:val="305111DE"/>
    <w:rsid w:val="30517430"/>
    <w:rsid w:val="30670A02"/>
    <w:rsid w:val="3073370F"/>
    <w:rsid w:val="307F3F9D"/>
    <w:rsid w:val="3098505F"/>
    <w:rsid w:val="309C4B4F"/>
    <w:rsid w:val="30A457B2"/>
    <w:rsid w:val="30A6777C"/>
    <w:rsid w:val="30BD45A0"/>
    <w:rsid w:val="30E107B4"/>
    <w:rsid w:val="30E3452C"/>
    <w:rsid w:val="30E67B79"/>
    <w:rsid w:val="30E87D95"/>
    <w:rsid w:val="30F027A5"/>
    <w:rsid w:val="30F54260"/>
    <w:rsid w:val="3102072B"/>
    <w:rsid w:val="31091AB9"/>
    <w:rsid w:val="310B75DF"/>
    <w:rsid w:val="31403B83"/>
    <w:rsid w:val="31552299"/>
    <w:rsid w:val="315E3BB3"/>
    <w:rsid w:val="31627437"/>
    <w:rsid w:val="31707702"/>
    <w:rsid w:val="31771119"/>
    <w:rsid w:val="319B4E07"/>
    <w:rsid w:val="31AF08B2"/>
    <w:rsid w:val="31B732C3"/>
    <w:rsid w:val="31B859B9"/>
    <w:rsid w:val="31BC6B2B"/>
    <w:rsid w:val="31C3610C"/>
    <w:rsid w:val="31C54716"/>
    <w:rsid w:val="31D17E14"/>
    <w:rsid w:val="31EF0CAF"/>
    <w:rsid w:val="320A3D3B"/>
    <w:rsid w:val="321626E0"/>
    <w:rsid w:val="321C75CA"/>
    <w:rsid w:val="321E3342"/>
    <w:rsid w:val="322E5C7B"/>
    <w:rsid w:val="3244724D"/>
    <w:rsid w:val="32470AEB"/>
    <w:rsid w:val="32564455"/>
    <w:rsid w:val="327B69E7"/>
    <w:rsid w:val="32805DAB"/>
    <w:rsid w:val="328238D1"/>
    <w:rsid w:val="32947AC3"/>
    <w:rsid w:val="32F01183"/>
    <w:rsid w:val="32FC7B27"/>
    <w:rsid w:val="33042538"/>
    <w:rsid w:val="33093FF2"/>
    <w:rsid w:val="331C3D26"/>
    <w:rsid w:val="333E1EEE"/>
    <w:rsid w:val="336872FD"/>
    <w:rsid w:val="338F274A"/>
    <w:rsid w:val="3390201E"/>
    <w:rsid w:val="33941B0E"/>
    <w:rsid w:val="33995376"/>
    <w:rsid w:val="339E0222"/>
    <w:rsid w:val="339E6743"/>
    <w:rsid w:val="33A65CE5"/>
    <w:rsid w:val="33AB6E58"/>
    <w:rsid w:val="33B10912"/>
    <w:rsid w:val="33C06DA7"/>
    <w:rsid w:val="33DA14EB"/>
    <w:rsid w:val="33DF7227"/>
    <w:rsid w:val="33F151B2"/>
    <w:rsid w:val="34031BE8"/>
    <w:rsid w:val="34034EE6"/>
    <w:rsid w:val="340842AA"/>
    <w:rsid w:val="34125129"/>
    <w:rsid w:val="34180991"/>
    <w:rsid w:val="34190265"/>
    <w:rsid w:val="342235BE"/>
    <w:rsid w:val="343926B5"/>
    <w:rsid w:val="343E7C06"/>
    <w:rsid w:val="34403A44"/>
    <w:rsid w:val="34433534"/>
    <w:rsid w:val="3445105A"/>
    <w:rsid w:val="34480B4A"/>
    <w:rsid w:val="347A51A8"/>
    <w:rsid w:val="347E631A"/>
    <w:rsid w:val="34853B4C"/>
    <w:rsid w:val="348E0C53"/>
    <w:rsid w:val="348F22D5"/>
    <w:rsid w:val="34936269"/>
    <w:rsid w:val="3498562E"/>
    <w:rsid w:val="349B511E"/>
    <w:rsid w:val="34A80B62"/>
    <w:rsid w:val="34AE4E51"/>
    <w:rsid w:val="34B63D06"/>
    <w:rsid w:val="34B87A7E"/>
    <w:rsid w:val="34C226AB"/>
    <w:rsid w:val="34C75F13"/>
    <w:rsid w:val="34C91C8B"/>
    <w:rsid w:val="34DB19BE"/>
    <w:rsid w:val="34E72409"/>
    <w:rsid w:val="34EB1C02"/>
    <w:rsid w:val="34FC3E0F"/>
    <w:rsid w:val="35020CF9"/>
    <w:rsid w:val="350902DA"/>
    <w:rsid w:val="350C1B78"/>
    <w:rsid w:val="350C361A"/>
    <w:rsid w:val="350C3926"/>
    <w:rsid w:val="35123632"/>
    <w:rsid w:val="35170C48"/>
    <w:rsid w:val="351F3659"/>
    <w:rsid w:val="352670DE"/>
    <w:rsid w:val="35284C04"/>
    <w:rsid w:val="352E7D40"/>
    <w:rsid w:val="353A4937"/>
    <w:rsid w:val="353E4427"/>
    <w:rsid w:val="35411821"/>
    <w:rsid w:val="35494B7A"/>
    <w:rsid w:val="355A0B35"/>
    <w:rsid w:val="355E6877"/>
    <w:rsid w:val="35613C72"/>
    <w:rsid w:val="356814A4"/>
    <w:rsid w:val="35725E7F"/>
    <w:rsid w:val="35812566"/>
    <w:rsid w:val="35843E04"/>
    <w:rsid w:val="359009FB"/>
    <w:rsid w:val="359202CF"/>
    <w:rsid w:val="3592207D"/>
    <w:rsid w:val="35944047"/>
    <w:rsid w:val="3598340C"/>
    <w:rsid w:val="35A61FCC"/>
    <w:rsid w:val="35B5220F"/>
    <w:rsid w:val="35BE7316"/>
    <w:rsid w:val="35C91817"/>
    <w:rsid w:val="35D22DC1"/>
    <w:rsid w:val="35D54660"/>
    <w:rsid w:val="35D5640E"/>
    <w:rsid w:val="35D72186"/>
    <w:rsid w:val="35E36D7D"/>
    <w:rsid w:val="35E46651"/>
    <w:rsid w:val="35ED19A9"/>
    <w:rsid w:val="36020630"/>
    <w:rsid w:val="360A255B"/>
    <w:rsid w:val="36154A5C"/>
    <w:rsid w:val="36162CAE"/>
    <w:rsid w:val="361909F0"/>
    <w:rsid w:val="36213401"/>
    <w:rsid w:val="3623361D"/>
    <w:rsid w:val="362D624A"/>
    <w:rsid w:val="363B357D"/>
    <w:rsid w:val="363B3D27"/>
    <w:rsid w:val="364F4412"/>
    <w:rsid w:val="36536868"/>
    <w:rsid w:val="366D0A5A"/>
    <w:rsid w:val="366D6646"/>
    <w:rsid w:val="367479D5"/>
    <w:rsid w:val="36767BF1"/>
    <w:rsid w:val="36826596"/>
    <w:rsid w:val="36857E34"/>
    <w:rsid w:val="368645BD"/>
    <w:rsid w:val="368C11C2"/>
    <w:rsid w:val="368C4D1E"/>
    <w:rsid w:val="36932551"/>
    <w:rsid w:val="369736C3"/>
    <w:rsid w:val="36AA33F6"/>
    <w:rsid w:val="36AA789A"/>
    <w:rsid w:val="36C50230"/>
    <w:rsid w:val="36CC15BF"/>
    <w:rsid w:val="36D668E1"/>
    <w:rsid w:val="36D6690A"/>
    <w:rsid w:val="36DA42D9"/>
    <w:rsid w:val="37040D59"/>
    <w:rsid w:val="370A0339"/>
    <w:rsid w:val="370E607B"/>
    <w:rsid w:val="37151DE4"/>
    <w:rsid w:val="37164F30"/>
    <w:rsid w:val="37215DAE"/>
    <w:rsid w:val="37272C99"/>
    <w:rsid w:val="372C4753"/>
    <w:rsid w:val="37305FF2"/>
    <w:rsid w:val="373F6235"/>
    <w:rsid w:val="37405B09"/>
    <w:rsid w:val="375F0685"/>
    <w:rsid w:val="377F0D27"/>
    <w:rsid w:val="3781684D"/>
    <w:rsid w:val="378235AF"/>
    <w:rsid w:val="37B3277F"/>
    <w:rsid w:val="37BA58BB"/>
    <w:rsid w:val="37BF2ED1"/>
    <w:rsid w:val="37C4498C"/>
    <w:rsid w:val="37CB1876"/>
    <w:rsid w:val="37CB29F0"/>
    <w:rsid w:val="37D526F5"/>
    <w:rsid w:val="37DD15AA"/>
    <w:rsid w:val="37F05BF6"/>
    <w:rsid w:val="37F232A7"/>
    <w:rsid w:val="380A05F1"/>
    <w:rsid w:val="3834566E"/>
    <w:rsid w:val="383B4C4E"/>
    <w:rsid w:val="384A4E91"/>
    <w:rsid w:val="386121DB"/>
    <w:rsid w:val="3862667F"/>
    <w:rsid w:val="386A5533"/>
    <w:rsid w:val="386D5023"/>
    <w:rsid w:val="38726196"/>
    <w:rsid w:val="387719FE"/>
    <w:rsid w:val="38A65E3F"/>
    <w:rsid w:val="38A87E0A"/>
    <w:rsid w:val="38B247E4"/>
    <w:rsid w:val="38BB7B3D"/>
    <w:rsid w:val="38F049E5"/>
    <w:rsid w:val="38F848ED"/>
    <w:rsid w:val="38F8669B"/>
    <w:rsid w:val="38FF3ECD"/>
    <w:rsid w:val="39131727"/>
    <w:rsid w:val="39253208"/>
    <w:rsid w:val="392B4CC2"/>
    <w:rsid w:val="39482E33"/>
    <w:rsid w:val="395D6E46"/>
    <w:rsid w:val="397228F1"/>
    <w:rsid w:val="398443D3"/>
    <w:rsid w:val="398E5251"/>
    <w:rsid w:val="39902D77"/>
    <w:rsid w:val="399A59A4"/>
    <w:rsid w:val="39CD3FCC"/>
    <w:rsid w:val="39CE564E"/>
    <w:rsid w:val="39FC21BB"/>
    <w:rsid w:val="3A157721"/>
    <w:rsid w:val="3A1A0893"/>
    <w:rsid w:val="3A274697"/>
    <w:rsid w:val="3A39340F"/>
    <w:rsid w:val="3A452C34"/>
    <w:rsid w:val="3A490D14"/>
    <w:rsid w:val="3A4F49E1"/>
    <w:rsid w:val="3A7B57D6"/>
    <w:rsid w:val="3A810912"/>
    <w:rsid w:val="3AAA2F72"/>
    <w:rsid w:val="3AAB598F"/>
    <w:rsid w:val="3AAF1923"/>
    <w:rsid w:val="3ABC1FDA"/>
    <w:rsid w:val="3ABF4E3E"/>
    <w:rsid w:val="3AC727C9"/>
    <w:rsid w:val="3ACA4067"/>
    <w:rsid w:val="3ACF1E81"/>
    <w:rsid w:val="3AD76784"/>
    <w:rsid w:val="3AE315CD"/>
    <w:rsid w:val="3AFE2B41"/>
    <w:rsid w:val="3B0532F1"/>
    <w:rsid w:val="3B0A6B5A"/>
    <w:rsid w:val="3B0E664A"/>
    <w:rsid w:val="3B183024"/>
    <w:rsid w:val="3B2A0FAA"/>
    <w:rsid w:val="3B2F65C0"/>
    <w:rsid w:val="3B351E28"/>
    <w:rsid w:val="3B497682"/>
    <w:rsid w:val="3B4C2CCE"/>
    <w:rsid w:val="3B563B4D"/>
    <w:rsid w:val="3B583D69"/>
    <w:rsid w:val="3B77096F"/>
    <w:rsid w:val="3B781D15"/>
    <w:rsid w:val="3B7A783B"/>
    <w:rsid w:val="3B8C57C0"/>
    <w:rsid w:val="3B8C756F"/>
    <w:rsid w:val="3B903503"/>
    <w:rsid w:val="3B914B85"/>
    <w:rsid w:val="3BA96372"/>
    <w:rsid w:val="3BB07701"/>
    <w:rsid w:val="3BB54D17"/>
    <w:rsid w:val="3BCA7FC2"/>
    <w:rsid w:val="3BCD02B3"/>
    <w:rsid w:val="3BCE2E77"/>
    <w:rsid w:val="3BD11425"/>
    <w:rsid w:val="3BD66A3C"/>
    <w:rsid w:val="3BE61375"/>
    <w:rsid w:val="3BF56584"/>
    <w:rsid w:val="3BF73FA3"/>
    <w:rsid w:val="3C095063"/>
    <w:rsid w:val="3C1F4887"/>
    <w:rsid w:val="3C221C81"/>
    <w:rsid w:val="3C2D0D52"/>
    <w:rsid w:val="3C395948"/>
    <w:rsid w:val="3C4B4D76"/>
    <w:rsid w:val="3C4F6F1A"/>
    <w:rsid w:val="3C5A58BF"/>
    <w:rsid w:val="3CA32DC2"/>
    <w:rsid w:val="3CAE41B3"/>
    <w:rsid w:val="3CB4494B"/>
    <w:rsid w:val="3CB732CC"/>
    <w:rsid w:val="3CC35212"/>
    <w:rsid w:val="3CC52D38"/>
    <w:rsid w:val="3CE9623D"/>
    <w:rsid w:val="3CEC4769"/>
    <w:rsid w:val="3CF02B39"/>
    <w:rsid w:val="3CF25AF7"/>
    <w:rsid w:val="3CF45054"/>
    <w:rsid w:val="3D0221DE"/>
    <w:rsid w:val="3D1C4922"/>
    <w:rsid w:val="3D2008B6"/>
    <w:rsid w:val="3D26440A"/>
    <w:rsid w:val="3D2A703F"/>
    <w:rsid w:val="3D2F4655"/>
    <w:rsid w:val="3D532A3A"/>
    <w:rsid w:val="3D5347E8"/>
    <w:rsid w:val="3D6559F7"/>
    <w:rsid w:val="3D6764E5"/>
    <w:rsid w:val="3D6B540B"/>
    <w:rsid w:val="3D7824A0"/>
    <w:rsid w:val="3D7D1865"/>
    <w:rsid w:val="3DC92CFC"/>
    <w:rsid w:val="3DD11BB1"/>
    <w:rsid w:val="3DD60F75"/>
    <w:rsid w:val="3DE43692"/>
    <w:rsid w:val="3DF338D5"/>
    <w:rsid w:val="3DFC4E7F"/>
    <w:rsid w:val="3E03620E"/>
    <w:rsid w:val="3E0821E6"/>
    <w:rsid w:val="3E29379B"/>
    <w:rsid w:val="3E5E1696"/>
    <w:rsid w:val="3E661075"/>
    <w:rsid w:val="3E6D1797"/>
    <w:rsid w:val="3E7F33BB"/>
    <w:rsid w:val="3E8135D7"/>
    <w:rsid w:val="3E86299B"/>
    <w:rsid w:val="3E99447C"/>
    <w:rsid w:val="3E997609"/>
    <w:rsid w:val="3EB412B6"/>
    <w:rsid w:val="3EB47508"/>
    <w:rsid w:val="3EB72B54"/>
    <w:rsid w:val="3EBB7A88"/>
    <w:rsid w:val="3ED2798E"/>
    <w:rsid w:val="3EE002FD"/>
    <w:rsid w:val="3EE6168C"/>
    <w:rsid w:val="3EE6343A"/>
    <w:rsid w:val="3F12422F"/>
    <w:rsid w:val="3F1575DA"/>
    <w:rsid w:val="3F19736B"/>
    <w:rsid w:val="3F2C52F0"/>
    <w:rsid w:val="3F32667F"/>
    <w:rsid w:val="3F3D49DB"/>
    <w:rsid w:val="3F43088C"/>
    <w:rsid w:val="3F4343E8"/>
    <w:rsid w:val="3F4A5777"/>
    <w:rsid w:val="3F7171A7"/>
    <w:rsid w:val="3F7647BE"/>
    <w:rsid w:val="3F827606"/>
    <w:rsid w:val="3F8F762D"/>
    <w:rsid w:val="3F944511"/>
    <w:rsid w:val="3F9D7F9C"/>
    <w:rsid w:val="3FA07A8C"/>
    <w:rsid w:val="3FA7706D"/>
    <w:rsid w:val="3FB35A12"/>
    <w:rsid w:val="3FB47094"/>
    <w:rsid w:val="3FC217B1"/>
    <w:rsid w:val="3FC75019"/>
    <w:rsid w:val="3FC90D91"/>
    <w:rsid w:val="3FD339BE"/>
    <w:rsid w:val="3FDD2A8F"/>
    <w:rsid w:val="3FDD483D"/>
    <w:rsid w:val="3FE536F1"/>
    <w:rsid w:val="3FEA0D08"/>
    <w:rsid w:val="3FFF0C57"/>
    <w:rsid w:val="400B75FC"/>
    <w:rsid w:val="400C0C7E"/>
    <w:rsid w:val="400D3374"/>
    <w:rsid w:val="400E49F6"/>
    <w:rsid w:val="401F30A7"/>
    <w:rsid w:val="40295CD4"/>
    <w:rsid w:val="402968CC"/>
    <w:rsid w:val="40323326"/>
    <w:rsid w:val="403E177F"/>
    <w:rsid w:val="404B3E9C"/>
    <w:rsid w:val="40646D0C"/>
    <w:rsid w:val="406B009A"/>
    <w:rsid w:val="407D057E"/>
    <w:rsid w:val="407D392A"/>
    <w:rsid w:val="407E4591"/>
    <w:rsid w:val="40827192"/>
    <w:rsid w:val="408B6047"/>
    <w:rsid w:val="40905D53"/>
    <w:rsid w:val="40A4535A"/>
    <w:rsid w:val="40A84E4B"/>
    <w:rsid w:val="40AD06B3"/>
    <w:rsid w:val="40C559FD"/>
    <w:rsid w:val="40D21EC7"/>
    <w:rsid w:val="40D43E92"/>
    <w:rsid w:val="40E13EB9"/>
    <w:rsid w:val="40E85247"/>
    <w:rsid w:val="40FB141E"/>
    <w:rsid w:val="412F731A"/>
    <w:rsid w:val="413E130B"/>
    <w:rsid w:val="414F176A"/>
    <w:rsid w:val="414F3518"/>
    <w:rsid w:val="415E6EB8"/>
    <w:rsid w:val="416F5968"/>
    <w:rsid w:val="41780CC1"/>
    <w:rsid w:val="41874A60"/>
    <w:rsid w:val="41A970CC"/>
    <w:rsid w:val="41AE6491"/>
    <w:rsid w:val="41B31CF9"/>
    <w:rsid w:val="41BB6E00"/>
    <w:rsid w:val="41C537DA"/>
    <w:rsid w:val="41CC6917"/>
    <w:rsid w:val="41FB36A0"/>
    <w:rsid w:val="41FD4D22"/>
    <w:rsid w:val="41FF4F3E"/>
    <w:rsid w:val="42022339"/>
    <w:rsid w:val="4205007B"/>
    <w:rsid w:val="42091919"/>
    <w:rsid w:val="42240501"/>
    <w:rsid w:val="42336996"/>
    <w:rsid w:val="423D7815"/>
    <w:rsid w:val="424B0183"/>
    <w:rsid w:val="424B1F31"/>
    <w:rsid w:val="42554B5E"/>
    <w:rsid w:val="4258464E"/>
    <w:rsid w:val="426B25D4"/>
    <w:rsid w:val="428E62C2"/>
    <w:rsid w:val="429315DC"/>
    <w:rsid w:val="429D6505"/>
    <w:rsid w:val="42A7440F"/>
    <w:rsid w:val="42B20202"/>
    <w:rsid w:val="42BD2703"/>
    <w:rsid w:val="42C121F4"/>
    <w:rsid w:val="42C6780A"/>
    <w:rsid w:val="42CD2946"/>
    <w:rsid w:val="42E934F8"/>
    <w:rsid w:val="42F112EB"/>
    <w:rsid w:val="42FF2D1C"/>
    <w:rsid w:val="43023801"/>
    <w:rsid w:val="43192030"/>
    <w:rsid w:val="431C1B20"/>
    <w:rsid w:val="4320516C"/>
    <w:rsid w:val="432A5FEB"/>
    <w:rsid w:val="43317379"/>
    <w:rsid w:val="433504EC"/>
    <w:rsid w:val="434F5A51"/>
    <w:rsid w:val="435272F0"/>
    <w:rsid w:val="436F7EA2"/>
    <w:rsid w:val="43770B04"/>
    <w:rsid w:val="43860D47"/>
    <w:rsid w:val="438751EB"/>
    <w:rsid w:val="43931DE2"/>
    <w:rsid w:val="43A0005B"/>
    <w:rsid w:val="43B9736F"/>
    <w:rsid w:val="43C024AB"/>
    <w:rsid w:val="43CD6114"/>
    <w:rsid w:val="43D441A9"/>
    <w:rsid w:val="43DD4C6D"/>
    <w:rsid w:val="43DD51B5"/>
    <w:rsid w:val="43E91A02"/>
    <w:rsid w:val="43F56AA3"/>
    <w:rsid w:val="43F860E9"/>
    <w:rsid w:val="44056110"/>
    <w:rsid w:val="4407106E"/>
    <w:rsid w:val="441045ED"/>
    <w:rsid w:val="44147DC7"/>
    <w:rsid w:val="4427077C"/>
    <w:rsid w:val="442B201A"/>
    <w:rsid w:val="442E1B0B"/>
    <w:rsid w:val="44421112"/>
    <w:rsid w:val="44450C02"/>
    <w:rsid w:val="444A7FC7"/>
    <w:rsid w:val="44564BBE"/>
    <w:rsid w:val="445C0339"/>
    <w:rsid w:val="44613C8E"/>
    <w:rsid w:val="448E07FB"/>
    <w:rsid w:val="44A2716B"/>
    <w:rsid w:val="44A8366B"/>
    <w:rsid w:val="44AB4F09"/>
    <w:rsid w:val="44B00772"/>
    <w:rsid w:val="44C22253"/>
    <w:rsid w:val="44C67F95"/>
    <w:rsid w:val="44D3620E"/>
    <w:rsid w:val="44D426B2"/>
    <w:rsid w:val="44E623E5"/>
    <w:rsid w:val="44E93C84"/>
    <w:rsid w:val="44E977E0"/>
    <w:rsid w:val="44FB5145"/>
    <w:rsid w:val="45124F88"/>
    <w:rsid w:val="451707F1"/>
    <w:rsid w:val="451F3201"/>
    <w:rsid w:val="45202187"/>
    <w:rsid w:val="452627E2"/>
    <w:rsid w:val="452B604A"/>
    <w:rsid w:val="453F5652"/>
    <w:rsid w:val="4541761C"/>
    <w:rsid w:val="45440C37"/>
    <w:rsid w:val="454D4212"/>
    <w:rsid w:val="454D5FC1"/>
    <w:rsid w:val="454F7F8B"/>
    <w:rsid w:val="45703A5D"/>
    <w:rsid w:val="457A48DC"/>
    <w:rsid w:val="459040FF"/>
    <w:rsid w:val="459F693F"/>
    <w:rsid w:val="45A04342"/>
    <w:rsid w:val="45A51959"/>
    <w:rsid w:val="45AA6F6F"/>
    <w:rsid w:val="45C36283"/>
    <w:rsid w:val="45CC3389"/>
    <w:rsid w:val="45CF2E79"/>
    <w:rsid w:val="45D3296A"/>
    <w:rsid w:val="46032B23"/>
    <w:rsid w:val="462E1094"/>
    <w:rsid w:val="464253F9"/>
    <w:rsid w:val="46464EDC"/>
    <w:rsid w:val="46470C62"/>
    <w:rsid w:val="464A0752"/>
    <w:rsid w:val="46535A9E"/>
    <w:rsid w:val="46671304"/>
    <w:rsid w:val="466C06C8"/>
    <w:rsid w:val="468A0B4E"/>
    <w:rsid w:val="46933EA7"/>
    <w:rsid w:val="46AE2A8F"/>
    <w:rsid w:val="46B67B95"/>
    <w:rsid w:val="46C329DE"/>
    <w:rsid w:val="46C93D6D"/>
    <w:rsid w:val="46CC73B9"/>
    <w:rsid w:val="46DC362A"/>
    <w:rsid w:val="46DE54E3"/>
    <w:rsid w:val="46FF32EA"/>
    <w:rsid w:val="471072A6"/>
    <w:rsid w:val="473016F6"/>
    <w:rsid w:val="47302C8A"/>
    <w:rsid w:val="473867FC"/>
    <w:rsid w:val="47394A4E"/>
    <w:rsid w:val="474844A2"/>
    <w:rsid w:val="474A6C5C"/>
    <w:rsid w:val="475E2707"/>
    <w:rsid w:val="475E7DF6"/>
    <w:rsid w:val="47637D1D"/>
    <w:rsid w:val="478101A3"/>
    <w:rsid w:val="47835CCA"/>
    <w:rsid w:val="47841A42"/>
    <w:rsid w:val="47891BA4"/>
    <w:rsid w:val="478F0B12"/>
    <w:rsid w:val="47B75973"/>
    <w:rsid w:val="47D14C87"/>
    <w:rsid w:val="48082673"/>
    <w:rsid w:val="480A63EB"/>
    <w:rsid w:val="481132D5"/>
    <w:rsid w:val="481B23A6"/>
    <w:rsid w:val="48215321"/>
    <w:rsid w:val="482F7BFF"/>
    <w:rsid w:val="48455675"/>
    <w:rsid w:val="484C049B"/>
    <w:rsid w:val="4851401A"/>
    <w:rsid w:val="485B6C46"/>
    <w:rsid w:val="48671147"/>
    <w:rsid w:val="486C0E54"/>
    <w:rsid w:val="48757D08"/>
    <w:rsid w:val="487877F8"/>
    <w:rsid w:val="488A3088"/>
    <w:rsid w:val="48967C7F"/>
    <w:rsid w:val="48B06F92"/>
    <w:rsid w:val="48C540C0"/>
    <w:rsid w:val="48C77E38"/>
    <w:rsid w:val="48E21116"/>
    <w:rsid w:val="48E24C72"/>
    <w:rsid w:val="48E501DF"/>
    <w:rsid w:val="48E7672C"/>
    <w:rsid w:val="48EA3B26"/>
    <w:rsid w:val="48EB47DC"/>
    <w:rsid w:val="490E3CB9"/>
    <w:rsid w:val="491030DB"/>
    <w:rsid w:val="49107A31"/>
    <w:rsid w:val="49127986"/>
    <w:rsid w:val="4913273F"/>
    <w:rsid w:val="491868E5"/>
    <w:rsid w:val="491A265E"/>
    <w:rsid w:val="491C63D6"/>
    <w:rsid w:val="493C57C4"/>
    <w:rsid w:val="4941408E"/>
    <w:rsid w:val="49432ACF"/>
    <w:rsid w:val="494E2307"/>
    <w:rsid w:val="49507E2D"/>
    <w:rsid w:val="49562689"/>
    <w:rsid w:val="49584F34"/>
    <w:rsid w:val="495A6EFE"/>
    <w:rsid w:val="495C2C76"/>
    <w:rsid w:val="49634005"/>
    <w:rsid w:val="496438D9"/>
    <w:rsid w:val="4989333F"/>
    <w:rsid w:val="49935F6C"/>
    <w:rsid w:val="499917D4"/>
    <w:rsid w:val="499D1389"/>
    <w:rsid w:val="49A81A17"/>
    <w:rsid w:val="49B04D70"/>
    <w:rsid w:val="49B303BC"/>
    <w:rsid w:val="49B93C25"/>
    <w:rsid w:val="49BA174B"/>
    <w:rsid w:val="49C600F0"/>
    <w:rsid w:val="49C8030C"/>
    <w:rsid w:val="49F44C5D"/>
    <w:rsid w:val="49F7474D"/>
    <w:rsid w:val="49F904C5"/>
    <w:rsid w:val="4A06662F"/>
    <w:rsid w:val="4A0C644A"/>
    <w:rsid w:val="4A0D3F70"/>
    <w:rsid w:val="4A121587"/>
    <w:rsid w:val="4A1D0657"/>
    <w:rsid w:val="4A275032"/>
    <w:rsid w:val="4A286FFC"/>
    <w:rsid w:val="4A3C6604"/>
    <w:rsid w:val="4A407EA2"/>
    <w:rsid w:val="4A4C2CEB"/>
    <w:rsid w:val="4A5637D9"/>
    <w:rsid w:val="4A655B5A"/>
    <w:rsid w:val="4A673681"/>
    <w:rsid w:val="4A6A4F1F"/>
    <w:rsid w:val="4A6F2535"/>
    <w:rsid w:val="4A7144FF"/>
    <w:rsid w:val="4A8561FD"/>
    <w:rsid w:val="4A9B77CE"/>
    <w:rsid w:val="4A9D52F4"/>
    <w:rsid w:val="4AAA5C63"/>
    <w:rsid w:val="4AAD305D"/>
    <w:rsid w:val="4ABB577A"/>
    <w:rsid w:val="4AC42881"/>
    <w:rsid w:val="4AD52CE0"/>
    <w:rsid w:val="4ADF3B5F"/>
    <w:rsid w:val="4AE178D7"/>
    <w:rsid w:val="4AE747C1"/>
    <w:rsid w:val="4AE90539"/>
    <w:rsid w:val="4AF8077D"/>
    <w:rsid w:val="4AFF1B0B"/>
    <w:rsid w:val="4AFF5FAF"/>
    <w:rsid w:val="4B0233A9"/>
    <w:rsid w:val="4B054C48"/>
    <w:rsid w:val="4B0709C0"/>
    <w:rsid w:val="4B0B04B0"/>
    <w:rsid w:val="4B133808"/>
    <w:rsid w:val="4B137364"/>
    <w:rsid w:val="4B182BCD"/>
    <w:rsid w:val="4B187071"/>
    <w:rsid w:val="4B241572"/>
    <w:rsid w:val="4B321EE0"/>
    <w:rsid w:val="4B3774F7"/>
    <w:rsid w:val="4B4439C2"/>
    <w:rsid w:val="4B5F25AA"/>
    <w:rsid w:val="4B6127C6"/>
    <w:rsid w:val="4B6422B6"/>
    <w:rsid w:val="4B644064"/>
    <w:rsid w:val="4B647BC0"/>
    <w:rsid w:val="4B667DDC"/>
    <w:rsid w:val="4B72052F"/>
    <w:rsid w:val="4B75001F"/>
    <w:rsid w:val="4B7D226C"/>
    <w:rsid w:val="4B842010"/>
    <w:rsid w:val="4B8D35BB"/>
    <w:rsid w:val="4B920BD1"/>
    <w:rsid w:val="4B971D44"/>
    <w:rsid w:val="4B9F6E4A"/>
    <w:rsid w:val="4BA40433"/>
    <w:rsid w:val="4BC30D8B"/>
    <w:rsid w:val="4BC82845"/>
    <w:rsid w:val="4BDB2578"/>
    <w:rsid w:val="4BF16EEB"/>
    <w:rsid w:val="4BFC429C"/>
    <w:rsid w:val="4C03387D"/>
    <w:rsid w:val="4C0849EF"/>
    <w:rsid w:val="4C0B44E0"/>
    <w:rsid w:val="4C1710D6"/>
    <w:rsid w:val="4C207F8B"/>
    <w:rsid w:val="4C3752D5"/>
    <w:rsid w:val="4C39729F"/>
    <w:rsid w:val="4C4D4AF8"/>
    <w:rsid w:val="4C51283A"/>
    <w:rsid w:val="4C5440D8"/>
    <w:rsid w:val="4C547C35"/>
    <w:rsid w:val="4C6C1422"/>
    <w:rsid w:val="4C6D0CF6"/>
    <w:rsid w:val="4C7E2F03"/>
    <w:rsid w:val="4C9F13C1"/>
    <w:rsid w:val="4CA961D2"/>
    <w:rsid w:val="4CB30DFF"/>
    <w:rsid w:val="4CBE77A4"/>
    <w:rsid w:val="4CC823D1"/>
    <w:rsid w:val="4CC90623"/>
    <w:rsid w:val="4CCC3C6F"/>
    <w:rsid w:val="4CCF550D"/>
    <w:rsid w:val="4CD46FC7"/>
    <w:rsid w:val="4D2E492A"/>
    <w:rsid w:val="4D31441A"/>
    <w:rsid w:val="4D3D2DBF"/>
    <w:rsid w:val="4D4128AF"/>
    <w:rsid w:val="4D553C64"/>
    <w:rsid w:val="4D565C2E"/>
    <w:rsid w:val="4D693BB4"/>
    <w:rsid w:val="4D695962"/>
    <w:rsid w:val="4D714816"/>
    <w:rsid w:val="4D844549"/>
    <w:rsid w:val="4D8C2710"/>
    <w:rsid w:val="4D9E25AB"/>
    <w:rsid w:val="4DA4699A"/>
    <w:rsid w:val="4DBA6FFE"/>
    <w:rsid w:val="4DC86B2C"/>
    <w:rsid w:val="4DD23507"/>
    <w:rsid w:val="4DE80F7C"/>
    <w:rsid w:val="4DE84AD8"/>
    <w:rsid w:val="4DF96CE5"/>
    <w:rsid w:val="4E1E04FA"/>
    <w:rsid w:val="4E217FEA"/>
    <w:rsid w:val="4E296E9F"/>
    <w:rsid w:val="4E2E44B5"/>
    <w:rsid w:val="4E600B13"/>
    <w:rsid w:val="4E6879C7"/>
    <w:rsid w:val="4E742810"/>
    <w:rsid w:val="4E7740AE"/>
    <w:rsid w:val="4E881E17"/>
    <w:rsid w:val="4E944C60"/>
    <w:rsid w:val="4E9E163B"/>
    <w:rsid w:val="4EA521E7"/>
    <w:rsid w:val="4EAC06BA"/>
    <w:rsid w:val="4EBE3A8B"/>
    <w:rsid w:val="4EC015B1"/>
    <w:rsid w:val="4ECA2430"/>
    <w:rsid w:val="4ECA5E1A"/>
    <w:rsid w:val="4EE03A01"/>
    <w:rsid w:val="4EE94FAC"/>
    <w:rsid w:val="4EEC684A"/>
    <w:rsid w:val="4EEE25C2"/>
    <w:rsid w:val="4EFB4CDF"/>
    <w:rsid w:val="4F0771E0"/>
    <w:rsid w:val="4F2064F4"/>
    <w:rsid w:val="4F3F2E1E"/>
    <w:rsid w:val="4F55619D"/>
    <w:rsid w:val="4F561F16"/>
    <w:rsid w:val="4F5A7C58"/>
    <w:rsid w:val="4F5F701C"/>
    <w:rsid w:val="4F691C49"/>
    <w:rsid w:val="4F716D4F"/>
    <w:rsid w:val="4F7725B8"/>
    <w:rsid w:val="4F846A83"/>
    <w:rsid w:val="4F8847C5"/>
    <w:rsid w:val="4FBB7FCB"/>
    <w:rsid w:val="4FBF7ABB"/>
    <w:rsid w:val="4FE439C5"/>
    <w:rsid w:val="4FFF25AD"/>
    <w:rsid w:val="50267B3A"/>
    <w:rsid w:val="502B5150"/>
    <w:rsid w:val="503A35E5"/>
    <w:rsid w:val="504947BE"/>
    <w:rsid w:val="50500FDA"/>
    <w:rsid w:val="505C355C"/>
    <w:rsid w:val="505C7A00"/>
    <w:rsid w:val="506568B4"/>
    <w:rsid w:val="50762328"/>
    <w:rsid w:val="50770396"/>
    <w:rsid w:val="507C3BFE"/>
    <w:rsid w:val="50830AE8"/>
    <w:rsid w:val="508D1967"/>
    <w:rsid w:val="509B0528"/>
    <w:rsid w:val="50BE5FC4"/>
    <w:rsid w:val="50CD6207"/>
    <w:rsid w:val="50CF01D2"/>
    <w:rsid w:val="50D3295B"/>
    <w:rsid w:val="50F60038"/>
    <w:rsid w:val="50FB0FC7"/>
    <w:rsid w:val="510460CD"/>
    <w:rsid w:val="510936E3"/>
    <w:rsid w:val="51122369"/>
    <w:rsid w:val="512F0C70"/>
    <w:rsid w:val="51385D10"/>
    <w:rsid w:val="51387B25"/>
    <w:rsid w:val="5144296E"/>
    <w:rsid w:val="514E559A"/>
    <w:rsid w:val="51510BE7"/>
    <w:rsid w:val="5155755B"/>
    <w:rsid w:val="5160707C"/>
    <w:rsid w:val="51666703"/>
    <w:rsid w:val="517639BB"/>
    <w:rsid w:val="519A258E"/>
    <w:rsid w:val="51AE6039"/>
    <w:rsid w:val="51CB2747"/>
    <w:rsid w:val="51D51818"/>
    <w:rsid w:val="51E47CAD"/>
    <w:rsid w:val="51E97071"/>
    <w:rsid w:val="51F779E0"/>
    <w:rsid w:val="520B6FE7"/>
    <w:rsid w:val="52100AA2"/>
    <w:rsid w:val="5212481A"/>
    <w:rsid w:val="52132340"/>
    <w:rsid w:val="5217598C"/>
    <w:rsid w:val="52214A5D"/>
    <w:rsid w:val="52237E91"/>
    <w:rsid w:val="522602C5"/>
    <w:rsid w:val="52263E21"/>
    <w:rsid w:val="52287B99"/>
    <w:rsid w:val="522A48AA"/>
    <w:rsid w:val="522B768A"/>
    <w:rsid w:val="522C39E4"/>
    <w:rsid w:val="52344790"/>
    <w:rsid w:val="523522B6"/>
    <w:rsid w:val="524713AC"/>
    <w:rsid w:val="5264494A"/>
    <w:rsid w:val="527D1EE6"/>
    <w:rsid w:val="528D3EA0"/>
    <w:rsid w:val="528F5E6A"/>
    <w:rsid w:val="528F7C18"/>
    <w:rsid w:val="5290573F"/>
    <w:rsid w:val="529A65BD"/>
    <w:rsid w:val="52B7716F"/>
    <w:rsid w:val="52C3518A"/>
    <w:rsid w:val="52D04E80"/>
    <w:rsid w:val="52D85120"/>
    <w:rsid w:val="52EE02F4"/>
    <w:rsid w:val="52EF06B7"/>
    <w:rsid w:val="530752BE"/>
    <w:rsid w:val="53165C44"/>
    <w:rsid w:val="531D3476"/>
    <w:rsid w:val="532A16EF"/>
    <w:rsid w:val="532D3DB9"/>
    <w:rsid w:val="5362532D"/>
    <w:rsid w:val="536D782E"/>
    <w:rsid w:val="537137C2"/>
    <w:rsid w:val="538057B3"/>
    <w:rsid w:val="53A169D4"/>
    <w:rsid w:val="53AD7315"/>
    <w:rsid w:val="53C12E02"/>
    <w:rsid w:val="53D8739D"/>
    <w:rsid w:val="53DF697E"/>
    <w:rsid w:val="53F27225"/>
    <w:rsid w:val="53F817ED"/>
    <w:rsid w:val="53F87A3F"/>
    <w:rsid w:val="540463E4"/>
    <w:rsid w:val="54071A30"/>
    <w:rsid w:val="54330A77"/>
    <w:rsid w:val="54436F0C"/>
    <w:rsid w:val="54617393"/>
    <w:rsid w:val="5472334E"/>
    <w:rsid w:val="547D1CF3"/>
    <w:rsid w:val="547F1F0F"/>
    <w:rsid w:val="54AA6F8B"/>
    <w:rsid w:val="54AD44B9"/>
    <w:rsid w:val="54B73456"/>
    <w:rsid w:val="54C811C0"/>
    <w:rsid w:val="54CD4A28"/>
    <w:rsid w:val="54D23DEC"/>
    <w:rsid w:val="54DA3618"/>
    <w:rsid w:val="54E6743C"/>
    <w:rsid w:val="54F2623D"/>
    <w:rsid w:val="55222FC6"/>
    <w:rsid w:val="55252FED"/>
    <w:rsid w:val="552A3C28"/>
    <w:rsid w:val="55344AA7"/>
    <w:rsid w:val="553B7BE4"/>
    <w:rsid w:val="55436A98"/>
    <w:rsid w:val="55627866"/>
    <w:rsid w:val="556E7FB9"/>
    <w:rsid w:val="557650C0"/>
    <w:rsid w:val="557D6E58"/>
    <w:rsid w:val="557E2768"/>
    <w:rsid w:val="55805F3E"/>
    <w:rsid w:val="55C73B6D"/>
    <w:rsid w:val="55CB21FF"/>
    <w:rsid w:val="55E74BCB"/>
    <w:rsid w:val="55EC35D4"/>
    <w:rsid w:val="55FB574D"/>
    <w:rsid w:val="5604091D"/>
    <w:rsid w:val="56051FA0"/>
    <w:rsid w:val="56101070"/>
    <w:rsid w:val="56102E1E"/>
    <w:rsid w:val="561D19DF"/>
    <w:rsid w:val="561F5757"/>
    <w:rsid w:val="56384123"/>
    <w:rsid w:val="564725B8"/>
    <w:rsid w:val="564E1B99"/>
    <w:rsid w:val="56707D61"/>
    <w:rsid w:val="567809C3"/>
    <w:rsid w:val="567A0BDF"/>
    <w:rsid w:val="567F7FA4"/>
    <w:rsid w:val="56AE2637"/>
    <w:rsid w:val="56B539C6"/>
    <w:rsid w:val="56B7773E"/>
    <w:rsid w:val="56C34335"/>
    <w:rsid w:val="56CB4F97"/>
    <w:rsid w:val="56CD0D0F"/>
    <w:rsid w:val="56CE6835"/>
    <w:rsid w:val="56DC53F6"/>
    <w:rsid w:val="56ED315F"/>
    <w:rsid w:val="56ED7603"/>
    <w:rsid w:val="56F00EA2"/>
    <w:rsid w:val="56F02C50"/>
    <w:rsid w:val="56FF0F04"/>
    <w:rsid w:val="57123886"/>
    <w:rsid w:val="571B4909"/>
    <w:rsid w:val="57203535"/>
    <w:rsid w:val="57236B81"/>
    <w:rsid w:val="572A4DF2"/>
    <w:rsid w:val="57521214"/>
    <w:rsid w:val="575256B8"/>
    <w:rsid w:val="57565CA4"/>
    <w:rsid w:val="57603931"/>
    <w:rsid w:val="57633422"/>
    <w:rsid w:val="576553EC"/>
    <w:rsid w:val="57743881"/>
    <w:rsid w:val="577D107A"/>
    <w:rsid w:val="57875362"/>
    <w:rsid w:val="57A35F14"/>
    <w:rsid w:val="57A71560"/>
    <w:rsid w:val="57B43C7D"/>
    <w:rsid w:val="57D7448F"/>
    <w:rsid w:val="57F10A2D"/>
    <w:rsid w:val="5805272B"/>
    <w:rsid w:val="580C1D0B"/>
    <w:rsid w:val="580C5867"/>
    <w:rsid w:val="581D7A74"/>
    <w:rsid w:val="58254B7B"/>
    <w:rsid w:val="582D0E61"/>
    <w:rsid w:val="58361F13"/>
    <w:rsid w:val="583D0117"/>
    <w:rsid w:val="584D65AC"/>
    <w:rsid w:val="58624A25"/>
    <w:rsid w:val="58727DC0"/>
    <w:rsid w:val="58737694"/>
    <w:rsid w:val="587830F6"/>
    <w:rsid w:val="587D49B7"/>
    <w:rsid w:val="58825B29"/>
    <w:rsid w:val="588418A2"/>
    <w:rsid w:val="588673C8"/>
    <w:rsid w:val="58870E5D"/>
    <w:rsid w:val="58873140"/>
    <w:rsid w:val="588B0E82"/>
    <w:rsid w:val="588B70D4"/>
    <w:rsid w:val="58A638B4"/>
    <w:rsid w:val="58B10670"/>
    <w:rsid w:val="58B71C77"/>
    <w:rsid w:val="58C44394"/>
    <w:rsid w:val="58CB5722"/>
    <w:rsid w:val="58D8399B"/>
    <w:rsid w:val="58E32A6C"/>
    <w:rsid w:val="58F00CE5"/>
    <w:rsid w:val="58F20F01"/>
    <w:rsid w:val="58F509F1"/>
    <w:rsid w:val="58F85DEC"/>
    <w:rsid w:val="59091DA7"/>
    <w:rsid w:val="592117E6"/>
    <w:rsid w:val="59682F71"/>
    <w:rsid w:val="596E0AC8"/>
    <w:rsid w:val="596F60AE"/>
    <w:rsid w:val="5979517E"/>
    <w:rsid w:val="5980475F"/>
    <w:rsid w:val="598D4786"/>
    <w:rsid w:val="59BB5797"/>
    <w:rsid w:val="59C503C4"/>
    <w:rsid w:val="59C90516"/>
    <w:rsid w:val="59E15A54"/>
    <w:rsid w:val="59E24AD2"/>
    <w:rsid w:val="5A0013FC"/>
    <w:rsid w:val="5A183C84"/>
    <w:rsid w:val="5A2C5B56"/>
    <w:rsid w:val="5A3F1838"/>
    <w:rsid w:val="5A453743"/>
    <w:rsid w:val="5A475571"/>
    <w:rsid w:val="5A6220B6"/>
    <w:rsid w:val="5A715E56"/>
    <w:rsid w:val="5A7A1340"/>
    <w:rsid w:val="5A84202D"/>
    <w:rsid w:val="5A9304C2"/>
    <w:rsid w:val="5A9D6C4B"/>
    <w:rsid w:val="5AB53F94"/>
    <w:rsid w:val="5AC97A40"/>
    <w:rsid w:val="5ACB37B8"/>
    <w:rsid w:val="5ADF54B5"/>
    <w:rsid w:val="5AE34FA5"/>
    <w:rsid w:val="5AE40D1D"/>
    <w:rsid w:val="5AE66844"/>
    <w:rsid w:val="5AEE6358"/>
    <w:rsid w:val="5AF251E8"/>
    <w:rsid w:val="5AF727FF"/>
    <w:rsid w:val="5B206834"/>
    <w:rsid w:val="5B266C40"/>
    <w:rsid w:val="5B433C96"/>
    <w:rsid w:val="5B4672E2"/>
    <w:rsid w:val="5B547C51"/>
    <w:rsid w:val="5B7A6F8C"/>
    <w:rsid w:val="5B81031A"/>
    <w:rsid w:val="5B9718EC"/>
    <w:rsid w:val="5BAA161F"/>
    <w:rsid w:val="5BB4164A"/>
    <w:rsid w:val="5BD24811"/>
    <w:rsid w:val="5BDC19F5"/>
    <w:rsid w:val="5BDC37A3"/>
    <w:rsid w:val="5BE2700B"/>
    <w:rsid w:val="5BE32D83"/>
    <w:rsid w:val="5BF40AEC"/>
    <w:rsid w:val="5BF64864"/>
    <w:rsid w:val="5C0351D3"/>
    <w:rsid w:val="5C052CF9"/>
    <w:rsid w:val="5C0827EA"/>
    <w:rsid w:val="5C166CB5"/>
    <w:rsid w:val="5C1D6295"/>
    <w:rsid w:val="5C277114"/>
    <w:rsid w:val="5C2C472A"/>
    <w:rsid w:val="5C3A6E47"/>
    <w:rsid w:val="5C3E620B"/>
    <w:rsid w:val="5C465499"/>
    <w:rsid w:val="5C4A2E02"/>
    <w:rsid w:val="5C5617A7"/>
    <w:rsid w:val="5C583771"/>
    <w:rsid w:val="5C653798"/>
    <w:rsid w:val="5C6C0FCA"/>
    <w:rsid w:val="5C6E089F"/>
    <w:rsid w:val="5C7D31D8"/>
    <w:rsid w:val="5C7F75E3"/>
    <w:rsid w:val="5C930305"/>
    <w:rsid w:val="5CAC7619"/>
    <w:rsid w:val="5CAE4E9B"/>
    <w:rsid w:val="5CAE778C"/>
    <w:rsid w:val="5CB85FBE"/>
    <w:rsid w:val="5CBD1826"/>
    <w:rsid w:val="5CBF559E"/>
    <w:rsid w:val="5CC333F7"/>
    <w:rsid w:val="5CC46711"/>
    <w:rsid w:val="5CC901CB"/>
    <w:rsid w:val="5CD72623"/>
    <w:rsid w:val="5CF27722"/>
    <w:rsid w:val="5CF50FC0"/>
    <w:rsid w:val="5CFE60C6"/>
    <w:rsid w:val="5D015BB7"/>
    <w:rsid w:val="5D0336DD"/>
    <w:rsid w:val="5D080CF3"/>
    <w:rsid w:val="5D170F36"/>
    <w:rsid w:val="5D172CE4"/>
    <w:rsid w:val="5D1A0A26"/>
    <w:rsid w:val="5D355860"/>
    <w:rsid w:val="5D375134"/>
    <w:rsid w:val="5D380EAD"/>
    <w:rsid w:val="5D467A6D"/>
    <w:rsid w:val="5D521F6E"/>
    <w:rsid w:val="5D5850AB"/>
    <w:rsid w:val="5D720862"/>
    <w:rsid w:val="5D7243BE"/>
    <w:rsid w:val="5D885990"/>
    <w:rsid w:val="5D8C2987"/>
    <w:rsid w:val="5D942587"/>
    <w:rsid w:val="5D99194B"/>
    <w:rsid w:val="5D995DEF"/>
    <w:rsid w:val="5D9F2CDA"/>
    <w:rsid w:val="5DAB78D0"/>
    <w:rsid w:val="5DBC1ADE"/>
    <w:rsid w:val="5DD5494D"/>
    <w:rsid w:val="5DE132F2"/>
    <w:rsid w:val="5DEF5A0F"/>
    <w:rsid w:val="5DF90711"/>
    <w:rsid w:val="5DFD637E"/>
    <w:rsid w:val="5E1D07CE"/>
    <w:rsid w:val="5E1E62F4"/>
    <w:rsid w:val="5E231B5D"/>
    <w:rsid w:val="5E2A2EEB"/>
    <w:rsid w:val="5E2E29DB"/>
    <w:rsid w:val="5E3E0101"/>
    <w:rsid w:val="5E6C7060"/>
    <w:rsid w:val="5E7A5C21"/>
    <w:rsid w:val="5E7A79CF"/>
    <w:rsid w:val="5E7B72A3"/>
    <w:rsid w:val="5E8425FB"/>
    <w:rsid w:val="5E916AC6"/>
    <w:rsid w:val="5EA762EA"/>
    <w:rsid w:val="5EAA5DDA"/>
    <w:rsid w:val="5EAB5111"/>
    <w:rsid w:val="5EB153BA"/>
    <w:rsid w:val="5EB6477F"/>
    <w:rsid w:val="5ECA3D86"/>
    <w:rsid w:val="5ED370DF"/>
    <w:rsid w:val="5EE4753E"/>
    <w:rsid w:val="5EF332DD"/>
    <w:rsid w:val="5EF552A7"/>
    <w:rsid w:val="5F011E9E"/>
    <w:rsid w:val="5F021772"/>
    <w:rsid w:val="5F090D52"/>
    <w:rsid w:val="5F096FA4"/>
    <w:rsid w:val="5F166FCB"/>
    <w:rsid w:val="5F1D035A"/>
    <w:rsid w:val="5F1E0B13"/>
    <w:rsid w:val="5F2B0CC9"/>
    <w:rsid w:val="5F3D09FC"/>
    <w:rsid w:val="5F3D27AA"/>
    <w:rsid w:val="5F5226F9"/>
    <w:rsid w:val="5F5521EA"/>
    <w:rsid w:val="5F5A7800"/>
    <w:rsid w:val="5F6146EB"/>
    <w:rsid w:val="5F795ED8"/>
    <w:rsid w:val="5F7A1C50"/>
    <w:rsid w:val="5F7A39FE"/>
    <w:rsid w:val="5F814D8D"/>
    <w:rsid w:val="5F8F74AA"/>
    <w:rsid w:val="5FA12D39"/>
    <w:rsid w:val="5FA6034F"/>
    <w:rsid w:val="5FC058B5"/>
    <w:rsid w:val="5FEA2932"/>
    <w:rsid w:val="5FEC48FC"/>
    <w:rsid w:val="5FF003B5"/>
    <w:rsid w:val="5FFE63DD"/>
    <w:rsid w:val="601156CE"/>
    <w:rsid w:val="601B0D3D"/>
    <w:rsid w:val="6028345A"/>
    <w:rsid w:val="603E4A2C"/>
    <w:rsid w:val="604364E6"/>
    <w:rsid w:val="605129B1"/>
    <w:rsid w:val="6052425E"/>
    <w:rsid w:val="6057789C"/>
    <w:rsid w:val="60591866"/>
    <w:rsid w:val="6065645C"/>
    <w:rsid w:val="60695F4D"/>
    <w:rsid w:val="60732927"/>
    <w:rsid w:val="608A5EC3"/>
    <w:rsid w:val="60AA0313"/>
    <w:rsid w:val="60AC7BE7"/>
    <w:rsid w:val="60B46A9C"/>
    <w:rsid w:val="60B847DE"/>
    <w:rsid w:val="60BB7E2A"/>
    <w:rsid w:val="60E43825"/>
    <w:rsid w:val="60F35816"/>
    <w:rsid w:val="60F4333C"/>
    <w:rsid w:val="61025A59"/>
    <w:rsid w:val="61045C75"/>
    <w:rsid w:val="6118702B"/>
    <w:rsid w:val="61300818"/>
    <w:rsid w:val="613A51F3"/>
    <w:rsid w:val="613C71BD"/>
    <w:rsid w:val="614B38A4"/>
    <w:rsid w:val="61507DFD"/>
    <w:rsid w:val="61565DA5"/>
    <w:rsid w:val="61642270"/>
    <w:rsid w:val="6175447D"/>
    <w:rsid w:val="617701F5"/>
    <w:rsid w:val="617F52FC"/>
    <w:rsid w:val="619012B7"/>
    <w:rsid w:val="61A3723C"/>
    <w:rsid w:val="61AE798F"/>
    <w:rsid w:val="61B256D1"/>
    <w:rsid w:val="61B52ACC"/>
    <w:rsid w:val="61CD250B"/>
    <w:rsid w:val="61D03DA9"/>
    <w:rsid w:val="61E15FB7"/>
    <w:rsid w:val="61E810F3"/>
    <w:rsid w:val="61ED04B8"/>
    <w:rsid w:val="61F23D20"/>
    <w:rsid w:val="61F53810"/>
    <w:rsid w:val="61FB64EC"/>
    <w:rsid w:val="62045801"/>
    <w:rsid w:val="62047ED8"/>
    <w:rsid w:val="62123EEB"/>
    <w:rsid w:val="6220088D"/>
    <w:rsid w:val="6232236E"/>
    <w:rsid w:val="62397BA1"/>
    <w:rsid w:val="623A1223"/>
    <w:rsid w:val="624F54D5"/>
    <w:rsid w:val="6265743C"/>
    <w:rsid w:val="62712E97"/>
    <w:rsid w:val="62864468"/>
    <w:rsid w:val="62922E0D"/>
    <w:rsid w:val="62970423"/>
    <w:rsid w:val="62986BDB"/>
    <w:rsid w:val="629D0130"/>
    <w:rsid w:val="629D1EDE"/>
    <w:rsid w:val="62A214B5"/>
    <w:rsid w:val="62A768B8"/>
    <w:rsid w:val="62AA45FB"/>
    <w:rsid w:val="62B62F9F"/>
    <w:rsid w:val="62BD13CD"/>
    <w:rsid w:val="62C95A09"/>
    <w:rsid w:val="62CA07F9"/>
    <w:rsid w:val="62EA341A"/>
    <w:rsid w:val="62F12229"/>
    <w:rsid w:val="62F6339C"/>
    <w:rsid w:val="630C2BBF"/>
    <w:rsid w:val="63100901"/>
    <w:rsid w:val="63184985"/>
    <w:rsid w:val="63224191"/>
    <w:rsid w:val="6333639E"/>
    <w:rsid w:val="63402869"/>
    <w:rsid w:val="6347009B"/>
    <w:rsid w:val="635C3B47"/>
    <w:rsid w:val="635F7193"/>
    <w:rsid w:val="63612F0B"/>
    <w:rsid w:val="636E387A"/>
    <w:rsid w:val="637744A5"/>
    <w:rsid w:val="638319C0"/>
    <w:rsid w:val="638906B4"/>
    <w:rsid w:val="63A4729C"/>
    <w:rsid w:val="63BC2837"/>
    <w:rsid w:val="63BC6393"/>
    <w:rsid w:val="63CD67F3"/>
    <w:rsid w:val="63D062E3"/>
    <w:rsid w:val="63D336DD"/>
    <w:rsid w:val="63D538F9"/>
    <w:rsid w:val="63FC2C34"/>
    <w:rsid w:val="640E2967"/>
    <w:rsid w:val="641206A9"/>
    <w:rsid w:val="64234664"/>
    <w:rsid w:val="6424218B"/>
    <w:rsid w:val="642503DD"/>
    <w:rsid w:val="64281C7B"/>
    <w:rsid w:val="64346872"/>
    <w:rsid w:val="64356146"/>
    <w:rsid w:val="644665A5"/>
    <w:rsid w:val="644B7137"/>
    <w:rsid w:val="645B5161"/>
    <w:rsid w:val="646F78AA"/>
    <w:rsid w:val="64744EC0"/>
    <w:rsid w:val="6477675E"/>
    <w:rsid w:val="648C045C"/>
    <w:rsid w:val="64964E36"/>
    <w:rsid w:val="64AE1E08"/>
    <w:rsid w:val="64AF7CA6"/>
    <w:rsid w:val="64B11C70"/>
    <w:rsid w:val="64C23E7D"/>
    <w:rsid w:val="64D12312"/>
    <w:rsid w:val="64D836A1"/>
    <w:rsid w:val="64DB6CED"/>
    <w:rsid w:val="64DE29AF"/>
    <w:rsid w:val="64EA6406"/>
    <w:rsid w:val="64FF0C2E"/>
    <w:rsid w:val="65004EB5"/>
    <w:rsid w:val="65091AAC"/>
    <w:rsid w:val="65110961"/>
    <w:rsid w:val="65181CEF"/>
    <w:rsid w:val="651A5A67"/>
    <w:rsid w:val="651D5558"/>
    <w:rsid w:val="651E4E2C"/>
    <w:rsid w:val="65307FA7"/>
    <w:rsid w:val="654F0FE3"/>
    <w:rsid w:val="655A2308"/>
    <w:rsid w:val="65646CE3"/>
    <w:rsid w:val="65660CAD"/>
    <w:rsid w:val="658A00C7"/>
    <w:rsid w:val="65953340"/>
    <w:rsid w:val="65A658DB"/>
    <w:rsid w:val="65A90B99"/>
    <w:rsid w:val="65AC2438"/>
    <w:rsid w:val="65AD68DC"/>
    <w:rsid w:val="65B12E03"/>
    <w:rsid w:val="65B8702E"/>
    <w:rsid w:val="65BD2897"/>
    <w:rsid w:val="65CE6852"/>
    <w:rsid w:val="65D200F0"/>
    <w:rsid w:val="65DF280D"/>
    <w:rsid w:val="65E41BD1"/>
    <w:rsid w:val="65F8073B"/>
    <w:rsid w:val="65FE0EE5"/>
    <w:rsid w:val="661C75BD"/>
    <w:rsid w:val="661E1587"/>
    <w:rsid w:val="663A3EE7"/>
    <w:rsid w:val="663F32AC"/>
    <w:rsid w:val="66415276"/>
    <w:rsid w:val="664408C2"/>
    <w:rsid w:val="66642BCD"/>
    <w:rsid w:val="66742F55"/>
    <w:rsid w:val="667B0788"/>
    <w:rsid w:val="667F741C"/>
    <w:rsid w:val="66811B16"/>
    <w:rsid w:val="66815672"/>
    <w:rsid w:val="668A4527"/>
    <w:rsid w:val="669955B9"/>
    <w:rsid w:val="669C24AC"/>
    <w:rsid w:val="66B94376"/>
    <w:rsid w:val="66D25ECE"/>
    <w:rsid w:val="66E225B5"/>
    <w:rsid w:val="66EA76BB"/>
    <w:rsid w:val="66EC3434"/>
    <w:rsid w:val="66FB3677"/>
    <w:rsid w:val="66FB71D3"/>
    <w:rsid w:val="67002A3B"/>
    <w:rsid w:val="67097FBB"/>
    <w:rsid w:val="670A1B0C"/>
    <w:rsid w:val="672506F4"/>
    <w:rsid w:val="673152EA"/>
    <w:rsid w:val="673E5311"/>
    <w:rsid w:val="676A6106"/>
    <w:rsid w:val="67705E13"/>
    <w:rsid w:val="677A539F"/>
    <w:rsid w:val="677B6565"/>
    <w:rsid w:val="677D5E3A"/>
    <w:rsid w:val="678C2521"/>
    <w:rsid w:val="67931B01"/>
    <w:rsid w:val="679A2E90"/>
    <w:rsid w:val="679B09B6"/>
    <w:rsid w:val="67B8723F"/>
    <w:rsid w:val="67BD6B7E"/>
    <w:rsid w:val="67D6379C"/>
    <w:rsid w:val="67DB0DB2"/>
    <w:rsid w:val="67E1711F"/>
    <w:rsid w:val="67EA76E7"/>
    <w:rsid w:val="67F307F2"/>
    <w:rsid w:val="68014CBD"/>
    <w:rsid w:val="680B501F"/>
    <w:rsid w:val="681744E0"/>
    <w:rsid w:val="682E35D8"/>
    <w:rsid w:val="68356714"/>
    <w:rsid w:val="68364B4E"/>
    <w:rsid w:val="684D7913"/>
    <w:rsid w:val="684E77D6"/>
    <w:rsid w:val="686314D3"/>
    <w:rsid w:val="686B0388"/>
    <w:rsid w:val="686B55F0"/>
    <w:rsid w:val="687A681D"/>
    <w:rsid w:val="687E630D"/>
    <w:rsid w:val="68802085"/>
    <w:rsid w:val="68923B67"/>
    <w:rsid w:val="689E250C"/>
    <w:rsid w:val="68A67612"/>
    <w:rsid w:val="68B7537B"/>
    <w:rsid w:val="68C301C4"/>
    <w:rsid w:val="68C33D20"/>
    <w:rsid w:val="68EC23C5"/>
    <w:rsid w:val="68F0088D"/>
    <w:rsid w:val="69083480"/>
    <w:rsid w:val="690F1463"/>
    <w:rsid w:val="691B590A"/>
    <w:rsid w:val="69216C99"/>
    <w:rsid w:val="692D388F"/>
    <w:rsid w:val="69362744"/>
    <w:rsid w:val="693A2586"/>
    <w:rsid w:val="693D1D24"/>
    <w:rsid w:val="69407A67"/>
    <w:rsid w:val="6942558D"/>
    <w:rsid w:val="69472BA3"/>
    <w:rsid w:val="695452C0"/>
    <w:rsid w:val="69562DE6"/>
    <w:rsid w:val="695663DB"/>
    <w:rsid w:val="696848C8"/>
    <w:rsid w:val="69692B1A"/>
    <w:rsid w:val="696C43B8"/>
    <w:rsid w:val="697B45FB"/>
    <w:rsid w:val="69825989"/>
    <w:rsid w:val="69877444"/>
    <w:rsid w:val="69A71894"/>
    <w:rsid w:val="69AE2C22"/>
    <w:rsid w:val="69B31FE7"/>
    <w:rsid w:val="69B813AB"/>
    <w:rsid w:val="69C2222A"/>
    <w:rsid w:val="69CF4947"/>
    <w:rsid w:val="69D32689"/>
    <w:rsid w:val="69D361E5"/>
    <w:rsid w:val="69DA57C5"/>
    <w:rsid w:val="69E00902"/>
    <w:rsid w:val="69E623BC"/>
    <w:rsid w:val="69FC00C9"/>
    <w:rsid w:val="6A1C4030"/>
    <w:rsid w:val="6A22716C"/>
    <w:rsid w:val="6A274783"/>
    <w:rsid w:val="6A3273AF"/>
    <w:rsid w:val="6A3A2708"/>
    <w:rsid w:val="6A4B66C3"/>
    <w:rsid w:val="6A4C5F97"/>
    <w:rsid w:val="6A617C95"/>
    <w:rsid w:val="6A6E23B2"/>
    <w:rsid w:val="6A6E4160"/>
    <w:rsid w:val="6A835E5D"/>
    <w:rsid w:val="6A892D47"/>
    <w:rsid w:val="6A8E035E"/>
    <w:rsid w:val="6A9E2C97"/>
    <w:rsid w:val="6AA638F9"/>
    <w:rsid w:val="6AB845DD"/>
    <w:rsid w:val="6ABF6769"/>
    <w:rsid w:val="6AD77F57"/>
    <w:rsid w:val="6ADE12E5"/>
    <w:rsid w:val="6AE0505D"/>
    <w:rsid w:val="6AE461D0"/>
    <w:rsid w:val="6AEB3A02"/>
    <w:rsid w:val="6AED1528"/>
    <w:rsid w:val="6AF939C6"/>
    <w:rsid w:val="6B105217"/>
    <w:rsid w:val="6B15282D"/>
    <w:rsid w:val="6B20545A"/>
    <w:rsid w:val="6B3709F5"/>
    <w:rsid w:val="6B4F21E3"/>
    <w:rsid w:val="6B67752D"/>
    <w:rsid w:val="6B6A0DCB"/>
    <w:rsid w:val="6B6D4417"/>
    <w:rsid w:val="6B6F63E1"/>
    <w:rsid w:val="6B9B2D32"/>
    <w:rsid w:val="6B9D2F4E"/>
    <w:rsid w:val="6BA3608B"/>
    <w:rsid w:val="6BA918F3"/>
    <w:rsid w:val="6BB169FA"/>
    <w:rsid w:val="6BBF2EC5"/>
    <w:rsid w:val="6BC02799"/>
    <w:rsid w:val="6BC4672D"/>
    <w:rsid w:val="6BCA186A"/>
    <w:rsid w:val="6BCB7ABB"/>
    <w:rsid w:val="6BCC3834"/>
    <w:rsid w:val="6BD12BF8"/>
    <w:rsid w:val="6BD61FBC"/>
    <w:rsid w:val="6BD9385B"/>
    <w:rsid w:val="6BF80185"/>
    <w:rsid w:val="6BFB7C75"/>
    <w:rsid w:val="6C0703C8"/>
    <w:rsid w:val="6C101972"/>
    <w:rsid w:val="6C133210"/>
    <w:rsid w:val="6C186A79"/>
    <w:rsid w:val="6C1C0317"/>
    <w:rsid w:val="6C223454"/>
    <w:rsid w:val="6C375151"/>
    <w:rsid w:val="6C3D203B"/>
    <w:rsid w:val="6C4B4758"/>
    <w:rsid w:val="6C613F7C"/>
    <w:rsid w:val="6C67530A"/>
    <w:rsid w:val="6C6D0B73"/>
    <w:rsid w:val="6C7A503E"/>
    <w:rsid w:val="6C9854C4"/>
    <w:rsid w:val="6C9A56E0"/>
    <w:rsid w:val="6C9C4FB4"/>
    <w:rsid w:val="6CA83959"/>
    <w:rsid w:val="6CB467A2"/>
    <w:rsid w:val="6CB57E24"/>
    <w:rsid w:val="6CB70040"/>
    <w:rsid w:val="6CB74F5B"/>
    <w:rsid w:val="6CBA7B30"/>
    <w:rsid w:val="6CBC11B2"/>
    <w:rsid w:val="6CBE317C"/>
    <w:rsid w:val="6CC83FFB"/>
    <w:rsid w:val="6CEA21C3"/>
    <w:rsid w:val="6CF323FA"/>
    <w:rsid w:val="6CF43042"/>
    <w:rsid w:val="6CF90658"/>
    <w:rsid w:val="6CFA1CDB"/>
    <w:rsid w:val="6D036096"/>
    <w:rsid w:val="6D062D75"/>
    <w:rsid w:val="6D0843F7"/>
    <w:rsid w:val="6D140FEE"/>
    <w:rsid w:val="6D237483"/>
    <w:rsid w:val="6D2531FB"/>
    <w:rsid w:val="6D401DE3"/>
    <w:rsid w:val="6D445D7F"/>
    <w:rsid w:val="6D4C4C2C"/>
    <w:rsid w:val="6D527D69"/>
    <w:rsid w:val="6D54763D"/>
    <w:rsid w:val="6D594C53"/>
    <w:rsid w:val="6D5B17B0"/>
    <w:rsid w:val="6D6261FE"/>
    <w:rsid w:val="6D88378A"/>
    <w:rsid w:val="6D9702C2"/>
    <w:rsid w:val="6D9C0FE4"/>
    <w:rsid w:val="6DA46816"/>
    <w:rsid w:val="6DB36A59"/>
    <w:rsid w:val="6DB4632D"/>
    <w:rsid w:val="6DC72505"/>
    <w:rsid w:val="6DE9247B"/>
    <w:rsid w:val="6DEE183F"/>
    <w:rsid w:val="6DF130DE"/>
    <w:rsid w:val="6E027099"/>
    <w:rsid w:val="6E2365B9"/>
    <w:rsid w:val="6E407BC1"/>
    <w:rsid w:val="6E4C0C5C"/>
    <w:rsid w:val="6E507F95"/>
    <w:rsid w:val="6E58315D"/>
    <w:rsid w:val="6E6B10E2"/>
    <w:rsid w:val="6E6B7334"/>
    <w:rsid w:val="6E7220B1"/>
    <w:rsid w:val="6E774A93"/>
    <w:rsid w:val="6E7F4B8D"/>
    <w:rsid w:val="6E810905"/>
    <w:rsid w:val="6E91041D"/>
    <w:rsid w:val="6E9543B1"/>
    <w:rsid w:val="6E9C573F"/>
    <w:rsid w:val="6EA209AB"/>
    <w:rsid w:val="6EA63EC8"/>
    <w:rsid w:val="6EC16F54"/>
    <w:rsid w:val="6EDC3D8E"/>
    <w:rsid w:val="6EE64C0C"/>
    <w:rsid w:val="6EE67A4D"/>
    <w:rsid w:val="6EF410D7"/>
    <w:rsid w:val="6EF8049C"/>
    <w:rsid w:val="6EFA06B8"/>
    <w:rsid w:val="6F0155A2"/>
    <w:rsid w:val="6F2B0871"/>
    <w:rsid w:val="6F315FD1"/>
    <w:rsid w:val="6F6873CF"/>
    <w:rsid w:val="6F7264A0"/>
    <w:rsid w:val="6F743FC6"/>
    <w:rsid w:val="6F800BBD"/>
    <w:rsid w:val="6F8D32DA"/>
    <w:rsid w:val="6F991C7F"/>
    <w:rsid w:val="6F9B1553"/>
    <w:rsid w:val="6FB6638D"/>
    <w:rsid w:val="6FBE1DFF"/>
    <w:rsid w:val="6FCA62DC"/>
    <w:rsid w:val="6FDD600F"/>
    <w:rsid w:val="6FE3114C"/>
    <w:rsid w:val="6FE729EA"/>
    <w:rsid w:val="6FED3ECF"/>
    <w:rsid w:val="6FF84BF7"/>
    <w:rsid w:val="700370F8"/>
    <w:rsid w:val="7007308C"/>
    <w:rsid w:val="701D465E"/>
    <w:rsid w:val="702552C0"/>
    <w:rsid w:val="702C2AF3"/>
    <w:rsid w:val="702F16FB"/>
    <w:rsid w:val="70311EB7"/>
    <w:rsid w:val="703402BC"/>
    <w:rsid w:val="70433998"/>
    <w:rsid w:val="705067E1"/>
    <w:rsid w:val="705D4A5A"/>
    <w:rsid w:val="7064228D"/>
    <w:rsid w:val="7073427E"/>
    <w:rsid w:val="708244C1"/>
    <w:rsid w:val="708A15C7"/>
    <w:rsid w:val="709366CE"/>
    <w:rsid w:val="709B5583"/>
    <w:rsid w:val="70AD40D5"/>
    <w:rsid w:val="70B34FC2"/>
    <w:rsid w:val="70BF74C3"/>
    <w:rsid w:val="70C07ACA"/>
    <w:rsid w:val="70CD6084"/>
    <w:rsid w:val="70D54F38"/>
    <w:rsid w:val="70E433CD"/>
    <w:rsid w:val="70F57389"/>
    <w:rsid w:val="70F80C27"/>
    <w:rsid w:val="70FC24C5"/>
    <w:rsid w:val="71066EA0"/>
    <w:rsid w:val="71257C6E"/>
    <w:rsid w:val="7141437C"/>
    <w:rsid w:val="714B0D57"/>
    <w:rsid w:val="71786F26"/>
    <w:rsid w:val="71AF5789"/>
    <w:rsid w:val="71C31235"/>
    <w:rsid w:val="71C54FAD"/>
    <w:rsid w:val="71CA4371"/>
    <w:rsid w:val="71DC5E53"/>
    <w:rsid w:val="71E52F59"/>
    <w:rsid w:val="71F47640"/>
    <w:rsid w:val="71F66F14"/>
    <w:rsid w:val="720E0702"/>
    <w:rsid w:val="721B2E1F"/>
    <w:rsid w:val="72275320"/>
    <w:rsid w:val="72326BAA"/>
    <w:rsid w:val="724C273D"/>
    <w:rsid w:val="724C2FD8"/>
    <w:rsid w:val="726C5429"/>
    <w:rsid w:val="72710C91"/>
    <w:rsid w:val="72734A09"/>
    <w:rsid w:val="728D3298"/>
    <w:rsid w:val="72914E8F"/>
    <w:rsid w:val="72936E59"/>
    <w:rsid w:val="729B16D5"/>
    <w:rsid w:val="729C3F60"/>
    <w:rsid w:val="72A9042B"/>
    <w:rsid w:val="72B15531"/>
    <w:rsid w:val="72B8241C"/>
    <w:rsid w:val="72B868C0"/>
    <w:rsid w:val="72BF7C4E"/>
    <w:rsid w:val="72DB610A"/>
    <w:rsid w:val="72DC7DBD"/>
    <w:rsid w:val="72E27499"/>
    <w:rsid w:val="72EE408F"/>
    <w:rsid w:val="72F01BB6"/>
    <w:rsid w:val="72FB1722"/>
    <w:rsid w:val="73010267"/>
    <w:rsid w:val="730833A3"/>
    <w:rsid w:val="730D65CC"/>
    <w:rsid w:val="73104006"/>
    <w:rsid w:val="7315786E"/>
    <w:rsid w:val="73261A7B"/>
    <w:rsid w:val="7329156C"/>
    <w:rsid w:val="733F6699"/>
    <w:rsid w:val="734463A5"/>
    <w:rsid w:val="736D1458"/>
    <w:rsid w:val="7372081D"/>
    <w:rsid w:val="737722D7"/>
    <w:rsid w:val="737E3665"/>
    <w:rsid w:val="73970283"/>
    <w:rsid w:val="739C7F8F"/>
    <w:rsid w:val="73AB01D2"/>
    <w:rsid w:val="73BC418E"/>
    <w:rsid w:val="73C44DF0"/>
    <w:rsid w:val="73CA3031"/>
    <w:rsid w:val="73CC268A"/>
    <w:rsid w:val="73D634A1"/>
    <w:rsid w:val="73ED4347"/>
    <w:rsid w:val="73F676A0"/>
    <w:rsid w:val="7400407A"/>
    <w:rsid w:val="74094463"/>
    <w:rsid w:val="740F42BD"/>
    <w:rsid w:val="74213FF1"/>
    <w:rsid w:val="74257F85"/>
    <w:rsid w:val="74312486"/>
    <w:rsid w:val="743D52CE"/>
    <w:rsid w:val="744D6FD5"/>
    <w:rsid w:val="7460720F"/>
    <w:rsid w:val="7472484C"/>
    <w:rsid w:val="747B5DF7"/>
    <w:rsid w:val="74836A59"/>
    <w:rsid w:val="74856C75"/>
    <w:rsid w:val="748D6B9A"/>
    <w:rsid w:val="74AF5AA0"/>
    <w:rsid w:val="74B70437"/>
    <w:rsid w:val="74F6722B"/>
    <w:rsid w:val="751029E3"/>
    <w:rsid w:val="751C1388"/>
    <w:rsid w:val="75220020"/>
    <w:rsid w:val="752E2E69"/>
    <w:rsid w:val="75387844"/>
    <w:rsid w:val="753D12FE"/>
    <w:rsid w:val="75596138"/>
    <w:rsid w:val="75616C67"/>
    <w:rsid w:val="7564688B"/>
    <w:rsid w:val="7590142E"/>
    <w:rsid w:val="75947170"/>
    <w:rsid w:val="75AB270C"/>
    <w:rsid w:val="75AB2C30"/>
    <w:rsid w:val="75AD0232"/>
    <w:rsid w:val="75B01AD0"/>
    <w:rsid w:val="75B415C0"/>
    <w:rsid w:val="75BF7F65"/>
    <w:rsid w:val="75C612F4"/>
    <w:rsid w:val="75CD4430"/>
    <w:rsid w:val="75CE1F56"/>
    <w:rsid w:val="75D94B83"/>
    <w:rsid w:val="75E55C1E"/>
    <w:rsid w:val="75E8126A"/>
    <w:rsid w:val="75F06371"/>
    <w:rsid w:val="7601232C"/>
    <w:rsid w:val="76032465"/>
    <w:rsid w:val="760C31AA"/>
    <w:rsid w:val="761402B1"/>
    <w:rsid w:val="7621652A"/>
    <w:rsid w:val="762A1882"/>
    <w:rsid w:val="763B75EC"/>
    <w:rsid w:val="763F6D05"/>
    <w:rsid w:val="764F753B"/>
    <w:rsid w:val="76530DD9"/>
    <w:rsid w:val="765661D4"/>
    <w:rsid w:val="7666789A"/>
    <w:rsid w:val="766F3739"/>
    <w:rsid w:val="76830F93"/>
    <w:rsid w:val="769413F2"/>
    <w:rsid w:val="769431A0"/>
    <w:rsid w:val="769B452E"/>
    <w:rsid w:val="76A74C81"/>
    <w:rsid w:val="76B13D52"/>
    <w:rsid w:val="76B31878"/>
    <w:rsid w:val="76C43A85"/>
    <w:rsid w:val="76CA47FF"/>
    <w:rsid w:val="76DA04C6"/>
    <w:rsid w:val="76DA5057"/>
    <w:rsid w:val="76E77EC3"/>
    <w:rsid w:val="76E97048"/>
    <w:rsid w:val="76F123A0"/>
    <w:rsid w:val="76FD33E8"/>
    <w:rsid w:val="770D1619"/>
    <w:rsid w:val="770F36A5"/>
    <w:rsid w:val="7711659E"/>
    <w:rsid w:val="772067E2"/>
    <w:rsid w:val="775546DD"/>
    <w:rsid w:val="775D3592"/>
    <w:rsid w:val="777059BB"/>
    <w:rsid w:val="777D1E86"/>
    <w:rsid w:val="77A47413"/>
    <w:rsid w:val="77AE3DED"/>
    <w:rsid w:val="77B27D81"/>
    <w:rsid w:val="77B75398"/>
    <w:rsid w:val="77BC475C"/>
    <w:rsid w:val="77D5581E"/>
    <w:rsid w:val="77E837A3"/>
    <w:rsid w:val="77ED0865"/>
    <w:rsid w:val="77F739E6"/>
    <w:rsid w:val="77FA34D6"/>
    <w:rsid w:val="780B7492"/>
    <w:rsid w:val="78126A72"/>
    <w:rsid w:val="78177BE5"/>
    <w:rsid w:val="78322C70"/>
    <w:rsid w:val="78340796"/>
    <w:rsid w:val="78342545"/>
    <w:rsid w:val="78397B5B"/>
    <w:rsid w:val="78564BB1"/>
    <w:rsid w:val="7866291A"/>
    <w:rsid w:val="786646C8"/>
    <w:rsid w:val="786F17CF"/>
    <w:rsid w:val="78770683"/>
    <w:rsid w:val="787E7C64"/>
    <w:rsid w:val="78964FAD"/>
    <w:rsid w:val="78994A9D"/>
    <w:rsid w:val="78A10A94"/>
    <w:rsid w:val="78AC657F"/>
    <w:rsid w:val="78B6564F"/>
    <w:rsid w:val="78B74F24"/>
    <w:rsid w:val="78CF6711"/>
    <w:rsid w:val="78E201F2"/>
    <w:rsid w:val="78E73A5B"/>
    <w:rsid w:val="78EC72C3"/>
    <w:rsid w:val="78FB12B4"/>
    <w:rsid w:val="78FD6DDA"/>
    <w:rsid w:val="79077C59"/>
    <w:rsid w:val="790E2D96"/>
    <w:rsid w:val="791660EE"/>
    <w:rsid w:val="7919798C"/>
    <w:rsid w:val="791B1956"/>
    <w:rsid w:val="792702FB"/>
    <w:rsid w:val="792C5912"/>
    <w:rsid w:val="792F71B0"/>
    <w:rsid w:val="796055BB"/>
    <w:rsid w:val="796D402F"/>
    <w:rsid w:val="79907C4E"/>
    <w:rsid w:val="799139C7"/>
    <w:rsid w:val="799534B7"/>
    <w:rsid w:val="79BD38A8"/>
    <w:rsid w:val="79C124FE"/>
    <w:rsid w:val="79CB512B"/>
    <w:rsid w:val="79D00993"/>
    <w:rsid w:val="79D97847"/>
    <w:rsid w:val="79DD09BA"/>
    <w:rsid w:val="79F226B7"/>
    <w:rsid w:val="79FA156C"/>
    <w:rsid w:val="7A0E72EF"/>
    <w:rsid w:val="7A0F14BB"/>
    <w:rsid w:val="7A2D1941"/>
    <w:rsid w:val="7A3507F6"/>
    <w:rsid w:val="7A3F3423"/>
    <w:rsid w:val="7A4D5B40"/>
    <w:rsid w:val="7A5549F4"/>
    <w:rsid w:val="7A5F5873"/>
    <w:rsid w:val="7A6C06BC"/>
    <w:rsid w:val="7A6F1F5A"/>
    <w:rsid w:val="7A7430CC"/>
    <w:rsid w:val="7A747570"/>
    <w:rsid w:val="7A8A6D94"/>
    <w:rsid w:val="7A923E9A"/>
    <w:rsid w:val="7AA53BCD"/>
    <w:rsid w:val="7AB61937"/>
    <w:rsid w:val="7AB931D5"/>
    <w:rsid w:val="7AD4000F"/>
    <w:rsid w:val="7AD7365B"/>
    <w:rsid w:val="7AE00762"/>
    <w:rsid w:val="7AEA5A84"/>
    <w:rsid w:val="7AF10BC1"/>
    <w:rsid w:val="7AF97DE6"/>
    <w:rsid w:val="7B0A3A31"/>
    <w:rsid w:val="7B25086A"/>
    <w:rsid w:val="7B2E3BC3"/>
    <w:rsid w:val="7B340AAD"/>
    <w:rsid w:val="7B5178B1"/>
    <w:rsid w:val="7B6F25DC"/>
    <w:rsid w:val="7B7A2964"/>
    <w:rsid w:val="7B7D06A6"/>
    <w:rsid w:val="7B851309"/>
    <w:rsid w:val="7B9D6653"/>
    <w:rsid w:val="7BA23C69"/>
    <w:rsid w:val="7BA7127F"/>
    <w:rsid w:val="7BB35E76"/>
    <w:rsid w:val="7BB37C24"/>
    <w:rsid w:val="7BBF2A6D"/>
    <w:rsid w:val="7BEB4B80"/>
    <w:rsid w:val="7C1F175E"/>
    <w:rsid w:val="7C370855"/>
    <w:rsid w:val="7C43369E"/>
    <w:rsid w:val="7C52743D"/>
    <w:rsid w:val="7C7575D0"/>
    <w:rsid w:val="7C8A307B"/>
    <w:rsid w:val="7C934347"/>
    <w:rsid w:val="7CA13F21"/>
    <w:rsid w:val="7CAA1027"/>
    <w:rsid w:val="7CD24A22"/>
    <w:rsid w:val="7CE564C5"/>
    <w:rsid w:val="7CE85FF3"/>
    <w:rsid w:val="7CEF7382"/>
    <w:rsid w:val="7CF130FA"/>
    <w:rsid w:val="7CF44998"/>
    <w:rsid w:val="7CF83BBE"/>
    <w:rsid w:val="7CF93D5D"/>
    <w:rsid w:val="7D012C11"/>
    <w:rsid w:val="7D1868D9"/>
    <w:rsid w:val="7D2F777E"/>
    <w:rsid w:val="7D32101D"/>
    <w:rsid w:val="7D344D95"/>
    <w:rsid w:val="7D3905FD"/>
    <w:rsid w:val="7D3A11C8"/>
    <w:rsid w:val="7D3C1E9E"/>
    <w:rsid w:val="7D3D00ED"/>
    <w:rsid w:val="7D4551F4"/>
    <w:rsid w:val="7D472D1A"/>
    <w:rsid w:val="7D520FCF"/>
    <w:rsid w:val="7D545437"/>
    <w:rsid w:val="7D5471E5"/>
    <w:rsid w:val="7D58717E"/>
    <w:rsid w:val="7D697134"/>
    <w:rsid w:val="7D796C4C"/>
    <w:rsid w:val="7D7F0706"/>
    <w:rsid w:val="7D8E6B9B"/>
    <w:rsid w:val="7D9341A0"/>
    <w:rsid w:val="7D9C12B8"/>
    <w:rsid w:val="7DA10D7A"/>
    <w:rsid w:val="7DB83C18"/>
    <w:rsid w:val="7DBA7990"/>
    <w:rsid w:val="7DBC3708"/>
    <w:rsid w:val="7DD24CD9"/>
    <w:rsid w:val="7DDD542C"/>
    <w:rsid w:val="7DE1316F"/>
    <w:rsid w:val="7DE95B7F"/>
    <w:rsid w:val="7DFD162B"/>
    <w:rsid w:val="7E072785"/>
    <w:rsid w:val="7E094473"/>
    <w:rsid w:val="7E10135E"/>
    <w:rsid w:val="7E1370A0"/>
    <w:rsid w:val="7E2B6198"/>
    <w:rsid w:val="7E2D63B4"/>
    <w:rsid w:val="7E357016"/>
    <w:rsid w:val="7E372D8F"/>
    <w:rsid w:val="7E3A287F"/>
    <w:rsid w:val="7E3F39F1"/>
    <w:rsid w:val="7E40599F"/>
    <w:rsid w:val="7E4454AB"/>
    <w:rsid w:val="7E470AF8"/>
    <w:rsid w:val="7E5020A2"/>
    <w:rsid w:val="7E722019"/>
    <w:rsid w:val="7E955D07"/>
    <w:rsid w:val="7EAB552B"/>
    <w:rsid w:val="7EBF4B32"/>
    <w:rsid w:val="7EDB5E10"/>
    <w:rsid w:val="7EDC1B88"/>
    <w:rsid w:val="7EE051D4"/>
    <w:rsid w:val="7EE12CFA"/>
    <w:rsid w:val="7EEC1DCB"/>
    <w:rsid w:val="7EED5B43"/>
    <w:rsid w:val="7EF944E8"/>
    <w:rsid w:val="7F0166FE"/>
    <w:rsid w:val="7F062761"/>
    <w:rsid w:val="7F0F7867"/>
    <w:rsid w:val="7F111831"/>
    <w:rsid w:val="7F315A30"/>
    <w:rsid w:val="7F3948E4"/>
    <w:rsid w:val="7F484B27"/>
    <w:rsid w:val="7F54171E"/>
    <w:rsid w:val="7F547E3F"/>
    <w:rsid w:val="7F565CCF"/>
    <w:rsid w:val="7F58120E"/>
    <w:rsid w:val="7F587460"/>
    <w:rsid w:val="7F610FB3"/>
    <w:rsid w:val="7F671451"/>
    <w:rsid w:val="7F6C4CBA"/>
    <w:rsid w:val="7F9935D5"/>
    <w:rsid w:val="7FAA7590"/>
    <w:rsid w:val="7FAF4165"/>
    <w:rsid w:val="7FB1091F"/>
    <w:rsid w:val="7FD12D6F"/>
    <w:rsid w:val="7FE01204"/>
    <w:rsid w:val="7FEA5BDF"/>
    <w:rsid w:val="7FF90A86"/>
    <w:rsid w:val="FE7F99E1"/>
    <w:rsid w:val="FEF7F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qFormat="1" w:uiPriority="99"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38"/>
    <w:unhideWhenUsed/>
    <w:qFormat/>
    <w:uiPriority w:val="0"/>
    <w:pPr>
      <w:keepNext/>
      <w:keepLines/>
      <w:spacing w:before="260" w:after="260" w:line="360" w:lineRule="auto"/>
      <w:ind w:firstLine="602" w:firstLineChars="200"/>
      <w:outlineLvl w:val="2"/>
    </w:pPr>
    <w:rPr>
      <w:rFonts w:ascii="仿宋_GB2312" w:eastAsia="仿宋_GB2312" w:cs="宋体"/>
      <w:b/>
      <w:bCs/>
      <w:sz w:val="30"/>
      <w:szCs w:val="20"/>
    </w:rPr>
  </w:style>
  <w:style w:type="paragraph" w:styleId="7">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ind w:firstLine="420" w:firstLineChars="200"/>
      <w:textAlignment w:val="baseline"/>
    </w:pPr>
    <w:rPr>
      <w:rFonts w:asciiTheme="minorHAnsi" w:hAnsiTheme="minorHAnsi" w:cstheme="minorBidi"/>
      <w:kern w:val="2"/>
      <w:sz w:val="28"/>
      <w:szCs w:val="22"/>
    </w:rPr>
  </w:style>
  <w:style w:type="paragraph" w:styleId="3">
    <w:name w:val="Body Text Indent"/>
    <w:basedOn w:val="1"/>
    <w:link w:val="44"/>
    <w:unhideWhenUsed/>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8">
    <w:name w:val="List Number"/>
    <w:basedOn w:val="1"/>
    <w:unhideWhenUsed/>
    <w:qFormat/>
    <w:uiPriority w:val="99"/>
    <w:pPr>
      <w:widowControl/>
      <w:numPr>
        <w:ilvl w:val="0"/>
        <w:numId w:val="1"/>
      </w:numPr>
      <w:tabs>
        <w:tab w:val="left" w:pos="454"/>
        <w:tab w:val="left" w:pos="720"/>
        <w:tab w:val="left" w:pos="899"/>
      </w:tabs>
      <w:spacing w:afterLines="50"/>
      <w:ind w:left="1414" w:hanging="284"/>
      <w:jc w:val="left"/>
    </w:pPr>
    <w:rPr>
      <w:kern w:val="0"/>
      <w:sz w:val="24"/>
      <w:szCs w:val="20"/>
    </w:rPr>
  </w:style>
  <w:style w:type="paragraph" w:styleId="9">
    <w:name w:val="Normal Indent"/>
    <w:basedOn w:val="1"/>
    <w:unhideWhenUsed/>
    <w:qFormat/>
    <w:uiPriority w:val="0"/>
    <w:pPr>
      <w:ind w:firstLine="420"/>
    </w:pPr>
    <w:rPr>
      <w:szCs w:val="20"/>
    </w:rPr>
  </w:style>
  <w:style w:type="paragraph" w:styleId="10">
    <w:name w:val="caption"/>
    <w:basedOn w:val="1"/>
    <w:next w:val="1"/>
    <w:unhideWhenUsed/>
    <w:qFormat/>
    <w:uiPriority w:val="99"/>
    <w:pPr>
      <w:spacing w:before="152"/>
    </w:pPr>
    <w:rPr>
      <w:rFonts w:ascii="Arial" w:hAnsi="Arial" w:eastAsia="黑体" w:cs="Arial"/>
      <w:sz w:val="20"/>
      <w:szCs w:val="20"/>
    </w:rPr>
  </w:style>
  <w:style w:type="paragraph" w:styleId="11">
    <w:name w:val="annotation text"/>
    <w:basedOn w:val="1"/>
    <w:link w:val="68"/>
    <w:unhideWhenUsed/>
    <w:qFormat/>
    <w:uiPriority w:val="0"/>
    <w:pPr>
      <w:jc w:val="left"/>
    </w:pPr>
  </w:style>
  <w:style w:type="paragraph" w:styleId="12">
    <w:name w:val="Body Text 3"/>
    <w:basedOn w:val="1"/>
    <w:link w:val="46"/>
    <w:unhideWhenUsed/>
    <w:qFormat/>
    <w:uiPriority w:val="99"/>
    <w:pPr>
      <w:spacing w:after="120"/>
    </w:pPr>
    <w:rPr>
      <w:sz w:val="16"/>
      <w:szCs w:val="16"/>
    </w:rPr>
  </w:style>
  <w:style w:type="paragraph" w:styleId="13">
    <w:name w:val="Body Text"/>
    <w:basedOn w:val="1"/>
    <w:next w:val="1"/>
    <w:link w:val="43"/>
    <w:unhideWhenUsed/>
    <w:qFormat/>
    <w:uiPriority w:val="99"/>
    <w:pPr>
      <w:spacing w:after="120"/>
    </w:pPr>
  </w:style>
  <w:style w:type="paragraph" w:styleId="14">
    <w:name w:val="List 2"/>
    <w:basedOn w:val="1"/>
    <w:unhideWhenUsed/>
    <w:qFormat/>
    <w:uiPriority w:val="99"/>
    <w:pPr>
      <w:ind w:left="100" w:leftChars="200" w:hanging="200" w:hangingChars="200"/>
    </w:pPr>
  </w:style>
  <w:style w:type="paragraph" w:styleId="15">
    <w:name w:val="Block Text"/>
    <w:basedOn w:val="1"/>
    <w:next w:val="7"/>
    <w:unhideWhenUsed/>
    <w:qFormat/>
    <w:uiPriority w:val="99"/>
    <w:pPr>
      <w:adjustRightInd w:val="0"/>
      <w:spacing w:line="300" w:lineRule="auto"/>
      <w:ind w:left="958" w:right="-120" w:rightChars="-120"/>
      <w:jc w:val="left"/>
    </w:pPr>
    <w:rPr>
      <w:rFonts w:ascii="宋体" w:hAnsi="宋体"/>
      <w:sz w:val="28"/>
    </w:rPr>
  </w:style>
  <w:style w:type="paragraph" w:styleId="16">
    <w:name w:val="Plain Text"/>
    <w:basedOn w:val="1"/>
    <w:next w:val="17"/>
    <w:link w:val="48"/>
    <w:unhideWhenUsed/>
    <w:qFormat/>
    <w:uiPriority w:val="0"/>
    <w:rPr>
      <w:rFonts w:ascii="宋体" w:hAnsi="Courier New"/>
    </w:rPr>
  </w:style>
  <w:style w:type="paragraph" w:styleId="17">
    <w:name w:val="Date"/>
    <w:basedOn w:val="1"/>
    <w:next w:val="1"/>
    <w:link w:val="45"/>
    <w:unhideWhenUsed/>
    <w:qFormat/>
    <w:uiPriority w:val="0"/>
    <w:pPr>
      <w:ind w:left="2500" w:leftChars="2500"/>
    </w:pPr>
    <w:rPr>
      <w:rFonts w:eastAsia="楷体_GB2312"/>
      <w:sz w:val="32"/>
      <w:szCs w:val="20"/>
    </w:rPr>
  </w:style>
  <w:style w:type="paragraph" w:styleId="18">
    <w:name w:val="Body Text Indent 2"/>
    <w:basedOn w:val="1"/>
    <w:next w:val="19"/>
    <w:link w:val="47"/>
    <w:unhideWhenUsed/>
    <w:qFormat/>
    <w:uiPriority w:val="99"/>
    <w:pPr>
      <w:spacing w:after="120" w:line="480" w:lineRule="auto"/>
      <w:ind w:left="420" w:leftChars="200"/>
    </w:pPr>
  </w:style>
  <w:style w:type="paragraph" w:styleId="19">
    <w:name w:val="toc 1"/>
    <w:basedOn w:val="1"/>
    <w:next w:val="1"/>
    <w:unhideWhenUsed/>
    <w:qFormat/>
    <w:uiPriority w:val="39"/>
    <w:pPr>
      <w:tabs>
        <w:tab w:val="right" w:leader="dot" w:pos="8835"/>
      </w:tabs>
    </w:pPr>
    <w:rPr>
      <w:rFonts w:eastAsia="仿宋_GB2312"/>
      <w:sz w:val="32"/>
    </w:rPr>
  </w:style>
  <w:style w:type="paragraph" w:styleId="20">
    <w:name w:val="Balloon Text"/>
    <w:basedOn w:val="1"/>
    <w:link w:val="50"/>
    <w:unhideWhenUsed/>
    <w:qFormat/>
    <w:uiPriority w:val="99"/>
    <w:rPr>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next w:val="18"/>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List"/>
    <w:basedOn w:val="1"/>
    <w:unhideWhenUsed/>
    <w:qFormat/>
    <w:uiPriority w:val="99"/>
    <w:pPr>
      <w:ind w:left="200" w:hanging="200" w:hangingChars="200"/>
    </w:pPr>
    <w:rPr>
      <w:sz w:val="28"/>
    </w:rPr>
  </w:style>
  <w:style w:type="paragraph" w:styleId="24">
    <w:name w:val="toc 2"/>
    <w:basedOn w:val="1"/>
    <w:next w:val="1"/>
    <w:unhideWhenUsed/>
    <w:qFormat/>
    <w:uiPriority w:val="99"/>
    <w:pPr>
      <w:spacing w:line="360" w:lineRule="auto"/>
      <w:ind w:firstLine="480" w:firstLineChars="200"/>
      <w:jc w:val="left"/>
    </w:pPr>
    <w:rPr>
      <w:rFonts w:ascii="宋体" w:hAnsi="宋体"/>
      <w:color w:val="000000"/>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link w:val="74"/>
    <w:qFormat/>
    <w:uiPriority w:val="0"/>
    <w:pPr>
      <w:spacing w:before="240" w:after="60"/>
      <w:jc w:val="center"/>
      <w:outlineLvl w:val="0"/>
    </w:pPr>
    <w:rPr>
      <w:rFonts w:ascii="Arial" w:hAnsi="Arial" w:cs="Arial" w:eastAsiaTheme="minorEastAsia"/>
      <w:b/>
      <w:bCs/>
      <w:color w:val="000000"/>
      <w:sz w:val="32"/>
      <w:szCs w:val="32"/>
    </w:rPr>
  </w:style>
  <w:style w:type="paragraph" w:styleId="27">
    <w:name w:val="annotation subject"/>
    <w:basedOn w:val="11"/>
    <w:next w:val="11"/>
    <w:link w:val="49"/>
    <w:unhideWhenUsed/>
    <w:qFormat/>
    <w:uiPriority w:val="99"/>
  </w:style>
  <w:style w:type="paragraph" w:styleId="28">
    <w:name w:val="Body Text First Indent"/>
    <w:basedOn w:val="13"/>
    <w:next w:val="1"/>
    <w:qFormat/>
    <w:uiPriority w:val="0"/>
    <w:pPr>
      <w:ind w:firstLine="420" w:firstLineChars="1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unhideWhenUsed/>
    <w:qFormat/>
    <w:uiPriority w:val="99"/>
    <w:rPr>
      <w:color w:val="954F72" w:themeColor="followedHyperlink"/>
      <w:u w:val="single"/>
      <w14:textFill>
        <w14:solidFill>
          <w14:schemeClr w14:val="folHlink"/>
        </w14:solidFill>
      </w14:textFill>
    </w:rPr>
  </w:style>
  <w:style w:type="character" w:styleId="34">
    <w:name w:val="Hyperlink"/>
    <w:unhideWhenUsed/>
    <w:qFormat/>
    <w:uiPriority w:val="0"/>
    <w:rPr>
      <w:color w:val="0000FF"/>
      <w:u w:val="single"/>
    </w:rPr>
  </w:style>
  <w:style w:type="character" w:styleId="35">
    <w:name w:val="annotation reference"/>
    <w:unhideWhenUsed/>
    <w:qFormat/>
    <w:uiPriority w:val="0"/>
    <w:rPr>
      <w:sz w:val="21"/>
      <w:szCs w:val="21"/>
    </w:rPr>
  </w:style>
  <w:style w:type="paragraph" w:customStyle="1" w:styleId="36">
    <w:name w:val="表格文字"/>
    <w:basedOn w:val="1"/>
    <w:next w:val="13"/>
    <w:qFormat/>
    <w:uiPriority w:val="99"/>
    <w:pPr>
      <w:adjustRightInd w:val="0"/>
      <w:spacing w:line="420" w:lineRule="atLeast"/>
      <w:jc w:val="left"/>
      <w:textAlignment w:val="baseline"/>
    </w:pPr>
    <w:rPr>
      <w:kern w:val="0"/>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3 字符"/>
    <w:basedOn w:val="31"/>
    <w:link w:val="6"/>
    <w:qFormat/>
    <w:uiPriority w:val="0"/>
    <w:rPr>
      <w:rFonts w:ascii="仿宋_GB2312" w:hAnsi="Times New Roman" w:eastAsia="仿宋_GB2312" w:cs="宋体"/>
      <w:b/>
      <w:bCs/>
      <w:sz w:val="30"/>
      <w:szCs w:val="20"/>
    </w:rPr>
  </w:style>
  <w:style w:type="paragraph" w:customStyle="1" w:styleId="3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40">
    <w:name w:val="批注文字 字符"/>
    <w:basedOn w:val="31"/>
    <w:semiHidden/>
    <w:qFormat/>
    <w:uiPriority w:val="0"/>
    <w:rPr>
      <w:rFonts w:ascii="Times New Roman" w:hAnsi="Times New Roman" w:eastAsia="宋体" w:cs="Times New Roman"/>
      <w:szCs w:val="24"/>
    </w:rPr>
  </w:style>
  <w:style w:type="character" w:customStyle="1" w:styleId="41">
    <w:name w:val="页眉 字符"/>
    <w:basedOn w:val="31"/>
    <w:link w:val="22"/>
    <w:qFormat/>
    <w:uiPriority w:val="99"/>
    <w:rPr>
      <w:rFonts w:ascii="Times New Roman" w:hAnsi="Times New Roman" w:eastAsia="宋体" w:cs="Times New Roman"/>
      <w:sz w:val="18"/>
      <w:szCs w:val="18"/>
    </w:rPr>
  </w:style>
  <w:style w:type="character" w:customStyle="1" w:styleId="42">
    <w:name w:val="页脚 字符"/>
    <w:basedOn w:val="31"/>
    <w:link w:val="21"/>
    <w:qFormat/>
    <w:uiPriority w:val="99"/>
    <w:rPr>
      <w:rFonts w:ascii="Times New Roman" w:hAnsi="Times New Roman" w:eastAsia="宋体" w:cs="Times New Roman"/>
      <w:sz w:val="18"/>
      <w:szCs w:val="18"/>
    </w:rPr>
  </w:style>
  <w:style w:type="character" w:customStyle="1" w:styleId="43">
    <w:name w:val="正文文本 字符"/>
    <w:basedOn w:val="31"/>
    <w:link w:val="13"/>
    <w:semiHidden/>
    <w:qFormat/>
    <w:uiPriority w:val="99"/>
    <w:rPr>
      <w:rFonts w:ascii="Times New Roman" w:hAnsi="Times New Roman" w:eastAsia="宋体" w:cs="Times New Roman"/>
      <w:szCs w:val="24"/>
    </w:rPr>
  </w:style>
  <w:style w:type="character" w:customStyle="1" w:styleId="44">
    <w:name w:val="正文文本缩进 字符"/>
    <w:basedOn w:val="31"/>
    <w:link w:val="3"/>
    <w:semiHidden/>
    <w:qFormat/>
    <w:uiPriority w:val="99"/>
    <w:rPr>
      <w:rFonts w:ascii="宋体" w:hAnsi="Times New Roman" w:eastAsia="宋体" w:cs="Times New Roman"/>
      <w:color w:val="000000"/>
      <w:kern w:val="0"/>
      <w:sz w:val="24"/>
      <w:szCs w:val="20"/>
    </w:rPr>
  </w:style>
  <w:style w:type="character" w:customStyle="1" w:styleId="45">
    <w:name w:val="日期 字符"/>
    <w:basedOn w:val="31"/>
    <w:link w:val="17"/>
    <w:qFormat/>
    <w:uiPriority w:val="0"/>
    <w:rPr>
      <w:rFonts w:ascii="Times New Roman" w:hAnsi="Times New Roman" w:eastAsia="楷体_GB2312" w:cs="Times New Roman"/>
      <w:sz w:val="32"/>
      <w:szCs w:val="20"/>
    </w:rPr>
  </w:style>
  <w:style w:type="character" w:customStyle="1" w:styleId="46">
    <w:name w:val="正文文本 3 字符"/>
    <w:basedOn w:val="31"/>
    <w:link w:val="12"/>
    <w:semiHidden/>
    <w:qFormat/>
    <w:uiPriority w:val="99"/>
    <w:rPr>
      <w:rFonts w:ascii="Times New Roman" w:hAnsi="Times New Roman" w:eastAsia="宋体" w:cs="Times New Roman"/>
      <w:sz w:val="16"/>
      <w:szCs w:val="16"/>
    </w:rPr>
  </w:style>
  <w:style w:type="character" w:customStyle="1" w:styleId="47">
    <w:name w:val="正文文本缩进 2 字符"/>
    <w:basedOn w:val="31"/>
    <w:link w:val="18"/>
    <w:semiHidden/>
    <w:qFormat/>
    <w:uiPriority w:val="99"/>
    <w:rPr>
      <w:rFonts w:ascii="Times New Roman" w:hAnsi="Times New Roman" w:eastAsia="宋体" w:cs="Times New Roman"/>
      <w:szCs w:val="24"/>
    </w:rPr>
  </w:style>
  <w:style w:type="character" w:customStyle="1" w:styleId="48">
    <w:name w:val="纯文本 字符"/>
    <w:basedOn w:val="31"/>
    <w:link w:val="16"/>
    <w:qFormat/>
    <w:uiPriority w:val="0"/>
    <w:rPr>
      <w:rFonts w:ascii="宋体" w:hAnsi="Courier New" w:eastAsia="宋体" w:cs="Times New Roman"/>
      <w:szCs w:val="24"/>
    </w:rPr>
  </w:style>
  <w:style w:type="character" w:customStyle="1" w:styleId="49">
    <w:name w:val="批注主题 字符"/>
    <w:basedOn w:val="40"/>
    <w:link w:val="27"/>
    <w:semiHidden/>
    <w:qFormat/>
    <w:uiPriority w:val="99"/>
    <w:rPr>
      <w:rFonts w:ascii="Times New Roman" w:hAnsi="Times New Roman" w:eastAsia="宋体" w:cs="Times New Roman"/>
      <w:szCs w:val="24"/>
    </w:rPr>
  </w:style>
  <w:style w:type="character" w:customStyle="1" w:styleId="50">
    <w:name w:val="批注框文本 字符"/>
    <w:basedOn w:val="31"/>
    <w:link w:val="20"/>
    <w:semiHidden/>
    <w:qFormat/>
    <w:uiPriority w:val="99"/>
    <w:rPr>
      <w:rFonts w:ascii="Times New Roman" w:hAnsi="Times New Roman" w:eastAsia="宋体" w:cs="Times New Roman"/>
      <w:sz w:val="18"/>
      <w:szCs w:val="18"/>
    </w:rPr>
  </w:style>
  <w:style w:type="paragraph" w:customStyle="1" w:styleId="51">
    <w:name w:val="列表段落1"/>
    <w:basedOn w:val="1"/>
    <w:qFormat/>
    <w:uiPriority w:val="34"/>
    <w:pPr>
      <w:ind w:firstLine="420" w:firstLineChars="200"/>
    </w:pPr>
    <w:rPr>
      <w:rFonts w:ascii="Calibri" w:hAnsi="Calibri"/>
      <w:szCs w:val="22"/>
    </w:rPr>
  </w:style>
  <w:style w:type="paragraph" w:customStyle="1" w:styleId="52">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3">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4">
    <w:name w:val="正文_2_0"/>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55">
    <w:name w:val="正文_14"/>
    <w:qFormat/>
    <w:uiPriority w:val="99"/>
    <w:pPr>
      <w:spacing w:after="160" w:line="259" w:lineRule="auto"/>
    </w:pPr>
    <w:rPr>
      <w:rFonts w:ascii="Times New Roman" w:hAnsi="Times New Roman" w:eastAsia="宋体" w:cs="Times New Roman"/>
      <w:sz w:val="21"/>
      <w:lang w:val="en-US" w:eastAsia="zh-CN" w:bidi="ar-SA"/>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99"/>
    <w:rPr>
      <w:rFonts w:ascii="Tahoma" w:hAnsi="Tahoma"/>
      <w:sz w:val="24"/>
      <w:szCs w:val="20"/>
    </w:rPr>
  </w:style>
  <w:style w:type="paragraph" w:customStyle="1" w:styleId="59">
    <w:name w:val="Char"/>
    <w:basedOn w:val="1"/>
    <w:qFormat/>
    <w:uiPriority w:val="99"/>
  </w:style>
  <w:style w:type="paragraph" w:customStyle="1" w:styleId="60">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无间隔11"/>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64">
    <w:name w:val="img"/>
    <w:basedOn w:val="1"/>
    <w:qFormat/>
    <w:uiPriority w:val="99"/>
    <w:pPr>
      <w:widowControl/>
      <w:spacing w:before="100" w:beforeAutospacing="1" w:after="100" w:afterAutospacing="1"/>
      <w:jc w:val="left"/>
    </w:pPr>
    <w:rPr>
      <w:rFonts w:ascii="宋体" w:hAnsi="宋体" w:cs="宋体"/>
      <w:kern w:val="0"/>
      <w:sz w:val="24"/>
    </w:rPr>
  </w:style>
  <w:style w:type="paragraph" w:customStyle="1" w:styleId="65">
    <w:name w:val="正文_6"/>
    <w:qFormat/>
    <w:uiPriority w:val="99"/>
    <w:pPr>
      <w:widowControl w:val="0"/>
      <w:spacing w:after="160" w:line="256" w:lineRule="auto"/>
      <w:jc w:val="both"/>
    </w:pPr>
    <w:rPr>
      <w:rFonts w:ascii="Times New Roman" w:hAnsi="Times New Roman" w:eastAsia="宋体" w:cs="Times New Roman"/>
      <w:kern w:val="2"/>
      <w:sz w:val="21"/>
      <w:szCs w:val="24"/>
      <w:lang w:val="en-US" w:eastAsia="zh-CN" w:bidi="ar-SA"/>
    </w:rPr>
  </w:style>
  <w:style w:type="paragraph" w:customStyle="1" w:styleId="66">
    <w:name w:val="纯文本_0_1"/>
    <w:basedOn w:val="1"/>
    <w:qFormat/>
    <w:uiPriority w:val="99"/>
    <w:pPr>
      <w:widowControl/>
      <w:spacing w:line="256" w:lineRule="auto"/>
      <w:jc w:val="left"/>
    </w:pPr>
    <w:rPr>
      <w:rFonts w:ascii="宋体" w:hAnsi="Courier New"/>
      <w:szCs w:val="21"/>
    </w:rPr>
  </w:style>
  <w:style w:type="character" w:customStyle="1" w:styleId="67">
    <w:name w:val="页眉 字符1"/>
    <w:basedOn w:val="31"/>
    <w:semiHidden/>
    <w:qFormat/>
    <w:uiPriority w:val="99"/>
    <w:rPr>
      <w:kern w:val="2"/>
      <w:sz w:val="18"/>
      <w:szCs w:val="18"/>
    </w:rPr>
  </w:style>
  <w:style w:type="character" w:customStyle="1" w:styleId="68">
    <w:name w:val="批注文字 字符1"/>
    <w:basedOn w:val="31"/>
    <w:link w:val="11"/>
    <w:semiHidden/>
    <w:qFormat/>
    <w:locked/>
    <w:uiPriority w:val="99"/>
    <w:rPr>
      <w:rFonts w:ascii="Times New Roman" w:hAnsi="Times New Roman" w:eastAsia="宋体" w:cs="Times New Roman"/>
      <w:szCs w:val="24"/>
    </w:rPr>
  </w:style>
  <w:style w:type="character" w:customStyle="1" w:styleId="69">
    <w:name w:val="批注主题 字符1"/>
    <w:basedOn w:val="68"/>
    <w:semiHidden/>
    <w:qFormat/>
    <w:uiPriority w:val="99"/>
    <w:rPr>
      <w:rFonts w:ascii="Times New Roman" w:hAnsi="Times New Roman" w:eastAsia="宋体" w:cs="Times New Roman"/>
      <w:b/>
      <w:bCs/>
      <w:szCs w:val="24"/>
    </w:rPr>
  </w:style>
  <w:style w:type="character" w:customStyle="1" w:styleId="70">
    <w:name w:val="纯文本 字符1"/>
    <w:basedOn w:val="31"/>
    <w:semiHidden/>
    <w:qFormat/>
    <w:uiPriority w:val="99"/>
    <w:rPr>
      <w:rFonts w:hint="eastAsia" w:hAnsi="Courier New" w:cs="Courier New" w:asciiTheme="minorEastAsia" w:eastAsiaTheme="minorEastAsia"/>
      <w:kern w:val="2"/>
      <w:sz w:val="21"/>
      <w:szCs w:val="24"/>
    </w:rPr>
  </w:style>
  <w:style w:type="character" w:customStyle="1" w:styleId="71">
    <w:name w:val="批注框文本 字符1"/>
    <w:basedOn w:val="31"/>
    <w:semiHidden/>
    <w:qFormat/>
    <w:uiPriority w:val="99"/>
    <w:rPr>
      <w:kern w:val="2"/>
      <w:sz w:val="18"/>
      <w:szCs w:val="18"/>
    </w:rPr>
  </w:style>
  <w:style w:type="character" w:customStyle="1" w:styleId="72">
    <w:name w:val="页脚 字符1"/>
    <w:basedOn w:val="31"/>
    <w:semiHidden/>
    <w:qFormat/>
    <w:uiPriority w:val="99"/>
    <w:rPr>
      <w:kern w:val="2"/>
      <w:sz w:val="18"/>
      <w:szCs w:val="18"/>
    </w:rPr>
  </w:style>
  <w:style w:type="character" w:customStyle="1" w:styleId="73">
    <w:name w:val="未处理的提及1"/>
    <w:basedOn w:val="31"/>
    <w:unhideWhenUsed/>
    <w:qFormat/>
    <w:uiPriority w:val="99"/>
    <w:rPr>
      <w:color w:val="605E5C"/>
      <w:shd w:val="clear" w:color="auto" w:fill="E1DFDD"/>
    </w:rPr>
  </w:style>
  <w:style w:type="character" w:customStyle="1" w:styleId="74">
    <w:name w:val="标题 字符"/>
    <w:link w:val="26"/>
    <w:qFormat/>
    <w:uiPriority w:val="0"/>
    <w:rPr>
      <w:rFonts w:ascii="Arial" w:hAnsi="Arial" w:cs="Arial"/>
      <w:b/>
      <w:bCs/>
      <w:color w:val="000000"/>
      <w:sz w:val="32"/>
      <w:szCs w:val="32"/>
    </w:rPr>
  </w:style>
  <w:style w:type="character" w:customStyle="1" w:styleId="75">
    <w:name w:val="标题 字符1"/>
    <w:basedOn w:val="31"/>
    <w:qFormat/>
    <w:uiPriority w:val="10"/>
    <w:rPr>
      <w:rFonts w:asciiTheme="majorHAnsi" w:hAnsiTheme="majorHAnsi" w:eastAsiaTheme="majorEastAsia" w:cstheme="majorBidi"/>
      <w:b/>
      <w:bCs/>
      <w:sz w:val="32"/>
      <w:szCs w:val="32"/>
    </w:rPr>
  </w:style>
  <w:style w:type="character" w:customStyle="1" w:styleId="76">
    <w:name w:val="font31"/>
    <w:qFormat/>
    <w:uiPriority w:val="0"/>
    <w:rPr>
      <w:rFonts w:hint="eastAsia" w:ascii="宋体" w:hAnsi="宋体" w:eastAsia="宋体" w:cs="宋体"/>
      <w:color w:val="000000"/>
      <w:sz w:val="20"/>
      <w:szCs w:val="20"/>
      <w:u w:val="none"/>
    </w:rPr>
  </w:style>
  <w:style w:type="paragraph" w:customStyle="1" w:styleId="77">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78">
    <w:name w:val="未处理的提及2"/>
    <w:basedOn w:val="31"/>
    <w:unhideWhenUsed/>
    <w:qFormat/>
    <w:uiPriority w:val="99"/>
    <w:rPr>
      <w:color w:val="605E5C"/>
      <w:shd w:val="clear" w:color="auto" w:fill="E1DFDD"/>
    </w:rPr>
  </w:style>
  <w:style w:type="paragraph" w:customStyle="1" w:styleId="79">
    <w:name w:val="一级标题"/>
    <w:basedOn w:val="1"/>
    <w:next w:val="13"/>
    <w:qFormat/>
    <w:uiPriority w:val="0"/>
    <w:pPr>
      <w:outlineLvl w:val="0"/>
    </w:pPr>
    <w:rPr>
      <w:rFonts w:cs="仿宋" w:asciiTheme="minorHAnsi" w:hAnsiTheme="minorHAnsi" w:eastAsiaTheme="minorEastAsia"/>
      <w:b/>
      <w:bCs/>
      <w:sz w:val="32"/>
    </w:rPr>
  </w:style>
  <w:style w:type="paragraph" w:customStyle="1" w:styleId="80">
    <w:name w:val="修订1"/>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1">
    <w:name w:val="[Normal]"/>
    <w:qFormat/>
    <w:uiPriority w:val="0"/>
    <w:pPr>
      <w:spacing w:after="160" w:line="259" w:lineRule="auto"/>
    </w:pPr>
    <w:rPr>
      <w:rFonts w:ascii="宋体" w:hAnsi="宋体" w:eastAsia="宋体" w:cs="Times New Roman"/>
      <w:sz w:val="24"/>
      <w:szCs w:val="22"/>
      <w:lang w:val="zh-CN" w:eastAsia="zh-CN" w:bidi="ar-SA"/>
    </w:rPr>
  </w:style>
  <w:style w:type="paragraph" w:customStyle="1" w:styleId="82">
    <w:name w:val="修订2"/>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3">
    <w:name w:val="pf0"/>
    <w:basedOn w:val="1"/>
    <w:qFormat/>
    <w:uiPriority w:val="0"/>
    <w:pPr>
      <w:widowControl/>
      <w:spacing w:before="100" w:beforeAutospacing="1" w:after="100" w:afterAutospacing="1" w:line="240" w:lineRule="auto"/>
      <w:jc w:val="left"/>
    </w:pPr>
    <w:rPr>
      <w:rFonts w:eastAsia="Times New Roman"/>
      <w:kern w:val="0"/>
      <w:sz w:val="24"/>
    </w:rPr>
  </w:style>
  <w:style w:type="character" w:customStyle="1" w:styleId="84">
    <w:name w:val="cf01"/>
    <w:basedOn w:val="31"/>
    <w:qFormat/>
    <w:uiPriority w:val="0"/>
    <w:rPr>
      <w:rFonts w:hint="eastAsia" w:ascii="Microsoft YaHei UI" w:hAnsi="Microsoft YaHei UI" w:eastAsia="Microsoft YaHei UI"/>
      <w:sz w:val="18"/>
      <w:szCs w:val="18"/>
    </w:rPr>
  </w:style>
  <w:style w:type="paragraph" w:styleId="85">
    <w:name w:val="List Paragraph"/>
    <w:basedOn w:val="1"/>
    <w:qFormat/>
    <w:uiPriority w:val="99"/>
    <w:pPr>
      <w:ind w:left="720"/>
      <w:contextualSpacing/>
    </w:pPr>
  </w:style>
  <w:style w:type="paragraph" w:customStyle="1" w:styleId="86">
    <w:name w:val="表格"/>
    <w:basedOn w:val="1"/>
    <w:qFormat/>
    <w:uiPriority w:val="0"/>
    <w:pPr>
      <w:snapToGrid w:val="0"/>
      <w:spacing w:after="0" w:line="240" w:lineRule="auto"/>
      <w:ind w:firstLine="21" w:firstLineChars="21"/>
    </w:pPr>
    <w:rPr>
      <w:rFonts w:ascii="宋体"/>
      <w:kern w:val="0"/>
      <w:sz w:val="20"/>
      <w:szCs w:val="20"/>
    </w:rPr>
  </w:style>
  <w:style w:type="character" w:customStyle="1" w:styleId="87">
    <w:name w:val="NormalCharacter"/>
    <w:semiHidden/>
    <w:qFormat/>
    <w:uiPriority w:val="0"/>
  </w:style>
  <w:style w:type="character" w:customStyle="1" w:styleId="88">
    <w:name w:val="fontstyle01"/>
    <w:qFormat/>
    <w:uiPriority w:val="0"/>
    <w:rPr>
      <w:rFonts w:hint="eastAsia" w:ascii="宋体" w:hAnsi="宋体" w:eastAsia="宋体" w:cs="宋体"/>
      <w:color w:val="000000"/>
      <w:sz w:val="22"/>
      <w:szCs w:val="22"/>
    </w:rPr>
  </w:style>
  <w:style w:type="paragraph" w:customStyle="1" w:styleId="89">
    <w:name w:val="修订3"/>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9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able Paragraph"/>
    <w:basedOn w:val="1"/>
    <w:qFormat/>
    <w:uiPriority w:val="0"/>
    <w:rPr>
      <w:rFonts w:ascii="宋体" w:hAnsi="宋体" w:cs="宋体"/>
    </w:rPr>
  </w:style>
  <w:style w:type="paragraph" w:customStyle="1" w:styleId="9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标题 1 Char Char"/>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7D0C5-D28F-4338-8EC7-5B61AB9D87B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3561</Words>
  <Characters>4423</Characters>
  <Lines>237</Lines>
  <Paragraphs>66</Paragraphs>
  <TotalTime>3</TotalTime>
  <ScaleCrop>false</ScaleCrop>
  <LinksUpToDate>false</LinksUpToDate>
  <CharactersWithSpaces>4529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2024-10-09T05:56:00Z</dcterms:created>
  <dc:creator>Liam</dc:creator>
  <cp:lastModifiedBy>凸凸怪</cp:lastModifiedBy>
  <cp:lastPrinted>2023-05-29T02:32:00Z</cp:lastPrinted>
  <dcterms:modified xsi:type="dcterms:W3CDTF">2024-10-24T06:29:00Z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2FB6C5F616044F4A842486A9DA9FB633_13</vt:lpwstr>
  </property>
</Properties>
</file>