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3650F4">
      <w:pPr>
        <w:jc w:val="center"/>
        <w:rPr>
          <w:rFonts w:ascii="宋体" w:hAnsi="宋体" w:cs="宋体"/>
          <w:sz w:val="52"/>
          <w:szCs w:val="52"/>
        </w:rPr>
      </w:pPr>
    </w:p>
    <w:p w14:paraId="4BAA7898">
      <w:pPr>
        <w:pStyle w:val="14"/>
        <w:rPr>
          <w:rFonts w:ascii="宋体" w:hAnsi="宋体" w:cs="宋体"/>
          <w:sz w:val="52"/>
          <w:szCs w:val="52"/>
        </w:rPr>
      </w:pPr>
    </w:p>
    <w:p w14:paraId="794FD46B">
      <w:pPr>
        <w:pStyle w:val="14"/>
        <w:rPr>
          <w:rFonts w:ascii="宋体" w:hAnsi="宋体" w:cs="宋体"/>
          <w:color w:val="auto"/>
          <w:sz w:val="52"/>
          <w:szCs w:val="52"/>
        </w:rPr>
      </w:pPr>
    </w:p>
    <w:p w14:paraId="467DBBBF">
      <w:pPr>
        <w:jc w:val="center"/>
        <w:rPr>
          <w:rFonts w:ascii="宋体" w:hAnsi="宋体" w:cs="宋体"/>
          <w:b/>
          <w:color w:val="auto"/>
          <w:sz w:val="72"/>
          <w:szCs w:val="72"/>
        </w:rPr>
      </w:pPr>
    </w:p>
    <w:p w14:paraId="471EEE14">
      <w:pPr>
        <w:shd w:val="clear" w:color="auto" w:fill="FFFFFF"/>
        <w:spacing w:line="360" w:lineRule="auto"/>
        <w:jc w:val="center"/>
        <w:textAlignment w:val="bottom"/>
        <w:rPr>
          <w:rFonts w:ascii="宋体"/>
          <w:b/>
          <w:color w:val="auto"/>
          <w:kern w:val="0"/>
          <w:sz w:val="52"/>
          <w:szCs w:val="52"/>
        </w:rPr>
      </w:pPr>
      <w:r>
        <w:rPr>
          <w:rFonts w:hint="eastAsia" w:ascii="宋体"/>
          <w:b/>
          <w:color w:val="auto"/>
          <w:kern w:val="0"/>
          <w:sz w:val="52"/>
          <w:szCs w:val="52"/>
        </w:rPr>
        <w:t>政府采购电子招标文件</w:t>
      </w:r>
    </w:p>
    <w:p w14:paraId="449D0F8F">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hAnsi="宋体" w:cs="宋体"/>
          <w:b/>
          <w:color w:val="auto"/>
          <w:kern w:val="0"/>
          <w:sz w:val="52"/>
          <w:szCs w:val="52"/>
        </w:rPr>
      </w:pPr>
    </w:p>
    <w:p w14:paraId="03CF1017">
      <w:pPr>
        <w:pStyle w:val="14"/>
        <w:rPr>
          <w:color w:val="auto"/>
        </w:rPr>
      </w:pPr>
    </w:p>
    <w:p w14:paraId="62C73EF9">
      <w:pPr>
        <w:pStyle w:val="14"/>
        <w:rPr>
          <w:color w:val="auto"/>
        </w:rPr>
      </w:pPr>
    </w:p>
    <w:p w14:paraId="35176EB6">
      <w:pPr>
        <w:adjustRightInd w:val="0"/>
        <w:snapToGrid w:val="0"/>
        <w:spacing w:line="360" w:lineRule="auto"/>
        <w:ind w:left="1521" w:hanging="1521" w:hangingChars="541"/>
        <w:rPr>
          <w:rFonts w:ascii="宋体" w:hAnsi="宋体" w:cs="宋体"/>
          <w:b/>
          <w:bCs/>
          <w:color w:val="auto"/>
          <w:sz w:val="28"/>
          <w:szCs w:val="28"/>
        </w:rPr>
      </w:pPr>
    </w:p>
    <w:p w14:paraId="1475ADFC">
      <w:pPr>
        <w:autoSpaceDE w:val="0"/>
        <w:autoSpaceDN w:val="0"/>
        <w:adjustRightInd w:val="0"/>
        <w:spacing w:line="360" w:lineRule="auto"/>
        <w:ind w:left="0" w:leftChars="0" w:firstLine="592" w:firstLineChars="228"/>
        <w:rPr>
          <w:rFonts w:hint="eastAsia" w:ascii="宋体" w:hAnsi="宋体" w:eastAsia="宋体" w:cs="宋体"/>
          <w:color w:val="auto"/>
          <w:kern w:val="0"/>
          <w:sz w:val="26"/>
          <w:szCs w:val="26"/>
          <w:lang w:eastAsia="zh-CN"/>
        </w:rPr>
      </w:pPr>
      <w:r>
        <w:rPr>
          <w:rFonts w:hint="eastAsia" w:ascii="宋体" w:hAnsi="宋体" w:cs="宋体"/>
          <w:color w:val="auto"/>
          <w:kern w:val="0"/>
          <w:sz w:val="26"/>
          <w:szCs w:val="26"/>
        </w:rPr>
        <w:t>项目编号：</w:t>
      </w:r>
      <w:r>
        <w:rPr>
          <w:rFonts w:hint="eastAsia" w:ascii="宋体" w:hAnsi="宋体" w:cs="宋体"/>
          <w:color w:val="auto"/>
          <w:kern w:val="0"/>
          <w:sz w:val="26"/>
          <w:szCs w:val="26"/>
          <w:lang w:eastAsia="zh-CN"/>
        </w:rPr>
        <w:t>tzccclq-20250116</w:t>
      </w:r>
    </w:p>
    <w:p w14:paraId="1BB14D6A">
      <w:pPr>
        <w:tabs>
          <w:tab w:val="left" w:pos="8610"/>
        </w:tabs>
        <w:autoSpaceDE w:val="0"/>
        <w:autoSpaceDN w:val="0"/>
        <w:adjustRightInd w:val="0"/>
        <w:spacing w:line="360" w:lineRule="auto"/>
        <w:ind w:left="0" w:leftChars="0" w:right="-218" w:rightChars="-104" w:firstLine="592" w:firstLineChars="228"/>
        <w:jc w:val="left"/>
        <w:rPr>
          <w:rFonts w:hint="eastAsia" w:ascii="宋体" w:hAnsi="宋体" w:eastAsia="宋体" w:cs="宋体"/>
          <w:color w:val="auto"/>
          <w:kern w:val="0"/>
          <w:sz w:val="26"/>
          <w:szCs w:val="26"/>
          <w:lang w:eastAsia="zh-CN"/>
        </w:rPr>
      </w:pPr>
      <w:r>
        <w:rPr>
          <w:rFonts w:hint="eastAsia" w:ascii="宋体" w:hAnsi="宋体" w:cs="宋体"/>
          <w:color w:val="auto"/>
          <w:kern w:val="0"/>
          <w:sz w:val="26"/>
          <w:szCs w:val="26"/>
        </w:rPr>
        <w:t>采购项目：</w:t>
      </w:r>
      <w:r>
        <w:rPr>
          <w:rFonts w:hint="eastAsia" w:ascii="宋体" w:hAnsi="宋体" w:cs="宋体"/>
          <w:color w:val="auto"/>
          <w:kern w:val="0"/>
          <w:sz w:val="26"/>
          <w:szCs w:val="26"/>
          <w:lang w:eastAsia="zh-CN"/>
        </w:rPr>
        <w:t>路桥区蓬街镇2025年度雨污管网养护及河道应急处理项目</w:t>
      </w:r>
    </w:p>
    <w:p w14:paraId="1D88B23E">
      <w:pPr>
        <w:autoSpaceDE w:val="0"/>
        <w:autoSpaceDN w:val="0"/>
        <w:adjustRightInd w:val="0"/>
        <w:spacing w:line="360" w:lineRule="auto"/>
        <w:ind w:left="0" w:leftChars="0" w:firstLine="592" w:firstLineChars="228"/>
        <w:rPr>
          <w:rFonts w:hint="eastAsia" w:ascii="宋体" w:hAnsi="宋体" w:eastAsia="宋体" w:cs="宋体"/>
          <w:color w:val="auto"/>
          <w:kern w:val="0"/>
          <w:sz w:val="26"/>
          <w:szCs w:val="26"/>
          <w:lang w:eastAsia="zh-CN"/>
        </w:rPr>
      </w:pPr>
      <w:r>
        <w:rPr>
          <w:rFonts w:hint="eastAsia" w:ascii="宋体" w:hAnsi="宋体" w:cs="宋体"/>
          <w:color w:val="auto"/>
          <w:kern w:val="0"/>
          <w:sz w:val="26"/>
          <w:szCs w:val="26"/>
        </w:rPr>
        <w:t>采购人：</w:t>
      </w:r>
      <w:r>
        <w:rPr>
          <w:rFonts w:hint="eastAsia" w:ascii="宋体" w:hAnsi="宋体" w:cs="宋体"/>
          <w:color w:val="auto"/>
          <w:kern w:val="0"/>
          <w:sz w:val="26"/>
          <w:szCs w:val="26"/>
          <w:lang w:eastAsia="zh-CN"/>
        </w:rPr>
        <w:t>台州市路桥区蓬街镇人民政府</w:t>
      </w:r>
    </w:p>
    <w:p w14:paraId="20CC8060">
      <w:pPr>
        <w:autoSpaceDE w:val="0"/>
        <w:autoSpaceDN w:val="0"/>
        <w:adjustRightInd w:val="0"/>
        <w:spacing w:line="360" w:lineRule="auto"/>
        <w:ind w:left="0" w:leftChars="0" w:firstLine="592" w:firstLineChars="228"/>
        <w:rPr>
          <w:rFonts w:hint="eastAsia" w:ascii="宋体" w:hAnsi="宋体" w:eastAsia="宋体" w:cs="宋体"/>
          <w:color w:val="auto"/>
          <w:kern w:val="0"/>
          <w:sz w:val="26"/>
          <w:szCs w:val="26"/>
          <w:lang w:eastAsia="zh-CN"/>
        </w:rPr>
      </w:pPr>
      <w:r>
        <w:rPr>
          <w:rFonts w:hint="eastAsia" w:ascii="宋体" w:hAnsi="宋体" w:cs="宋体"/>
          <w:color w:val="auto"/>
          <w:kern w:val="0"/>
          <w:sz w:val="26"/>
          <w:szCs w:val="26"/>
        </w:rPr>
        <w:t>采购代理机构：</w:t>
      </w:r>
      <w:r>
        <w:rPr>
          <w:rFonts w:hint="eastAsia" w:ascii="宋体" w:hAnsi="宋体" w:cs="宋体"/>
          <w:color w:val="auto"/>
          <w:kern w:val="0"/>
          <w:sz w:val="26"/>
          <w:szCs w:val="26"/>
          <w:lang w:eastAsia="zh-CN"/>
        </w:rPr>
        <w:t>台州市建设咨询有限公司</w:t>
      </w:r>
    </w:p>
    <w:p w14:paraId="61B77937">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32"/>
        </w:rPr>
      </w:pPr>
    </w:p>
    <w:p w14:paraId="629F1A3B">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32"/>
        </w:rPr>
      </w:pPr>
    </w:p>
    <w:p w14:paraId="2E94F7C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32"/>
        </w:rPr>
      </w:pPr>
    </w:p>
    <w:p w14:paraId="7FE7E145">
      <w:pPr>
        <w:pStyle w:val="5"/>
        <w:rPr>
          <w:color w:val="auto"/>
        </w:rPr>
      </w:pPr>
    </w:p>
    <w:p w14:paraId="78AB53C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hAnsi="宋体" w:cs="宋体"/>
          <w:color w:val="auto"/>
          <w:kern w:val="0"/>
          <w:sz w:val="32"/>
        </w:rPr>
      </w:pPr>
    </w:p>
    <w:p w14:paraId="40AD777B">
      <w:pPr>
        <w:spacing w:line="360" w:lineRule="auto"/>
        <w:jc w:val="center"/>
        <w:rPr>
          <w:rFonts w:hint="eastAsia" w:ascii="宋体" w:hAnsi="宋体" w:eastAsia="宋体" w:cs="宋体"/>
          <w:color w:val="auto"/>
          <w:sz w:val="28"/>
          <w:szCs w:val="28"/>
          <w:lang w:eastAsia="zh-CN"/>
        </w:rPr>
      </w:pPr>
      <w:r>
        <w:rPr>
          <w:rFonts w:hint="eastAsia" w:ascii="宋体" w:hAnsi="宋体" w:cs="宋体"/>
          <w:color w:val="auto"/>
          <w:sz w:val="28"/>
          <w:szCs w:val="28"/>
          <w:lang w:eastAsia="zh-CN"/>
        </w:rPr>
        <w:t>202</w:t>
      </w:r>
      <w:r>
        <w:rPr>
          <w:rFonts w:hint="eastAsia" w:ascii="宋体" w:hAnsi="宋体" w:cs="宋体"/>
          <w:color w:val="auto"/>
          <w:sz w:val="28"/>
          <w:szCs w:val="28"/>
          <w:lang w:val="en-US" w:eastAsia="zh-CN"/>
        </w:rPr>
        <w:t>5</w:t>
      </w:r>
      <w:r>
        <w:rPr>
          <w:rFonts w:hint="eastAsia" w:ascii="宋体" w:hAnsi="宋体" w:cs="宋体"/>
          <w:color w:val="auto"/>
          <w:sz w:val="28"/>
          <w:szCs w:val="28"/>
          <w:lang w:eastAsia="zh-CN"/>
        </w:rPr>
        <w:t>年</w:t>
      </w:r>
      <w:r>
        <w:rPr>
          <w:rFonts w:hint="eastAsia" w:ascii="宋体" w:hAnsi="宋体" w:cs="宋体"/>
          <w:color w:val="auto"/>
          <w:sz w:val="28"/>
          <w:szCs w:val="28"/>
          <w:lang w:val="en-US" w:eastAsia="zh-CN"/>
        </w:rPr>
        <w:t>4</w:t>
      </w:r>
      <w:r>
        <w:rPr>
          <w:rFonts w:hint="eastAsia" w:ascii="宋体" w:hAnsi="宋体" w:cs="宋体"/>
          <w:color w:val="auto"/>
          <w:sz w:val="28"/>
          <w:szCs w:val="28"/>
          <w:lang w:eastAsia="zh-CN"/>
        </w:rPr>
        <w:t>月</w:t>
      </w:r>
    </w:p>
    <w:p w14:paraId="4D5915B1">
      <w:pPr>
        <w:rPr>
          <w:rFonts w:ascii="宋体" w:hAnsi="宋体" w:cs="宋体"/>
          <w:color w:val="auto"/>
          <w:sz w:val="28"/>
          <w:szCs w:val="28"/>
        </w:rPr>
      </w:pPr>
      <w:r>
        <w:rPr>
          <w:rFonts w:hint="eastAsia" w:ascii="宋体" w:hAnsi="宋体" w:cs="宋体"/>
          <w:color w:val="auto"/>
          <w:sz w:val="28"/>
          <w:szCs w:val="28"/>
        </w:rPr>
        <w:br w:type="page"/>
      </w:r>
    </w:p>
    <w:p w14:paraId="2D40B0F4">
      <w:pPr>
        <w:pStyle w:val="14"/>
        <w:rPr>
          <w:color w:val="auto"/>
        </w:rPr>
        <w:sectPr>
          <w:headerReference r:id="rId3" w:type="default"/>
          <w:footerReference r:id="rId4" w:type="even"/>
          <w:pgSz w:w="11906" w:h="16838"/>
          <w:pgMar w:top="1021" w:right="1498" w:bottom="851" w:left="1588" w:header="567" w:footer="454" w:gutter="0"/>
          <w:cols w:space="720" w:num="1"/>
          <w:docGrid w:linePitch="286" w:charSpace="0"/>
        </w:sectPr>
      </w:pPr>
    </w:p>
    <w:p w14:paraId="391D0A01">
      <w:pPr>
        <w:spacing w:line="360" w:lineRule="auto"/>
        <w:ind w:firstLine="480" w:firstLineChars="200"/>
        <w:rPr>
          <w:rFonts w:ascii="宋体" w:hAnsi="宋体" w:cs="宋体"/>
          <w:color w:val="auto"/>
          <w:sz w:val="24"/>
          <w:szCs w:val="32"/>
        </w:rPr>
      </w:pPr>
    </w:p>
    <w:p w14:paraId="0F4EEEA5">
      <w:pPr>
        <w:spacing w:line="360" w:lineRule="auto"/>
        <w:ind w:firstLine="480" w:firstLineChars="200"/>
        <w:rPr>
          <w:rFonts w:ascii="宋体" w:hAnsi="宋体" w:cs="宋体"/>
          <w:color w:val="auto"/>
          <w:sz w:val="24"/>
          <w:szCs w:val="32"/>
        </w:rPr>
      </w:pPr>
    </w:p>
    <w:p w14:paraId="6C17A60C">
      <w:pPr>
        <w:spacing w:line="360" w:lineRule="auto"/>
        <w:ind w:firstLine="480" w:firstLineChars="200"/>
        <w:rPr>
          <w:rFonts w:ascii="宋体" w:hAnsi="宋体" w:cs="宋体"/>
          <w:color w:val="auto"/>
          <w:sz w:val="24"/>
          <w:szCs w:val="32"/>
        </w:rPr>
      </w:pPr>
    </w:p>
    <w:p w14:paraId="4BCD1F89">
      <w:pPr>
        <w:jc w:val="center"/>
        <w:rPr>
          <w:rFonts w:ascii="宋体" w:hAnsi="宋体" w:cs="宋体"/>
          <w:b/>
          <w:bCs/>
          <w:color w:val="auto"/>
          <w:sz w:val="36"/>
          <w:szCs w:val="36"/>
        </w:rPr>
      </w:pPr>
      <w:r>
        <w:rPr>
          <w:rFonts w:hint="eastAsia" w:ascii="宋体" w:hAnsi="宋体" w:cs="宋体"/>
          <w:b/>
          <w:bCs/>
          <w:color w:val="auto"/>
          <w:sz w:val="36"/>
          <w:szCs w:val="36"/>
        </w:rPr>
        <w:t>目录</w:t>
      </w:r>
    </w:p>
    <w:p w14:paraId="65339837">
      <w:pPr>
        <w:spacing w:line="360" w:lineRule="auto"/>
        <w:rPr>
          <w:rFonts w:ascii="宋体" w:hAnsi="宋体" w:cs="宋体"/>
          <w:color w:val="auto"/>
          <w:sz w:val="28"/>
          <w:szCs w:val="28"/>
        </w:rPr>
      </w:pPr>
    </w:p>
    <w:p w14:paraId="3F5705C3">
      <w:pPr>
        <w:spacing w:line="360" w:lineRule="auto"/>
        <w:ind w:firstLine="643" w:firstLineChars="200"/>
        <w:rPr>
          <w:rFonts w:ascii="宋体" w:hAnsi="宋体" w:cs="宋体"/>
          <w:b/>
          <w:bCs/>
          <w:color w:val="auto"/>
          <w:sz w:val="32"/>
          <w:szCs w:val="32"/>
        </w:rPr>
      </w:pPr>
      <w:r>
        <w:rPr>
          <w:rFonts w:hint="eastAsia" w:ascii="宋体" w:hAnsi="宋体" w:cs="宋体"/>
          <w:b/>
          <w:bCs/>
          <w:color w:val="auto"/>
          <w:sz w:val="32"/>
          <w:szCs w:val="32"/>
        </w:rPr>
        <w:t>第一章</w:t>
      </w:r>
      <w:r>
        <w:rPr>
          <w:rFonts w:hint="eastAsia" w:ascii="宋体" w:hAnsi="宋体" w:cs="宋体"/>
          <w:b/>
          <w:bCs/>
          <w:color w:val="auto"/>
          <w:sz w:val="32"/>
          <w:szCs w:val="32"/>
          <w:lang w:val="en-US" w:eastAsia="zh-CN"/>
        </w:rPr>
        <w:t xml:space="preserve">  </w:t>
      </w:r>
      <w:r>
        <w:rPr>
          <w:rFonts w:hint="eastAsia" w:ascii="宋体" w:hAnsi="宋体" w:cs="宋体"/>
          <w:b/>
          <w:bCs/>
          <w:color w:val="auto"/>
          <w:sz w:val="32"/>
          <w:szCs w:val="32"/>
        </w:rPr>
        <w:t>公开招标采购公告</w:t>
      </w:r>
    </w:p>
    <w:p w14:paraId="190EDE73">
      <w:pPr>
        <w:spacing w:line="360" w:lineRule="auto"/>
        <w:ind w:firstLine="643" w:firstLineChars="200"/>
        <w:rPr>
          <w:rFonts w:ascii="宋体" w:hAnsi="宋体" w:cs="宋体"/>
          <w:b/>
          <w:bCs/>
          <w:color w:val="auto"/>
          <w:sz w:val="32"/>
          <w:szCs w:val="32"/>
        </w:rPr>
      </w:pPr>
      <w:r>
        <w:rPr>
          <w:rFonts w:hint="eastAsia" w:ascii="宋体" w:hAnsi="宋体" w:cs="宋体"/>
          <w:b/>
          <w:bCs/>
          <w:color w:val="auto"/>
          <w:sz w:val="32"/>
          <w:szCs w:val="32"/>
        </w:rPr>
        <w:t>第二章</w:t>
      </w:r>
      <w:r>
        <w:rPr>
          <w:rFonts w:hint="eastAsia" w:ascii="宋体" w:hAnsi="宋体" w:cs="宋体"/>
          <w:b/>
          <w:bCs/>
          <w:color w:val="auto"/>
          <w:sz w:val="32"/>
          <w:szCs w:val="32"/>
          <w:lang w:val="en-US" w:eastAsia="zh-CN"/>
        </w:rPr>
        <w:t xml:space="preserve">  </w:t>
      </w:r>
      <w:r>
        <w:rPr>
          <w:rFonts w:hint="eastAsia" w:ascii="宋体" w:hAnsi="宋体" w:cs="宋体"/>
          <w:b/>
          <w:bCs/>
          <w:color w:val="auto"/>
          <w:sz w:val="32"/>
          <w:szCs w:val="32"/>
        </w:rPr>
        <w:t>投标人须知</w:t>
      </w:r>
    </w:p>
    <w:p w14:paraId="4E6EB6B0">
      <w:pPr>
        <w:spacing w:line="360" w:lineRule="auto"/>
        <w:ind w:firstLine="643" w:firstLineChars="200"/>
        <w:rPr>
          <w:rFonts w:ascii="宋体" w:hAnsi="宋体" w:cs="宋体"/>
          <w:b/>
          <w:bCs/>
          <w:color w:val="auto"/>
          <w:sz w:val="32"/>
          <w:szCs w:val="32"/>
        </w:rPr>
      </w:pPr>
      <w:r>
        <w:rPr>
          <w:rFonts w:hint="eastAsia" w:ascii="宋体" w:hAnsi="宋体" w:cs="宋体"/>
          <w:b/>
          <w:bCs/>
          <w:color w:val="auto"/>
          <w:sz w:val="32"/>
          <w:szCs w:val="32"/>
        </w:rPr>
        <w:t>第三章</w:t>
      </w:r>
      <w:r>
        <w:rPr>
          <w:rFonts w:hint="eastAsia" w:ascii="宋体" w:hAnsi="宋体" w:cs="宋体"/>
          <w:b/>
          <w:bCs/>
          <w:color w:val="auto"/>
          <w:sz w:val="32"/>
          <w:szCs w:val="32"/>
          <w:lang w:val="en-US" w:eastAsia="zh-CN"/>
        </w:rPr>
        <w:t xml:space="preserve">  </w:t>
      </w:r>
      <w:r>
        <w:rPr>
          <w:rFonts w:hint="eastAsia" w:ascii="宋体" w:hAnsi="宋体" w:cs="宋体"/>
          <w:b/>
          <w:bCs/>
          <w:color w:val="auto"/>
          <w:sz w:val="32"/>
          <w:szCs w:val="32"/>
        </w:rPr>
        <w:t>评标办法及评分标准</w:t>
      </w:r>
    </w:p>
    <w:p w14:paraId="31310A1A">
      <w:pPr>
        <w:spacing w:line="360" w:lineRule="auto"/>
        <w:ind w:firstLine="643" w:firstLineChars="200"/>
        <w:rPr>
          <w:rFonts w:ascii="宋体" w:hAnsi="宋体" w:cs="宋体"/>
          <w:b/>
          <w:bCs/>
          <w:color w:val="auto"/>
          <w:sz w:val="32"/>
          <w:szCs w:val="32"/>
        </w:rPr>
      </w:pPr>
      <w:r>
        <w:rPr>
          <w:rFonts w:hint="eastAsia" w:ascii="宋体" w:hAnsi="宋体" w:cs="宋体"/>
          <w:b/>
          <w:bCs/>
          <w:color w:val="auto"/>
          <w:sz w:val="32"/>
          <w:szCs w:val="32"/>
        </w:rPr>
        <w:t>第四章</w:t>
      </w:r>
      <w:r>
        <w:rPr>
          <w:rFonts w:hint="eastAsia" w:ascii="宋体" w:hAnsi="宋体" w:cs="宋体"/>
          <w:b/>
          <w:bCs/>
          <w:color w:val="auto"/>
          <w:sz w:val="32"/>
          <w:szCs w:val="32"/>
          <w:lang w:val="en-US" w:eastAsia="zh-CN"/>
        </w:rPr>
        <w:t xml:space="preserve">  </w:t>
      </w:r>
      <w:r>
        <w:rPr>
          <w:rFonts w:hint="eastAsia" w:ascii="宋体" w:hAnsi="宋体" w:cs="宋体"/>
          <w:b/>
          <w:bCs/>
          <w:color w:val="auto"/>
          <w:sz w:val="32"/>
          <w:szCs w:val="32"/>
        </w:rPr>
        <w:t>公开招标需求</w:t>
      </w:r>
    </w:p>
    <w:p w14:paraId="07D33397">
      <w:pPr>
        <w:spacing w:line="360" w:lineRule="auto"/>
        <w:ind w:firstLine="643" w:firstLineChars="200"/>
        <w:rPr>
          <w:rFonts w:ascii="宋体" w:hAnsi="宋体" w:cs="宋体"/>
          <w:b/>
          <w:bCs/>
          <w:color w:val="auto"/>
          <w:sz w:val="32"/>
          <w:szCs w:val="32"/>
        </w:rPr>
      </w:pPr>
      <w:r>
        <w:rPr>
          <w:rFonts w:hint="eastAsia" w:ascii="宋体" w:hAnsi="宋体" w:cs="宋体"/>
          <w:b/>
          <w:bCs/>
          <w:color w:val="auto"/>
          <w:sz w:val="32"/>
          <w:szCs w:val="32"/>
        </w:rPr>
        <w:t>第五章</w:t>
      </w:r>
      <w:r>
        <w:rPr>
          <w:rFonts w:hint="eastAsia" w:ascii="宋体" w:hAnsi="宋体" w:cs="宋体"/>
          <w:b/>
          <w:bCs/>
          <w:color w:val="auto"/>
          <w:sz w:val="32"/>
          <w:szCs w:val="32"/>
          <w:lang w:val="en-US" w:eastAsia="zh-CN"/>
        </w:rPr>
        <w:t xml:space="preserve">  </w:t>
      </w:r>
      <w:r>
        <w:rPr>
          <w:rFonts w:hint="eastAsia" w:ascii="宋体" w:hAnsi="宋体" w:cs="宋体"/>
          <w:b/>
          <w:bCs/>
          <w:color w:val="auto"/>
          <w:sz w:val="32"/>
          <w:szCs w:val="32"/>
        </w:rPr>
        <w:t>政府采购合同主要条款指引</w:t>
      </w:r>
    </w:p>
    <w:p w14:paraId="4E5185AA">
      <w:pPr>
        <w:spacing w:line="360" w:lineRule="auto"/>
        <w:ind w:firstLine="643" w:firstLineChars="200"/>
        <w:rPr>
          <w:rFonts w:ascii="宋体" w:hAnsi="宋体" w:cs="宋体"/>
          <w:b/>
          <w:bCs/>
          <w:color w:val="auto"/>
          <w:sz w:val="32"/>
          <w:szCs w:val="32"/>
        </w:rPr>
      </w:pPr>
      <w:r>
        <w:rPr>
          <w:rFonts w:hint="eastAsia" w:ascii="宋体" w:hAnsi="宋体" w:cs="宋体"/>
          <w:b/>
          <w:bCs/>
          <w:color w:val="auto"/>
          <w:sz w:val="32"/>
          <w:szCs w:val="32"/>
        </w:rPr>
        <w:t>第六章</w:t>
      </w:r>
      <w:r>
        <w:rPr>
          <w:rFonts w:hint="eastAsia" w:ascii="宋体" w:hAnsi="宋体" w:cs="宋体"/>
          <w:b/>
          <w:bCs/>
          <w:color w:val="auto"/>
          <w:sz w:val="32"/>
          <w:szCs w:val="32"/>
          <w:lang w:val="en-US" w:eastAsia="zh-CN"/>
        </w:rPr>
        <w:t xml:space="preserve">  </w:t>
      </w:r>
      <w:r>
        <w:rPr>
          <w:rFonts w:hint="eastAsia" w:ascii="宋体" w:hAnsi="宋体" w:cs="宋体"/>
          <w:b/>
          <w:bCs/>
          <w:color w:val="auto"/>
          <w:sz w:val="32"/>
          <w:szCs w:val="32"/>
        </w:rPr>
        <w:t>投标文件格式附件</w:t>
      </w:r>
    </w:p>
    <w:p w14:paraId="31A39B91">
      <w:pPr>
        <w:spacing w:line="360" w:lineRule="auto"/>
        <w:rPr>
          <w:rFonts w:ascii="宋体" w:hAnsi="宋体" w:cs="宋体"/>
          <w:color w:val="auto"/>
          <w:sz w:val="24"/>
          <w:szCs w:val="32"/>
        </w:rPr>
      </w:pPr>
    </w:p>
    <w:p w14:paraId="14AC1028">
      <w:pPr>
        <w:spacing w:line="360" w:lineRule="auto"/>
        <w:rPr>
          <w:rFonts w:ascii="宋体" w:hAnsi="宋体" w:cs="宋体"/>
          <w:color w:val="auto"/>
          <w:sz w:val="24"/>
          <w:szCs w:val="32"/>
        </w:rPr>
      </w:pPr>
    </w:p>
    <w:p w14:paraId="0CD966FF">
      <w:pPr>
        <w:spacing w:line="360" w:lineRule="auto"/>
        <w:rPr>
          <w:rFonts w:ascii="宋体" w:hAnsi="宋体" w:cs="宋体"/>
          <w:color w:val="auto"/>
          <w:sz w:val="24"/>
          <w:szCs w:val="32"/>
        </w:rPr>
      </w:pPr>
    </w:p>
    <w:p w14:paraId="11501458">
      <w:pPr>
        <w:spacing w:line="360" w:lineRule="auto"/>
        <w:rPr>
          <w:rFonts w:ascii="宋体" w:hAnsi="宋体" w:cs="宋体"/>
          <w:color w:val="auto"/>
          <w:sz w:val="24"/>
          <w:szCs w:val="32"/>
        </w:rPr>
      </w:pPr>
    </w:p>
    <w:p w14:paraId="6E658EDA">
      <w:pPr>
        <w:spacing w:line="360" w:lineRule="auto"/>
        <w:ind w:firstLine="480" w:firstLineChars="200"/>
        <w:rPr>
          <w:rFonts w:ascii="宋体" w:hAnsi="宋体" w:cs="宋体"/>
          <w:color w:val="auto"/>
          <w:sz w:val="24"/>
          <w:szCs w:val="32"/>
        </w:rPr>
      </w:pPr>
    </w:p>
    <w:p w14:paraId="3979D465">
      <w:pPr>
        <w:spacing w:line="360" w:lineRule="auto"/>
        <w:rPr>
          <w:rFonts w:ascii="宋体" w:hAnsi="宋体" w:cs="宋体"/>
          <w:color w:val="auto"/>
          <w:sz w:val="24"/>
          <w:szCs w:val="32"/>
        </w:rPr>
      </w:pPr>
    </w:p>
    <w:p w14:paraId="77C7B4E0">
      <w:pPr>
        <w:spacing w:line="360" w:lineRule="auto"/>
        <w:rPr>
          <w:rFonts w:ascii="宋体" w:hAnsi="宋体" w:cs="宋体"/>
          <w:color w:val="auto"/>
          <w:sz w:val="24"/>
          <w:szCs w:val="32"/>
        </w:rPr>
      </w:pPr>
    </w:p>
    <w:p w14:paraId="60B26D83">
      <w:pPr>
        <w:spacing w:line="360" w:lineRule="auto"/>
        <w:rPr>
          <w:rFonts w:ascii="宋体" w:hAnsi="宋体" w:cs="宋体"/>
          <w:color w:val="auto"/>
          <w:sz w:val="24"/>
          <w:szCs w:val="32"/>
        </w:rPr>
      </w:pPr>
    </w:p>
    <w:p w14:paraId="6A7D84C0">
      <w:pPr>
        <w:spacing w:line="360" w:lineRule="auto"/>
        <w:rPr>
          <w:rFonts w:ascii="宋体" w:hAnsi="宋体" w:cs="宋体"/>
          <w:color w:val="auto"/>
          <w:sz w:val="24"/>
          <w:szCs w:val="32"/>
        </w:rPr>
      </w:pPr>
    </w:p>
    <w:p w14:paraId="0464F4FB">
      <w:pPr>
        <w:spacing w:line="360" w:lineRule="auto"/>
        <w:rPr>
          <w:rFonts w:ascii="宋体" w:hAnsi="宋体" w:cs="宋体"/>
          <w:color w:val="auto"/>
          <w:sz w:val="24"/>
          <w:szCs w:val="32"/>
        </w:rPr>
      </w:pPr>
    </w:p>
    <w:p w14:paraId="763FB7EC">
      <w:pPr>
        <w:spacing w:line="360" w:lineRule="auto"/>
        <w:rPr>
          <w:rFonts w:ascii="宋体" w:hAnsi="宋体" w:cs="宋体"/>
          <w:color w:val="auto"/>
          <w:sz w:val="24"/>
          <w:szCs w:val="32"/>
        </w:rPr>
      </w:pPr>
    </w:p>
    <w:p w14:paraId="211D6CF3">
      <w:pPr>
        <w:spacing w:line="360" w:lineRule="auto"/>
        <w:rPr>
          <w:rFonts w:ascii="宋体" w:hAnsi="宋体" w:cs="宋体"/>
          <w:color w:val="auto"/>
          <w:sz w:val="24"/>
          <w:szCs w:val="32"/>
        </w:rPr>
      </w:pPr>
    </w:p>
    <w:p w14:paraId="75A3B236">
      <w:pPr>
        <w:spacing w:line="360" w:lineRule="auto"/>
        <w:rPr>
          <w:rFonts w:ascii="宋体" w:hAnsi="宋体" w:cs="宋体"/>
          <w:color w:val="auto"/>
          <w:sz w:val="24"/>
          <w:szCs w:val="32"/>
        </w:rPr>
      </w:pPr>
    </w:p>
    <w:p w14:paraId="2812C854">
      <w:pPr>
        <w:spacing w:line="360" w:lineRule="auto"/>
        <w:rPr>
          <w:rFonts w:ascii="宋体" w:hAnsi="宋体" w:cs="宋体"/>
          <w:color w:val="auto"/>
          <w:sz w:val="24"/>
          <w:szCs w:val="32"/>
        </w:rPr>
      </w:pPr>
    </w:p>
    <w:p w14:paraId="0236F2CB">
      <w:pPr>
        <w:spacing w:line="360" w:lineRule="auto"/>
        <w:rPr>
          <w:rFonts w:ascii="宋体" w:hAnsi="宋体" w:cs="宋体"/>
          <w:color w:val="auto"/>
          <w:sz w:val="24"/>
          <w:szCs w:val="32"/>
        </w:rPr>
      </w:pPr>
    </w:p>
    <w:p w14:paraId="0BAB0107">
      <w:pPr>
        <w:spacing w:line="360" w:lineRule="auto"/>
        <w:rPr>
          <w:rFonts w:ascii="宋体" w:hAnsi="宋体" w:cs="宋体"/>
          <w:color w:val="auto"/>
          <w:sz w:val="24"/>
          <w:szCs w:val="32"/>
        </w:rPr>
      </w:pPr>
    </w:p>
    <w:p w14:paraId="1BB65FB0">
      <w:pPr>
        <w:spacing w:line="360" w:lineRule="auto"/>
        <w:ind w:firstLine="723" w:firstLineChars="200"/>
        <w:jc w:val="center"/>
        <w:rPr>
          <w:rFonts w:ascii="宋体" w:hAnsi="宋体" w:cs="宋体"/>
          <w:b/>
          <w:bCs/>
          <w:color w:val="auto"/>
          <w:sz w:val="36"/>
          <w:szCs w:val="44"/>
        </w:rPr>
        <w:sectPr>
          <w:headerReference r:id="rId5" w:type="default"/>
          <w:footerReference r:id="rId6" w:type="default"/>
          <w:pgSz w:w="11906" w:h="16838"/>
          <w:pgMar w:top="1440" w:right="1800" w:bottom="1440" w:left="1800" w:header="851" w:footer="992" w:gutter="0"/>
          <w:pgNumType w:fmt="decimal" w:start="1"/>
          <w:cols w:space="720" w:num="1"/>
          <w:docGrid w:type="lines" w:linePitch="312" w:charSpace="0"/>
        </w:sectPr>
      </w:pPr>
    </w:p>
    <w:p w14:paraId="7A46CDE9">
      <w:pPr>
        <w:spacing w:line="360" w:lineRule="auto"/>
        <w:ind w:firstLine="723" w:firstLineChars="200"/>
        <w:jc w:val="center"/>
        <w:rPr>
          <w:rFonts w:ascii="宋体" w:hAnsi="宋体" w:cs="宋体"/>
          <w:b/>
          <w:bCs/>
          <w:color w:val="auto"/>
          <w:sz w:val="36"/>
          <w:szCs w:val="44"/>
        </w:rPr>
      </w:pPr>
      <w:r>
        <w:rPr>
          <w:rFonts w:hint="eastAsia" w:ascii="宋体" w:hAnsi="宋体" w:cs="宋体"/>
          <w:b/>
          <w:bCs/>
          <w:color w:val="auto"/>
          <w:sz w:val="36"/>
          <w:szCs w:val="44"/>
        </w:rPr>
        <w:t>第一章</w:t>
      </w:r>
      <w:r>
        <w:rPr>
          <w:rFonts w:hint="eastAsia" w:ascii="宋体" w:hAnsi="宋体" w:cs="宋体"/>
          <w:b/>
          <w:bCs/>
          <w:color w:val="auto"/>
          <w:sz w:val="36"/>
          <w:szCs w:val="44"/>
          <w:lang w:val="en-US" w:eastAsia="zh-CN"/>
        </w:rPr>
        <w:t xml:space="preserve"> </w:t>
      </w:r>
      <w:r>
        <w:rPr>
          <w:rFonts w:hint="eastAsia" w:ascii="宋体" w:hAnsi="宋体" w:cs="宋体"/>
          <w:b/>
          <w:bCs/>
          <w:color w:val="auto"/>
          <w:sz w:val="36"/>
          <w:szCs w:val="44"/>
        </w:rPr>
        <w:t>公开招标采购公告</w:t>
      </w:r>
    </w:p>
    <w:p w14:paraId="5532D52D">
      <w:pPr>
        <w:spacing w:line="360" w:lineRule="auto"/>
        <w:ind w:firstLine="480" w:firstLineChars="200"/>
        <w:rPr>
          <w:rFonts w:ascii="宋体" w:hAnsi="宋体" w:cs="宋体"/>
          <w:color w:val="auto"/>
          <w:sz w:val="24"/>
          <w:szCs w:val="32"/>
        </w:rPr>
      </w:pPr>
      <w:r>
        <w:rPr>
          <w:rFonts w:hint="eastAsia" w:ascii="宋体" w:hAnsi="宋体" w:cs="宋体"/>
          <w:color w:val="auto"/>
          <w:sz w:val="24"/>
          <w:szCs w:val="32"/>
        </w:rPr>
        <w:t>根据《中华人民共和国政府采购法》、《中华人民共和国政府采购法实施条例》和财政部令第87号《政府采购货物和服务招标投标管理办法》等有关规定,</w:t>
      </w:r>
      <w:r>
        <w:rPr>
          <w:rFonts w:hint="eastAsia" w:ascii="宋体" w:hAnsi="宋体" w:cs="宋体"/>
          <w:b/>
          <w:bCs/>
          <w:color w:val="auto"/>
          <w:sz w:val="24"/>
          <w:szCs w:val="32"/>
          <w:lang w:eastAsia="zh-CN"/>
        </w:rPr>
        <w:t>台州市建设咨询有限公司</w:t>
      </w:r>
      <w:r>
        <w:rPr>
          <w:rFonts w:hint="eastAsia" w:ascii="宋体" w:hAnsi="宋体" w:cs="宋体"/>
          <w:color w:val="auto"/>
          <w:sz w:val="24"/>
          <w:szCs w:val="32"/>
        </w:rPr>
        <w:t>受</w:t>
      </w:r>
      <w:r>
        <w:rPr>
          <w:rFonts w:hint="eastAsia" w:ascii="宋体" w:hAnsi="宋体" w:cs="宋体"/>
          <w:b/>
          <w:bCs/>
          <w:color w:val="auto"/>
          <w:sz w:val="24"/>
          <w:szCs w:val="32"/>
          <w:lang w:eastAsia="zh-CN"/>
        </w:rPr>
        <w:t>台州市路桥区蓬街镇人民政府</w:t>
      </w:r>
      <w:r>
        <w:rPr>
          <w:rFonts w:hint="eastAsia" w:ascii="宋体" w:hAnsi="宋体" w:cs="宋体"/>
          <w:color w:val="auto"/>
          <w:sz w:val="24"/>
          <w:szCs w:val="32"/>
        </w:rPr>
        <w:t>委托，现就其</w:t>
      </w:r>
      <w:r>
        <w:rPr>
          <w:rFonts w:hint="eastAsia" w:ascii="宋体" w:hAnsi="宋体" w:cs="宋体"/>
          <w:color w:val="auto"/>
          <w:sz w:val="24"/>
          <w:szCs w:val="32"/>
          <w:lang w:eastAsia="zh-CN"/>
        </w:rPr>
        <w:t>路桥区蓬街镇2025年度雨污管网养护及河道应急处理项目</w:t>
      </w:r>
      <w:r>
        <w:rPr>
          <w:rFonts w:hint="eastAsia" w:ascii="宋体" w:hAnsi="宋体" w:cs="宋体"/>
          <w:color w:val="auto"/>
          <w:sz w:val="24"/>
          <w:szCs w:val="32"/>
        </w:rPr>
        <w:t>进行公开招标采购，欢迎合格供应商前来投标。</w:t>
      </w:r>
    </w:p>
    <w:p w14:paraId="11F97479">
      <w:pPr>
        <w:numPr>
          <w:ilvl w:val="0"/>
          <w:numId w:val="3"/>
        </w:numPr>
        <w:spacing w:line="360" w:lineRule="auto"/>
        <w:ind w:firstLine="482" w:firstLineChars="200"/>
        <w:rPr>
          <w:rFonts w:hint="eastAsia"/>
          <w:lang w:eastAsia="zh-CN"/>
        </w:rPr>
      </w:pPr>
      <w:r>
        <w:rPr>
          <w:rFonts w:hint="eastAsia" w:ascii="宋体" w:hAnsi="宋体" w:cs="宋体"/>
          <w:b/>
          <w:bCs/>
          <w:color w:val="auto"/>
          <w:sz w:val="24"/>
          <w:szCs w:val="32"/>
        </w:rPr>
        <w:t>项目编号：</w:t>
      </w:r>
      <w:r>
        <w:rPr>
          <w:rFonts w:hint="eastAsia" w:ascii="宋体" w:hAnsi="宋体" w:cs="宋体"/>
          <w:b/>
          <w:bCs/>
          <w:color w:val="auto"/>
          <w:sz w:val="24"/>
          <w:szCs w:val="32"/>
          <w:lang w:eastAsia="zh-CN"/>
        </w:rPr>
        <w:t>tzccclq-20250116</w:t>
      </w:r>
    </w:p>
    <w:p w14:paraId="332737B4">
      <w:pPr>
        <w:pStyle w:val="14"/>
        <w:ind w:firstLine="482" w:firstLineChars="200"/>
        <w:rPr>
          <w:rFonts w:hint="eastAsia" w:eastAsia="宋体"/>
          <w:lang w:val="en-US" w:eastAsia="zh-CN"/>
        </w:rPr>
      </w:pPr>
      <w:r>
        <w:rPr>
          <w:rFonts w:hint="eastAsia" w:ascii="宋体" w:hAnsi="宋体" w:cs="宋体"/>
          <w:b/>
          <w:bCs/>
          <w:color w:val="auto"/>
          <w:sz w:val="24"/>
          <w:szCs w:val="32"/>
          <w:lang w:val="en-US" w:eastAsia="zh-CN"/>
        </w:rPr>
        <w:t>二</w:t>
      </w:r>
      <w:r>
        <w:rPr>
          <w:rFonts w:hint="eastAsia" w:ascii="宋体" w:hAnsi="宋体" w:cs="宋体"/>
          <w:b/>
          <w:bCs/>
          <w:color w:val="auto"/>
          <w:sz w:val="24"/>
          <w:szCs w:val="32"/>
        </w:rPr>
        <w:t>、</w:t>
      </w:r>
      <w:r>
        <w:rPr>
          <w:rFonts w:hint="eastAsia" w:ascii="宋体" w:hAnsi="宋体" w:cs="宋体"/>
          <w:b/>
          <w:bCs/>
          <w:color w:val="auto"/>
          <w:sz w:val="24"/>
          <w:szCs w:val="32"/>
          <w:lang w:eastAsia="zh-CN"/>
        </w:rPr>
        <w:t>项目名称：路桥区蓬街镇2025年度雨污管网养护及河道应急处理项目</w:t>
      </w:r>
    </w:p>
    <w:p w14:paraId="2EE1FEE0">
      <w:pPr>
        <w:spacing w:line="360" w:lineRule="auto"/>
        <w:ind w:firstLine="482" w:firstLineChars="200"/>
        <w:rPr>
          <w:rFonts w:hint="eastAsia" w:ascii="宋体" w:hAnsi="宋体" w:cs="宋体"/>
          <w:b/>
          <w:bCs/>
          <w:color w:val="auto"/>
          <w:sz w:val="24"/>
          <w:szCs w:val="32"/>
        </w:rPr>
      </w:pPr>
      <w:r>
        <w:rPr>
          <w:rFonts w:hint="eastAsia" w:ascii="宋体" w:hAnsi="宋体" w:cs="宋体"/>
          <w:b/>
          <w:bCs/>
          <w:color w:val="auto"/>
          <w:sz w:val="24"/>
          <w:szCs w:val="32"/>
          <w:lang w:val="en-US" w:eastAsia="zh-CN"/>
        </w:rPr>
        <w:t>三</w:t>
      </w:r>
      <w:r>
        <w:rPr>
          <w:rFonts w:hint="eastAsia" w:ascii="宋体" w:hAnsi="宋体" w:cs="宋体"/>
          <w:b/>
          <w:bCs/>
          <w:color w:val="auto"/>
          <w:sz w:val="24"/>
          <w:szCs w:val="32"/>
        </w:rPr>
        <w:t>、采购组织类型：公开招标</w:t>
      </w:r>
    </w:p>
    <w:p w14:paraId="30F4BEAB">
      <w:pPr>
        <w:spacing w:line="360" w:lineRule="auto"/>
        <w:ind w:firstLine="482" w:firstLineChars="200"/>
        <w:rPr>
          <w:rFonts w:ascii="宋体" w:hAnsi="宋体" w:cs="宋体"/>
          <w:b/>
          <w:bCs/>
          <w:color w:val="auto"/>
          <w:sz w:val="24"/>
          <w:szCs w:val="32"/>
        </w:rPr>
      </w:pPr>
      <w:r>
        <w:rPr>
          <w:rFonts w:hint="eastAsia" w:ascii="宋体" w:hAnsi="宋体" w:cs="宋体"/>
          <w:b/>
          <w:bCs/>
          <w:color w:val="auto"/>
          <w:sz w:val="24"/>
          <w:szCs w:val="32"/>
          <w:lang w:eastAsia="zh-CN"/>
        </w:rPr>
        <w:t>四</w:t>
      </w:r>
      <w:r>
        <w:rPr>
          <w:rFonts w:hint="eastAsia" w:ascii="宋体" w:hAnsi="宋体" w:cs="宋体"/>
          <w:b/>
          <w:bCs/>
          <w:color w:val="auto"/>
          <w:sz w:val="24"/>
          <w:szCs w:val="32"/>
        </w:rPr>
        <w:t>、招标项目概况：</w:t>
      </w:r>
    </w:p>
    <w:tbl>
      <w:tblPr>
        <w:tblStyle w:val="31"/>
        <w:tblW w:w="10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2415"/>
        <w:gridCol w:w="706"/>
        <w:gridCol w:w="705"/>
        <w:gridCol w:w="1020"/>
        <w:gridCol w:w="1604"/>
        <w:gridCol w:w="1808"/>
        <w:gridCol w:w="1724"/>
      </w:tblGrid>
      <w:tr w14:paraId="5BC8A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615" w:type="dxa"/>
            <w:vAlign w:val="center"/>
          </w:tcPr>
          <w:p w14:paraId="5A915256">
            <w:pPr>
              <w:pStyle w:val="92"/>
              <w:rPr>
                <w:color w:val="auto"/>
                <w:sz w:val="21"/>
                <w:szCs w:val="21"/>
              </w:rPr>
            </w:pPr>
            <w:r>
              <w:rPr>
                <w:rFonts w:hint="eastAsia"/>
                <w:color w:val="auto"/>
                <w:sz w:val="21"/>
                <w:szCs w:val="21"/>
              </w:rPr>
              <w:t>标项</w:t>
            </w:r>
          </w:p>
        </w:tc>
        <w:tc>
          <w:tcPr>
            <w:tcW w:w="2415" w:type="dxa"/>
            <w:vAlign w:val="center"/>
          </w:tcPr>
          <w:p w14:paraId="038D7AC2">
            <w:pPr>
              <w:pStyle w:val="92"/>
              <w:rPr>
                <w:color w:val="auto"/>
                <w:sz w:val="21"/>
                <w:szCs w:val="21"/>
              </w:rPr>
            </w:pPr>
            <w:r>
              <w:rPr>
                <w:rFonts w:hint="eastAsia"/>
                <w:color w:val="auto"/>
                <w:sz w:val="21"/>
                <w:szCs w:val="21"/>
              </w:rPr>
              <w:t>采购内容</w:t>
            </w:r>
          </w:p>
        </w:tc>
        <w:tc>
          <w:tcPr>
            <w:tcW w:w="706" w:type="dxa"/>
            <w:vAlign w:val="center"/>
          </w:tcPr>
          <w:p w14:paraId="18130556">
            <w:pPr>
              <w:pStyle w:val="92"/>
              <w:rPr>
                <w:color w:val="auto"/>
                <w:sz w:val="21"/>
                <w:szCs w:val="21"/>
              </w:rPr>
            </w:pPr>
            <w:r>
              <w:rPr>
                <w:rFonts w:hint="eastAsia"/>
                <w:color w:val="auto"/>
                <w:sz w:val="21"/>
                <w:szCs w:val="21"/>
              </w:rPr>
              <w:t>单位</w:t>
            </w:r>
          </w:p>
        </w:tc>
        <w:tc>
          <w:tcPr>
            <w:tcW w:w="705" w:type="dxa"/>
            <w:vAlign w:val="center"/>
          </w:tcPr>
          <w:p w14:paraId="4F286A01">
            <w:pPr>
              <w:pStyle w:val="92"/>
              <w:rPr>
                <w:color w:val="auto"/>
                <w:sz w:val="21"/>
                <w:szCs w:val="21"/>
              </w:rPr>
            </w:pPr>
            <w:r>
              <w:rPr>
                <w:rFonts w:hint="eastAsia"/>
                <w:color w:val="auto"/>
                <w:sz w:val="21"/>
                <w:szCs w:val="21"/>
              </w:rPr>
              <w:t>数量</w:t>
            </w:r>
          </w:p>
        </w:tc>
        <w:tc>
          <w:tcPr>
            <w:tcW w:w="1020" w:type="dxa"/>
            <w:vAlign w:val="center"/>
          </w:tcPr>
          <w:p w14:paraId="549BDBC6">
            <w:pPr>
              <w:pStyle w:val="92"/>
              <w:rPr>
                <w:rFonts w:hint="eastAsia"/>
                <w:color w:val="auto"/>
                <w:sz w:val="21"/>
                <w:szCs w:val="21"/>
              </w:rPr>
            </w:pPr>
            <w:r>
              <w:rPr>
                <w:rFonts w:hint="eastAsia"/>
                <w:color w:val="auto"/>
                <w:sz w:val="21"/>
                <w:szCs w:val="21"/>
              </w:rPr>
              <w:t>预算价</w:t>
            </w:r>
          </w:p>
        </w:tc>
        <w:tc>
          <w:tcPr>
            <w:tcW w:w="1604" w:type="dxa"/>
            <w:vAlign w:val="center"/>
          </w:tcPr>
          <w:p w14:paraId="75E6ADD8">
            <w:pPr>
              <w:pStyle w:val="92"/>
              <w:rPr>
                <w:color w:val="auto"/>
                <w:sz w:val="21"/>
                <w:szCs w:val="21"/>
              </w:rPr>
            </w:pPr>
            <w:r>
              <w:rPr>
                <w:rFonts w:hint="eastAsia"/>
                <w:color w:val="auto"/>
                <w:sz w:val="21"/>
                <w:szCs w:val="21"/>
              </w:rPr>
              <w:t>最高投标限价</w:t>
            </w:r>
          </w:p>
        </w:tc>
        <w:tc>
          <w:tcPr>
            <w:tcW w:w="1808" w:type="dxa"/>
            <w:vAlign w:val="center"/>
          </w:tcPr>
          <w:p w14:paraId="037DEDCB">
            <w:pPr>
              <w:pStyle w:val="92"/>
              <w:rPr>
                <w:rFonts w:hint="eastAsia" w:eastAsia="宋体"/>
                <w:color w:val="auto"/>
                <w:sz w:val="21"/>
                <w:szCs w:val="21"/>
                <w:lang w:eastAsia="zh-CN"/>
              </w:rPr>
            </w:pPr>
            <w:r>
              <w:rPr>
                <w:rFonts w:hint="eastAsia"/>
                <w:color w:val="auto"/>
                <w:sz w:val="21"/>
                <w:szCs w:val="21"/>
                <w:lang w:eastAsia="zh-CN"/>
              </w:rPr>
              <w:t>服务期</w:t>
            </w:r>
          </w:p>
        </w:tc>
        <w:tc>
          <w:tcPr>
            <w:tcW w:w="1724" w:type="dxa"/>
            <w:vAlign w:val="center"/>
          </w:tcPr>
          <w:p w14:paraId="41F81548">
            <w:pPr>
              <w:pStyle w:val="92"/>
              <w:rPr>
                <w:color w:val="auto"/>
                <w:sz w:val="21"/>
                <w:szCs w:val="21"/>
              </w:rPr>
            </w:pPr>
            <w:r>
              <w:rPr>
                <w:rFonts w:hint="eastAsia"/>
                <w:color w:val="auto"/>
                <w:sz w:val="21"/>
                <w:szCs w:val="21"/>
              </w:rPr>
              <w:t>简要技术要求</w:t>
            </w:r>
          </w:p>
        </w:tc>
      </w:tr>
      <w:tr w14:paraId="77BE8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15" w:type="dxa"/>
            <w:vAlign w:val="center"/>
          </w:tcPr>
          <w:p w14:paraId="27CBBC22">
            <w:pPr>
              <w:pStyle w:val="92"/>
              <w:rPr>
                <w:color w:val="auto"/>
                <w:sz w:val="21"/>
                <w:szCs w:val="21"/>
              </w:rPr>
            </w:pPr>
            <w:r>
              <w:rPr>
                <w:rFonts w:hint="eastAsia"/>
                <w:color w:val="auto"/>
                <w:sz w:val="21"/>
                <w:szCs w:val="21"/>
              </w:rPr>
              <w:t>1</w:t>
            </w:r>
          </w:p>
        </w:tc>
        <w:tc>
          <w:tcPr>
            <w:tcW w:w="2415" w:type="dxa"/>
            <w:vAlign w:val="center"/>
          </w:tcPr>
          <w:p w14:paraId="3B8AA03A">
            <w:pPr>
              <w:pStyle w:val="92"/>
              <w:rPr>
                <w:rFonts w:hint="eastAsia" w:eastAsia="宋体"/>
                <w:color w:val="auto"/>
                <w:sz w:val="21"/>
                <w:szCs w:val="21"/>
                <w:lang w:eastAsia="zh-CN"/>
              </w:rPr>
            </w:pPr>
            <w:r>
              <w:rPr>
                <w:rFonts w:hint="eastAsia"/>
                <w:color w:val="auto"/>
                <w:sz w:val="21"/>
                <w:szCs w:val="21"/>
                <w:lang w:eastAsia="zh-CN"/>
              </w:rPr>
              <w:t>路桥区蓬街镇2025年度雨污管网养护及河道应急处理项目</w:t>
            </w:r>
          </w:p>
        </w:tc>
        <w:tc>
          <w:tcPr>
            <w:tcW w:w="706" w:type="dxa"/>
            <w:vAlign w:val="center"/>
          </w:tcPr>
          <w:p w14:paraId="78C2D536">
            <w:pPr>
              <w:pStyle w:val="92"/>
              <w:rPr>
                <w:color w:val="auto"/>
                <w:sz w:val="21"/>
                <w:szCs w:val="21"/>
              </w:rPr>
            </w:pPr>
            <w:r>
              <w:rPr>
                <w:rFonts w:hint="eastAsia"/>
                <w:color w:val="auto"/>
                <w:sz w:val="21"/>
                <w:szCs w:val="21"/>
              </w:rPr>
              <w:t>项</w:t>
            </w:r>
          </w:p>
        </w:tc>
        <w:tc>
          <w:tcPr>
            <w:tcW w:w="705" w:type="dxa"/>
            <w:vAlign w:val="center"/>
          </w:tcPr>
          <w:p w14:paraId="7B25B928">
            <w:pPr>
              <w:pStyle w:val="92"/>
              <w:rPr>
                <w:color w:val="auto"/>
                <w:sz w:val="21"/>
                <w:szCs w:val="21"/>
              </w:rPr>
            </w:pPr>
            <w:r>
              <w:rPr>
                <w:rFonts w:hint="eastAsia"/>
                <w:color w:val="auto"/>
                <w:sz w:val="21"/>
                <w:szCs w:val="21"/>
              </w:rPr>
              <w:t>1</w:t>
            </w:r>
          </w:p>
        </w:tc>
        <w:tc>
          <w:tcPr>
            <w:tcW w:w="1020" w:type="dxa"/>
            <w:vAlign w:val="center"/>
          </w:tcPr>
          <w:p w14:paraId="247C44BE">
            <w:pPr>
              <w:pStyle w:val="92"/>
              <w:rPr>
                <w:rFonts w:hint="default" w:eastAsia="宋体"/>
                <w:color w:val="auto"/>
                <w:sz w:val="21"/>
                <w:szCs w:val="21"/>
                <w:lang w:val="en-US" w:eastAsia="zh-CN"/>
              </w:rPr>
            </w:pPr>
            <w:r>
              <w:rPr>
                <w:rFonts w:hint="eastAsia"/>
                <w:color w:val="auto"/>
                <w:sz w:val="21"/>
                <w:szCs w:val="21"/>
                <w:lang w:val="en-US" w:eastAsia="zh-CN"/>
              </w:rPr>
              <w:t>240万</w:t>
            </w:r>
          </w:p>
        </w:tc>
        <w:tc>
          <w:tcPr>
            <w:tcW w:w="1604" w:type="dxa"/>
            <w:vAlign w:val="center"/>
          </w:tcPr>
          <w:p w14:paraId="449540CD">
            <w:pPr>
              <w:pStyle w:val="92"/>
              <w:rPr>
                <w:color w:val="auto"/>
                <w:sz w:val="21"/>
                <w:szCs w:val="21"/>
              </w:rPr>
            </w:pPr>
            <w:r>
              <w:rPr>
                <w:rFonts w:hint="eastAsia"/>
                <w:color w:val="auto"/>
                <w:sz w:val="21"/>
                <w:szCs w:val="21"/>
                <w:lang w:val="en-US" w:eastAsia="zh-CN"/>
              </w:rPr>
              <w:t>24</w:t>
            </w:r>
            <w:r>
              <w:rPr>
                <w:rFonts w:hint="eastAsia"/>
                <w:color w:val="auto"/>
                <w:sz w:val="21"/>
                <w:szCs w:val="21"/>
                <w:lang w:eastAsia="zh-CN"/>
              </w:rPr>
              <w:t>0万</w:t>
            </w:r>
            <w:r>
              <w:rPr>
                <w:rFonts w:hint="eastAsia"/>
                <w:color w:val="auto"/>
                <w:sz w:val="21"/>
                <w:szCs w:val="21"/>
              </w:rPr>
              <w:t>元</w:t>
            </w:r>
          </w:p>
        </w:tc>
        <w:tc>
          <w:tcPr>
            <w:tcW w:w="1808" w:type="dxa"/>
            <w:vAlign w:val="center"/>
          </w:tcPr>
          <w:p w14:paraId="1173AE35">
            <w:pPr>
              <w:pStyle w:val="92"/>
              <w:rPr>
                <w:rFonts w:hint="eastAsia" w:eastAsia="宋体"/>
                <w:color w:val="auto"/>
                <w:sz w:val="21"/>
                <w:szCs w:val="21"/>
                <w:lang w:eastAsia="zh-CN"/>
              </w:rPr>
            </w:pPr>
            <w:r>
              <w:rPr>
                <w:rFonts w:hint="eastAsia"/>
                <w:color w:val="auto"/>
                <w:sz w:val="21"/>
                <w:szCs w:val="21"/>
                <w:lang w:eastAsia="zh-CN"/>
              </w:rPr>
              <w:t>一年或累计合同额达</w:t>
            </w:r>
            <w:r>
              <w:rPr>
                <w:rFonts w:hint="eastAsia"/>
                <w:color w:val="auto"/>
                <w:sz w:val="21"/>
                <w:szCs w:val="21"/>
                <w:lang w:val="en-US" w:eastAsia="zh-CN"/>
              </w:rPr>
              <w:t>24</w:t>
            </w:r>
            <w:r>
              <w:rPr>
                <w:rFonts w:hint="eastAsia"/>
                <w:color w:val="auto"/>
                <w:sz w:val="21"/>
                <w:szCs w:val="21"/>
                <w:lang w:eastAsia="zh-CN"/>
              </w:rPr>
              <w:t>0万合同终止</w:t>
            </w:r>
          </w:p>
        </w:tc>
        <w:tc>
          <w:tcPr>
            <w:tcW w:w="1724" w:type="dxa"/>
            <w:vAlign w:val="center"/>
          </w:tcPr>
          <w:p w14:paraId="1DA9F293">
            <w:pPr>
              <w:pStyle w:val="92"/>
              <w:rPr>
                <w:color w:val="auto"/>
                <w:sz w:val="21"/>
                <w:szCs w:val="21"/>
              </w:rPr>
            </w:pPr>
            <w:r>
              <w:rPr>
                <w:rFonts w:hint="eastAsia"/>
                <w:color w:val="auto"/>
                <w:sz w:val="21"/>
                <w:szCs w:val="21"/>
              </w:rPr>
              <w:t>详见采购项目需求</w:t>
            </w:r>
          </w:p>
        </w:tc>
      </w:tr>
    </w:tbl>
    <w:p w14:paraId="6C8C5300">
      <w:pPr>
        <w:spacing w:line="360" w:lineRule="auto"/>
        <w:ind w:firstLine="482" w:firstLineChars="200"/>
        <w:rPr>
          <w:rFonts w:ascii="宋体" w:hAnsi="宋体" w:cs="宋体"/>
          <w:b/>
          <w:bCs/>
          <w:color w:val="auto"/>
          <w:sz w:val="24"/>
          <w:szCs w:val="32"/>
        </w:rPr>
      </w:pPr>
      <w:r>
        <w:rPr>
          <w:rFonts w:hint="eastAsia" w:ascii="宋体" w:hAnsi="宋体" w:cs="宋体"/>
          <w:b/>
          <w:bCs/>
          <w:color w:val="auto"/>
          <w:sz w:val="24"/>
          <w:szCs w:val="32"/>
          <w:lang w:eastAsia="zh-CN"/>
        </w:rPr>
        <w:t>五</w:t>
      </w:r>
      <w:r>
        <w:rPr>
          <w:rFonts w:hint="eastAsia" w:ascii="宋体" w:hAnsi="宋体" w:cs="宋体"/>
          <w:b/>
          <w:bCs/>
          <w:color w:val="auto"/>
          <w:sz w:val="24"/>
          <w:szCs w:val="32"/>
        </w:rPr>
        <w:t>、合格投标人的资格条件：</w:t>
      </w:r>
    </w:p>
    <w:p w14:paraId="4C61EEEE">
      <w:pPr>
        <w:spacing w:line="360" w:lineRule="auto"/>
        <w:ind w:firstLine="420" w:firstLineChars="200"/>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1、符合《中华人民共和国政府采购法》第二十二条规定的投标人资格条件；</w:t>
      </w:r>
    </w:p>
    <w:p w14:paraId="2A973B60">
      <w:pPr>
        <w:spacing w:line="360" w:lineRule="auto"/>
        <w:ind w:firstLine="420" w:firstLineChars="200"/>
        <w:rPr>
          <w:rFonts w:hint="eastAsia" w:ascii="宋体" w:hAnsi="宋体" w:eastAsia="宋体" w:cs="Arial"/>
          <w:color w:val="auto"/>
          <w:kern w:val="0"/>
          <w:sz w:val="21"/>
          <w:szCs w:val="21"/>
          <w:lang w:eastAsia="zh-CN"/>
        </w:rPr>
      </w:pPr>
      <w:r>
        <w:rPr>
          <w:rFonts w:hint="eastAsia" w:ascii="宋体" w:hAnsi="宋体" w:cs="Arial"/>
          <w:color w:val="auto"/>
          <w:kern w:val="0"/>
          <w:sz w:val="21"/>
          <w:szCs w:val="21"/>
        </w:rPr>
        <w:t>2、未被“信用中国”（www.creditchina.gov.cn）、中国政府采购网（www.ccgp.gov.cn）列入失信被执行人、重大税收违法案件当事人名单、政府采购严重违法失信行为记录名单；</w:t>
      </w:r>
    </w:p>
    <w:p w14:paraId="1E15464B">
      <w:pPr>
        <w:spacing w:line="360" w:lineRule="auto"/>
        <w:ind w:firstLine="422" w:firstLineChars="200"/>
        <w:rPr>
          <w:rFonts w:hint="eastAsia" w:ascii="宋体" w:hAnsi="宋体" w:eastAsia="宋体" w:cs="Arial"/>
          <w:b/>
          <w:bCs/>
          <w:color w:val="auto"/>
          <w:kern w:val="0"/>
          <w:sz w:val="21"/>
          <w:szCs w:val="21"/>
          <w:lang w:val="en-US" w:eastAsia="zh-CN"/>
        </w:rPr>
      </w:pPr>
      <w:r>
        <w:rPr>
          <w:rFonts w:hint="eastAsia" w:ascii="宋体" w:hAnsi="宋体" w:cs="Arial"/>
          <w:b/>
          <w:bCs/>
          <w:color w:val="auto"/>
          <w:kern w:val="0"/>
          <w:sz w:val="21"/>
          <w:szCs w:val="21"/>
        </w:rPr>
        <w:t>3、本项目的特定资格要求：</w:t>
      </w:r>
      <w:r>
        <w:rPr>
          <w:rFonts w:hint="eastAsia" w:ascii="宋体" w:hAnsi="宋体"/>
          <w:kern w:val="0"/>
          <w:sz w:val="21"/>
          <w:szCs w:val="21"/>
        </w:rPr>
        <w:t>具有有效的市政公用工程施工总承包三级及以上资质</w:t>
      </w:r>
    </w:p>
    <w:p w14:paraId="6550CD0A">
      <w:pPr>
        <w:spacing w:line="360" w:lineRule="auto"/>
        <w:ind w:firstLine="422" w:firstLineChars="200"/>
        <w:rPr>
          <w:rFonts w:ascii="宋体" w:hAnsi="宋体" w:cs="Arial"/>
          <w:color w:val="auto"/>
          <w:kern w:val="0"/>
          <w:sz w:val="21"/>
          <w:szCs w:val="21"/>
        </w:rPr>
      </w:pPr>
      <w:r>
        <w:rPr>
          <w:rFonts w:hint="eastAsia" w:ascii="宋体" w:hAnsi="宋体" w:cs="Arial"/>
          <w:b/>
          <w:bCs/>
          <w:color w:val="auto"/>
          <w:kern w:val="0"/>
          <w:sz w:val="21"/>
          <w:szCs w:val="21"/>
        </w:rPr>
        <w:t>4、落实政府采购政策需满足的资格要求：本项目按照《政府采购促进中小企业发展管理办法》【财库（2020）46号】第七条规定：专门面向中小企业采购。</w:t>
      </w:r>
    </w:p>
    <w:p w14:paraId="4FA2D06C">
      <w:pPr>
        <w:spacing w:line="360" w:lineRule="auto"/>
        <w:ind w:left="689" w:leftChars="228" w:hanging="210" w:hangingChars="100"/>
        <w:rPr>
          <w:rFonts w:ascii="宋体" w:hAnsi="宋体" w:cs="Arial"/>
          <w:color w:val="auto"/>
          <w:kern w:val="0"/>
          <w:sz w:val="21"/>
          <w:szCs w:val="21"/>
        </w:rPr>
      </w:pPr>
      <w:r>
        <w:rPr>
          <w:rFonts w:hint="eastAsia" w:ascii="宋体" w:hAnsi="宋体" w:cs="Arial"/>
          <w:color w:val="auto"/>
          <w:kern w:val="0"/>
          <w:sz w:val="21"/>
          <w:szCs w:val="21"/>
        </w:rPr>
        <w:t>5、本项目不接受联合体投标。</w:t>
      </w:r>
    </w:p>
    <w:p w14:paraId="12BD181A">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sz w:val="21"/>
          <w:szCs w:val="21"/>
          <w:highlight w:val="none"/>
          <w:lang w:val="en-US" w:eastAsia="zh-CN"/>
        </w:rPr>
        <w:t>六</w:t>
      </w: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bCs/>
          <w:color w:val="auto"/>
          <w:sz w:val="21"/>
          <w:szCs w:val="21"/>
          <w:highlight w:val="none"/>
        </w:rPr>
        <w:t>标段：</w:t>
      </w:r>
      <w:r>
        <w:rPr>
          <w:rFonts w:hint="eastAsia" w:asciiTheme="minorEastAsia" w:hAnsiTheme="minorEastAsia" w:eastAsiaTheme="minorEastAsia" w:cstheme="minorEastAsia"/>
          <w:color w:val="auto"/>
          <w:sz w:val="21"/>
          <w:szCs w:val="21"/>
          <w:highlight w:val="none"/>
          <w:lang w:val="en-US" w:eastAsia="zh-CN"/>
        </w:rPr>
        <w:t>一个标段</w:t>
      </w:r>
      <w:r>
        <w:rPr>
          <w:rFonts w:hint="eastAsia" w:asciiTheme="minorEastAsia" w:hAnsiTheme="minorEastAsia" w:eastAsiaTheme="minorEastAsia" w:cstheme="minorEastAsia"/>
          <w:color w:val="auto"/>
          <w:sz w:val="21"/>
          <w:szCs w:val="21"/>
          <w:highlight w:val="none"/>
        </w:rPr>
        <w:t>。</w:t>
      </w:r>
    </w:p>
    <w:p w14:paraId="164509AB">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sz w:val="21"/>
          <w:szCs w:val="21"/>
          <w:highlight w:val="none"/>
          <w:lang w:val="en-US" w:eastAsia="zh-CN"/>
        </w:rPr>
        <w:t>七</w:t>
      </w: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招标文件的获取时间、地址、</w:t>
      </w:r>
      <w:r>
        <w:rPr>
          <w:rFonts w:hint="eastAsia" w:asciiTheme="minorEastAsia" w:hAnsiTheme="minorEastAsia" w:eastAsiaTheme="minorEastAsia" w:cstheme="minorEastAsia"/>
          <w:b/>
          <w:color w:val="auto"/>
          <w:sz w:val="21"/>
          <w:szCs w:val="21"/>
          <w:highlight w:val="none"/>
          <w:lang w:val="en-US" w:eastAsia="zh-CN"/>
        </w:rPr>
        <w:t>方式、售价</w:t>
      </w:r>
      <w:r>
        <w:rPr>
          <w:rFonts w:hint="eastAsia" w:asciiTheme="minorEastAsia" w:hAnsiTheme="minorEastAsia" w:eastAsiaTheme="minorEastAsia" w:cstheme="minorEastAsia"/>
          <w:b/>
          <w:color w:val="auto"/>
          <w:sz w:val="21"/>
          <w:szCs w:val="21"/>
          <w:highlight w:val="none"/>
          <w:lang w:eastAsia="zh-CN"/>
        </w:rPr>
        <w:t>:</w:t>
      </w:r>
    </w:p>
    <w:p w14:paraId="3CE11C19">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1、本项目招标文件实行“政府采购云平台”（http://zfcg.czt.zj.gov.cn）在线获取，不提供招标文件纸质版。供应商获取招标文件前应先完成“政府采购云平台”的账号注册。</w:t>
      </w:r>
    </w:p>
    <w:p w14:paraId="369A9908">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获取方式、售价：潜在供应商登入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r>
        <w:rPr>
          <w:rFonts w:hint="eastAsia" w:asciiTheme="minorEastAsia" w:hAnsiTheme="minorEastAsia" w:eastAsiaTheme="minorEastAsia" w:cstheme="minorEastAsia"/>
          <w:color w:val="auto"/>
          <w:sz w:val="21"/>
          <w:szCs w:val="21"/>
          <w:highlight w:val="none"/>
        </w:rPr>
        <w:t>没有通过</w:t>
      </w:r>
      <w:r>
        <w:rPr>
          <w:rFonts w:hint="eastAsia" w:asciiTheme="minorEastAsia" w:hAnsiTheme="minorEastAsia" w:eastAsiaTheme="minorEastAsia" w:cstheme="minorEastAsia"/>
          <w:color w:val="auto"/>
          <w:sz w:val="21"/>
          <w:szCs w:val="21"/>
          <w:highlight w:val="none"/>
          <w:lang w:val="en-US" w:eastAsia="zh-CN"/>
        </w:rPr>
        <w:t>在“政府采购云平台”招标文件申请后</w:t>
      </w:r>
      <w:r>
        <w:rPr>
          <w:rFonts w:hint="eastAsia" w:asciiTheme="minorEastAsia" w:hAnsiTheme="minorEastAsia" w:eastAsiaTheme="minorEastAsia" w:cstheme="minorEastAsia"/>
          <w:color w:val="auto"/>
          <w:sz w:val="21"/>
          <w:szCs w:val="21"/>
          <w:highlight w:val="none"/>
        </w:rPr>
        <w:t>获取</w:t>
      </w:r>
      <w:r>
        <w:rPr>
          <w:rFonts w:hint="eastAsia" w:asciiTheme="minorEastAsia" w:hAnsiTheme="minorEastAsia" w:eastAsiaTheme="minorEastAsia" w:cstheme="minorEastAsia"/>
          <w:color w:val="auto"/>
          <w:sz w:val="21"/>
          <w:szCs w:val="21"/>
          <w:highlight w:val="none"/>
          <w:lang w:eastAsia="zh-CN"/>
        </w:rPr>
        <w:t>招标文件</w:t>
      </w:r>
      <w:r>
        <w:rPr>
          <w:rFonts w:hint="eastAsia" w:asciiTheme="minorEastAsia" w:hAnsiTheme="minorEastAsia" w:eastAsiaTheme="minorEastAsia" w:cstheme="minorEastAsia"/>
          <w:color w:val="auto"/>
          <w:sz w:val="21"/>
          <w:szCs w:val="21"/>
          <w:highlight w:val="none"/>
        </w:rPr>
        <w:t>的潜在供应商，对</w:t>
      </w:r>
      <w:r>
        <w:rPr>
          <w:rFonts w:hint="eastAsia" w:asciiTheme="minorEastAsia" w:hAnsiTheme="minorEastAsia" w:eastAsiaTheme="minorEastAsia" w:cstheme="minorEastAsia"/>
          <w:color w:val="auto"/>
          <w:sz w:val="21"/>
          <w:szCs w:val="21"/>
          <w:highlight w:val="none"/>
          <w:lang w:eastAsia="zh-CN"/>
        </w:rPr>
        <w:t>招标文件</w:t>
      </w:r>
      <w:r>
        <w:rPr>
          <w:rFonts w:hint="eastAsia" w:asciiTheme="minorEastAsia" w:hAnsiTheme="minorEastAsia" w:eastAsiaTheme="minorEastAsia" w:cstheme="minorEastAsia"/>
          <w:color w:val="auto"/>
          <w:sz w:val="21"/>
          <w:szCs w:val="21"/>
          <w:highlight w:val="none"/>
        </w:rPr>
        <w:t>提起质疑</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投诉的，不予受理。采购代理机构将拒绝接受非通过以上方式获取</w:t>
      </w:r>
      <w:r>
        <w:rPr>
          <w:rFonts w:hint="eastAsia" w:asciiTheme="minorEastAsia" w:hAnsiTheme="minorEastAsia" w:eastAsiaTheme="minorEastAsia" w:cstheme="minorEastAsia"/>
          <w:color w:val="auto"/>
          <w:sz w:val="21"/>
          <w:szCs w:val="21"/>
          <w:highlight w:val="none"/>
          <w:lang w:eastAsia="zh-CN"/>
        </w:rPr>
        <w:t>招标文件</w:t>
      </w:r>
      <w:r>
        <w:rPr>
          <w:rFonts w:hint="eastAsia" w:asciiTheme="minorEastAsia" w:hAnsiTheme="minorEastAsia" w:eastAsiaTheme="minorEastAsia" w:cstheme="minorEastAsia"/>
          <w:color w:val="auto"/>
          <w:sz w:val="21"/>
          <w:szCs w:val="21"/>
          <w:highlight w:val="none"/>
        </w:rPr>
        <w:t>供应商的投标文件。</w:t>
      </w:r>
    </w:p>
    <w:p w14:paraId="5CCC7A5E">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3、获取招标文件（公告）时间：</w:t>
      </w:r>
      <w:r>
        <w:rPr>
          <w:rFonts w:hint="eastAsia" w:asciiTheme="minorEastAsia" w:hAnsiTheme="minorEastAsia" w:eastAsiaTheme="minorEastAsia" w:cstheme="minorEastAsia"/>
          <w:color w:val="auto"/>
          <w:sz w:val="21"/>
          <w:szCs w:val="21"/>
          <w:highlight w:val="none"/>
          <w:u w:val="single"/>
        </w:rPr>
        <w:t xml:space="preserve">公告发布时间 </w:t>
      </w:r>
      <w:r>
        <w:rPr>
          <w:rFonts w:hint="eastAsia" w:asciiTheme="minorEastAsia" w:hAnsiTheme="minorEastAsia" w:eastAsiaTheme="minorEastAsia" w:cstheme="minorEastAsia"/>
          <w:color w:val="auto"/>
          <w:sz w:val="21"/>
          <w:szCs w:val="21"/>
          <w:highlight w:val="none"/>
        </w:rPr>
        <w:t xml:space="preserve">至 </w:t>
      </w:r>
      <w:r>
        <w:rPr>
          <w:rFonts w:hint="eastAsia" w:asciiTheme="minorEastAsia" w:hAnsiTheme="minorEastAsia" w:eastAsiaTheme="minorEastAsia" w:cstheme="minorEastAsia"/>
          <w:color w:val="auto"/>
          <w:sz w:val="21"/>
          <w:szCs w:val="21"/>
          <w:highlight w:val="none"/>
          <w:u w:val="single"/>
        </w:rPr>
        <w:t>投标截止时间</w:t>
      </w:r>
      <w:r>
        <w:rPr>
          <w:rFonts w:hint="eastAsia" w:asciiTheme="minorEastAsia" w:hAnsiTheme="minorEastAsia" w:eastAsiaTheme="minorEastAsia" w:cstheme="minorEastAsia"/>
          <w:color w:val="auto"/>
          <w:sz w:val="21"/>
          <w:szCs w:val="21"/>
          <w:highlight w:val="none"/>
          <w:lang w:val="en-US" w:eastAsia="zh-CN"/>
        </w:rPr>
        <w:t>。</w:t>
      </w:r>
    </w:p>
    <w:p w14:paraId="7D2CAAB3">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4、获取地址：浙江政府采购网本项目公告附件。</w:t>
      </w:r>
    </w:p>
    <w:p w14:paraId="09BB3915">
      <w:pPr>
        <w:keepNext w:val="0"/>
        <w:keepLines w:val="0"/>
        <w:pageBreakBefore w:val="0"/>
        <w:widowControl w:val="0"/>
        <w:numPr>
          <w:ilvl w:val="0"/>
          <w:numId w:val="4"/>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供应商获取招标文件时建议提交的文件资料：无，按政采云系统要求进行获取。</w:t>
      </w:r>
    </w:p>
    <w:p w14:paraId="4F4D1F08">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注：招标公告附件内的采购文件（或项目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仅需浏览采购文件的供应商可点击“游客，浏览采购文件”直接下载采购文件浏览。如需参加项目投标，请供应商按上述要求获取采购文件，如未在政采云系统内完成相关流程，采购组织机构将拒绝非报名供应商的投标文件，引起的投标无效责任自负。</w:t>
      </w:r>
    </w:p>
    <w:p w14:paraId="3894657E">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八、投标说明</w:t>
      </w:r>
    </w:p>
    <w:p w14:paraId="0533A7CF">
      <w:pPr>
        <w:keepNext w:val="0"/>
        <w:keepLines w:val="0"/>
        <w:pageBreakBefore w:val="0"/>
        <w:shd w:val="clear"/>
        <w:kinsoku/>
        <w:wordWrap/>
        <w:topLinePunct w:val="0"/>
        <w:bidi w:val="0"/>
        <w:adjustRightInd w:val="0"/>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标前准备（CA驱动及政采云电子交易客户端的下载）：各潜在供应商应在投标截止时间前</w:t>
      </w:r>
      <w:r>
        <w:rPr>
          <w:rFonts w:hint="eastAsia" w:asciiTheme="minorEastAsia" w:hAnsiTheme="minorEastAsia" w:eastAsiaTheme="minorEastAsia" w:cstheme="minorEastAsia"/>
          <w:color w:val="auto"/>
          <w:sz w:val="21"/>
          <w:szCs w:val="21"/>
          <w:highlight w:val="none"/>
          <w:lang w:val="en-US" w:eastAsia="zh-CN"/>
        </w:rPr>
        <w:t>完成</w:t>
      </w:r>
      <w:r>
        <w:rPr>
          <w:rFonts w:hint="eastAsia" w:asciiTheme="minorEastAsia" w:hAnsiTheme="minorEastAsia" w:eastAsiaTheme="minorEastAsia" w:cstheme="minorEastAsia"/>
          <w:color w:val="auto"/>
          <w:sz w:val="21"/>
          <w:szCs w:val="21"/>
          <w:highlight w:val="none"/>
        </w:rPr>
        <w:t>浙江省政府采购网（政府采购云平台）供应商</w:t>
      </w:r>
      <w:r>
        <w:rPr>
          <w:rFonts w:hint="eastAsia" w:asciiTheme="minorEastAsia" w:hAnsiTheme="minorEastAsia" w:eastAsiaTheme="minorEastAsia" w:cstheme="minorEastAsia"/>
          <w:color w:val="auto"/>
          <w:sz w:val="21"/>
          <w:szCs w:val="21"/>
          <w:highlight w:val="none"/>
          <w:lang w:val="en-US" w:eastAsia="zh-CN"/>
        </w:rPr>
        <w:t>账号注册</w:t>
      </w:r>
      <w:r>
        <w:rPr>
          <w:rFonts w:hint="eastAsia" w:asciiTheme="minorEastAsia" w:hAnsiTheme="minorEastAsia" w:eastAsiaTheme="minorEastAsia" w:cstheme="minorEastAsia"/>
          <w:color w:val="auto"/>
          <w:sz w:val="21"/>
          <w:szCs w:val="21"/>
          <w:highlight w:val="none"/>
        </w:rPr>
        <w:t>，并完成CA数字证书办理及电子交易客户端的下载。因未</w:t>
      </w:r>
      <w:r>
        <w:rPr>
          <w:rFonts w:hint="eastAsia" w:asciiTheme="minorEastAsia" w:hAnsiTheme="minorEastAsia" w:eastAsiaTheme="minorEastAsia" w:cstheme="minorEastAsia"/>
          <w:color w:val="auto"/>
          <w:sz w:val="21"/>
          <w:szCs w:val="21"/>
          <w:highlight w:val="none"/>
          <w:lang w:val="en-US" w:eastAsia="zh-CN"/>
        </w:rPr>
        <w:t>注册账号</w:t>
      </w:r>
      <w:r>
        <w:rPr>
          <w:rFonts w:hint="eastAsia" w:asciiTheme="minorEastAsia" w:hAnsiTheme="minorEastAsia" w:eastAsiaTheme="minorEastAsia" w:cstheme="minorEastAsia"/>
          <w:color w:val="auto"/>
          <w:sz w:val="21"/>
          <w:szCs w:val="21"/>
          <w:highlight w:val="none"/>
        </w:rPr>
        <w:t>、未办理CA数字证书等原因造成无法投标或投标失败等后果由投标人自行承担。</w:t>
      </w:r>
    </w:p>
    <w:p w14:paraId="42B0D921">
      <w:pPr>
        <w:keepNext w:val="0"/>
        <w:keepLines w:val="0"/>
        <w:pageBreakBefore w:val="0"/>
        <w:shd w:val="clear"/>
        <w:kinsoku/>
        <w:wordWrap/>
        <w:topLinePunct w:val="0"/>
        <w:bidi w:val="0"/>
        <w:adjustRightInd w:val="0"/>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注：“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400-881-7190。</w:t>
      </w:r>
    </w:p>
    <w:p w14:paraId="32436AEB">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rPr>
        <w:t>使用“政采云电子交易客户端”需要提前申领CA数字证书，申领流程请自行前往“浙江政府采购网-下载专区-电子交易客户端-</w:t>
      </w:r>
      <w:r>
        <w:rPr>
          <w:rFonts w:hint="eastAsia" w:asciiTheme="minorEastAsia" w:hAnsiTheme="minorEastAsia" w:eastAsiaTheme="minorEastAsia" w:cstheme="minorEastAsia"/>
          <w:b/>
          <w:bCs/>
          <w:color w:val="auto"/>
          <w:sz w:val="21"/>
          <w:szCs w:val="21"/>
          <w:highlight w:val="none"/>
        </w:rPr>
        <w:fldChar w:fldCharType="begin"/>
      </w:r>
      <w:r>
        <w:rPr>
          <w:rFonts w:hint="eastAsia" w:asciiTheme="minorEastAsia" w:hAnsiTheme="minorEastAsia" w:eastAsiaTheme="minorEastAsia" w:cstheme="minorEastAsia"/>
          <w:b/>
          <w:bCs/>
          <w:color w:val="auto"/>
          <w:sz w:val="21"/>
          <w:szCs w:val="21"/>
          <w:highlight w:val="none"/>
        </w:rPr>
        <w:instrText xml:space="preserve"> HYPERLINK "http://www.zjzfcg.gov.cn/bidClientTemplate/2019-05-27/12945.html" \o "CA驱动和申领流程" \t "_blank" </w:instrText>
      </w:r>
      <w:r>
        <w:rPr>
          <w:rFonts w:hint="eastAsia" w:asciiTheme="minorEastAsia" w:hAnsiTheme="minorEastAsia" w:eastAsiaTheme="minorEastAsia" w:cstheme="minorEastAsia"/>
          <w:b/>
          <w:bCs/>
          <w:color w:val="auto"/>
          <w:sz w:val="21"/>
          <w:szCs w:val="21"/>
          <w:highlight w:val="none"/>
        </w:rPr>
        <w:fldChar w:fldCharType="separate"/>
      </w:r>
      <w:r>
        <w:rPr>
          <w:rFonts w:hint="eastAsia" w:asciiTheme="minorEastAsia" w:hAnsiTheme="minorEastAsia" w:eastAsiaTheme="minorEastAsia" w:cstheme="minorEastAsia"/>
          <w:b/>
          <w:bCs/>
          <w:color w:val="auto"/>
          <w:sz w:val="21"/>
          <w:szCs w:val="21"/>
          <w:highlight w:val="none"/>
        </w:rPr>
        <w:t>CA驱动和申领流程</w:t>
      </w:r>
      <w:r>
        <w:rPr>
          <w:rFonts w:hint="eastAsia" w:asciiTheme="minorEastAsia" w:hAnsiTheme="minorEastAsia" w:eastAsiaTheme="minorEastAsia" w:cstheme="minorEastAsia"/>
          <w:b/>
          <w:bCs/>
          <w:color w:val="auto"/>
          <w:sz w:val="21"/>
          <w:szCs w:val="21"/>
          <w:highlight w:val="none"/>
        </w:rPr>
        <w:fldChar w:fldCharType="end"/>
      </w:r>
      <w:r>
        <w:rPr>
          <w:rFonts w:hint="eastAsia" w:asciiTheme="minorEastAsia" w:hAnsiTheme="minorEastAsia" w:eastAsiaTheme="minorEastAsia" w:cstheme="minorEastAsia"/>
          <w:b/>
          <w:bCs/>
          <w:color w:val="auto"/>
          <w:sz w:val="21"/>
          <w:szCs w:val="21"/>
          <w:highlight w:val="none"/>
        </w:rPr>
        <w:t>”进行查阅；完成CA数字证书办理预计需耗时7个工作日</w:t>
      </w:r>
      <w:r>
        <w:rPr>
          <w:rFonts w:hint="eastAsia" w:asciiTheme="minorEastAsia" w:hAnsiTheme="minorEastAsia" w:eastAsiaTheme="minorEastAsia" w:cstheme="minorEastAsia"/>
          <w:b/>
          <w:bCs/>
          <w:color w:val="auto"/>
          <w:sz w:val="21"/>
          <w:szCs w:val="21"/>
          <w:highlight w:val="none"/>
          <w:lang w:eastAsia="zh-CN"/>
        </w:rPr>
        <w:t>（</w:t>
      </w:r>
      <w:r>
        <w:rPr>
          <w:rFonts w:hint="eastAsia" w:asciiTheme="minorEastAsia" w:hAnsiTheme="minorEastAsia" w:eastAsiaTheme="minorEastAsia" w:cstheme="minorEastAsia"/>
          <w:b/>
          <w:bCs/>
          <w:color w:val="auto"/>
          <w:sz w:val="21"/>
          <w:szCs w:val="21"/>
          <w:highlight w:val="none"/>
          <w:lang w:val="en-US" w:eastAsia="zh-CN"/>
        </w:rPr>
        <w:t>至少须3个工作日左右</w:t>
      </w:r>
      <w:r>
        <w:rPr>
          <w:rFonts w:hint="eastAsia" w:asciiTheme="minorEastAsia" w:hAnsiTheme="minorEastAsia" w:eastAsiaTheme="minorEastAsia" w:cstheme="minorEastAsia"/>
          <w:b/>
          <w:bCs/>
          <w:color w:val="auto"/>
          <w:sz w:val="21"/>
          <w:szCs w:val="21"/>
          <w:highlight w:val="none"/>
          <w:lang w:eastAsia="zh-CN"/>
        </w:rPr>
        <w:t>）</w:t>
      </w:r>
      <w:r>
        <w:rPr>
          <w:rFonts w:hint="eastAsia" w:asciiTheme="minorEastAsia" w:hAnsiTheme="minorEastAsia" w:eastAsiaTheme="minorEastAsia" w:cstheme="minorEastAsia"/>
          <w:b/>
          <w:bCs/>
          <w:color w:val="auto"/>
          <w:sz w:val="21"/>
          <w:szCs w:val="21"/>
          <w:highlight w:val="none"/>
        </w:rPr>
        <w:t>，建议各投标人</w:t>
      </w:r>
      <w:r>
        <w:rPr>
          <w:rFonts w:hint="eastAsia" w:asciiTheme="minorEastAsia" w:hAnsiTheme="minorEastAsia" w:eastAsiaTheme="minorEastAsia" w:cstheme="minorEastAsia"/>
          <w:b/>
          <w:bCs/>
          <w:color w:val="auto"/>
          <w:sz w:val="21"/>
          <w:szCs w:val="21"/>
          <w:highlight w:val="none"/>
          <w:lang w:eastAsia="zh-CN"/>
        </w:rPr>
        <w:t>合理安排</w:t>
      </w:r>
      <w:r>
        <w:rPr>
          <w:rFonts w:hint="eastAsia" w:asciiTheme="minorEastAsia" w:hAnsiTheme="minorEastAsia" w:eastAsiaTheme="minorEastAsia" w:cstheme="minorEastAsia"/>
          <w:b/>
          <w:bCs/>
          <w:color w:val="auto"/>
          <w:sz w:val="21"/>
          <w:szCs w:val="21"/>
          <w:highlight w:val="none"/>
        </w:rPr>
        <w:t>时间办理。</w:t>
      </w:r>
    </w:p>
    <w:p w14:paraId="298F6E68">
      <w:pPr>
        <w:keepNext w:val="0"/>
        <w:keepLines w:val="0"/>
        <w:pageBreakBefore w:val="0"/>
        <w:widowControl w:val="0"/>
        <w:numPr>
          <w:ilvl w:val="0"/>
          <w:numId w:val="5"/>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为确保网上操作合法、有效和安全，投标供应商应当在投标截止时间前完成在“政府采购云平台”的身份认证，确保在电子投标过程中能够对相关数据电文进行加密和使用电子签章。</w:t>
      </w:r>
    </w:p>
    <w:p w14:paraId="47DF8708">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14:paraId="621ED68F">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4、投标供应商应当在投标截止时间前，将生成的“电子加密投标文件”上传递交至“政府采购云平台”。投标截止时间以后上传递交的投标文件将被“政府采购云平台”拒收。投标截止时间前可以补充、修改或者撤回电子投标文件。补充或者修改电子投标文件的，应当先行撤回原文件，补充、修改后重新传输递交。投标截止时间前未完成传输的，视为撤回投标文件。</w:t>
      </w:r>
    </w:p>
    <w:p w14:paraId="32EE043E">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5、投标文件的组成、份数、密封、效力</w:t>
      </w:r>
    </w:p>
    <w:p w14:paraId="701DB43E">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本项目实行电子投标，</w:t>
      </w:r>
      <w:r>
        <w:rPr>
          <w:rFonts w:hint="eastAsia" w:asciiTheme="minorEastAsia" w:hAnsiTheme="minorEastAsia" w:eastAsiaTheme="minorEastAsia" w:cstheme="minorEastAsia"/>
          <w:b/>
          <w:bCs/>
          <w:color w:val="auto"/>
          <w:sz w:val="21"/>
          <w:szCs w:val="21"/>
          <w:highlight w:val="none"/>
          <w:lang w:val="en-US" w:eastAsia="zh-CN"/>
        </w:rPr>
        <w:t>建议供应商应准备电子投标文件、电子备份投标文件</w:t>
      </w:r>
      <w:r>
        <w:rPr>
          <w:rFonts w:hint="eastAsia" w:asciiTheme="minorEastAsia" w:hAnsiTheme="minorEastAsia" w:eastAsiaTheme="minorEastAsia" w:cstheme="minorEastAsia"/>
          <w:color w:val="auto"/>
          <w:sz w:val="21"/>
          <w:szCs w:val="21"/>
          <w:highlight w:val="none"/>
          <w:lang w:val="en-US" w:eastAsia="zh-CN"/>
        </w:rPr>
        <w:t>：</w:t>
      </w:r>
    </w:p>
    <w:p w14:paraId="63E3AB2B">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5.1电子投标文件：供应商须通过政采云平台的“政采云电子交易客户端”制作投标文件，“政采云电子交易客户端”请供应商自行前往浙江政府采购网下载并安装（客户端下载地址：“浙江政府采购网”的“下载专区-电子交易客户端-政采云电子交易客户端”，电子投标相关操作详见https://service.zcygov.cn/#/help/superior）。</w:t>
      </w:r>
    </w:p>
    <w:p w14:paraId="13E7A069">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5.2</w:t>
      </w:r>
      <w:r>
        <w:rPr>
          <w:rFonts w:hint="eastAsia" w:asciiTheme="minorEastAsia" w:hAnsiTheme="minorEastAsia" w:eastAsiaTheme="minorEastAsia" w:cstheme="minorEastAsia"/>
          <w:color w:val="auto"/>
          <w:sz w:val="21"/>
          <w:szCs w:val="21"/>
          <w:highlight w:val="none"/>
          <w:lang w:eastAsia="zh-CN"/>
        </w:rPr>
        <w:t>备份投标文件</w:t>
      </w:r>
      <w:r>
        <w:rPr>
          <w:rFonts w:hint="eastAsia" w:asciiTheme="minorEastAsia" w:hAnsiTheme="minorEastAsia" w:eastAsiaTheme="minorEastAsia" w:cstheme="minorEastAsia"/>
          <w:b/>
          <w:bCs/>
          <w:color w:val="auto"/>
          <w:sz w:val="21"/>
          <w:szCs w:val="21"/>
          <w:highlight w:val="none"/>
          <w:lang w:eastAsia="zh-CN"/>
        </w:rPr>
        <w:t>（自愿提供，非实质性要求，因电子投标文件无法读取的后果由投标人自行承担）：</w:t>
      </w:r>
      <w:r>
        <w:rPr>
          <w:rFonts w:hint="eastAsia" w:asciiTheme="minorEastAsia" w:hAnsiTheme="minorEastAsia" w:eastAsiaTheme="minorEastAsia" w:cstheme="minorEastAsia"/>
          <w:b w:val="0"/>
          <w:bCs w:val="0"/>
          <w:color w:val="auto"/>
          <w:sz w:val="21"/>
          <w:szCs w:val="21"/>
          <w:highlight w:val="none"/>
          <w:lang w:eastAsia="zh-CN"/>
        </w:rPr>
        <w:t>备份投标文件包括电子备份投标文件</w:t>
      </w:r>
      <w:r>
        <w:rPr>
          <w:rFonts w:hint="eastAsia" w:asciiTheme="minorEastAsia" w:hAnsiTheme="minorEastAsia" w:eastAsiaTheme="minorEastAsia" w:cstheme="minorEastAsia"/>
          <w:b/>
          <w:bCs/>
          <w:color w:val="auto"/>
          <w:sz w:val="21"/>
          <w:szCs w:val="21"/>
          <w:highlight w:val="none"/>
          <w:lang w:eastAsia="zh-CN"/>
        </w:rPr>
        <w:t>。通过“政采云”平台电子投标工具制作电子投标文件产生的备份文件（后缀名为“.bfbs”），投标人自行确定是否提交；若提交请将备份投标文件以U盘、光盘或电子邮件（发送至</w:t>
      </w:r>
      <w:r>
        <w:rPr>
          <w:rFonts w:hint="eastAsia" w:asciiTheme="minorEastAsia" w:hAnsiTheme="minorEastAsia" w:eastAsiaTheme="minorEastAsia" w:cstheme="minorEastAsia"/>
          <w:b/>
          <w:bCs/>
          <w:color w:val="auto"/>
          <w:sz w:val="21"/>
          <w:szCs w:val="21"/>
          <w:highlight w:val="none"/>
          <w:lang w:val="en-US" w:eastAsia="zh-CN"/>
        </w:rPr>
        <w:t>61353540</w:t>
      </w:r>
      <w:r>
        <w:rPr>
          <w:rFonts w:hint="eastAsia" w:asciiTheme="minorEastAsia" w:hAnsiTheme="minorEastAsia" w:eastAsiaTheme="minorEastAsia" w:cstheme="minorEastAsia"/>
          <w:b/>
          <w:bCs/>
          <w:color w:val="auto"/>
          <w:sz w:val="21"/>
          <w:szCs w:val="21"/>
          <w:highlight w:val="none"/>
          <w:lang w:eastAsia="zh-CN"/>
        </w:rPr>
        <w:t>@qq.com）的形式递交，备份投标文件在“电子加密投标文件”在线解密异常或失败后启用，否则不予以启用；投标人确认“电子加密投标文件”在线解密异常或失败后，可以申请由采购代理机构使用电子备份标书上传处理，投标人将备份电子投标文件在解密规定的时间（投标截止时间后30分钟内）递交，未在规定时间内发送造成的投标无效或失败由投标人自行承担。提交备份电子投标文件时，应写明投标人名称和所投项目名称。</w:t>
      </w:r>
    </w:p>
    <w:p w14:paraId="24A5121A">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5.3投标文件启用顺序和效力：投标文件的启用，</w:t>
      </w:r>
      <w:r>
        <w:rPr>
          <w:rFonts w:hint="eastAsia" w:asciiTheme="minorEastAsia" w:hAnsiTheme="minorEastAsia" w:eastAsiaTheme="minorEastAsia" w:cstheme="minorEastAsia"/>
          <w:b/>
          <w:bCs/>
          <w:color w:val="auto"/>
          <w:sz w:val="21"/>
          <w:szCs w:val="21"/>
          <w:highlight w:val="none"/>
          <w:lang w:val="en-US" w:eastAsia="zh-CN"/>
        </w:rPr>
        <w:t>按先后顺位分别为电子投标文件、电子备份投标文件</w:t>
      </w:r>
      <w:r>
        <w:rPr>
          <w:rFonts w:hint="eastAsia" w:asciiTheme="minorEastAsia" w:hAnsiTheme="minorEastAsia" w:eastAsiaTheme="minorEastAsia" w:cstheme="minorEastAsia"/>
          <w:color w:val="auto"/>
          <w:sz w:val="21"/>
          <w:szCs w:val="21"/>
          <w:highlight w:val="none"/>
          <w:lang w:val="en-US" w:eastAsia="zh-CN"/>
        </w:rPr>
        <w:t>。</w:t>
      </w:r>
      <w:bookmarkStart w:id="0" w:name="_Hlk34637983"/>
      <w:r>
        <w:rPr>
          <w:rFonts w:hint="eastAsia" w:asciiTheme="minorEastAsia" w:hAnsiTheme="minorEastAsia" w:eastAsiaTheme="minorEastAsia" w:cstheme="minorEastAsia"/>
          <w:color w:val="auto"/>
          <w:sz w:val="21"/>
          <w:szCs w:val="21"/>
          <w:highlight w:val="none"/>
          <w:lang w:val="en-US" w:eastAsia="zh-CN"/>
        </w:rPr>
        <w:t>通过“政府采购云平台”上传递交的“电子加密投标文件”按时完成解密的投标人，其“备份投标文件”自动失效。通过“政府采购云平台”上传递交的“电子加密投标文件”无法按时完成解密的，以备份投标文件为依据。否则视为投标文件撤回，按无效标处理。</w:t>
      </w:r>
    </w:p>
    <w:bookmarkEnd w:id="0"/>
    <w:p w14:paraId="7FC3B785">
      <w:pPr>
        <w:keepNext w:val="0"/>
        <w:keepLines w:val="0"/>
        <w:pageBreakBefore w:val="0"/>
        <w:widowControl w:val="0"/>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5.4投标人未通过“政府采购云平台”上传递交“电子加密投标文件”，</w:t>
      </w:r>
      <w:r>
        <w:rPr>
          <w:rFonts w:hint="eastAsia" w:asciiTheme="minorEastAsia" w:hAnsiTheme="minorEastAsia" w:eastAsiaTheme="minorEastAsia" w:cstheme="minorEastAsia"/>
          <w:color w:val="auto"/>
          <w:kern w:val="0"/>
          <w:sz w:val="21"/>
          <w:szCs w:val="21"/>
          <w:highlight w:val="none"/>
          <w:lang w:val="zh-CN"/>
        </w:rPr>
        <w:t>仅递交“备份投标文件”，视为无效投标</w:t>
      </w:r>
      <w:r>
        <w:rPr>
          <w:rFonts w:hint="eastAsia" w:asciiTheme="minorEastAsia" w:hAnsiTheme="minorEastAsia" w:eastAsiaTheme="minorEastAsia" w:cstheme="minorEastAsia"/>
          <w:color w:val="auto"/>
          <w:sz w:val="21"/>
          <w:szCs w:val="21"/>
          <w:highlight w:val="none"/>
          <w:lang w:val="en-US" w:eastAsia="zh-CN"/>
        </w:rPr>
        <w:t>。</w:t>
      </w:r>
      <w:r>
        <w:rPr>
          <w:rFonts w:hint="eastAsia" w:asciiTheme="minorEastAsia" w:hAnsiTheme="minorEastAsia" w:eastAsiaTheme="minorEastAsia" w:cstheme="minorEastAsia"/>
          <w:color w:val="auto"/>
          <w:kern w:val="0"/>
          <w:sz w:val="21"/>
          <w:szCs w:val="21"/>
          <w:highlight w:val="none"/>
          <w:lang w:val="zh-CN"/>
        </w:rPr>
        <w:t>通过“政府采购云平台”上传递交的“电子加密投标文件”无法按时解密，投标供应商递交了“备份投标文件”的，以“备份投标文件”为依据；未提交“备份投标文件”的，视为无效投标。</w:t>
      </w:r>
    </w:p>
    <w:p w14:paraId="6AA9957D">
      <w:pPr>
        <w:keepNext w:val="0"/>
        <w:keepLines w:val="0"/>
        <w:pageBreakBefore w:val="0"/>
        <w:widowControl w:val="0"/>
        <w:numPr>
          <w:ilvl w:val="0"/>
          <w:numId w:val="4"/>
        </w:numPr>
        <w:shd w:val="clear"/>
        <w:kinsoku/>
        <w:wordWrap/>
        <w:overflowPunct/>
        <w:topLinePunct w:val="0"/>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投标文件的解密：投标人须在开标时间前准备好电脑与本单位制作电子加密投标文件同一个的CA锁，打开“政采云电子交易客户端”软件，进行在线等候解密，解密时间为30分钟内。</w:t>
      </w:r>
    </w:p>
    <w:p w14:paraId="00BE406D">
      <w:pPr>
        <w:pStyle w:val="28"/>
        <w:keepNext w:val="0"/>
        <w:keepLines w:val="0"/>
        <w:pageBreakBefore w:val="0"/>
        <w:numPr>
          <w:ilvl w:val="0"/>
          <w:numId w:val="0"/>
        </w:numPr>
        <w:shd w:val="clear"/>
        <w:kinsoku/>
        <w:wordWrap/>
        <w:topLinePunct w:val="0"/>
        <w:bidi w:val="0"/>
        <w:adjustRightInd w:val="0"/>
        <w:snapToGrid w:val="0"/>
        <w:spacing w:line="360" w:lineRule="auto"/>
        <w:ind w:firstLine="422" w:firstLineChars="200"/>
        <w:jc w:val="both"/>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注意：</w:t>
      </w:r>
      <w:r>
        <w:rPr>
          <w:rFonts w:hint="eastAsia" w:asciiTheme="minorEastAsia" w:hAnsiTheme="minorEastAsia" w:eastAsiaTheme="minorEastAsia" w:cstheme="minorEastAsia"/>
          <w:b/>
          <w:bCs/>
          <w:color w:val="auto"/>
          <w:sz w:val="21"/>
          <w:szCs w:val="21"/>
          <w:highlight w:val="none"/>
          <w:lang w:eastAsia="zh-CN"/>
        </w:rPr>
        <w:t>在项目</w:t>
      </w:r>
      <w:r>
        <w:rPr>
          <w:rFonts w:hint="eastAsia" w:asciiTheme="minorEastAsia" w:hAnsiTheme="minorEastAsia" w:eastAsiaTheme="minorEastAsia" w:cstheme="minorEastAsia"/>
          <w:b/>
          <w:bCs/>
          <w:color w:val="auto"/>
          <w:sz w:val="21"/>
          <w:szCs w:val="21"/>
          <w:highlight w:val="none"/>
        </w:rPr>
        <w:t>开、评标活动过程中，投标人需保持联系渠道畅通。</w:t>
      </w:r>
    </w:p>
    <w:p w14:paraId="1EF412A3">
      <w:pPr>
        <w:keepNext w:val="0"/>
        <w:keepLines w:val="0"/>
        <w:pageBreakBefore w:val="0"/>
        <w:widowControl w:val="0"/>
        <w:shd w:val="clear"/>
        <w:kinsoku/>
        <w:wordWrap/>
        <w:overflowPunct/>
        <w:topLinePunct w:val="0"/>
        <w:autoSpaceDE/>
        <w:autoSpaceDN/>
        <w:bidi w:val="0"/>
        <w:adjustRightInd w:val="0"/>
        <w:snapToGrid w:val="0"/>
        <w:spacing w:line="360" w:lineRule="auto"/>
        <w:ind w:firstLine="422" w:firstLineChars="200"/>
        <w:textAlignment w:val="auto"/>
        <w:outlineLvl w:val="9"/>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b/>
          <w:color w:val="auto"/>
          <w:sz w:val="21"/>
          <w:szCs w:val="21"/>
          <w:highlight w:val="none"/>
          <w:lang w:val="en-US" w:eastAsia="zh-CN"/>
        </w:rPr>
        <w:t>九</w:t>
      </w:r>
      <w:r>
        <w:rPr>
          <w:rFonts w:hint="eastAsia" w:asciiTheme="minorEastAsia" w:hAnsiTheme="minorEastAsia" w:eastAsiaTheme="minorEastAsia" w:cstheme="minorEastAsia"/>
          <w:b/>
          <w:color w:val="auto"/>
          <w:sz w:val="21"/>
          <w:szCs w:val="21"/>
          <w:highlight w:val="none"/>
        </w:rPr>
        <w:t>、投标保证金：</w:t>
      </w:r>
      <w:r>
        <w:rPr>
          <w:rFonts w:hint="eastAsia" w:asciiTheme="minorEastAsia" w:hAnsiTheme="minorEastAsia" w:eastAsiaTheme="minorEastAsia" w:cstheme="minorEastAsia"/>
          <w:b/>
          <w:color w:val="auto"/>
          <w:sz w:val="21"/>
          <w:szCs w:val="21"/>
          <w:highlight w:val="none"/>
          <w:lang w:val="en-US" w:eastAsia="zh-CN"/>
        </w:rPr>
        <w:t>0元，</w:t>
      </w:r>
      <w:r>
        <w:rPr>
          <w:rFonts w:hint="eastAsia" w:asciiTheme="minorEastAsia" w:hAnsiTheme="minorEastAsia" w:eastAsiaTheme="minorEastAsia" w:cstheme="minorEastAsia"/>
          <w:color w:val="auto"/>
          <w:kern w:val="0"/>
          <w:sz w:val="21"/>
          <w:szCs w:val="21"/>
          <w:highlight w:val="none"/>
        </w:rPr>
        <w:t>但若投标人在投标过程中存在违规行为给采购人造成损失的，须赔偿全部损失</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并上报采购监管机构进行处理</w:t>
      </w:r>
      <w:r>
        <w:rPr>
          <w:rFonts w:hint="eastAsia" w:asciiTheme="minorEastAsia" w:hAnsiTheme="minorEastAsia" w:eastAsiaTheme="minorEastAsia" w:cstheme="minorEastAsia"/>
          <w:b/>
          <w:color w:val="auto"/>
          <w:sz w:val="21"/>
          <w:szCs w:val="21"/>
          <w:highlight w:val="none"/>
          <w:lang w:eastAsia="zh-CN"/>
        </w:rPr>
        <w:t>。</w:t>
      </w:r>
    </w:p>
    <w:p w14:paraId="5E37CBBB">
      <w:pPr>
        <w:keepNext w:val="0"/>
        <w:keepLines w:val="0"/>
        <w:pageBreakBefore w:val="0"/>
        <w:widowControl w:val="0"/>
        <w:shd w:val="clear"/>
        <w:kinsoku/>
        <w:wordWrap/>
        <w:overflowPunct/>
        <w:topLinePunct w:val="0"/>
        <w:autoSpaceDE/>
        <w:autoSpaceDN/>
        <w:bidi w:val="0"/>
        <w:adjustRightInd w:val="0"/>
        <w:snapToGrid w:val="0"/>
        <w:spacing w:line="360" w:lineRule="auto"/>
        <w:ind w:firstLine="422" w:firstLineChars="200"/>
        <w:textAlignment w:val="auto"/>
        <w:outlineLvl w:val="9"/>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val="en-US" w:eastAsia="zh-CN"/>
        </w:rPr>
        <w:t>十</w:t>
      </w:r>
      <w:r>
        <w:rPr>
          <w:rFonts w:hint="eastAsia" w:asciiTheme="minorEastAsia" w:hAnsiTheme="minorEastAsia" w:eastAsiaTheme="minorEastAsia" w:cstheme="minorEastAsia"/>
          <w:b/>
          <w:color w:val="auto"/>
          <w:sz w:val="21"/>
          <w:szCs w:val="21"/>
          <w:highlight w:val="none"/>
        </w:rPr>
        <w:t>、投标人信用信息查询渠道及截止时点、信用信息查询记录和证据留存的具体方式、信用信息的使用规则：</w:t>
      </w:r>
    </w:p>
    <w:p w14:paraId="1F820B35">
      <w:pPr>
        <w:keepNext w:val="0"/>
        <w:keepLines w:val="0"/>
        <w:pageBreakBefore w:val="0"/>
        <w:widowControl w:val="0"/>
        <w:numPr>
          <w:ilvl w:val="0"/>
          <w:numId w:val="0"/>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1、查询渠道：中国政府采购网（网址：http://www.ccgp.gov.cn）、信用中国（网址：</w:t>
      </w:r>
      <w:r>
        <w:rPr>
          <w:rFonts w:hint="eastAsia" w:asciiTheme="minorEastAsia" w:hAnsiTheme="minorEastAsia" w:eastAsiaTheme="minorEastAsia" w:cstheme="minorEastAsia"/>
          <w:color w:val="auto"/>
          <w:sz w:val="21"/>
          <w:szCs w:val="21"/>
          <w:highlight w:val="none"/>
          <w:lang w:eastAsia="zh-CN"/>
        </w:rPr>
        <w:fldChar w:fldCharType="begin"/>
      </w:r>
      <w:r>
        <w:rPr>
          <w:rFonts w:hint="eastAsia" w:asciiTheme="minorEastAsia" w:hAnsiTheme="minorEastAsia" w:eastAsiaTheme="minorEastAsia" w:cstheme="minorEastAsia"/>
          <w:color w:val="auto"/>
          <w:sz w:val="21"/>
          <w:szCs w:val="21"/>
          <w:highlight w:val="none"/>
          <w:lang w:eastAsia="zh-CN"/>
        </w:rPr>
        <w:instrText xml:space="preserve"> HYPERLINK "http://www.creditchina.gov.cn" </w:instrText>
      </w:r>
      <w:r>
        <w:rPr>
          <w:rFonts w:hint="eastAsia" w:asciiTheme="minorEastAsia" w:hAnsiTheme="minorEastAsia" w:eastAsiaTheme="minorEastAsia" w:cstheme="minorEastAsia"/>
          <w:color w:val="auto"/>
          <w:sz w:val="21"/>
          <w:szCs w:val="21"/>
          <w:highlight w:val="none"/>
          <w:lang w:eastAsia="zh-CN"/>
        </w:rPr>
        <w:fldChar w:fldCharType="separate"/>
      </w:r>
      <w:r>
        <w:rPr>
          <w:rFonts w:hint="eastAsia" w:asciiTheme="minorEastAsia" w:hAnsiTheme="minorEastAsia" w:eastAsiaTheme="minorEastAsia" w:cstheme="minorEastAsia"/>
          <w:color w:val="auto"/>
          <w:sz w:val="21"/>
          <w:szCs w:val="21"/>
          <w:highlight w:val="none"/>
          <w:lang w:eastAsia="zh-CN"/>
        </w:rPr>
        <w:t>http://www.creditchina.gov.cn</w:t>
      </w:r>
      <w:r>
        <w:rPr>
          <w:rFonts w:hint="eastAsia" w:asciiTheme="minorEastAsia" w:hAnsiTheme="minorEastAsia" w:eastAsiaTheme="minorEastAsia" w:cstheme="minorEastAsia"/>
          <w:color w:val="auto"/>
          <w:sz w:val="21"/>
          <w:szCs w:val="21"/>
          <w:highlight w:val="none"/>
          <w:lang w:eastAsia="zh-CN"/>
        </w:rPr>
        <w:fldChar w:fldCharType="end"/>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信用浙江（credit.zj.gov.cn）</w:t>
      </w:r>
      <w:r>
        <w:rPr>
          <w:rFonts w:hint="eastAsia" w:asciiTheme="minorEastAsia" w:hAnsiTheme="minorEastAsia" w:eastAsiaTheme="minorEastAsia" w:cstheme="minorEastAsia"/>
          <w:color w:val="auto"/>
          <w:sz w:val="21"/>
          <w:szCs w:val="21"/>
          <w:highlight w:val="none"/>
          <w:lang w:eastAsia="zh-CN"/>
        </w:rPr>
        <w:t>。</w:t>
      </w:r>
    </w:p>
    <w:p w14:paraId="3F504B04">
      <w:pPr>
        <w:keepNext w:val="0"/>
        <w:keepLines w:val="0"/>
        <w:pageBreakBefore w:val="0"/>
        <w:widowControl w:val="0"/>
        <w:numPr>
          <w:ilvl w:val="0"/>
          <w:numId w:val="0"/>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2、截止时点：开标后评标前。</w:t>
      </w:r>
    </w:p>
    <w:p w14:paraId="1642ED68">
      <w:pPr>
        <w:keepNext w:val="0"/>
        <w:keepLines w:val="0"/>
        <w:pageBreakBefore w:val="0"/>
        <w:widowControl w:val="0"/>
        <w:numPr>
          <w:ilvl w:val="0"/>
          <w:numId w:val="0"/>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3、信用信息查询记录和证据留存的具体方式：由采购组织机构在规定查询时间内打印信用信息查询记录并归入项目档案。</w:t>
      </w:r>
    </w:p>
    <w:p w14:paraId="5CA50E21">
      <w:pPr>
        <w:keepNext w:val="0"/>
        <w:keepLines w:val="0"/>
        <w:pageBreakBefore w:val="0"/>
        <w:widowControl w:val="0"/>
        <w:numPr>
          <w:ilvl w:val="0"/>
          <w:numId w:val="0"/>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其投标将被作为无效投标被拒绝。</w:t>
      </w:r>
    </w:p>
    <w:p w14:paraId="547D10BD">
      <w:pPr>
        <w:keepNext w:val="0"/>
        <w:keepLines w:val="0"/>
        <w:pageBreakBefore w:val="0"/>
        <w:widowControl w:val="0"/>
        <w:numPr>
          <w:ilvl w:val="0"/>
          <w:numId w:val="0"/>
        </w:numPr>
        <w:shd w:val="clear"/>
        <w:kinsoku/>
        <w:wordWrap/>
        <w:overflowPunct/>
        <w:topLinePunct w:val="0"/>
        <w:bidi w:val="0"/>
        <w:adjustRightInd w:val="0"/>
        <w:snapToGrid w:val="0"/>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eastAsia="zh-CN"/>
        </w:rPr>
        <w:t>不良信用记录指：被列入失信被执行人、重大税收违法案件当事人名单、政府采购严重违法失信行为记录名单或浙江政府采购网曝光台中尚在行政处罚期内的。</w:t>
      </w:r>
    </w:p>
    <w:p w14:paraId="379F84C9">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b/>
          <w:color w:val="auto"/>
          <w:sz w:val="21"/>
          <w:szCs w:val="21"/>
          <w:highlight w:val="none"/>
        </w:rPr>
        <w:t>十</w:t>
      </w:r>
      <w:r>
        <w:rPr>
          <w:rFonts w:hint="eastAsia" w:asciiTheme="minorEastAsia" w:hAnsiTheme="minorEastAsia" w:eastAsiaTheme="minorEastAsia" w:cstheme="minorEastAsia"/>
          <w:b/>
          <w:color w:val="auto"/>
          <w:sz w:val="21"/>
          <w:szCs w:val="21"/>
          <w:highlight w:val="none"/>
          <w:lang w:val="en-US" w:eastAsia="zh-CN"/>
        </w:rPr>
        <w:t>一</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b/>
          <w:color w:val="auto"/>
          <w:sz w:val="21"/>
          <w:szCs w:val="21"/>
          <w:highlight w:val="none"/>
        </w:rPr>
        <w:t>投标文件递交截止时间及开标时间：</w:t>
      </w:r>
      <w:r>
        <w:rPr>
          <w:rFonts w:hint="eastAsia" w:asciiTheme="minorEastAsia" w:hAnsiTheme="minorEastAsia" w:eastAsiaTheme="minorEastAsia" w:cstheme="minorEastAsia"/>
          <w:color w:val="auto"/>
          <w:sz w:val="21"/>
          <w:szCs w:val="21"/>
          <w:highlight w:val="none"/>
          <w:lang w:val="en-US" w:eastAsia="zh-CN"/>
        </w:rPr>
        <w:t>详见浙江政府采购网本项目公告</w:t>
      </w:r>
      <w:r>
        <w:rPr>
          <w:rFonts w:hint="eastAsia" w:asciiTheme="minorEastAsia" w:hAnsiTheme="minorEastAsia" w:eastAsiaTheme="minorEastAsia" w:cstheme="minorEastAsia"/>
          <w:color w:val="auto"/>
          <w:sz w:val="21"/>
          <w:szCs w:val="21"/>
          <w:highlight w:val="none"/>
          <w:lang w:eastAsia="zh-CN"/>
        </w:rPr>
        <w:t>。</w:t>
      </w:r>
    </w:p>
    <w:p w14:paraId="653D5988">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十</w:t>
      </w:r>
      <w:r>
        <w:rPr>
          <w:rFonts w:hint="eastAsia" w:asciiTheme="minorEastAsia" w:hAnsiTheme="minorEastAsia" w:eastAsiaTheme="minorEastAsia" w:cstheme="minorEastAsia"/>
          <w:b/>
          <w:color w:val="auto"/>
          <w:sz w:val="21"/>
          <w:szCs w:val="21"/>
          <w:highlight w:val="none"/>
          <w:lang w:val="en-US" w:eastAsia="zh-CN"/>
        </w:rPr>
        <w:t>二</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b/>
          <w:color w:val="auto"/>
          <w:sz w:val="21"/>
          <w:szCs w:val="21"/>
          <w:highlight w:val="none"/>
        </w:rPr>
        <w:t>投标地点、开标地点：</w:t>
      </w:r>
    </w:p>
    <w:p w14:paraId="4B08DB8A">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b/>
          <w:color w:val="auto"/>
          <w:sz w:val="21"/>
          <w:szCs w:val="21"/>
          <w:highlight w:val="none"/>
          <w:lang w:eastAsia="zh-CN"/>
        </w:rPr>
      </w:pPr>
      <w:r>
        <w:rPr>
          <w:rFonts w:hint="eastAsia" w:asciiTheme="minorEastAsia" w:hAnsiTheme="minorEastAsia" w:eastAsiaTheme="minorEastAsia" w:cstheme="minorEastAsia"/>
          <w:b/>
          <w:color w:val="auto"/>
          <w:sz w:val="21"/>
          <w:szCs w:val="21"/>
          <w:highlight w:val="none"/>
        </w:rPr>
        <w:t>投标地点</w:t>
      </w:r>
      <w:r>
        <w:rPr>
          <w:rStyle w:val="34"/>
          <w:rFonts w:hint="eastAsia" w:asciiTheme="minorEastAsia" w:hAnsiTheme="minorEastAsia" w:eastAsiaTheme="minorEastAsia" w:cstheme="minorEastAsia"/>
          <w:i w:val="0"/>
          <w:caps w:val="0"/>
          <w:color w:val="auto"/>
          <w:spacing w:val="0"/>
          <w:sz w:val="21"/>
          <w:szCs w:val="21"/>
          <w:highlight w:val="none"/>
        </w:rPr>
        <w:t>：</w:t>
      </w:r>
      <w:r>
        <w:rPr>
          <w:rFonts w:hint="eastAsia" w:asciiTheme="minorEastAsia" w:hAnsiTheme="minorEastAsia" w:eastAsiaTheme="minorEastAsia" w:cstheme="minorEastAsia"/>
          <w:i w:val="0"/>
          <w:caps w:val="0"/>
          <w:color w:val="auto"/>
          <w:spacing w:val="0"/>
          <w:sz w:val="21"/>
          <w:szCs w:val="21"/>
          <w:highlight w:val="none"/>
          <w:u w:val="single"/>
        </w:rPr>
        <w:t>通过“政府采购云平台（www.zcygov.cn）”实行在线投标响应，在投标截止时间前按要求提交备份投标文件。</w:t>
      </w:r>
    </w:p>
    <w:p w14:paraId="256DFD5B">
      <w:pPr>
        <w:spacing w:line="360" w:lineRule="auto"/>
        <w:ind w:firstLine="422" w:firstLineChars="200"/>
        <w:rPr>
          <w:rFonts w:hint="eastAsia" w:asciiTheme="minorEastAsia" w:hAnsiTheme="minorEastAsia" w:eastAsiaTheme="minorEastAsia" w:cstheme="minorEastAsia"/>
          <w:b/>
          <w:color w:val="auto"/>
          <w:sz w:val="21"/>
          <w:szCs w:val="21"/>
          <w:highlight w:val="none"/>
          <w:lang w:eastAsia="zh-CN"/>
        </w:rPr>
      </w:pPr>
      <w:r>
        <w:rPr>
          <w:rFonts w:hint="eastAsia" w:asciiTheme="minorEastAsia" w:hAnsiTheme="minorEastAsia" w:eastAsiaTheme="minorEastAsia" w:cstheme="minorEastAsia"/>
          <w:b/>
          <w:color w:val="auto"/>
          <w:sz w:val="21"/>
          <w:szCs w:val="21"/>
          <w:highlight w:val="none"/>
        </w:rPr>
        <w:t>开标地点</w:t>
      </w:r>
      <w:r>
        <w:rPr>
          <w:rFonts w:hint="eastAsia" w:asciiTheme="minorEastAsia" w:hAnsiTheme="minorEastAsia" w:eastAsiaTheme="minorEastAsia" w:cstheme="minorEastAsia"/>
          <w:b/>
          <w:color w:val="auto"/>
          <w:sz w:val="21"/>
          <w:szCs w:val="21"/>
          <w:highlight w:val="none"/>
          <w:lang w:eastAsia="zh-CN"/>
        </w:rPr>
        <w:t>：</w:t>
      </w:r>
      <w:r>
        <w:rPr>
          <w:rFonts w:hint="eastAsia" w:asciiTheme="minorEastAsia" w:hAnsiTheme="minorEastAsia" w:eastAsiaTheme="minorEastAsia" w:cstheme="minorEastAsia"/>
          <w:i w:val="0"/>
          <w:caps w:val="0"/>
          <w:color w:val="auto"/>
          <w:spacing w:val="0"/>
          <w:sz w:val="21"/>
          <w:szCs w:val="21"/>
          <w:highlight w:val="none"/>
          <w:u w:val="single"/>
        </w:rPr>
        <w:t>台州市路桥区政府采购中心（财富大道999号商城国际5楼）</w:t>
      </w:r>
      <w:r>
        <w:rPr>
          <w:rFonts w:hint="eastAsia" w:asciiTheme="minorEastAsia" w:hAnsiTheme="minorEastAsia" w:eastAsiaTheme="minorEastAsia" w:cstheme="minorEastAsia"/>
          <w:b/>
          <w:color w:val="auto"/>
          <w:sz w:val="21"/>
          <w:szCs w:val="21"/>
          <w:highlight w:val="none"/>
          <w:lang w:eastAsia="zh-CN"/>
        </w:rPr>
        <w:t>。</w:t>
      </w:r>
    </w:p>
    <w:p w14:paraId="2B194466">
      <w:pPr>
        <w:keepNext w:val="0"/>
        <w:keepLines w:val="0"/>
        <w:pageBreakBefore w:val="0"/>
        <w:widowControl w:val="0"/>
        <w:shd w:val="clear"/>
        <w:kinsoku/>
        <w:wordWrap/>
        <w:overflowPunct/>
        <w:topLinePunct w:val="0"/>
        <w:bidi w:val="0"/>
        <w:adjustRightInd w:val="0"/>
        <w:snapToGrid w:val="0"/>
        <w:spacing w:line="360" w:lineRule="auto"/>
        <w:ind w:firstLine="422" w:firstLineChars="200"/>
        <w:textAlignment w:val="auto"/>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val="en-US" w:eastAsia="zh-CN"/>
        </w:rPr>
        <w:t>十三、</w:t>
      </w:r>
      <w:r>
        <w:rPr>
          <w:rFonts w:hint="eastAsia" w:asciiTheme="minorEastAsia" w:hAnsiTheme="minorEastAsia" w:eastAsiaTheme="minorEastAsia" w:cstheme="minorEastAsia"/>
          <w:b/>
          <w:color w:val="auto"/>
          <w:sz w:val="21"/>
          <w:szCs w:val="21"/>
          <w:highlight w:val="none"/>
        </w:rPr>
        <w:t>其他事项：</w:t>
      </w:r>
    </w:p>
    <w:p w14:paraId="417C25D1">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公告时间到期之日之后，在投标截止时间之前，有潜在供应商提出获取采购文件的，采购代理机构将允许其获取，供应商对采购文件有异议的，应于获取采购文件或者采购公告期限届满之日起7个工作日内一次性以书面形式向采购代理机构提出（逾期提出的，采购组织机构可不予受理、答复）。质疑供应商对采购人、采购代理机构的答复不满意或者采购人、采购代理机构未在规定的时间内作出答复的，可以在答复期满后十五个工作日内</w:t>
      </w:r>
      <w:bookmarkStart w:id="12" w:name="_GoBack"/>
      <w:bookmarkEnd w:id="12"/>
      <w:r>
        <w:rPr>
          <w:rFonts w:hint="eastAsia" w:asciiTheme="minorEastAsia" w:hAnsiTheme="minorEastAsia" w:eastAsiaTheme="minorEastAsia" w:cstheme="minorEastAsia"/>
          <w:color w:val="auto"/>
          <w:sz w:val="21"/>
          <w:szCs w:val="21"/>
          <w:highlight w:val="none"/>
          <w:lang w:val="en-US" w:eastAsia="zh-CN"/>
        </w:rPr>
        <w:t>向同级政府采购监督管理部门投诉。潜在供应商已依法获取其可质疑的采购文件的，可以对该文件提出质疑。供应商对采购过程有质疑的，应于知道或者应知其权益受到损害之日起7个工作日内以书面形式一次性提出。</w:t>
      </w:r>
    </w:p>
    <w:p w14:paraId="0E74F1B2">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注：未进行供应商资格报名或登记（含网上报名登记）的供应商，应视为未参加政府采购活动，一般不得提出质疑，但因供应商资格条件受到限制、报名时间设定不符合有关规定等原因使供应商不能参加报名或登记的除外。</w:t>
      </w:r>
    </w:p>
    <w:p w14:paraId="6A90B17D">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B2CB2E1">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3.中标公告发布后质疑期限：对中标结果提出质疑的，应当在中标结果公告期限届满之日起7个工作日内。</w:t>
      </w:r>
    </w:p>
    <w:p w14:paraId="639CD914">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4.本项目资格审查方式：资格后审。</w:t>
      </w:r>
    </w:p>
    <w:p w14:paraId="7967212D">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5.中小企业相关规定：</w:t>
      </w:r>
    </w:p>
    <w:p w14:paraId="338319DC">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5.1中小企是指在中华人民共和国境内依法设立，依据国务院批准的中小企业划分标准确定的中型企业、小型企业和微型企业，但与大企业的负责人为同一人，或者与大企业存在直接控股、管理关系的除外。</w:t>
      </w:r>
    </w:p>
    <w:p w14:paraId="4B3B06C0">
      <w:pPr>
        <w:shd w:val="clea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40" w:lineRule="exact"/>
        <w:ind w:right="23"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5.2根据关于印发《政府采购促进中小企业发展管理办法》（</w:t>
      </w:r>
      <w:r>
        <w:rPr>
          <w:rFonts w:hint="eastAsia" w:asciiTheme="minorEastAsia" w:hAnsiTheme="minorEastAsia" w:eastAsiaTheme="minorEastAsia" w:cstheme="minorEastAsia"/>
          <w:i w:val="0"/>
          <w:caps w:val="0"/>
          <w:color w:val="auto"/>
          <w:spacing w:val="0"/>
          <w:sz w:val="21"/>
          <w:szCs w:val="21"/>
          <w:highlight w:val="none"/>
          <w:shd w:val="clear" w:color="auto" w:fill="FFFFFF"/>
        </w:rPr>
        <w:t>财库〔2020〕46号</w:t>
      </w:r>
      <w:r>
        <w:rPr>
          <w:rFonts w:hint="eastAsia" w:asciiTheme="minorEastAsia" w:hAnsiTheme="minorEastAsia" w:eastAsiaTheme="minorEastAsia" w:cstheme="minorEastAsia"/>
          <w:color w:val="auto"/>
          <w:sz w:val="21"/>
          <w:szCs w:val="21"/>
          <w:highlight w:val="none"/>
          <w:lang w:val="en-US" w:eastAsia="zh-CN"/>
        </w:rPr>
        <w:t>）的通知文件规定，</w:t>
      </w:r>
      <w:r>
        <w:rPr>
          <w:rFonts w:hint="eastAsia" w:asciiTheme="minorEastAsia" w:hAnsiTheme="minorEastAsia" w:eastAsiaTheme="minorEastAsia" w:cstheme="minorEastAsia"/>
          <w:b/>
          <w:bCs/>
          <w:color w:val="auto"/>
          <w:sz w:val="21"/>
          <w:szCs w:val="21"/>
          <w:highlight w:val="none"/>
          <w:u w:val="single"/>
        </w:rPr>
        <w:t>本项目专门面向中小企业采购</w:t>
      </w:r>
      <w:r>
        <w:rPr>
          <w:rFonts w:hint="eastAsia" w:asciiTheme="minorEastAsia" w:hAnsiTheme="minorEastAsia" w:eastAsiaTheme="minorEastAsia" w:cstheme="minorEastAsia"/>
          <w:color w:val="auto"/>
          <w:sz w:val="21"/>
          <w:szCs w:val="21"/>
          <w:highlight w:val="none"/>
          <w:lang w:val="en-US" w:eastAsia="zh-CN"/>
        </w:rPr>
        <w:t>。若投标人投标时不符合上述规定的，按无效标处理。</w:t>
      </w:r>
      <w:r>
        <w:rPr>
          <w:rFonts w:hint="eastAsia" w:asciiTheme="minorEastAsia" w:hAnsiTheme="minorEastAsia" w:eastAsiaTheme="minorEastAsia" w:cstheme="minorEastAsia"/>
          <w:b/>
          <w:bCs/>
          <w:color w:val="auto"/>
          <w:sz w:val="21"/>
          <w:szCs w:val="21"/>
          <w:highlight w:val="none"/>
          <w:lang w:val="en-US" w:eastAsia="zh-CN"/>
        </w:rPr>
        <w:t>服务由中小企业承接，提供服务的人员须为中小企业依照《中华人民共和国劳动合同法》订立劳动合同的从业人员。</w:t>
      </w:r>
    </w:p>
    <w:p w14:paraId="19D447BC">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w:t>
      </w:r>
      <w:r>
        <w:rPr>
          <w:rFonts w:hint="eastAsia" w:asciiTheme="minorEastAsia" w:hAnsiTheme="minorEastAsia" w:eastAsiaTheme="minorEastAsia" w:cstheme="minorEastAsia"/>
          <w:color w:val="auto"/>
          <w:kern w:val="2"/>
          <w:sz w:val="21"/>
          <w:szCs w:val="21"/>
          <w:highlight w:val="none"/>
          <w:lang w:val="en-US" w:eastAsia="zh-CN" w:bidi="ar-SA"/>
        </w:rPr>
        <w:t>中小企业参加政府采购活动，应当出具本办法规定的《中小企业声明函》（格式详见附件），本项目专门面向中小企业采购不享受相关中小企业扶持政策。若存在虚假投标的，按无效投标进行处理，已经中标的，取消中标资格，并赔偿给采购人造成的损失。采购人有权单方面解除合同，已经支付的款项供应商须全部退还</w:t>
      </w:r>
      <w:r>
        <w:rPr>
          <w:rFonts w:hint="eastAsia" w:asciiTheme="minorEastAsia" w:hAnsiTheme="minorEastAsia" w:eastAsiaTheme="minorEastAsia" w:cstheme="minorEastAsia"/>
          <w:color w:val="auto"/>
          <w:sz w:val="21"/>
          <w:szCs w:val="21"/>
          <w:highlight w:val="none"/>
          <w:lang w:val="en-US" w:eastAsia="zh-CN"/>
        </w:rPr>
        <w:t>。</w:t>
      </w:r>
    </w:p>
    <w:p w14:paraId="1C24D2E1">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5.4</w:t>
      </w:r>
      <w:r>
        <w:rPr>
          <w:rFonts w:hint="eastAsia" w:asciiTheme="minorEastAsia" w:hAnsiTheme="minorEastAsia" w:eastAsiaTheme="minorEastAsia" w:cstheme="minorEastAsia"/>
          <w:color w:val="auto"/>
          <w:kern w:val="2"/>
          <w:sz w:val="21"/>
          <w:szCs w:val="21"/>
          <w:highlight w:val="none"/>
          <w:lang w:val="en-US" w:eastAsia="zh-CN" w:bidi="ar-SA"/>
        </w:rPr>
        <w:t>小微企业不得将合同分包给大中型企业，中型企业不得将合同分包给大型企业。</w:t>
      </w:r>
    </w:p>
    <w:p w14:paraId="5E92E46D">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0" w:firstLineChars="200"/>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5.5本项目采购标的对应中小企业划分标准所属行业为：其他未列明行业。</w:t>
      </w:r>
    </w:p>
    <w:p w14:paraId="5C9E8404">
      <w:pPr>
        <w:keepNext w:val="0"/>
        <w:keepLines w:val="0"/>
        <w:pageBreakBefore w:val="0"/>
        <w:widowControl w:val="0"/>
        <w:numPr>
          <w:ilvl w:val="0"/>
          <w:numId w:val="0"/>
        </w:numPr>
        <w:shd w:val="clear"/>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right="23" w:rightChars="0" w:firstLine="422" w:firstLineChars="200"/>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十四、本公告发布地址：浙江省政府采购网(https://zfcg.czt.zj.gov.cn/)</w:t>
      </w:r>
    </w:p>
    <w:p w14:paraId="24472B90">
      <w:pPr>
        <w:spacing w:line="360" w:lineRule="auto"/>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十五、</w:t>
      </w:r>
      <w:r>
        <w:rPr>
          <w:rFonts w:hint="eastAsia" w:ascii="宋体" w:hAnsi="宋体" w:eastAsia="宋体" w:cs="宋体"/>
          <w:b/>
          <w:color w:val="auto"/>
          <w:sz w:val="21"/>
          <w:szCs w:val="21"/>
          <w:highlight w:val="none"/>
        </w:rPr>
        <w:t>项目联系人：</w:t>
      </w:r>
    </w:p>
    <w:p w14:paraId="215EC7A6">
      <w:pPr>
        <w:spacing w:line="360" w:lineRule="auto"/>
        <w:ind w:firstLine="422" w:firstLineChars="200"/>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1、采购代理机构名称：</w:t>
      </w:r>
      <w:r>
        <w:rPr>
          <w:rFonts w:hint="eastAsia" w:ascii="宋体" w:hAnsi="宋体" w:eastAsia="宋体" w:cs="宋体"/>
          <w:color w:val="auto"/>
          <w:sz w:val="21"/>
          <w:szCs w:val="21"/>
          <w:lang w:eastAsia="zh-CN"/>
        </w:rPr>
        <w:t>台州市建设咨询有限公司</w:t>
      </w:r>
    </w:p>
    <w:p w14:paraId="1A8B5449">
      <w:pPr>
        <w:spacing w:line="360" w:lineRule="auto"/>
        <w:ind w:firstLine="420" w:firstLineChars="200"/>
        <w:rPr>
          <w:rStyle w:val="114"/>
          <w:rFonts w:hint="eastAsia" w:ascii="宋体" w:hAnsi="宋体" w:eastAsia="宋体" w:cs="宋体"/>
          <w:color w:val="000000" w:themeColor="text1"/>
          <w:sz w:val="21"/>
          <w:szCs w:val="21"/>
          <w:highlight w:val="none"/>
          <w14:textFill>
            <w14:solidFill>
              <w14:schemeClr w14:val="tx1"/>
            </w14:solidFill>
          </w14:textFill>
        </w:rPr>
      </w:pPr>
      <w:r>
        <w:rPr>
          <w:rStyle w:val="114"/>
          <w:rFonts w:hint="eastAsia" w:ascii="宋体" w:hAnsi="宋体" w:eastAsia="宋体" w:cs="宋体"/>
          <w:color w:val="000000" w:themeColor="text1"/>
          <w:sz w:val="21"/>
          <w:szCs w:val="21"/>
          <w:highlight w:val="none"/>
          <w14:textFill>
            <w14:solidFill>
              <w14:schemeClr w14:val="tx1"/>
            </w14:solidFill>
          </w14:textFill>
        </w:rPr>
        <w:t>项目负责人：</w:t>
      </w:r>
      <w:r>
        <w:rPr>
          <w:rStyle w:val="114"/>
          <w:rFonts w:hint="eastAsia" w:ascii="宋体" w:hAnsi="宋体" w:eastAsia="宋体" w:cs="宋体"/>
          <w:color w:val="000000" w:themeColor="text1"/>
          <w:sz w:val="21"/>
          <w:szCs w:val="21"/>
          <w:highlight w:val="none"/>
          <w:lang w:val="en-US" w:eastAsia="zh-CN"/>
          <w14:textFill>
            <w14:solidFill>
              <w14:schemeClr w14:val="tx1"/>
            </w14:solidFill>
          </w14:textFill>
        </w:rPr>
        <w:t>褚先生</w:t>
      </w:r>
      <w:r>
        <w:rPr>
          <w:rStyle w:val="114"/>
          <w:rFonts w:hint="eastAsia" w:ascii="宋体" w:hAnsi="宋体" w:eastAsia="宋体" w:cs="宋体"/>
          <w:color w:val="000000" w:themeColor="text1"/>
          <w:sz w:val="21"/>
          <w:szCs w:val="21"/>
          <w:highlight w:val="none"/>
          <w14:textFill>
            <w14:solidFill>
              <w14:schemeClr w14:val="tx1"/>
            </w14:solidFill>
          </w14:textFill>
        </w:rPr>
        <w:t>；联系电话：</w:t>
      </w:r>
      <w:r>
        <w:rPr>
          <w:rFonts w:hint="eastAsia" w:ascii="宋体" w:hAnsi="宋体" w:eastAsia="宋体" w:cs="宋体"/>
          <w:spacing w:val="3"/>
          <w:sz w:val="21"/>
          <w:szCs w:val="21"/>
          <w:lang w:eastAsia="zh-CN"/>
        </w:rPr>
        <w:t>15867602395</w:t>
      </w:r>
      <w:r>
        <w:rPr>
          <w:rStyle w:val="114"/>
          <w:rFonts w:hint="eastAsia" w:ascii="宋体" w:hAnsi="宋体" w:eastAsia="宋体" w:cs="宋体"/>
          <w:color w:val="000000" w:themeColor="text1"/>
          <w:sz w:val="21"/>
          <w:szCs w:val="21"/>
          <w:highlight w:val="none"/>
          <w14:textFill>
            <w14:solidFill>
              <w14:schemeClr w14:val="tx1"/>
            </w14:solidFill>
          </w14:textFill>
        </w:rPr>
        <w:t>；</w:t>
      </w:r>
    </w:p>
    <w:p w14:paraId="3C5DB9F3">
      <w:pPr>
        <w:spacing w:line="360" w:lineRule="auto"/>
        <w:ind w:firstLine="420" w:firstLineChars="200"/>
        <w:rPr>
          <w:rStyle w:val="114"/>
          <w:rFonts w:hint="eastAsia" w:ascii="宋体" w:hAnsi="宋体" w:eastAsia="宋体" w:cs="宋体"/>
          <w:color w:val="000000" w:themeColor="text1"/>
          <w:sz w:val="21"/>
          <w:szCs w:val="21"/>
          <w:highlight w:val="none"/>
          <w14:textFill>
            <w14:solidFill>
              <w14:schemeClr w14:val="tx1"/>
            </w14:solidFill>
          </w14:textFill>
        </w:rPr>
      </w:pPr>
      <w:r>
        <w:rPr>
          <w:rStyle w:val="114"/>
          <w:rFonts w:hint="eastAsia" w:ascii="宋体" w:hAnsi="宋体" w:eastAsia="宋体" w:cs="宋体"/>
          <w:color w:val="000000" w:themeColor="text1"/>
          <w:sz w:val="21"/>
          <w:szCs w:val="21"/>
          <w:highlight w:val="none"/>
          <w14:textFill>
            <w14:solidFill>
              <w14:schemeClr w14:val="tx1"/>
            </w14:solidFill>
          </w14:textFill>
        </w:rPr>
        <w:t>质疑接收人：</w:t>
      </w:r>
      <w:r>
        <w:rPr>
          <w:rStyle w:val="114"/>
          <w:rFonts w:hint="eastAsia" w:ascii="宋体" w:hAnsi="宋体" w:eastAsia="宋体" w:cs="宋体"/>
          <w:color w:val="000000" w:themeColor="text1"/>
          <w:sz w:val="21"/>
          <w:szCs w:val="21"/>
          <w:highlight w:val="none"/>
          <w:lang w:val="en-US" w:eastAsia="zh-CN"/>
          <w14:textFill>
            <w14:solidFill>
              <w14:schemeClr w14:val="tx1"/>
            </w14:solidFill>
          </w14:textFill>
        </w:rPr>
        <w:t>林女士</w:t>
      </w:r>
      <w:r>
        <w:rPr>
          <w:rStyle w:val="114"/>
          <w:rFonts w:hint="eastAsia" w:ascii="宋体" w:hAnsi="宋体" w:eastAsia="宋体" w:cs="宋体"/>
          <w:color w:val="000000" w:themeColor="text1"/>
          <w:sz w:val="21"/>
          <w:szCs w:val="21"/>
          <w:highlight w:val="none"/>
          <w14:textFill>
            <w14:solidFill>
              <w14:schemeClr w14:val="tx1"/>
            </w14:solidFill>
          </w14:textFill>
        </w:rPr>
        <w:t>；联系电话：</w:t>
      </w:r>
      <w:r>
        <w:rPr>
          <w:rFonts w:hint="eastAsia" w:ascii="宋体" w:hAnsi="宋体" w:eastAsia="宋体" w:cs="宋体"/>
          <w:spacing w:val="3"/>
          <w:sz w:val="21"/>
          <w:szCs w:val="21"/>
          <w:lang w:val="en-US" w:eastAsia="zh-CN"/>
        </w:rPr>
        <w:t>0576-82899865</w:t>
      </w:r>
      <w:r>
        <w:rPr>
          <w:rStyle w:val="114"/>
          <w:rFonts w:hint="eastAsia" w:ascii="宋体" w:hAnsi="宋体" w:eastAsia="宋体" w:cs="宋体"/>
          <w:color w:val="000000" w:themeColor="text1"/>
          <w:sz w:val="21"/>
          <w:szCs w:val="21"/>
          <w:highlight w:val="none"/>
          <w14:textFill>
            <w14:solidFill>
              <w14:schemeClr w14:val="tx1"/>
            </w14:solidFill>
          </w14:textFill>
        </w:rPr>
        <w:t>；</w:t>
      </w:r>
    </w:p>
    <w:p w14:paraId="757A0898">
      <w:pPr>
        <w:spacing w:line="360" w:lineRule="auto"/>
        <w:ind w:firstLine="420" w:firstLineChars="200"/>
        <w:rPr>
          <w:rStyle w:val="114"/>
          <w:rFonts w:hint="eastAsia" w:ascii="宋体" w:hAnsi="宋体" w:eastAsia="宋体" w:cs="宋体"/>
          <w:color w:val="000000" w:themeColor="text1"/>
          <w:sz w:val="21"/>
          <w:szCs w:val="21"/>
          <w:highlight w:val="none"/>
          <w14:textFill>
            <w14:solidFill>
              <w14:schemeClr w14:val="tx1"/>
            </w14:solidFill>
          </w14:textFill>
        </w:rPr>
      </w:pPr>
      <w:r>
        <w:rPr>
          <w:rStyle w:val="114"/>
          <w:rFonts w:hint="eastAsia" w:ascii="宋体" w:hAnsi="宋体" w:eastAsia="宋体" w:cs="宋体"/>
          <w:color w:val="000000" w:themeColor="text1"/>
          <w:sz w:val="21"/>
          <w:szCs w:val="21"/>
          <w:highlight w:val="none"/>
          <w14:textFill>
            <w14:solidFill>
              <w14:schemeClr w14:val="tx1"/>
            </w14:solidFill>
          </w14:textFill>
        </w:rPr>
        <w:t>地址：</w:t>
      </w:r>
      <w:r>
        <w:rPr>
          <w:rFonts w:hint="eastAsia" w:ascii="宋体" w:hAnsi="宋体" w:eastAsia="宋体" w:cs="宋体"/>
          <w:color w:val="000000" w:themeColor="text1"/>
          <w:sz w:val="21"/>
          <w:szCs w:val="21"/>
          <w:highlight w:val="none"/>
          <w:lang w:eastAsia="zh-CN"/>
          <w14:textFill>
            <w14:solidFill>
              <w14:schemeClr w14:val="tx1"/>
            </w14:solidFill>
          </w14:textFill>
        </w:rPr>
        <w:t>台州市路桥区文化路2号房管大厦5楼</w:t>
      </w:r>
      <w:r>
        <w:rPr>
          <w:rStyle w:val="114"/>
          <w:rFonts w:hint="eastAsia" w:ascii="宋体" w:hAnsi="宋体" w:eastAsia="宋体" w:cs="宋体"/>
          <w:color w:val="000000" w:themeColor="text1"/>
          <w:sz w:val="21"/>
          <w:szCs w:val="21"/>
          <w:highlight w:val="none"/>
          <w14:textFill>
            <w14:solidFill>
              <w14:schemeClr w14:val="tx1"/>
            </w14:solidFill>
          </w14:textFill>
        </w:rPr>
        <w:t>；</w:t>
      </w:r>
    </w:p>
    <w:p w14:paraId="22A4CA0E">
      <w:pPr>
        <w:spacing w:line="360" w:lineRule="auto"/>
        <w:ind w:firstLine="422" w:firstLineChars="200"/>
        <w:rPr>
          <w:rFonts w:hint="eastAsia" w:ascii="宋体" w:hAnsi="宋体" w:eastAsia="宋体" w:cs="宋体"/>
          <w:color w:val="auto"/>
          <w:sz w:val="21"/>
          <w:szCs w:val="21"/>
        </w:rPr>
      </w:pPr>
      <w:r>
        <w:rPr>
          <w:rFonts w:hint="eastAsia" w:ascii="宋体" w:hAnsi="宋体" w:eastAsia="宋体" w:cs="宋体"/>
          <w:b/>
          <w:bCs/>
          <w:color w:val="auto"/>
          <w:sz w:val="21"/>
          <w:szCs w:val="21"/>
        </w:rPr>
        <w:t>2、采购人：</w:t>
      </w:r>
    </w:p>
    <w:p w14:paraId="019550B9">
      <w:pPr>
        <w:snapToGrid w:val="0"/>
        <w:spacing w:line="360" w:lineRule="auto"/>
        <w:ind w:firstLine="525" w:firstLineChars="25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采购人名称：</w:t>
      </w:r>
      <w:r>
        <w:rPr>
          <w:rFonts w:hint="eastAsia" w:ascii="宋体" w:hAnsi="宋体" w:eastAsia="宋体" w:cs="宋体"/>
          <w:color w:val="auto"/>
          <w:sz w:val="21"/>
          <w:szCs w:val="21"/>
          <w:lang w:eastAsia="zh-CN"/>
        </w:rPr>
        <w:t>台州市路桥区蓬街镇人民政府</w:t>
      </w:r>
    </w:p>
    <w:p w14:paraId="0CDC0413">
      <w:pPr>
        <w:snapToGrid w:val="0"/>
        <w:spacing w:line="360" w:lineRule="auto"/>
        <w:ind w:firstLine="525" w:firstLineChars="25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联系人：</w:t>
      </w:r>
      <w:r>
        <w:rPr>
          <w:rFonts w:hint="eastAsia" w:ascii="宋体" w:hAnsi="宋体" w:cs="宋体"/>
          <w:color w:val="auto"/>
          <w:sz w:val="21"/>
          <w:szCs w:val="21"/>
          <w:highlight w:val="none"/>
          <w:lang w:val="en-US" w:eastAsia="zh-CN"/>
        </w:rPr>
        <w:t>卢</w:t>
      </w:r>
      <w:r>
        <w:rPr>
          <w:rFonts w:hint="eastAsia" w:ascii="宋体" w:hAnsi="宋体" w:eastAsia="宋体" w:cs="宋体"/>
          <w:color w:val="auto"/>
          <w:sz w:val="21"/>
          <w:szCs w:val="21"/>
          <w:highlight w:val="none"/>
          <w:lang w:val="en-US" w:eastAsia="zh-CN"/>
        </w:rPr>
        <w:t xml:space="preserve">先生     </w:t>
      </w:r>
      <w:r>
        <w:rPr>
          <w:rFonts w:hint="eastAsia" w:ascii="宋体" w:hAnsi="宋体" w:eastAsia="宋体" w:cs="宋体"/>
          <w:color w:val="auto"/>
          <w:sz w:val="21"/>
          <w:szCs w:val="21"/>
          <w:highlight w:val="none"/>
          <w:lang w:eastAsia="zh-CN"/>
        </w:rPr>
        <w:t>联系电话：</w:t>
      </w:r>
      <w:r>
        <w:rPr>
          <w:rFonts w:hint="eastAsia" w:ascii="宋体" w:hAnsi="宋体" w:cs="宋体"/>
          <w:color w:val="auto"/>
          <w:sz w:val="21"/>
          <w:szCs w:val="21"/>
          <w:highlight w:val="none"/>
          <w:lang w:val="en-US" w:eastAsia="zh-CN"/>
        </w:rPr>
        <w:t>0576-82720384</w:t>
      </w:r>
      <w:r>
        <w:rPr>
          <w:rFonts w:hint="eastAsia" w:ascii="宋体" w:hAnsi="宋体" w:eastAsia="宋体" w:cs="宋体"/>
          <w:color w:val="auto"/>
          <w:sz w:val="21"/>
          <w:szCs w:val="21"/>
          <w:lang w:val="en-US" w:eastAsia="zh-CN"/>
        </w:rPr>
        <w:t xml:space="preserve">      </w:t>
      </w:r>
    </w:p>
    <w:p w14:paraId="6854E77A">
      <w:pPr>
        <w:spacing w:line="360" w:lineRule="auto"/>
        <w:ind w:firstLine="422" w:firstLineChars="200"/>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3、同级政府采购监管部门：</w:t>
      </w:r>
      <w:r>
        <w:rPr>
          <w:rFonts w:hint="eastAsia" w:ascii="宋体" w:hAnsi="宋体" w:eastAsia="宋体" w:cs="宋体"/>
          <w:color w:val="auto"/>
          <w:sz w:val="21"/>
          <w:szCs w:val="21"/>
          <w:lang w:eastAsia="zh-CN"/>
        </w:rPr>
        <w:t>台州市路桥区政府采购管理办公室</w:t>
      </w:r>
    </w:p>
    <w:p w14:paraId="5754F513">
      <w:pPr>
        <w:spacing w:line="360" w:lineRule="auto"/>
        <w:ind w:firstLine="630" w:firstLineChars="300"/>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联系人：王先生</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联系电话：0576-82517851</w:t>
      </w:r>
    </w:p>
    <w:p w14:paraId="7C688C6C">
      <w:pPr>
        <w:spacing w:line="360" w:lineRule="auto"/>
        <w:ind w:firstLine="630" w:firstLineChars="300"/>
        <w:rPr>
          <w:rFonts w:hint="eastAsia" w:ascii="宋体" w:hAnsi="宋体" w:eastAsia="宋体" w:cs="宋体"/>
          <w:b w:val="0"/>
          <w:bCs w:val="0"/>
          <w:color w:val="auto"/>
          <w:sz w:val="21"/>
          <w:szCs w:val="21"/>
        </w:rPr>
      </w:pPr>
      <w:r>
        <w:rPr>
          <w:rFonts w:hint="eastAsia" w:ascii="宋体" w:hAnsi="宋体" w:eastAsia="宋体" w:cs="宋体"/>
          <w:color w:val="auto"/>
          <w:sz w:val="21"/>
          <w:szCs w:val="21"/>
          <w:lang w:val="en-US" w:eastAsia="zh-CN"/>
        </w:rPr>
        <w:t>地址：台州市路桥区西路桥大道58号。</w:t>
      </w:r>
    </w:p>
    <w:p w14:paraId="66FEDC69">
      <w:pPr>
        <w:pStyle w:val="39"/>
        <w:rPr>
          <w:rFonts w:hint="eastAsia"/>
          <w:lang w:eastAsia="zh-CN"/>
        </w:rPr>
      </w:pPr>
    </w:p>
    <w:p w14:paraId="47B45346">
      <w:pPr>
        <w:spacing w:line="360" w:lineRule="auto"/>
        <w:jc w:val="right"/>
        <w:rPr>
          <w:rFonts w:hint="eastAsia" w:ascii="宋体" w:hAnsi="宋体" w:eastAsia="宋体" w:cs="宋体"/>
          <w:b w:val="0"/>
          <w:bCs w:val="0"/>
          <w:color w:val="auto"/>
          <w:sz w:val="24"/>
          <w:szCs w:val="32"/>
          <w:lang w:eastAsia="zh-CN"/>
        </w:rPr>
      </w:pPr>
      <w:r>
        <w:rPr>
          <w:rFonts w:hint="eastAsia" w:ascii="宋体" w:hAnsi="宋体" w:cs="宋体"/>
          <w:b w:val="0"/>
          <w:bCs w:val="0"/>
          <w:color w:val="auto"/>
          <w:sz w:val="24"/>
          <w:szCs w:val="32"/>
          <w:lang w:eastAsia="zh-CN"/>
        </w:rPr>
        <w:t>台州市建设咨询有限公司</w:t>
      </w:r>
    </w:p>
    <w:p w14:paraId="5479E498">
      <w:pPr>
        <w:jc w:val="right"/>
        <w:rPr>
          <w:rFonts w:hint="eastAsia" w:ascii="宋体" w:hAnsi="宋体" w:cs="宋体"/>
          <w:b w:val="0"/>
          <w:bCs w:val="0"/>
          <w:color w:val="auto"/>
          <w:sz w:val="24"/>
          <w:highlight w:val="none"/>
          <w:lang w:eastAsia="zh-CN"/>
        </w:rPr>
      </w:pPr>
      <w:r>
        <w:rPr>
          <w:rFonts w:hint="eastAsia" w:ascii="宋体" w:hAnsi="宋体" w:cs="宋体"/>
          <w:b w:val="0"/>
          <w:bCs w:val="0"/>
          <w:color w:val="auto"/>
          <w:sz w:val="24"/>
          <w:lang w:eastAsia="zh-CN"/>
        </w:rPr>
        <w:t>202</w:t>
      </w:r>
      <w:r>
        <w:rPr>
          <w:rFonts w:hint="eastAsia" w:ascii="宋体" w:hAnsi="宋体" w:cs="宋体"/>
          <w:b w:val="0"/>
          <w:bCs w:val="0"/>
          <w:color w:val="auto"/>
          <w:sz w:val="24"/>
          <w:lang w:val="en-US" w:eastAsia="zh-CN"/>
        </w:rPr>
        <w:t>5</w:t>
      </w:r>
      <w:r>
        <w:rPr>
          <w:rFonts w:hint="eastAsia" w:ascii="宋体" w:hAnsi="宋体" w:cs="宋体"/>
          <w:b w:val="0"/>
          <w:bCs w:val="0"/>
          <w:color w:val="auto"/>
          <w:sz w:val="24"/>
          <w:lang w:eastAsia="zh-CN"/>
        </w:rPr>
        <w:t>年</w:t>
      </w:r>
      <w:r>
        <w:rPr>
          <w:rFonts w:hint="eastAsia" w:ascii="宋体" w:hAnsi="宋体" w:cs="宋体"/>
          <w:b w:val="0"/>
          <w:bCs w:val="0"/>
          <w:color w:val="auto"/>
          <w:sz w:val="24"/>
          <w:lang w:val="en-US" w:eastAsia="zh-CN"/>
        </w:rPr>
        <w:t>4</w:t>
      </w:r>
      <w:r>
        <w:rPr>
          <w:rFonts w:hint="eastAsia" w:ascii="宋体" w:hAnsi="宋体" w:cs="宋体"/>
          <w:b w:val="0"/>
          <w:bCs w:val="0"/>
          <w:color w:val="auto"/>
          <w:sz w:val="24"/>
          <w:lang w:eastAsia="zh-CN"/>
        </w:rPr>
        <w:t>月</w:t>
      </w:r>
      <w:r>
        <w:rPr>
          <w:rFonts w:hint="eastAsia" w:ascii="宋体" w:hAnsi="宋体" w:cs="宋体"/>
          <w:b w:val="0"/>
          <w:bCs w:val="0"/>
          <w:color w:val="auto"/>
          <w:sz w:val="24"/>
          <w:highlight w:val="none"/>
          <w:lang w:eastAsia="zh-CN"/>
        </w:rPr>
        <w:br w:type="page"/>
      </w:r>
    </w:p>
    <w:p w14:paraId="36DB65AD">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第二章投标人须知</w:t>
      </w:r>
    </w:p>
    <w:p w14:paraId="71E1E62A">
      <w:pPr>
        <w:spacing w:line="360" w:lineRule="auto"/>
        <w:ind w:firstLine="482" w:firstLineChars="200"/>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前附表</w:t>
      </w:r>
    </w:p>
    <w:tbl>
      <w:tblPr>
        <w:tblStyle w:val="31"/>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2415"/>
        <w:gridCol w:w="7050"/>
      </w:tblGrid>
      <w:tr w14:paraId="65AC7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vAlign w:val="center"/>
          </w:tcPr>
          <w:p w14:paraId="593D6A33">
            <w:pPr>
              <w:spacing w:line="360" w:lineRule="auto"/>
              <w:jc w:val="center"/>
              <w:rPr>
                <w:rFonts w:ascii="宋体" w:hAnsi="宋体" w:cs="宋体"/>
                <w:color w:val="auto"/>
                <w:sz w:val="24"/>
              </w:rPr>
            </w:pPr>
            <w:r>
              <w:rPr>
                <w:rFonts w:hint="eastAsia" w:ascii="宋体" w:hAnsi="宋体" w:cs="宋体"/>
                <w:color w:val="auto"/>
                <w:sz w:val="24"/>
              </w:rPr>
              <w:t>序号</w:t>
            </w:r>
          </w:p>
        </w:tc>
        <w:tc>
          <w:tcPr>
            <w:tcW w:w="2415" w:type="dxa"/>
            <w:vAlign w:val="center"/>
          </w:tcPr>
          <w:p w14:paraId="7713F303">
            <w:pPr>
              <w:spacing w:line="360" w:lineRule="auto"/>
              <w:jc w:val="center"/>
              <w:rPr>
                <w:rFonts w:ascii="宋体" w:hAnsi="宋体" w:cs="宋体"/>
                <w:color w:val="auto"/>
                <w:sz w:val="24"/>
              </w:rPr>
            </w:pPr>
            <w:r>
              <w:rPr>
                <w:rFonts w:hint="eastAsia" w:ascii="宋体" w:hAnsi="宋体" w:cs="宋体"/>
                <w:color w:val="auto"/>
                <w:sz w:val="24"/>
              </w:rPr>
              <w:t>项目</w:t>
            </w:r>
          </w:p>
        </w:tc>
        <w:tc>
          <w:tcPr>
            <w:tcW w:w="7050" w:type="dxa"/>
            <w:vAlign w:val="center"/>
          </w:tcPr>
          <w:p w14:paraId="394BD535">
            <w:pPr>
              <w:spacing w:line="360" w:lineRule="auto"/>
              <w:jc w:val="center"/>
              <w:rPr>
                <w:rFonts w:ascii="宋体" w:hAnsi="宋体" w:cs="宋体"/>
                <w:color w:val="auto"/>
                <w:sz w:val="24"/>
              </w:rPr>
            </w:pPr>
            <w:r>
              <w:rPr>
                <w:rFonts w:hint="eastAsia" w:ascii="宋体" w:hAnsi="宋体" w:cs="宋体"/>
                <w:color w:val="auto"/>
                <w:sz w:val="24"/>
              </w:rPr>
              <w:t>内容</w:t>
            </w:r>
          </w:p>
        </w:tc>
      </w:tr>
      <w:tr w14:paraId="0F3BB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vAlign w:val="center"/>
          </w:tcPr>
          <w:p w14:paraId="2DF35BA0">
            <w:pPr>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1</w:t>
            </w:r>
          </w:p>
        </w:tc>
        <w:tc>
          <w:tcPr>
            <w:tcW w:w="2415" w:type="dxa"/>
            <w:vAlign w:val="center"/>
          </w:tcPr>
          <w:p w14:paraId="5A28C93D">
            <w:pPr>
              <w:spacing w:line="240" w:lineRule="auto"/>
              <w:jc w:val="center"/>
              <w:rPr>
                <w:rFonts w:hint="eastAsia" w:ascii="宋体" w:hAnsi="宋体" w:cs="宋体"/>
                <w:color w:val="auto"/>
                <w:sz w:val="24"/>
              </w:rPr>
            </w:pPr>
            <w:r>
              <w:rPr>
                <w:rStyle w:val="114"/>
                <w:rFonts w:hint="eastAsia" w:ascii="宋体" w:hAnsi="宋体" w:cs="Times New Roman"/>
                <w:color w:val="000000" w:themeColor="text1"/>
                <w:sz w:val="24"/>
                <w:highlight w:val="none"/>
                <w14:textFill>
                  <w14:solidFill>
                    <w14:schemeClr w14:val="tx1"/>
                  </w14:solidFill>
                </w14:textFill>
              </w:rPr>
              <w:t>项目说明</w:t>
            </w:r>
          </w:p>
        </w:tc>
        <w:tc>
          <w:tcPr>
            <w:tcW w:w="7050" w:type="dxa"/>
            <w:vAlign w:val="center"/>
          </w:tcPr>
          <w:p w14:paraId="1D92BDFA">
            <w:pPr>
              <w:rPr>
                <w:rStyle w:val="114"/>
                <w:rFonts w:hint="eastAsia" w:ascii="宋体" w:hAnsi="宋体" w:cs="Times New Roman"/>
                <w:color w:val="000000" w:themeColor="text1"/>
                <w:sz w:val="24"/>
                <w:highlight w:val="none"/>
                <w:lang w:val="en-US" w:eastAsia="zh-CN"/>
                <w14:textFill>
                  <w14:solidFill>
                    <w14:schemeClr w14:val="tx1"/>
                  </w14:solidFill>
                </w14:textFill>
              </w:rPr>
            </w:pPr>
            <w:r>
              <w:rPr>
                <w:rStyle w:val="114"/>
                <w:rFonts w:hint="eastAsia" w:ascii="宋体" w:hAnsi="宋体" w:cs="Times New Roman"/>
                <w:color w:val="000000" w:themeColor="text1"/>
                <w:sz w:val="24"/>
                <w:highlight w:val="none"/>
                <w14:textFill>
                  <w14:solidFill>
                    <w14:schemeClr w14:val="tx1"/>
                  </w14:solidFill>
                </w14:textFill>
              </w:rPr>
              <w:t>项目类别：服务类</w:t>
            </w:r>
          </w:p>
          <w:p w14:paraId="7B908AFF">
            <w:pPr>
              <w:rPr>
                <w:rFonts w:hint="eastAsia" w:ascii="宋体" w:hAnsi="宋体" w:cs="宋体"/>
                <w:color w:val="auto"/>
                <w:sz w:val="24"/>
              </w:rPr>
            </w:pPr>
            <w:r>
              <w:rPr>
                <w:rStyle w:val="114"/>
                <w:rFonts w:hint="eastAsia" w:ascii="宋体" w:hAnsi="宋体" w:cs="Times New Roman"/>
                <w:color w:val="000000" w:themeColor="text1"/>
                <w:sz w:val="24"/>
                <w:highlight w:val="none"/>
                <w14:textFill>
                  <w14:solidFill>
                    <w14:schemeClr w14:val="tx1"/>
                  </w14:solidFill>
                </w14:textFill>
              </w:rPr>
              <w:t>采购标的所属行业：根据《工业和信息化部、国家统计局、国家发展和改革委员会、财政部关于印发中小企业划型标准规定的通知》（工信部联企业[2011]300号）规定，本项目采购标的对应的中小企业划分标准所属行业为</w:t>
            </w:r>
            <w:r>
              <w:rPr>
                <w:rStyle w:val="114"/>
                <w:rFonts w:hint="eastAsia" w:ascii="宋体" w:hAnsi="宋体" w:cs="Times New Roman"/>
                <w:color w:val="000000" w:themeColor="text1"/>
                <w:sz w:val="24"/>
                <w:highlight w:val="none"/>
                <w:lang w:eastAsia="zh-CN"/>
                <w14:textFill>
                  <w14:solidFill>
                    <w14:schemeClr w14:val="tx1"/>
                  </w14:solidFill>
                </w14:textFill>
              </w:rPr>
              <w:t>（十六）其他未列明行业。</w:t>
            </w:r>
          </w:p>
        </w:tc>
      </w:tr>
      <w:tr w14:paraId="609E4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770E9002">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2</w:t>
            </w:r>
          </w:p>
        </w:tc>
        <w:tc>
          <w:tcPr>
            <w:tcW w:w="2415" w:type="dxa"/>
            <w:vAlign w:val="center"/>
          </w:tcPr>
          <w:p w14:paraId="63EBC166">
            <w:pPr>
              <w:spacing w:line="360" w:lineRule="auto"/>
              <w:jc w:val="center"/>
              <w:rPr>
                <w:rFonts w:ascii="宋体" w:hAnsi="宋体" w:cs="宋体"/>
                <w:color w:val="auto"/>
                <w:sz w:val="24"/>
              </w:rPr>
            </w:pPr>
            <w:r>
              <w:rPr>
                <w:rFonts w:hint="eastAsia" w:ascii="宋体" w:hAnsi="宋体" w:cs="宋体"/>
                <w:color w:val="auto"/>
                <w:sz w:val="24"/>
              </w:rPr>
              <w:t>供应商特定资格要求</w:t>
            </w:r>
          </w:p>
        </w:tc>
        <w:tc>
          <w:tcPr>
            <w:tcW w:w="7050" w:type="dxa"/>
            <w:vAlign w:val="center"/>
          </w:tcPr>
          <w:p w14:paraId="1B6E5FA0">
            <w:pPr>
              <w:spacing w:line="360" w:lineRule="auto"/>
              <w:rPr>
                <w:rFonts w:ascii="宋体" w:hAnsi="宋体" w:cs="宋体"/>
                <w:color w:val="auto"/>
                <w:sz w:val="24"/>
              </w:rPr>
            </w:pPr>
            <w:r>
              <w:rPr>
                <w:rFonts w:hint="eastAsia" w:ascii="宋体" w:hAnsi="宋体" w:cs="宋体"/>
                <w:color w:val="auto"/>
                <w:sz w:val="24"/>
              </w:rPr>
              <w:t>符合招标公告资格要求的供应商。</w:t>
            </w:r>
          </w:p>
        </w:tc>
      </w:tr>
      <w:tr w14:paraId="5E799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236842A8">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3</w:t>
            </w:r>
          </w:p>
        </w:tc>
        <w:tc>
          <w:tcPr>
            <w:tcW w:w="2415" w:type="dxa"/>
            <w:vAlign w:val="center"/>
          </w:tcPr>
          <w:p w14:paraId="7D6B29FD">
            <w:pPr>
              <w:spacing w:line="360" w:lineRule="auto"/>
              <w:jc w:val="center"/>
              <w:rPr>
                <w:rFonts w:ascii="宋体" w:hAnsi="宋体" w:cs="宋体"/>
                <w:color w:val="auto"/>
                <w:sz w:val="24"/>
              </w:rPr>
            </w:pPr>
            <w:r>
              <w:rPr>
                <w:rFonts w:hint="eastAsia" w:ascii="宋体" w:hAnsi="宋体" w:cs="宋体"/>
                <w:color w:val="auto"/>
                <w:kern w:val="0"/>
                <w:sz w:val="24"/>
              </w:rPr>
              <w:t>答疑会或</w:t>
            </w:r>
            <w:r>
              <w:rPr>
                <w:rFonts w:hint="eastAsia" w:ascii="宋体" w:hAnsi="宋体" w:cs="宋体"/>
                <w:color w:val="auto"/>
                <w:sz w:val="24"/>
              </w:rPr>
              <w:t>现场踏勘</w:t>
            </w:r>
          </w:p>
        </w:tc>
        <w:tc>
          <w:tcPr>
            <w:tcW w:w="7050" w:type="dxa"/>
            <w:vAlign w:val="center"/>
          </w:tcPr>
          <w:p w14:paraId="19200095">
            <w:pPr>
              <w:spacing w:line="360" w:lineRule="auto"/>
              <w:rPr>
                <w:rFonts w:ascii="宋体" w:hAnsi="宋体" w:cs="宋体"/>
                <w:color w:val="auto"/>
                <w:sz w:val="24"/>
              </w:rPr>
            </w:pPr>
            <w:r>
              <w:rPr>
                <w:rFonts w:hint="eastAsia" w:ascii="宋体" w:hAnsi="宋体" w:cs="宋体"/>
                <w:color w:val="auto"/>
                <w:sz w:val="24"/>
                <w:lang w:eastAsia="zh-CN"/>
              </w:rPr>
              <w:t>无</w:t>
            </w:r>
            <w:r>
              <w:rPr>
                <w:rFonts w:hint="eastAsia" w:ascii="宋体" w:hAnsi="宋体" w:cs="宋体"/>
                <w:color w:val="auto"/>
                <w:sz w:val="24"/>
              </w:rPr>
              <w:t>。</w:t>
            </w:r>
          </w:p>
        </w:tc>
      </w:tr>
      <w:tr w14:paraId="0B0BF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2" w:hRule="atLeast"/>
          <w:jc w:val="center"/>
        </w:trPr>
        <w:tc>
          <w:tcPr>
            <w:tcW w:w="748" w:type="dxa"/>
            <w:shd w:val="clear" w:color="auto" w:fill="auto"/>
            <w:vAlign w:val="center"/>
          </w:tcPr>
          <w:p w14:paraId="761D47D4">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4</w:t>
            </w:r>
          </w:p>
        </w:tc>
        <w:tc>
          <w:tcPr>
            <w:tcW w:w="2415" w:type="dxa"/>
            <w:vAlign w:val="center"/>
          </w:tcPr>
          <w:p w14:paraId="3B2F2288">
            <w:pPr>
              <w:spacing w:line="360" w:lineRule="auto"/>
              <w:jc w:val="center"/>
              <w:rPr>
                <w:rFonts w:ascii="宋体" w:hAnsi="宋体" w:cs="宋体"/>
                <w:color w:val="auto"/>
                <w:sz w:val="24"/>
              </w:rPr>
            </w:pPr>
            <w:r>
              <w:rPr>
                <w:rFonts w:hint="eastAsia" w:ascii="宋体" w:hAnsi="宋体" w:cs="宋体"/>
                <w:color w:val="auto"/>
                <w:sz w:val="24"/>
              </w:rPr>
              <w:t>投标文件递交要求</w:t>
            </w:r>
          </w:p>
        </w:tc>
        <w:tc>
          <w:tcPr>
            <w:tcW w:w="7050" w:type="dxa"/>
            <w:vAlign w:val="center"/>
          </w:tcPr>
          <w:p w14:paraId="3FC3B803">
            <w:pPr>
              <w:spacing w:line="360" w:lineRule="auto"/>
              <w:jc w:val="left"/>
              <w:rPr>
                <w:rFonts w:hint="eastAsia" w:ascii="宋体" w:hAnsi="宋体" w:eastAsia="宋体" w:cs="宋体"/>
                <w:color w:val="auto"/>
                <w:sz w:val="24"/>
              </w:rPr>
            </w:pPr>
            <w:r>
              <w:rPr>
                <w:rFonts w:hint="eastAsia" w:ascii="宋体" w:hAnsi="宋体" w:eastAsia="宋体" w:cs="宋体"/>
                <w:color w:val="auto"/>
                <w:sz w:val="24"/>
              </w:rPr>
              <w:t>本项目实行电子投标，供应商应准备电子投标文件、备份投标文件（电子备份投标文件</w:t>
            </w:r>
            <w:r>
              <w:rPr>
                <w:rFonts w:hint="eastAsia" w:ascii="宋体" w:hAnsi="宋体" w:eastAsia="宋体" w:cs="宋体"/>
                <w:color w:val="auto"/>
                <w:sz w:val="24"/>
                <w:lang w:eastAsia="zh-CN"/>
              </w:rPr>
              <w:t>，</w:t>
            </w:r>
            <w:r>
              <w:rPr>
                <w:rFonts w:hint="eastAsia" w:ascii="宋体" w:hAnsi="宋体" w:eastAsia="宋体" w:cs="宋体"/>
                <w:color w:val="auto"/>
                <w:sz w:val="24"/>
              </w:rPr>
              <w:t>其中备份投标文件为自愿提供，非实质性要求，因电子投标文件无法读取的后果由投标人自行承担）：</w:t>
            </w:r>
          </w:p>
          <w:p w14:paraId="54E694BE">
            <w:pPr>
              <w:spacing w:line="360" w:lineRule="auto"/>
              <w:jc w:val="left"/>
              <w:rPr>
                <w:rFonts w:hint="eastAsia" w:ascii="宋体" w:hAnsi="宋体" w:eastAsia="宋体" w:cs="宋体"/>
                <w:color w:val="auto"/>
                <w:sz w:val="24"/>
              </w:rPr>
            </w:pPr>
            <w:r>
              <w:rPr>
                <w:rFonts w:hint="eastAsia" w:ascii="宋体" w:hAnsi="宋体" w:eastAsia="宋体" w:cs="宋体"/>
                <w:color w:val="auto"/>
                <w:sz w:val="24"/>
              </w:rPr>
              <w:t>1、电子投标文件：</w:t>
            </w:r>
            <w:r>
              <w:rPr>
                <w:rFonts w:hint="eastAsia" w:ascii="宋体" w:hAnsi="宋体" w:eastAsia="宋体" w:cs="宋体"/>
                <w:color w:val="auto"/>
                <w:sz w:val="24"/>
                <w:lang w:val="zh-CN"/>
              </w:rPr>
              <w:t>按政府采购云平台供应商项目采购</w:t>
            </w:r>
            <w:r>
              <w:rPr>
                <w:rFonts w:hint="eastAsia" w:ascii="宋体" w:hAnsi="宋体" w:eastAsia="宋体" w:cs="宋体"/>
                <w:color w:val="auto"/>
                <w:sz w:val="24"/>
              </w:rPr>
              <w:t>--电子招投标操作指南（</w:t>
            </w:r>
            <w:r>
              <w:rPr>
                <w:rFonts w:hint="eastAsia" w:ascii="宋体" w:hAnsi="宋体" w:eastAsia="宋体" w:cs="宋体"/>
                <w:color w:val="auto"/>
                <w:sz w:val="24"/>
                <w:lang w:val="zh-CN"/>
              </w:rPr>
              <w:t>网址</w:t>
            </w:r>
            <w:r>
              <w:rPr>
                <w:rFonts w:hint="eastAsia" w:ascii="宋体" w:hAnsi="宋体" w:eastAsia="宋体" w:cs="宋体"/>
                <w:color w:val="auto"/>
                <w:sz w:val="24"/>
              </w:rPr>
              <w:t>：</w:t>
            </w:r>
            <w:r>
              <w:rPr>
                <w:rFonts w:hint="eastAsia" w:ascii="宋体" w:hAnsi="宋体" w:eastAsia="宋体" w:cs="宋体"/>
                <w:color w:val="auto"/>
                <w:sz w:val="24"/>
              </w:rPr>
              <w:fldChar w:fldCharType="begin"/>
            </w:r>
            <w:r>
              <w:rPr>
                <w:rFonts w:hint="eastAsia" w:ascii="宋体" w:hAnsi="宋体" w:eastAsia="宋体" w:cs="宋体"/>
                <w:color w:val="auto"/>
                <w:sz w:val="24"/>
              </w:rPr>
              <w:instrText xml:space="preserve"> HYPERLINK "https://help.zcy.gov.cn/web/site_2/2018/12-28/2573.html）及本采购文件要求制作" </w:instrText>
            </w:r>
            <w:r>
              <w:rPr>
                <w:rFonts w:hint="eastAsia" w:ascii="宋体" w:hAnsi="宋体" w:eastAsia="宋体" w:cs="宋体"/>
                <w:color w:val="auto"/>
                <w:sz w:val="24"/>
              </w:rPr>
              <w:fldChar w:fldCharType="separate"/>
            </w:r>
            <w:r>
              <w:rPr>
                <w:rFonts w:hint="eastAsia" w:ascii="宋体" w:hAnsi="宋体" w:eastAsia="宋体" w:cs="宋体"/>
                <w:color w:val="auto"/>
                <w:sz w:val="24"/>
                <w:lang w:eastAsia="zh-CN"/>
              </w:rPr>
              <w:t>https://service.zcygov.cn/#/help/superior</w:t>
            </w:r>
            <w:r>
              <w:rPr>
                <w:rFonts w:hint="eastAsia" w:ascii="宋体" w:hAnsi="宋体" w:eastAsia="宋体" w:cs="宋体"/>
                <w:color w:val="auto"/>
                <w:sz w:val="24"/>
              </w:rPr>
              <w:t>）</w:t>
            </w:r>
            <w:r>
              <w:rPr>
                <w:rFonts w:hint="eastAsia" w:ascii="宋体" w:hAnsi="宋体" w:eastAsia="宋体" w:cs="宋体"/>
                <w:color w:val="auto"/>
                <w:sz w:val="24"/>
              </w:rPr>
              <w:fldChar w:fldCharType="end"/>
            </w:r>
            <w:r>
              <w:rPr>
                <w:rFonts w:hint="eastAsia" w:ascii="宋体" w:hAnsi="宋体" w:eastAsia="宋体" w:cs="宋体"/>
                <w:color w:val="auto"/>
                <w:sz w:val="24"/>
              </w:rPr>
              <w:t>及本项目招标文件要求编制</w:t>
            </w:r>
            <w:r>
              <w:rPr>
                <w:rFonts w:hint="eastAsia" w:ascii="宋体" w:hAnsi="宋体" w:eastAsia="宋体" w:cs="宋体"/>
                <w:color w:val="auto"/>
                <w:sz w:val="24"/>
                <w:lang w:val="zh-CN"/>
              </w:rPr>
              <w:t>、加密并递交</w:t>
            </w:r>
            <w:r>
              <w:rPr>
                <w:rFonts w:hint="eastAsia" w:ascii="宋体" w:hAnsi="宋体" w:eastAsia="宋体" w:cs="宋体"/>
                <w:color w:val="auto"/>
                <w:sz w:val="24"/>
              </w:rPr>
              <w:t>。</w:t>
            </w:r>
          </w:p>
          <w:p w14:paraId="647A1399">
            <w:pPr>
              <w:spacing w:line="360" w:lineRule="auto"/>
              <w:jc w:val="left"/>
              <w:rPr>
                <w:color w:val="auto"/>
              </w:rPr>
            </w:pPr>
            <w:r>
              <w:rPr>
                <w:rFonts w:hint="eastAsia" w:ascii="宋体" w:hAnsi="宋体" w:eastAsia="宋体" w:cs="宋体"/>
                <w:color w:val="auto"/>
                <w:sz w:val="24"/>
              </w:rPr>
              <w:t>2、备份投标文件：电子备份投标文件。电子备份投标文件通过“政采云”平台电子投标工具制作电子投标文件产生的备份文件（后缀名为“.bfbs”），投标人自行确定是否提交；若提交请将备份投标文件以U盘、光盘或电子邮件（发送至</w:t>
            </w:r>
            <w:r>
              <w:rPr>
                <w:rFonts w:hint="eastAsia" w:ascii="宋体" w:hAnsi="宋体" w:eastAsia="宋体" w:cs="宋体"/>
                <w:color w:val="auto"/>
                <w:sz w:val="24"/>
                <w:lang w:val="en-US" w:eastAsia="zh-CN"/>
              </w:rPr>
              <w:t>61353540</w:t>
            </w:r>
            <w:r>
              <w:rPr>
                <w:rFonts w:hint="eastAsia" w:ascii="宋体" w:hAnsi="宋体" w:eastAsia="宋体" w:cs="宋体"/>
                <w:color w:val="auto"/>
                <w:sz w:val="24"/>
              </w:rPr>
              <w:t>@qq.com）的形式递交，备份投标文件在“电子加密投标文件”在线解密异常或失败后启用，否则不予以启用；投标人确认“电子加密投标文件”在线解密异常或失败后，可以申请由采购代理机构使用电子备份标书上传处理，投标人将备份电子投标文件在解密规定的时间（投标截止时间后30分钟内）递交，未在规定时间内发送造成的投标无效或失败由投标人自行承担。提交备份电子投标文件时，应写明投标人名称和所投项目名称。</w:t>
            </w:r>
          </w:p>
        </w:tc>
      </w:tr>
      <w:tr w14:paraId="20048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8" w:type="dxa"/>
            <w:shd w:val="clear" w:color="auto" w:fill="auto"/>
            <w:vAlign w:val="center"/>
          </w:tcPr>
          <w:p w14:paraId="3962D05F">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5</w:t>
            </w:r>
          </w:p>
        </w:tc>
        <w:tc>
          <w:tcPr>
            <w:tcW w:w="2415" w:type="dxa"/>
            <w:vAlign w:val="center"/>
          </w:tcPr>
          <w:p w14:paraId="4D2435D4">
            <w:pPr>
              <w:spacing w:line="360" w:lineRule="auto"/>
              <w:jc w:val="center"/>
              <w:rPr>
                <w:rFonts w:ascii="宋体" w:hAnsi="宋体" w:cs="宋体"/>
                <w:color w:val="auto"/>
                <w:sz w:val="24"/>
              </w:rPr>
            </w:pPr>
            <w:r>
              <w:rPr>
                <w:rFonts w:hint="eastAsia" w:ascii="宋体" w:hAnsi="宋体" w:cs="宋体"/>
                <w:color w:val="auto"/>
                <w:sz w:val="24"/>
              </w:rPr>
              <w:t>投标有效期</w:t>
            </w:r>
          </w:p>
        </w:tc>
        <w:tc>
          <w:tcPr>
            <w:tcW w:w="7050" w:type="dxa"/>
            <w:vAlign w:val="center"/>
          </w:tcPr>
          <w:p w14:paraId="46B27BB3">
            <w:pPr>
              <w:spacing w:line="360" w:lineRule="auto"/>
              <w:rPr>
                <w:rFonts w:ascii="宋体" w:hAnsi="宋体" w:cs="宋体"/>
                <w:color w:val="auto"/>
                <w:sz w:val="24"/>
              </w:rPr>
            </w:pPr>
            <w:r>
              <w:rPr>
                <w:rFonts w:hint="eastAsia" w:ascii="宋体" w:hAnsi="宋体" w:cs="宋体"/>
                <w:color w:val="auto"/>
                <w:sz w:val="24"/>
              </w:rPr>
              <w:t>投标有效期为开标后90天，</w:t>
            </w:r>
            <w:r>
              <w:rPr>
                <w:rFonts w:hint="eastAsia" w:ascii="宋体" w:hAnsi="宋体" w:cs="宋体"/>
                <w:color w:val="auto"/>
                <w:kern w:val="0"/>
                <w:sz w:val="24"/>
              </w:rPr>
              <w:t>投标有效期从提交投标文件的截止之日起算。</w:t>
            </w:r>
          </w:p>
        </w:tc>
      </w:tr>
      <w:tr w14:paraId="1B819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8" w:type="dxa"/>
            <w:shd w:val="clear" w:color="auto" w:fill="auto"/>
            <w:vAlign w:val="center"/>
          </w:tcPr>
          <w:p w14:paraId="3B324709">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6</w:t>
            </w:r>
          </w:p>
        </w:tc>
        <w:tc>
          <w:tcPr>
            <w:tcW w:w="2415" w:type="dxa"/>
            <w:vAlign w:val="center"/>
          </w:tcPr>
          <w:p w14:paraId="583B1A00">
            <w:pPr>
              <w:spacing w:line="360" w:lineRule="auto"/>
              <w:jc w:val="center"/>
              <w:rPr>
                <w:rFonts w:ascii="宋体" w:hAnsi="宋体" w:cs="宋体"/>
                <w:color w:val="auto"/>
                <w:sz w:val="24"/>
              </w:rPr>
            </w:pPr>
            <w:r>
              <w:rPr>
                <w:rFonts w:hint="eastAsia" w:ascii="宋体" w:hAnsi="宋体" w:cs="宋体"/>
                <w:color w:val="auto"/>
                <w:sz w:val="24"/>
              </w:rPr>
              <w:t>投标文件递交</w:t>
            </w:r>
          </w:p>
        </w:tc>
        <w:tc>
          <w:tcPr>
            <w:tcW w:w="7050" w:type="dxa"/>
            <w:vAlign w:val="center"/>
          </w:tcPr>
          <w:p w14:paraId="42726DD8">
            <w:pPr>
              <w:spacing w:line="360" w:lineRule="auto"/>
              <w:rPr>
                <w:rFonts w:ascii="宋体" w:hAnsi="宋体" w:cs="宋体"/>
                <w:color w:val="auto"/>
                <w:sz w:val="24"/>
              </w:rPr>
            </w:pPr>
            <w:r>
              <w:rPr>
                <w:rFonts w:hint="eastAsia" w:ascii="宋体" w:hAnsi="宋体" w:cs="宋体"/>
                <w:color w:val="auto"/>
                <w:sz w:val="24"/>
              </w:rPr>
              <w:t>截止时间：详见采购公告</w:t>
            </w:r>
          </w:p>
          <w:p w14:paraId="236A1CB4">
            <w:pPr>
              <w:spacing w:line="360" w:lineRule="auto"/>
              <w:rPr>
                <w:rFonts w:ascii="宋体" w:hAnsi="宋体" w:cs="宋体"/>
                <w:color w:val="auto"/>
                <w:sz w:val="24"/>
              </w:rPr>
            </w:pPr>
            <w:r>
              <w:rPr>
                <w:rFonts w:hint="eastAsia" w:ascii="宋体" w:hAnsi="宋体" w:cs="宋体"/>
                <w:color w:val="auto"/>
                <w:sz w:val="24"/>
              </w:rPr>
              <w:t>投标供应商应当在投标截止时间前将生成的“电子加密投标文件”上传递交至“政府采购云平台”，若提交备份文件的应当在开标当日投标截止时间前提交。</w:t>
            </w:r>
          </w:p>
        </w:tc>
      </w:tr>
      <w:tr w14:paraId="7000D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748" w:type="dxa"/>
            <w:shd w:val="clear" w:color="auto" w:fill="auto"/>
            <w:vAlign w:val="center"/>
          </w:tcPr>
          <w:p w14:paraId="4E8B3AD9">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7</w:t>
            </w:r>
          </w:p>
        </w:tc>
        <w:tc>
          <w:tcPr>
            <w:tcW w:w="2415" w:type="dxa"/>
            <w:vAlign w:val="center"/>
          </w:tcPr>
          <w:p w14:paraId="0B5F9144">
            <w:pPr>
              <w:spacing w:line="360" w:lineRule="auto"/>
              <w:jc w:val="center"/>
              <w:rPr>
                <w:rFonts w:ascii="宋体" w:hAnsi="宋体" w:cs="宋体"/>
                <w:color w:val="auto"/>
                <w:sz w:val="24"/>
              </w:rPr>
            </w:pPr>
            <w:r>
              <w:rPr>
                <w:rFonts w:hint="eastAsia" w:ascii="宋体" w:hAnsi="宋体" w:cs="宋体"/>
                <w:color w:val="auto"/>
                <w:sz w:val="24"/>
              </w:rPr>
              <w:t>开标时间及地点</w:t>
            </w:r>
          </w:p>
        </w:tc>
        <w:tc>
          <w:tcPr>
            <w:tcW w:w="7050" w:type="dxa"/>
            <w:vAlign w:val="center"/>
          </w:tcPr>
          <w:p w14:paraId="4F764D63">
            <w:pPr>
              <w:rPr>
                <w:rStyle w:val="114"/>
                <w:rFonts w:hint="default" w:ascii="宋体" w:eastAsia="宋体"/>
                <w:color w:val="000000" w:themeColor="text1"/>
                <w:sz w:val="24"/>
                <w:highlight w:val="none"/>
                <w:lang w:val="en-US" w:eastAsia="zh-CN"/>
                <w14:textFill>
                  <w14:solidFill>
                    <w14:schemeClr w14:val="tx1"/>
                  </w14:solidFill>
                </w14:textFill>
              </w:rPr>
            </w:pPr>
            <w:r>
              <w:rPr>
                <w:rStyle w:val="114"/>
                <w:rFonts w:ascii="宋体" w:hAnsi="宋体"/>
                <w:color w:val="000000" w:themeColor="text1"/>
                <w:sz w:val="24"/>
                <w:highlight w:val="none"/>
                <w14:textFill>
                  <w14:solidFill>
                    <w14:schemeClr w14:val="tx1"/>
                  </w14:solidFill>
                </w14:textFill>
              </w:rPr>
              <w:t>时间：</w:t>
            </w:r>
            <w:r>
              <w:rPr>
                <w:rStyle w:val="114"/>
                <w:rFonts w:hint="eastAsia" w:ascii="宋体" w:hAnsi="宋体"/>
                <w:color w:val="000000" w:themeColor="text1"/>
                <w:sz w:val="24"/>
                <w:highlight w:val="none"/>
                <w:lang w:val="en-US" w:eastAsia="zh-CN"/>
                <w14:textFill>
                  <w14:solidFill>
                    <w14:schemeClr w14:val="tx1"/>
                  </w14:solidFill>
                </w14:textFill>
              </w:rPr>
              <w:t>同投标文件递交截止时间</w:t>
            </w:r>
          </w:p>
          <w:p w14:paraId="0C406D64">
            <w:pPr>
              <w:spacing w:line="360" w:lineRule="auto"/>
              <w:rPr>
                <w:rFonts w:ascii="宋体" w:hAnsi="宋体" w:cs="宋体"/>
                <w:color w:val="auto"/>
                <w:sz w:val="24"/>
              </w:rPr>
            </w:pPr>
            <w:r>
              <w:rPr>
                <w:rStyle w:val="114"/>
                <w:rFonts w:ascii="宋体" w:hAnsi="宋体"/>
                <w:color w:val="000000" w:themeColor="text1"/>
                <w:sz w:val="24"/>
                <w:highlight w:val="none"/>
                <w14:textFill>
                  <w14:solidFill>
                    <w14:schemeClr w14:val="tx1"/>
                  </w14:solidFill>
                </w14:textFill>
              </w:rPr>
              <w:t>地点：台州市路桥区财富大道999号区政府商城办公区（商城国际）五楼政府采购中心开标室。</w:t>
            </w:r>
          </w:p>
        </w:tc>
      </w:tr>
      <w:tr w14:paraId="228FC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3472C557">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8</w:t>
            </w:r>
          </w:p>
        </w:tc>
        <w:tc>
          <w:tcPr>
            <w:tcW w:w="2415" w:type="dxa"/>
            <w:vAlign w:val="center"/>
          </w:tcPr>
          <w:p w14:paraId="55CF93DF">
            <w:pPr>
              <w:spacing w:line="360" w:lineRule="auto"/>
              <w:jc w:val="center"/>
              <w:rPr>
                <w:rFonts w:ascii="宋体" w:hAnsi="宋体" w:cs="宋体"/>
                <w:color w:val="auto"/>
                <w:sz w:val="24"/>
              </w:rPr>
            </w:pPr>
            <w:r>
              <w:rPr>
                <w:rFonts w:hint="eastAsia" w:ascii="宋体" w:hAnsi="宋体" w:cs="宋体"/>
                <w:color w:val="auto"/>
                <w:sz w:val="24"/>
              </w:rPr>
              <w:t>履约保证金</w:t>
            </w:r>
          </w:p>
        </w:tc>
        <w:tc>
          <w:tcPr>
            <w:tcW w:w="7050" w:type="dxa"/>
            <w:vAlign w:val="center"/>
          </w:tcPr>
          <w:p w14:paraId="7177245E">
            <w:pPr>
              <w:spacing w:line="360" w:lineRule="auto"/>
              <w:rPr>
                <w:rFonts w:ascii="宋体" w:hAnsi="宋体" w:cs="宋体" w:eastAsiaTheme="majorEastAsia"/>
                <w:color w:val="auto"/>
                <w:sz w:val="24"/>
              </w:rPr>
            </w:pPr>
            <w:r>
              <w:rPr>
                <w:rFonts w:hint="eastAsia" w:ascii="宋体" w:hAnsi="宋体" w:cs="宋体"/>
                <w:color w:val="auto"/>
                <w:sz w:val="24"/>
              </w:rPr>
              <w:t>本项目履约保证金为合同金额的</w:t>
            </w:r>
            <w:r>
              <w:rPr>
                <w:rFonts w:hint="eastAsia" w:ascii="宋体" w:hAnsi="宋体" w:cs="宋体"/>
                <w:color w:val="auto"/>
                <w:sz w:val="24"/>
                <w:u w:val="single"/>
              </w:rPr>
              <w:t>1</w:t>
            </w:r>
            <w:r>
              <w:rPr>
                <w:rFonts w:hint="eastAsia" w:ascii="宋体" w:hAnsi="宋体" w:cs="宋体"/>
                <w:color w:val="auto"/>
                <w:sz w:val="24"/>
              </w:rPr>
              <w:t>%，</w:t>
            </w:r>
            <w:r>
              <w:rPr>
                <w:rFonts w:hint="eastAsia" w:ascii="宋体" w:hAnsi="宋体" w:cs="Calibri Light"/>
                <w:color w:val="auto"/>
                <w:kern w:val="0"/>
                <w:sz w:val="24"/>
                <w:szCs w:val="22"/>
                <w:lang w:val="zh-CN" w:bidi="ar"/>
              </w:rPr>
              <w:t>履约保证金可以采用现金、转账汇款、金融机构独立保函等形式。项目验收合格后无违约前提下在【一个月】内无息返还该笔款项（如有违约情形的，扣除剩余部分后返还）；采用保函保单等形式的，应保证其有效期超过合同履行期届满后【一个月】。</w:t>
            </w:r>
          </w:p>
        </w:tc>
      </w:tr>
      <w:tr w14:paraId="74AF6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5B7275CB">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9</w:t>
            </w:r>
          </w:p>
        </w:tc>
        <w:tc>
          <w:tcPr>
            <w:tcW w:w="2415" w:type="dxa"/>
            <w:vAlign w:val="center"/>
          </w:tcPr>
          <w:p w14:paraId="3B4EEA49">
            <w:pPr>
              <w:autoSpaceDE w:val="0"/>
              <w:autoSpaceDN w:val="0"/>
              <w:adjustRightInd w:val="0"/>
              <w:spacing w:line="360" w:lineRule="auto"/>
              <w:jc w:val="center"/>
              <w:rPr>
                <w:rFonts w:ascii="宋体" w:hAnsi="宋体" w:cs="宋体"/>
                <w:color w:val="auto"/>
                <w:sz w:val="24"/>
              </w:rPr>
            </w:pPr>
            <w:r>
              <w:rPr>
                <w:rFonts w:hint="eastAsia" w:ascii="宋体" w:hAnsi="宋体" w:cs="宋体"/>
                <w:color w:val="auto"/>
                <w:sz w:val="24"/>
                <w:lang w:val="zh-CN"/>
              </w:rPr>
              <w:t>实质性条款</w:t>
            </w:r>
          </w:p>
        </w:tc>
        <w:tc>
          <w:tcPr>
            <w:tcW w:w="7050" w:type="dxa"/>
            <w:vAlign w:val="center"/>
          </w:tcPr>
          <w:p w14:paraId="268B4659">
            <w:pPr>
              <w:spacing w:line="360" w:lineRule="auto"/>
              <w:rPr>
                <w:rFonts w:ascii="宋体" w:hAnsi="宋体" w:cs="宋体"/>
                <w:color w:val="auto"/>
                <w:sz w:val="24"/>
              </w:rPr>
            </w:pPr>
            <w:r>
              <w:rPr>
                <w:rFonts w:hint="eastAsia" w:ascii="宋体" w:hAnsi="宋体" w:cs="宋体"/>
                <w:color w:val="auto"/>
                <w:sz w:val="24"/>
                <w:lang w:val="zh-CN"/>
              </w:rPr>
              <w:t>带“</w:t>
            </w:r>
            <w:r>
              <w:rPr>
                <w:rFonts w:hint="eastAsia" w:ascii="宋体" w:hAnsi="宋体" w:cs="宋体"/>
                <w:color w:val="auto"/>
                <w:sz w:val="24"/>
              </w:rPr>
              <w:t>▲”的条款是实质性条款，投标文件须作出实质性响应，否则作无效投标处理。</w:t>
            </w:r>
          </w:p>
        </w:tc>
      </w:tr>
      <w:tr w14:paraId="5F6B7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2033993B">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10</w:t>
            </w:r>
          </w:p>
        </w:tc>
        <w:tc>
          <w:tcPr>
            <w:tcW w:w="2415" w:type="dxa"/>
            <w:vAlign w:val="center"/>
          </w:tcPr>
          <w:p w14:paraId="3201AAA2">
            <w:pPr>
              <w:shd w:val="clear" w:color="auto" w:fill="auto"/>
              <w:autoSpaceDE w:val="0"/>
              <w:autoSpaceDN w:val="0"/>
              <w:adjustRightInd w:val="0"/>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highlight w:val="none"/>
                <w:lang w:val="zh-CN"/>
              </w:rPr>
              <w:t>是否提供样品及演示</w:t>
            </w:r>
          </w:p>
        </w:tc>
        <w:tc>
          <w:tcPr>
            <w:tcW w:w="7050" w:type="dxa"/>
            <w:vAlign w:val="center"/>
          </w:tcPr>
          <w:p w14:paraId="56A3AF53">
            <w:pPr>
              <w:shd w:val="clear" w:color="auto" w:fill="auto"/>
              <w:autoSpaceDE w:val="0"/>
              <w:autoSpaceDN w:val="0"/>
              <w:adjustRightInd w:val="0"/>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highlight w:val="none"/>
                <w:lang w:val="en-US" w:eastAsia="zh-CN"/>
              </w:rPr>
              <w:t>否</w:t>
            </w:r>
            <w:r>
              <w:rPr>
                <w:rFonts w:hint="eastAsia" w:ascii="宋体" w:hAnsi="宋体" w:eastAsia="宋体" w:cs="宋体"/>
                <w:color w:val="auto"/>
                <w:sz w:val="24"/>
                <w:highlight w:val="none"/>
                <w:lang w:val="zh-CN"/>
              </w:rPr>
              <w:t>。</w:t>
            </w:r>
          </w:p>
        </w:tc>
      </w:tr>
      <w:tr w14:paraId="7725F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7CF89A80">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lang w:val="en-US" w:eastAsia="zh-CN"/>
              </w:rPr>
              <w:t>11</w:t>
            </w:r>
          </w:p>
        </w:tc>
        <w:tc>
          <w:tcPr>
            <w:tcW w:w="2415" w:type="dxa"/>
            <w:vAlign w:val="center"/>
          </w:tcPr>
          <w:p w14:paraId="6B39E250">
            <w:pPr>
              <w:shd w:val="clear" w:color="auto" w:fill="auto"/>
              <w:spacing w:line="400" w:lineRule="exact"/>
              <w:jc w:val="center"/>
              <w:rPr>
                <w:rFonts w:hint="eastAsia"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rPr>
              <w:t>节能环保</w:t>
            </w:r>
          </w:p>
        </w:tc>
        <w:tc>
          <w:tcPr>
            <w:tcW w:w="7050" w:type="dxa"/>
            <w:vAlign w:val="center"/>
          </w:tcPr>
          <w:p w14:paraId="56BAEDCD">
            <w:pPr>
              <w:shd w:val="clear" w:color="auto" w:fil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符合国家相关法律规定。</w:t>
            </w:r>
          </w:p>
        </w:tc>
      </w:tr>
      <w:tr w14:paraId="22F3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shd w:val="clear" w:color="auto" w:fill="auto"/>
            <w:vAlign w:val="center"/>
          </w:tcPr>
          <w:p w14:paraId="4ABDFF20">
            <w:pPr>
              <w:spacing w:line="360" w:lineRule="auto"/>
              <w:jc w:val="center"/>
              <w:rPr>
                <w:rFonts w:hint="default" w:ascii="宋体" w:hAnsi="宋体" w:eastAsia="宋体" w:cs="宋体"/>
                <w:color w:val="auto"/>
                <w:kern w:val="2"/>
                <w:sz w:val="24"/>
                <w:szCs w:val="24"/>
                <w:lang w:val="en-US" w:eastAsia="zh-CN" w:bidi="ar-SA"/>
              </w:rPr>
            </w:pPr>
            <w:r>
              <w:rPr>
                <w:rFonts w:hint="eastAsia" w:ascii="宋体" w:hAnsi="宋体" w:cs="宋体"/>
                <w:color w:val="auto"/>
                <w:sz w:val="24"/>
                <w:lang w:val="en-US" w:eastAsia="zh-CN"/>
              </w:rPr>
              <w:t>12</w:t>
            </w:r>
          </w:p>
        </w:tc>
        <w:tc>
          <w:tcPr>
            <w:tcW w:w="2415" w:type="dxa"/>
            <w:vAlign w:val="center"/>
          </w:tcPr>
          <w:p w14:paraId="59B04755">
            <w:pPr>
              <w:spacing w:line="240" w:lineRule="auto"/>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highlight w:val="none"/>
              </w:rPr>
              <w:t>是否专门面向中小微企业采购</w:t>
            </w:r>
          </w:p>
        </w:tc>
        <w:tc>
          <w:tcPr>
            <w:tcW w:w="7050" w:type="dxa"/>
            <w:vAlign w:val="center"/>
          </w:tcPr>
          <w:p w14:paraId="6E534989">
            <w:pPr>
              <w:spacing w:line="24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是</w:t>
            </w:r>
          </w:p>
          <w:p w14:paraId="3E4E1927">
            <w:pPr>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sym w:font="Wingdings 2" w:char="00A3"/>
            </w:r>
            <w:r>
              <w:rPr>
                <w:rFonts w:hint="eastAsia" w:ascii="宋体" w:hAnsi="宋体" w:eastAsia="宋体" w:cs="宋体"/>
                <w:color w:val="auto"/>
                <w:sz w:val="24"/>
                <w:highlight w:val="none"/>
              </w:rPr>
              <w:t>否</w:t>
            </w:r>
          </w:p>
        </w:tc>
      </w:tr>
      <w:tr w14:paraId="713A4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shd w:val="clear" w:color="auto" w:fill="auto"/>
            <w:vAlign w:val="center"/>
          </w:tcPr>
          <w:p w14:paraId="0FC272D9">
            <w:pPr>
              <w:spacing w:line="360" w:lineRule="auto"/>
              <w:jc w:val="center"/>
              <w:rPr>
                <w:rFonts w:hint="default" w:ascii="宋体" w:hAnsi="宋体" w:eastAsia="宋体" w:cs="宋体"/>
                <w:color w:val="auto"/>
                <w:kern w:val="2"/>
                <w:sz w:val="24"/>
                <w:szCs w:val="24"/>
                <w:lang w:val="en-US" w:eastAsia="zh-CN" w:bidi="ar-SA"/>
              </w:rPr>
            </w:pPr>
            <w:r>
              <w:rPr>
                <w:rFonts w:hint="eastAsia" w:ascii="宋体" w:hAnsi="宋体" w:cs="宋体"/>
                <w:color w:val="auto"/>
                <w:sz w:val="24"/>
              </w:rPr>
              <w:t>1</w:t>
            </w:r>
            <w:r>
              <w:rPr>
                <w:rFonts w:hint="eastAsia" w:ascii="宋体" w:hAnsi="宋体" w:cs="宋体"/>
                <w:color w:val="auto"/>
                <w:sz w:val="24"/>
                <w:lang w:val="en-US" w:eastAsia="zh-CN"/>
              </w:rPr>
              <w:t>3</w:t>
            </w:r>
          </w:p>
        </w:tc>
        <w:tc>
          <w:tcPr>
            <w:tcW w:w="2415" w:type="dxa"/>
            <w:tcBorders>
              <w:top w:val="single" w:color="auto" w:sz="4" w:space="0"/>
              <w:left w:val="single" w:color="auto" w:sz="4" w:space="0"/>
              <w:bottom w:val="single" w:color="auto" w:sz="4" w:space="0"/>
              <w:right w:val="single" w:color="auto" w:sz="4" w:space="0"/>
            </w:tcBorders>
            <w:vAlign w:val="center"/>
          </w:tcPr>
          <w:p w14:paraId="59E22BA9">
            <w:pPr>
              <w:spacing w:line="360" w:lineRule="auto"/>
              <w:jc w:val="center"/>
              <w:rPr>
                <w:rFonts w:ascii="宋体" w:hAnsi="宋体" w:eastAsia="宋体" w:cs="宋体"/>
                <w:color w:val="auto"/>
                <w:kern w:val="2"/>
                <w:sz w:val="24"/>
                <w:szCs w:val="24"/>
                <w:lang w:val="en-US" w:eastAsia="zh-CN" w:bidi="ar-SA"/>
              </w:rPr>
            </w:pPr>
            <w:r>
              <w:rPr>
                <w:rFonts w:hint="eastAsia" w:ascii="宋体" w:hAnsi="宋体" w:cs="宋体"/>
                <w:color w:val="auto"/>
                <w:sz w:val="24"/>
              </w:rPr>
              <w:t>解释权</w:t>
            </w:r>
          </w:p>
        </w:tc>
        <w:tc>
          <w:tcPr>
            <w:tcW w:w="7050" w:type="dxa"/>
            <w:tcBorders>
              <w:top w:val="single" w:color="auto" w:sz="4" w:space="0"/>
              <w:left w:val="single" w:color="auto" w:sz="4" w:space="0"/>
              <w:bottom w:val="single" w:color="auto" w:sz="4" w:space="0"/>
              <w:right w:val="single" w:color="auto" w:sz="4" w:space="0"/>
            </w:tcBorders>
            <w:vAlign w:val="center"/>
          </w:tcPr>
          <w:p w14:paraId="6C95909C">
            <w:pPr>
              <w:spacing w:line="360" w:lineRule="auto"/>
              <w:rPr>
                <w:rFonts w:ascii="宋体" w:hAnsi="宋体" w:eastAsia="宋体" w:cs="宋体"/>
                <w:color w:val="auto"/>
                <w:kern w:val="2"/>
                <w:sz w:val="24"/>
                <w:szCs w:val="24"/>
                <w:lang w:val="en-US" w:eastAsia="zh-CN" w:bidi="ar-SA"/>
              </w:rPr>
            </w:pPr>
            <w:r>
              <w:rPr>
                <w:rFonts w:hint="eastAsia" w:ascii="宋体" w:hAnsi="宋体" w:cs="宋体"/>
                <w:color w:val="auto"/>
                <w:sz w:val="24"/>
              </w:rPr>
              <w:t>本招标文件解释权属于采购人和</w:t>
            </w:r>
            <w:r>
              <w:rPr>
                <w:rFonts w:hint="eastAsia" w:ascii="宋体" w:hAnsi="宋体" w:cs="宋体"/>
                <w:color w:val="auto"/>
                <w:sz w:val="24"/>
                <w:lang w:eastAsia="zh-CN"/>
              </w:rPr>
              <w:t>台州市建设咨询有限公司</w:t>
            </w:r>
            <w:r>
              <w:rPr>
                <w:rFonts w:hint="eastAsia" w:ascii="宋体" w:hAnsi="宋体" w:cs="宋体"/>
                <w:color w:val="auto"/>
                <w:sz w:val="24"/>
              </w:rPr>
              <w:t>。</w:t>
            </w:r>
          </w:p>
        </w:tc>
      </w:tr>
      <w:tr w14:paraId="10E2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5FCFA1C5">
            <w:pPr>
              <w:spacing w:line="360" w:lineRule="auto"/>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4</w:t>
            </w:r>
          </w:p>
        </w:tc>
        <w:tc>
          <w:tcPr>
            <w:tcW w:w="2415" w:type="dxa"/>
            <w:tcBorders>
              <w:top w:val="single" w:color="auto" w:sz="4" w:space="0"/>
              <w:left w:val="single" w:color="auto" w:sz="4" w:space="0"/>
              <w:bottom w:val="single" w:color="auto" w:sz="4" w:space="0"/>
              <w:right w:val="single" w:color="auto" w:sz="4" w:space="0"/>
            </w:tcBorders>
            <w:vAlign w:val="center"/>
          </w:tcPr>
          <w:p w14:paraId="65BCA54D">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lang w:val="en-US" w:eastAsia="zh-CN"/>
              </w:rPr>
              <w:t>其他</w:t>
            </w:r>
          </w:p>
        </w:tc>
        <w:tc>
          <w:tcPr>
            <w:tcW w:w="7050" w:type="dxa"/>
            <w:tcBorders>
              <w:top w:val="single" w:color="auto" w:sz="4" w:space="0"/>
              <w:left w:val="single" w:color="auto" w:sz="4" w:space="0"/>
              <w:bottom w:val="single" w:color="auto" w:sz="4" w:space="0"/>
              <w:right w:val="single" w:color="auto" w:sz="4" w:space="0"/>
            </w:tcBorders>
            <w:vAlign w:val="center"/>
          </w:tcPr>
          <w:p w14:paraId="5645A40B">
            <w:pPr>
              <w:rPr>
                <w:rStyle w:val="114"/>
                <w:rFonts w:hint="eastAsia" w:ascii="宋体" w:hAnsi="宋体" w:eastAsia="宋体"/>
                <w:color w:val="000000" w:themeColor="text1"/>
                <w:sz w:val="24"/>
                <w:highlight w:val="none"/>
                <w:lang w:eastAsia="zh-CN"/>
                <w14:textFill>
                  <w14:solidFill>
                    <w14:schemeClr w14:val="tx1"/>
                  </w14:solidFill>
                </w14:textFill>
              </w:rPr>
            </w:pPr>
            <w:r>
              <w:rPr>
                <w:rStyle w:val="114"/>
                <w:rFonts w:ascii="宋体" w:hAnsi="宋体"/>
                <w:color w:val="000000" w:themeColor="text1"/>
                <w:sz w:val="24"/>
                <w:highlight w:val="none"/>
                <w14:textFill>
                  <w14:solidFill>
                    <w14:schemeClr w14:val="tx1"/>
                  </w14:solidFill>
                </w14:textFill>
              </w:rPr>
              <w:t>1、各供应商自行在浙江政府采购网下载或查阅采购文件和相关更正公告等，不另行通知，如有遗漏采购人、采购代理机构概不负责。</w:t>
            </w:r>
          </w:p>
          <w:p w14:paraId="267DE91C">
            <w:pPr>
              <w:spacing w:line="360" w:lineRule="auto"/>
              <w:rPr>
                <w:rFonts w:ascii="宋体" w:hAnsi="宋体" w:eastAsia="宋体" w:cs="宋体"/>
                <w:color w:val="auto"/>
                <w:kern w:val="2"/>
                <w:sz w:val="24"/>
                <w:szCs w:val="24"/>
                <w:lang w:val="en-US" w:eastAsia="zh-CN" w:bidi="ar-SA"/>
              </w:rPr>
            </w:pPr>
            <w:r>
              <w:rPr>
                <w:rStyle w:val="114"/>
                <w:rFonts w:ascii="宋体" w:hAnsi="宋体"/>
                <w:color w:val="000000" w:themeColor="text1"/>
                <w:sz w:val="24"/>
                <w:highlight w:val="none"/>
                <w14:textFill>
                  <w14:solidFill>
                    <w14:schemeClr w14:val="tx1"/>
                  </w14:solidFill>
                </w14:textFill>
              </w:rPr>
              <w:t>2、两家或两家以上供应商提供的投标文件出自同一终端设备的，或在相同Internet主机分配地址（相同IP地址）报名或网上投标的，后果由供应商自行承担。</w:t>
            </w:r>
          </w:p>
        </w:tc>
      </w:tr>
    </w:tbl>
    <w:p w14:paraId="59A1C2B1">
      <w:pPr>
        <w:snapToGrid w:val="0"/>
        <w:spacing w:line="360" w:lineRule="auto"/>
        <w:jc w:val="left"/>
        <w:rPr>
          <w:rFonts w:ascii="宋体" w:hAnsi="宋体"/>
          <w:b/>
          <w:color w:val="auto"/>
          <w:sz w:val="24"/>
          <w:highlight w:val="none"/>
        </w:rPr>
      </w:pPr>
      <w:r>
        <w:rPr>
          <w:rFonts w:hint="eastAsia" w:ascii="宋体" w:hAnsi="宋体"/>
          <w:b/>
          <w:color w:val="auto"/>
          <w:sz w:val="24"/>
          <w:highlight w:val="none"/>
        </w:rPr>
        <w:t>备注：前附表内容与正文内容不一致的，应以前附表的规定为准。</w:t>
      </w:r>
    </w:p>
    <w:p w14:paraId="71D46DA7">
      <w:pPr>
        <w:rPr>
          <w:rFonts w:ascii="宋体" w:hAnsi="宋体" w:cs="宋体"/>
          <w:color w:val="auto"/>
          <w:sz w:val="24"/>
          <w:highlight w:val="none"/>
        </w:rPr>
      </w:pPr>
      <w:r>
        <w:rPr>
          <w:rFonts w:ascii="宋体" w:hAnsi="宋体" w:cs="宋体"/>
          <w:color w:val="auto"/>
          <w:sz w:val="24"/>
          <w:highlight w:val="none"/>
        </w:rPr>
        <w:br w:type="page"/>
      </w:r>
    </w:p>
    <w:p w14:paraId="117AA86A">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一、总则</w:t>
      </w:r>
    </w:p>
    <w:p w14:paraId="3ABBDA41">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（一）适用范围</w:t>
      </w:r>
    </w:p>
    <w:p w14:paraId="2A3F4CE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本招标文件适用于本次项目的招标、投标、评标、定标、验收、合同履约、付款等行为（法律、法规另有规定的，从其规定）。</w:t>
      </w:r>
    </w:p>
    <w:p w14:paraId="1BFDF8FF">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（二）定义</w:t>
      </w:r>
    </w:p>
    <w:p w14:paraId="14BD19E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zh-CN"/>
        </w:rPr>
        <w:t>“采购组织机构”指采购人委托组织招标的采购代理机构。</w:t>
      </w:r>
    </w:p>
    <w:p w14:paraId="5F94737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2、采购人：是指委托采购代理机构采购本次项目的国家机关、事业单位和团体组织。</w:t>
      </w:r>
    </w:p>
    <w:p w14:paraId="27D46D1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3、投标人：是指向采购</w:t>
      </w:r>
      <w:r>
        <w:rPr>
          <w:rFonts w:hint="eastAsia" w:ascii="宋体" w:hAnsi="宋体" w:cs="宋体"/>
          <w:color w:val="auto"/>
          <w:sz w:val="24"/>
          <w:szCs w:val="32"/>
          <w:highlight w:val="none"/>
          <w:lang w:val="zh-CN"/>
        </w:rPr>
        <w:t>组织</w:t>
      </w:r>
      <w:r>
        <w:rPr>
          <w:rFonts w:hint="eastAsia" w:ascii="宋体" w:hAnsi="宋体" w:cs="宋体"/>
          <w:color w:val="auto"/>
          <w:sz w:val="24"/>
          <w:szCs w:val="32"/>
          <w:highlight w:val="none"/>
        </w:rPr>
        <w:t>机构提交投标文件的单位或个人。</w:t>
      </w:r>
    </w:p>
    <w:p w14:paraId="51E16DD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4、货物：是指各种形态和种类的物品，包括原材料、燃料、设备、产品等。</w:t>
      </w:r>
    </w:p>
    <w:p w14:paraId="2584A10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5、服务：是指除货物和工程以外的政府采购对象，包括各类专业服务、信息网络开发服务、金融保险服务、运输服务，以及维修与维护服务等。</w:t>
      </w:r>
    </w:p>
    <w:p w14:paraId="5419484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6、“书面形式”包括信函、传真等。</w:t>
      </w:r>
    </w:p>
    <w:p w14:paraId="3A395F4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7、“▲”系指实质性要求条款。</w:t>
      </w:r>
    </w:p>
    <w:p w14:paraId="64ADBBB6">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（三）投标费用</w:t>
      </w:r>
    </w:p>
    <w:p w14:paraId="729A1CE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不论投标结果如何，投标人均应自行承担所有与投标有关的全部费用（招标文件有相关规定除外）。</w:t>
      </w:r>
    </w:p>
    <w:p w14:paraId="23D887EC">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（四）特别说明</w:t>
      </w:r>
    </w:p>
    <w:p w14:paraId="1124D724">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auto"/>
          <w:sz w:val="24"/>
          <w:szCs w:val="32"/>
          <w:highlight w:val="none"/>
        </w:rPr>
        <w:tab/>
      </w:r>
    </w:p>
    <w:p w14:paraId="1430516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4995966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3、投标人不得相互串通投标报价，不得妨碍其他投标人的公平竞争，不得损害采购人或其他投标人的合法权益，投标人不得以向采购人、评标委员会成员行贿或者采取其他不正当手段谋取中标。</w:t>
      </w:r>
    </w:p>
    <w:p w14:paraId="482463D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5、为采购项目提供整体设计、规范编制或者项目管理、监理、检测等服务的供应商，不得再参加该采购项目的其他采购活动。</w:t>
      </w:r>
    </w:p>
    <w:p w14:paraId="4333DAD6">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6、投标文件格式中的表格式样可以根据项目差别做适当调整,但应当保持表格样式基本形态不变。</w:t>
      </w:r>
    </w:p>
    <w:p w14:paraId="0FA9EE4C">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7、单位负责人为同一人或者存在直接控股、管理关系的不同供应商，不得参加同一合同项下的政府采购活动。电子交易平台运营机构，以及与该机构有直接控股或者管理关系可能影响采购公正性的任何单位和个人，不得在该平台进行的政府采购项目电子交易中投标、响应和代理政府采购项目。</w:t>
      </w:r>
    </w:p>
    <w:p w14:paraId="5AF86505">
      <w:pPr>
        <w:pStyle w:val="109"/>
        <w:widowControl/>
        <w:snapToGrid w:val="0"/>
        <w:spacing w:line="360" w:lineRule="auto"/>
        <w:ind w:firstLineChars="0"/>
        <w:rPr>
          <w:rFonts w:hint="eastAsia" w:ascii="宋体" w:hAnsi="宋体" w:eastAsia="宋体" w:cs="宋体"/>
          <w:color w:val="auto"/>
          <w:sz w:val="24"/>
          <w:szCs w:val="24"/>
          <w:highlight w:val="none"/>
          <w:lang w:eastAsia="zh-CN"/>
        </w:rPr>
      </w:pPr>
      <w:r>
        <w:rPr>
          <w:rFonts w:hint="eastAsia" w:ascii="宋体" w:hAnsi="宋体"/>
          <w:color w:val="auto"/>
          <w:sz w:val="24"/>
          <w:highlight w:val="none"/>
        </w:rPr>
        <w:t>8、</w:t>
      </w:r>
      <w:r>
        <w:rPr>
          <w:rFonts w:hint="eastAsia" w:ascii="宋体" w:hAnsi="宋体" w:eastAsia="宋体" w:cs="宋体"/>
          <w:color w:val="auto"/>
          <w:sz w:val="24"/>
          <w:szCs w:val="24"/>
          <w:highlight w:val="none"/>
        </w:rPr>
        <w:t>投标人在参与政府采购活动中所签署的一切文件，包括但不限于签到表、《政府采购活动现场确认声明书》等文件，特别是有关利害关系应如实填写、如实披露，投标人授权参与政府采购的人员视为应当知道与招标人、其他投标人之间的利害关系。如未如实披露，则视为提供虚假材料，由投标人承担不利后果</w:t>
      </w:r>
      <w:r>
        <w:rPr>
          <w:rFonts w:hint="eastAsia" w:ascii="宋体" w:hAnsi="宋体" w:eastAsia="宋体" w:cs="宋体"/>
          <w:color w:val="auto"/>
          <w:sz w:val="24"/>
          <w:szCs w:val="24"/>
          <w:highlight w:val="none"/>
          <w:lang w:eastAsia="zh-CN"/>
        </w:rPr>
        <w:t>。</w:t>
      </w:r>
    </w:p>
    <w:p w14:paraId="249A4978">
      <w:pPr>
        <w:spacing w:line="360" w:lineRule="auto"/>
        <w:ind w:firstLine="480" w:firstLineChars="200"/>
        <w:rPr>
          <w:rFonts w:ascii="宋体" w:hAnsi="宋体"/>
          <w:color w:val="auto"/>
          <w:sz w:val="24"/>
          <w:highlight w:val="none"/>
        </w:rPr>
      </w:pPr>
      <w:r>
        <w:rPr>
          <w:rFonts w:ascii="宋体" w:hAnsi="宋体"/>
          <w:color w:val="auto"/>
          <w:sz w:val="24"/>
          <w:highlight w:val="none"/>
        </w:rPr>
        <w:t>9</w:t>
      </w:r>
      <w:r>
        <w:rPr>
          <w:rFonts w:hint="eastAsia" w:ascii="宋体" w:hAnsi="宋体"/>
          <w:color w:val="auto"/>
          <w:sz w:val="24"/>
          <w:highlight w:val="none"/>
        </w:rPr>
        <w:t>、本项目不允许转包。</w:t>
      </w:r>
    </w:p>
    <w:p w14:paraId="2424704C">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二、招标文件</w:t>
      </w:r>
    </w:p>
    <w:p w14:paraId="64EEE66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（一）招标文件由招标文件总目录所列内容组成。</w:t>
      </w:r>
    </w:p>
    <w:p w14:paraId="44049E1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（二）招标文件的澄清或修改</w:t>
      </w:r>
    </w:p>
    <w:p w14:paraId="672D0B4A">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w:t>
      </w:r>
    </w:p>
    <w:p w14:paraId="1446BF7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1EC31E52">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三、投标文件</w:t>
      </w:r>
    </w:p>
    <w:p w14:paraId="06C0D724">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lang w:val="zh-CN"/>
        </w:rPr>
        <w:t>（一）</w:t>
      </w:r>
      <w:r>
        <w:rPr>
          <w:rFonts w:hint="eastAsia" w:ascii="宋体" w:hAnsi="宋体" w:cs="宋体"/>
          <w:b/>
          <w:bCs/>
          <w:color w:val="auto"/>
          <w:sz w:val="24"/>
          <w:szCs w:val="32"/>
          <w:highlight w:val="none"/>
        </w:rPr>
        <w:t>投标文件的组成</w:t>
      </w:r>
    </w:p>
    <w:p w14:paraId="7E4B1514">
      <w:pPr>
        <w:spacing w:line="360" w:lineRule="auto"/>
        <w:ind w:firstLine="482" w:firstLineChars="200"/>
        <w:rPr>
          <w:rFonts w:ascii="宋体" w:hAnsi="宋体" w:cs="宋体"/>
          <w:color w:val="auto"/>
          <w:sz w:val="24"/>
          <w:szCs w:val="32"/>
          <w:highlight w:val="none"/>
          <w:lang w:val="zh-CN"/>
        </w:rPr>
      </w:pPr>
      <w:r>
        <w:rPr>
          <w:rFonts w:hint="eastAsia" w:ascii="宋体" w:hAnsi="宋体" w:cs="宋体"/>
          <w:b/>
          <w:bCs/>
          <w:color w:val="auto"/>
          <w:sz w:val="24"/>
          <w:highlight w:val="none"/>
        </w:rPr>
        <w:t>投标文件由资格及商务技术文件和报价文件组成。</w:t>
      </w:r>
      <w:r>
        <w:rPr>
          <w:rFonts w:hint="eastAsia" w:ascii="宋体" w:hAnsi="宋体" w:cs="宋体"/>
          <w:color w:val="auto"/>
          <w:sz w:val="24"/>
          <w:szCs w:val="32"/>
          <w:highlight w:val="none"/>
          <w:lang w:val="zh-CN"/>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14:paraId="66F09F2A">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1、资格及商务技术文件的组成</w:t>
      </w:r>
    </w:p>
    <w:p w14:paraId="52E00D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资格及商务技术文件由资格证明文件、商务与技术文件两部分内容组成。</w:t>
      </w:r>
    </w:p>
    <w:p w14:paraId="0002F296">
      <w:pPr>
        <w:snapToGrid w:val="0"/>
        <w:spacing w:line="360" w:lineRule="auto"/>
        <w:ind w:firstLine="442" w:firstLineChars="200"/>
        <w:rPr>
          <w:rFonts w:ascii="宋体" w:hAnsi="宋体"/>
          <w:color w:val="auto"/>
          <w:sz w:val="22"/>
          <w:szCs w:val="22"/>
          <w:highlight w:val="none"/>
        </w:rPr>
      </w:pPr>
      <w:r>
        <w:rPr>
          <w:rFonts w:hint="eastAsia" w:ascii="宋体" w:hAnsi="宋体"/>
          <w:b/>
          <w:color w:val="auto"/>
          <w:sz w:val="22"/>
          <w:szCs w:val="22"/>
          <w:highlight w:val="none"/>
        </w:rPr>
        <w:t>第一部分资格证明</w:t>
      </w:r>
      <w:r>
        <w:rPr>
          <w:rFonts w:ascii="宋体" w:hAnsi="宋体"/>
          <w:b/>
          <w:color w:val="auto"/>
          <w:sz w:val="22"/>
          <w:szCs w:val="22"/>
          <w:highlight w:val="none"/>
        </w:rPr>
        <w:t>文件</w:t>
      </w:r>
      <w:r>
        <w:rPr>
          <w:rFonts w:hint="eastAsia" w:ascii="宋体" w:hAnsi="宋体"/>
          <w:b/>
          <w:color w:val="auto"/>
          <w:sz w:val="22"/>
          <w:szCs w:val="22"/>
          <w:highlight w:val="none"/>
        </w:rPr>
        <w:t>的组成：</w:t>
      </w:r>
    </w:p>
    <w:p w14:paraId="766287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（1）投标声明书；</w:t>
      </w:r>
    </w:p>
    <w:p w14:paraId="1A104C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（2）授权委托书（</w:t>
      </w:r>
      <w:r>
        <w:rPr>
          <w:rFonts w:hint="eastAsia" w:ascii="宋体" w:hAnsi="宋体" w:cs="宋体"/>
          <w:color w:val="auto"/>
          <w:sz w:val="24"/>
          <w:szCs w:val="32"/>
          <w:highlight w:val="none"/>
        </w:rPr>
        <w:t>法定代表人亲自办理投标事宜的，则无需提交</w:t>
      </w:r>
      <w:r>
        <w:rPr>
          <w:rFonts w:hint="eastAsia" w:ascii="宋体" w:hAnsi="宋体" w:cs="宋体"/>
          <w:color w:val="auto"/>
          <w:sz w:val="24"/>
          <w:highlight w:val="none"/>
        </w:rPr>
        <w:t>)；</w:t>
      </w:r>
    </w:p>
    <w:p w14:paraId="4018C1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（3）法人或者其他组织、自然人的营业执照等证明文件；</w:t>
      </w:r>
    </w:p>
    <w:p w14:paraId="52BA46E4">
      <w:pPr>
        <w:spacing w:line="360" w:lineRule="auto"/>
        <w:ind w:firstLine="480" w:firstLineChars="200"/>
        <w:rPr>
          <w:rFonts w:ascii="宋体" w:hAnsi="宋体" w:cs="宋体"/>
          <w:color w:val="auto"/>
          <w:sz w:val="24"/>
          <w:highlight w:val="none"/>
          <w:lang w:bidi="ar"/>
        </w:rPr>
      </w:pPr>
      <w:r>
        <w:rPr>
          <w:rFonts w:hint="eastAsia" w:ascii="宋体" w:hAnsi="宋体" w:cs="宋体"/>
          <w:color w:val="auto"/>
          <w:sz w:val="24"/>
          <w:highlight w:val="none"/>
        </w:rPr>
        <w:t>（4）</w:t>
      </w:r>
      <w:r>
        <w:rPr>
          <w:rFonts w:hint="eastAsia" w:ascii="宋体" w:hAnsi="宋体" w:cs="Arial"/>
          <w:color w:val="auto"/>
          <w:sz w:val="24"/>
          <w:highlight w:val="none"/>
        </w:rPr>
        <w:t>符合参与政府采购活动的资格条件、具备良好的商业信誉和健全的财务会计制度并且没有税收缴纳、社会保障等方面的失信记录的承诺函</w:t>
      </w:r>
      <w:r>
        <w:rPr>
          <w:rFonts w:hint="eastAsia" w:ascii="宋体" w:hAnsi="宋体" w:cs="Arial"/>
          <w:color w:val="auto"/>
          <w:sz w:val="24"/>
          <w:highlight w:val="none"/>
          <w:lang w:val="en-US" w:eastAsia="zh-CN"/>
        </w:rPr>
        <w:t>、</w:t>
      </w:r>
      <w:r>
        <w:rPr>
          <w:rFonts w:hint="eastAsia" w:ascii="宋体" w:hAnsi="宋体" w:cs="宋体"/>
          <w:color w:val="auto"/>
          <w:sz w:val="24"/>
          <w:highlight w:val="none"/>
          <w:lang w:bidi="ar"/>
        </w:rPr>
        <w:t>具备履行合同所必需的设备和专业技术能力的承诺函；</w:t>
      </w:r>
    </w:p>
    <w:p w14:paraId="687FBFB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）提供采购公告中符合供应商特定条件的有效资质证书复印件（投标供应商特定条件中有要求的必须提供），以及需要说明的其他资料；</w:t>
      </w:r>
    </w:p>
    <w:p w14:paraId="4CA4868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）落实政府采购政策需满足资格要求声明函等[提供中小企业声明函（格式见附件）或残疾人福利性单位声明函（格式见附件）或监狱企业证明文件]</w:t>
      </w:r>
    </w:p>
    <w:p w14:paraId="42E3C91C">
      <w:pPr>
        <w:snapToGrid w:val="0"/>
        <w:spacing w:line="360" w:lineRule="auto"/>
        <w:ind w:firstLine="442" w:firstLineChars="200"/>
        <w:rPr>
          <w:rFonts w:ascii="宋体" w:hAnsi="宋体" w:cs="宋体"/>
          <w:color w:val="auto"/>
          <w:sz w:val="22"/>
          <w:szCs w:val="22"/>
          <w:highlight w:val="none"/>
          <w:u w:val="single"/>
        </w:rPr>
      </w:pPr>
      <w:r>
        <w:rPr>
          <w:rFonts w:hint="eastAsia" w:ascii="宋体" w:hAnsi="宋体"/>
          <w:b/>
          <w:color w:val="auto"/>
          <w:sz w:val="22"/>
          <w:szCs w:val="22"/>
          <w:highlight w:val="none"/>
        </w:rPr>
        <w:t>第二部分商务与技术文件的组成：</w:t>
      </w:r>
    </w:p>
    <w:p w14:paraId="26AE0ED8">
      <w:pPr>
        <w:pStyle w:val="16"/>
        <w:rPr>
          <w:rFonts w:ascii="宋体" w:hAnsi="宋体" w:cs="宋体"/>
          <w:color w:val="auto"/>
          <w:sz w:val="24"/>
          <w:highlight w:val="none"/>
        </w:rPr>
      </w:pPr>
      <w:r>
        <w:rPr>
          <w:rFonts w:hint="eastAsia" w:ascii="宋体" w:hAnsi="宋体" w:cs="宋体"/>
          <w:color w:val="auto"/>
          <w:sz w:val="24"/>
          <w:highlight w:val="none"/>
        </w:rPr>
        <w:t>（1）评标索引（格式自拟）</w:t>
      </w:r>
    </w:p>
    <w:p w14:paraId="549D75AB">
      <w:pPr>
        <w:pStyle w:val="16"/>
        <w:rPr>
          <w:rFonts w:ascii="宋体" w:hAnsi="宋体" w:cs="宋体"/>
          <w:color w:val="auto"/>
          <w:sz w:val="24"/>
          <w:highlight w:val="none"/>
        </w:rPr>
      </w:pPr>
      <w:r>
        <w:rPr>
          <w:rFonts w:hint="eastAsia" w:ascii="宋体" w:hAnsi="宋体" w:cs="宋体"/>
          <w:color w:val="auto"/>
          <w:sz w:val="24"/>
          <w:highlight w:val="none"/>
        </w:rPr>
        <w:t>（2）投标人基本情况表</w:t>
      </w:r>
    </w:p>
    <w:p w14:paraId="1D4B54C0">
      <w:pPr>
        <w:pStyle w:val="16"/>
        <w:rPr>
          <w:rFonts w:hint="eastAsia" w:ascii="宋体" w:hAnsi="宋体" w:eastAsia="宋体" w:cs="宋体"/>
          <w:color w:val="auto"/>
          <w:sz w:val="24"/>
          <w:highlight w:val="none"/>
          <w:lang w:eastAsia="zh-CN"/>
        </w:rPr>
      </w:pPr>
      <w:r>
        <w:rPr>
          <w:rFonts w:hint="eastAsia" w:ascii="宋体" w:hAnsi="宋体" w:cs="宋体"/>
          <w:color w:val="auto"/>
          <w:sz w:val="24"/>
          <w:highlight w:val="none"/>
        </w:rPr>
        <w:t>（3）项目实施人员一览表</w:t>
      </w:r>
    </w:p>
    <w:p w14:paraId="230D42B3">
      <w:pPr>
        <w:pStyle w:val="16"/>
        <w:rPr>
          <w:rFonts w:hint="eastAsia" w:ascii="宋体" w:hAnsi="宋体" w:eastAsia="宋体" w:cs="宋体"/>
          <w:color w:val="auto"/>
          <w:sz w:val="24"/>
          <w:highlight w:val="none"/>
          <w:lang w:eastAsia="zh-CN"/>
        </w:rPr>
      </w:pPr>
      <w:r>
        <w:rPr>
          <w:rFonts w:hint="eastAsia" w:ascii="宋体" w:hAnsi="宋体" w:cs="宋体"/>
          <w:color w:val="auto"/>
          <w:sz w:val="24"/>
          <w:highlight w:val="none"/>
        </w:rPr>
        <w:t>（4）技术需求响应表</w:t>
      </w:r>
    </w:p>
    <w:p w14:paraId="79A87EB8">
      <w:pPr>
        <w:pStyle w:val="16"/>
        <w:rPr>
          <w:rFonts w:ascii="宋体" w:hAnsi="宋体" w:cs="宋体"/>
          <w:color w:val="auto"/>
          <w:sz w:val="24"/>
          <w:highlight w:val="none"/>
        </w:rPr>
      </w:pPr>
      <w:r>
        <w:rPr>
          <w:rFonts w:hint="eastAsia" w:ascii="宋体" w:hAnsi="宋体" w:cs="宋体"/>
          <w:color w:val="auto"/>
          <w:sz w:val="24"/>
          <w:highlight w:val="none"/>
        </w:rPr>
        <w:t>（5）商务需求响应表</w:t>
      </w:r>
    </w:p>
    <w:p w14:paraId="693BA29A">
      <w:pPr>
        <w:pStyle w:val="16"/>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）项目负责人资格情况表</w:t>
      </w:r>
    </w:p>
    <w:p w14:paraId="6945A0D7">
      <w:pPr>
        <w:pStyle w:val="16"/>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）投标人按照评标办法中的评分内容分章节描述</w:t>
      </w:r>
    </w:p>
    <w:p w14:paraId="54C06AC0">
      <w:pPr>
        <w:pStyle w:val="16"/>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）投标人自行提供的证明材料。</w:t>
      </w:r>
    </w:p>
    <w:p w14:paraId="2D43FB0D">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2、报价文件的组成</w:t>
      </w:r>
    </w:p>
    <w:p w14:paraId="784DA43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（1）报价文件由开标一览表、报价明细表</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如有</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、以及投标人认为其他需要说明的内容组成。</w:t>
      </w:r>
    </w:p>
    <w:p w14:paraId="704C2D26">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投标报价为完成本项目的所有费用。投标人应考虑企业自身实力、经验及项目实施过程中的各种因素，在投标报价中应充分考虑所有可能发生的费用，否则采购人将视投标总价中已包括所有费用。</w:t>
      </w:r>
    </w:p>
    <w:p w14:paraId="0EABB91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此报价为投标人一次性报出唯一的最终价格，包含其它一切所要涉及到的费用，有选择的报价将被拒绝。</w:t>
      </w:r>
      <w:r>
        <w:rPr>
          <w:rFonts w:hint="eastAsia" w:ascii="宋体" w:hAnsi="宋体" w:cs="宋体"/>
          <w:color w:val="auto"/>
          <w:sz w:val="24"/>
          <w:szCs w:val="32"/>
          <w:highlight w:val="none"/>
          <w:lang w:val="zh-CN"/>
        </w:rPr>
        <w:t>供应商应考虑企业自身实力、经验及项目实施过程中的各种因素，在投标报价中应充分考虑所有可能发生的费用，采购人将视投标总价中已包括所有费用。</w:t>
      </w:r>
    </w:p>
    <w:p w14:paraId="0CA8A88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相关报价单需打印或用不退色的墨水填写，投标报价单不得涂改和增删，如有错漏必须修改，修改处须由同一签署人签字或盖章。由于字迹模糊或表达不清引起的后果由投标人负责。</w:t>
      </w:r>
    </w:p>
    <w:p w14:paraId="5EFA161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rPr>
        <w:t>）投标报价应按招标文件中相关附表格式填写。</w:t>
      </w:r>
    </w:p>
    <w:p w14:paraId="2EAC5C66">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（二）投标文件的制作及递交要求</w:t>
      </w:r>
    </w:p>
    <w:p w14:paraId="3105BBE9">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1、投标文件的制作要求</w:t>
      </w:r>
    </w:p>
    <w:p w14:paraId="6B16F5C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（1）投标人应按照投标文件组成内容及项目招标需求制作投标文件，不按招标文件要求制作投标文件的将视情处理（拒收、扣分等），由此产生的责任由投标人自行承担。</w:t>
      </w:r>
    </w:p>
    <w:p w14:paraId="0FB9A730">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（2）投标人应对所提供的全部资料的真实性承担法律责任，</w:t>
      </w:r>
      <w:r>
        <w:rPr>
          <w:rFonts w:hint="eastAsia" w:ascii="宋体" w:hAnsi="宋体" w:cs="宋体"/>
          <w:color w:val="auto"/>
          <w:sz w:val="24"/>
          <w:szCs w:val="32"/>
          <w:highlight w:val="none"/>
          <w:lang w:val="zh-CN"/>
        </w:rPr>
        <w:t>投标文件内容中有要求盖章或签字的地方，必须加盖投标人的公章以及法定代表人或授权委托代理人盖章或签字。</w:t>
      </w:r>
    </w:p>
    <w:p w14:paraId="1D14F05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投标文件以及投标人与采购组织机构就有关投标事宜的所有来往函电，均应以中文汉语书写。除签字、盖章、专用名称等特殊情形外，以中文汉语以外的文字表述的投标文件视同未提供。</w:t>
      </w:r>
    </w:p>
    <w:p w14:paraId="547A7DC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（4）投标计量单位，招标文件已有明确规定的，使用招标文件规定的计量单位；招标文件没有规定的，应采用中华人民共和国法定计量单位（货币单位：人民币元）。</w:t>
      </w:r>
    </w:p>
    <w:p w14:paraId="0AC099D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（5）若投标人不按招标文件的要求提供资格审查材料，其风险由投标人自行承担。</w:t>
      </w:r>
    </w:p>
    <w:p w14:paraId="22EE111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（6）与本次投标无关的内容请不要制作在内，确保投标文件有针对性、简洁明了。</w:t>
      </w:r>
    </w:p>
    <w:p w14:paraId="0451B395">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①投标文件的编制</w:t>
      </w:r>
    </w:p>
    <w:p w14:paraId="5630A3E3">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本项目实行电子投标，</w:t>
      </w:r>
      <w:r>
        <w:rPr>
          <w:rFonts w:hint="eastAsia" w:ascii="宋体" w:hAnsi="宋体" w:cs="宋体"/>
          <w:color w:val="auto"/>
          <w:sz w:val="24"/>
          <w:highlight w:val="none"/>
        </w:rPr>
        <w:t>供应商应准备电子投标文件、还可以提交以介质存储的数据电文形式的备份投标文件</w:t>
      </w:r>
      <w:r>
        <w:rPr>
          <w:rFonts w:hint="eastAsia" w:ascii="宋体" w:hAnsi="宋体" w:cs="宋体"/>
          <w:color w:val="auto"/>
          <w:sz w:val="24"/>
          <w:szCs w:val="32"/>
          <w:highlight w:val="none"/>
        </w:rPr>
        <w:t>：</w:t>
      </w:r>
    </w:p>
    <w:p w14:paraId="582C689B">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（1）按政采云平台项目采购--电子招投标操作指南及本招标文件要求编制。</w:t>
      </w:r>
      <w:r>
        <w:rPr>
          <w:rFonts w:hint="eastAsia" w:ascii="宋体" w:hAnsi="宋体" w:cs="宋体"/>
          <w:color w:val="auto"/>
          <w:sz w:val="24"/>
          <w:szCs w:val="32"/>
          <w:highlight w:val="none"/>
          <w:lang w:val="en-GB"/>
        </w:rPr>
        <w:t>投标人应通过“政采云电子交易客户端”，并按照本招标文件和“政府采购云平台”的要求编制并加密投标文件。</w:t>
      </w:r>
    </w:p>
    <w:p w14:paraId="2D43DE37">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人应当按照本章节“投标文件组成”规定的内容及顺序在“政采云电子交易客户端”编制投标文件。其中《资格及商务技术文件》中不得出现本项目投标报价，如因投标人原因提前泄露投标报价，是投标人的责任。</w:t>
      </w:r>
    </w:p>
    <w:p w14:paraId="3C2D04C4">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zh-CN"/>
        </w:rPr>
        <w:t>1.</w:t>
      </w: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投标文件分为资格及商务技术文件、报价文件。各投标人在编制投标文件时请按照采购文件第六部分规定的格式进行，</w:t>
      </w:r>
      <w:r>
        <w:rPr>
          <w:rFonts w:hint="eastAsia" w:ascii="宋体" w:hAnsi="宋体" w:cs="宋体"/>
          <w:color w:val="auto"/>
          <w:sz w:val="24"/>
          <w:szCs w:val="32"/>
          <w:highlight w:val="none"/>
          <w:lang w:val="en-GB"/>
        </w:rPr>
        <w:t>并按格式要求在指定位置根据要求进行签章，否则视为未提供，未提供格式的，请各投标人自行拟定格式，并加盖单位公章并由法定代表人或其授权代表签署（签字或盖章），否则视为未提供。</w:t>
      </w:r>
    </w:p>
    <w:p w14:paraId="73F857F6">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en-GB"/>
        </w:rPr>
        <w:t>《投标文件》内容不完整、</w:t>
      </w:r>
      <w:r>
        <w:rPr>
          <w:rFonts w:hint="eastAsia" w:ascii="宋体" w:hAnsi="宋体" w:cs="宋体"/>
          <w:color w:val="auto"/>
          <w:sz w:val="24"/>
          <w:szCs w:val="32"/>
          <w:highlight w:val="none"/>
          <w:lang w:val="zh-CN"/>
        </w:rPr>
        <w:t>混乱的编排导致投标文件被误读或评标委员会查找不到有效文件是投标人的责任。</w:t>
      </w:r>
      <w:r>
        <w:rPr>
          <w:rFonts w:hint="eastAsia" w:ascii="宋体" w:hAnsi="宋体" w:cs="宋体"/>
          <w:color w:val="auto"/>
          <w:sz w:val="24"/>
          <w:szCs w:val="32"/>
          <w:highlight w:val="none"/>
          <w:lang w:val="en-GB"/>
        </w:rPr>
        <w:t>《投标文件》因字迹潦草或表达不清所引起的后果由投标人负责，投标文件未按规定的</w:t>
      </w:r>
      <w:r>
        <w:rPr>
          <w:rFonts w:hint="eastAsia" w:ascii="宋体" w:hAnsi="宋体" w:cs="宋体"/>
          <w:color w:val="auto"/>
          <w:sz w:val="24"/>
          <w:szCs w:val="32"/>
          <w:highlight w:val="none"/>
        </w:rPr>
        <w:t>组成</w:t>
      </w:r>
      <w:r>
        <w:rPr>
          <w:rFonts w:hint="eastAsia" w:ascii="宋体" w:hAnsi="宋体" w:cs="宋体"/>
          <w:color w:val="auto"/>
          <w:sz w:val="24"/>
          <w:szCs w:val="32"/>
          <w:highlight w:val="none"/>
          <w:lang w:val="en-GB"/>
        </w:rPr>
        <w:t>编制的，投标无效。</w:t>
      </w:r>
    </w:p>
    <w:p w14:paraId="3BC9346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（2）以介质存储的数据电文形式的备份投标文件，按政采云平台项目采购-电子招投标操作指南中上传的电子投标文件格式，以U盘形式提供。数量为1份。</w:t>
      </w:r>
    </w:p>
    <w:p w14:paraId="35ADBC4A">
      <w:pPr>
        <w:spacing w:line="360" w:lineRule="auto"/>
        <w:ind w:firstLine="482" w:firstLineChars="200"/>
        <w:rPr>
          <w:rFonts w:ascii="宋体" w:hAnsi="宋体" w:cs="宋体"/>
          <w:b/>
          <w:bCs/>
          <w:color w:val="auto"/>
          <w:sz w:val="24"/>
          <w:szCs w:val="32"/>
          <w:highlight w:val="none"/>
        </w:rPr>
      </w:pPr>
      <w:r>
        <w:rPr>
          <w:rFonts w:hint="default" w:ascii="Calibri" w:hAnsi="Calibri" w:cs="Calibri"/>
          <w:b/>
          <w:bCs/>
          <w:color w:val="auto"/>
          <w:sz w:val="24"/>
          <w:szCs w:val="32"/>
          <w:highlight w:val="none"/>
        </w:rPr>
        <w:t>②</w:t>
      </w:r>
      <w:r>
        <w:rPr>
          <w:rFonts w:hint="eastAsia" w:ascii="宋体" w:hAnsi="宋体" w:cs="宋体"/>
          <w:b/>
          <w:bCs/>
          <w:color w:val="auto"/>
          <w:sz w:val="24"/>
          <w:szCs w:val="32"/>
          <w:highlight w:val="none"/>
        </w:rPr>
        <w:t>电子投标文件</w:t>
      </w:r>
    </w:p>
    <w:p w14:paraId="446932C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3B298612">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电子投标文件如内容不完整、编排混乱导致投标文件被误读、漏读，或者在按采购文件规定的部位查找不到相关内容的，由投标人自行承担。</w:t>
      </w:r>
    </w:p>
    <w:p w14:paraId="36B018C4">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温馨提醒：CA签章上目前没有法人或授权代表签字信息，需要投标人联系</w:t>
      </w:r>
      <w:r>
        <w:rPr>
          <w:rFonts w:hint="eastAsia" w:ascii="宋体" w:hAnsi="宋体" w:cs="宋体"/>
          <w:b/>
          <w:bCs/>
          <w:color w:val="auto"/>
          <w:sz w:val="24"/>
          <w:szCs w:val="32"/>
          <w:highlight w:val="none"/>
        </w:rPr>
        <w:t>浙江杭州汇信科技有限公司（400-8884636）</w:t>
      </w:r>
      <w:r>
        <w:rPr>
          <w:rFonts w:hint="eastAsia" w:ascii="宋体" w:hAnsi="宋体" w:cs="宋体"/>
          <w:color w:val="auto"/>
          <w:sz w:val="24"/>
          <w:szCs w:val="32"/>
          <w:highlight w:val="none"/>
        </w:rPr>
        <w:t>等相应公司进行办理，或在投标文件中涉及到签字的位置线下签好字然后扫描或者拍照做成PDF的格式亦可。</w:t>
      </w:r>
    </w:p>
    <w:p w14:paraId="011D39CF">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lang w:eastAsia="zh-CN"/>
        </w:rPr>
        <w:t>）</w:t>
      </w:r>
      <w:r>
        <w:rPr>
          <w:rFonts w:hint="eastAsia" w:ascii="宋体" w:hAnsi="宋体" w:cs="宋体"/>
          <w:b/>
          <w:bCs/>
          <w:color w:val="auto"/>
          <w:sz w:val="24"/>
          <w:szCs w:val="32"/>
          <w:highlight w:val="none"/>
        </w:rPr>
        <w:t>以介质存储的数据电文形式的备份投标文件</w:t>
      </w:r>
      <w:r>
        <w:rPr>
          <w:rFonts w:hint="eastAsia" w:ascii="宋体" w:hAnsi="宋体" w:cs="宋体"/>
          <w:color w:val="auto"/>
          <w:sz w:val="24"/>
          <w:szCs w:val="32"/>
          <w:highlight w:val="none"/>
        </w:rPr>
        <w:t>，按政采云平台项目采购-电子招投标操作指南中上传的电子投标文件格式，以U盘形式提供。数量为1份。</w:t>
      </w:r>
    </w:p>
    <w:p w14:paraId="47EB4FE5">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2、投标文件的递交要求</w:t>
      </w:r>
    </w:p>
    <w:p w14:paraId="5E38619B">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）“投标文件”的上传、递交：见《前附表》。▲未传输递交电子投标文件的，投标无效。</w:t>
      </w:r>
    </w:p>
    <w:p w14:paraId="06C473A6">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（2）以介质存储的数据电文形式的备份投标文件必须在规定时间前送达或邮寄至</w:t>
      </w:r>
      <w:r>
        <w:rPr>
          <w:rFonts w:hint="eastAsia" w:ascii="宋体" w:hAnsi="宋体" w:cs="宋体"/>
          <w:color w:val="auto"/>
          <w:sz w:val="24"/>
          <w:highlight w:val="none"/>
          <w:lang w:val="en-GB"/>
        </w:rPr>
        <w:t>公告规定的</w:t>
      </w:r>
      <w:r>
        <w:rPr>
          <w:rFonts w:hint="eastAsia" w:ascii="宋体" w:hAnsi="宋体" w:cs="宋体"/>
          <w:color w:val="auto"/>
          <w:sz w:val="24"/>
          <w:szCs w:val="32"/>
          <w:highlight w:val="none"/>
        </w:rPr>
        <w:t>地点。备份投标文件在截止时间后提交，采购组织机构将拒绝接收。</w:t>
      </w:r>
      <w:r>
        <w:rPr>
          <w:rFonts w:hint="eastAsia" w:ascii="宋体" w:hAnsi="宋体" w:cs="宋体"/>
          <w:color w:val="auto"/>
          <w:sz w:val="24"/>
          <w:highlight w:val="none"/>
          <w:lang w:val="en-GB"/>
        </w:rPr>
        <w:t>▲电子投标文件无法使用的，造成项目开评标活动无法进行下去的，投标无效。▲</w:t>
      </w:r>
      <w:r>
        <w:rPr>
          <w:rFonts w:hint="eastAsia" w:ascii="宋体" w:hAnsi="宋体" w:cs="宋体"/>
          <w:color w:val="auto"/>
          <w:sz w:val="24"/>
          <w:highlight w:val="none"/>
        </w:rPr>
        <w:t>仅提交备份投标文件的，投标无效。</w:t>
      </w:r>
    </w:p>
    <w:p w14:paraId="15DE005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（3）如有特殊情况，采购组织机构延长截止时间和开标时间，采购组织机构和投标人的权利和义务将受到新的截止时间和开标时间的约束。</w:t>
      </w:r>
    </w:p>
    <w:p w14:paraId="69462761">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en-GB"/>
        </w:rPr>
        <w:t>）投标文件的备选方案</w:t>
      </w:r>
    </w:p>
    <w:p w14:paraId="401B1B5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highlight w:val="none"/>
          <w:lang w:val="en-GB"/>
        </w:rPr>
        <w:t>▲</w:t>
      </w:r>
      <w:r>
        <w:rPr>
          <w:rFonts w:hint="eastAsia" w:ascii="宋体" w:hAnsi="宋体" w:cs="宋体"/>
          <w:color w:val="auto"/>
          <w:sz w:val="24"/>
          <w:szCs w:val="32"/>
          <w:highlight w:val="none"/>
          <w:lang w:val="en-GB"/>
        </w:rPr>
        <w:t>投标人不得递交任何的投标备选（替代）方案，否则其投标文件将作无效标处理。与“电子加密投标文件”同时生成的“备份投标文件”不是投标备选（替代）方案。</w:t>
      </w:r>
    </w:p>
    <w:p w14:paraId="50EF8C70">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（三）投标文件的有效期</w:t>
      </w:r>
    </w:p>
    <w:p w14:paraId="022453E6">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自投标截止日起90天投标文件应保持有效。有效期不足的投标文件将被拒绝。</w:t>
      </w:r>
    </w:p>
    <w:p w14:paraId="02B717CF">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在特殊情况下，采购人可与投标人协商延长投标文件的有效期，这种要求和答复均以书面形式进行。</w:t>
      </w:r>
    </w:p>
    <w:p w14:paraId="7DFB0DB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3.中标人的投标文件自开标之日起至合同履行完毕均应保持有效。</w:t>
      </w:r>
    </w:p>
    <w:p w14:paraId="722F3390">
      <w:pPr>
        <w:spacing w:line="360" w:lineRule="auto"/>
        <w:rPr>
          <w:rFonts w:ascii="宋体" w:hAnsi="宋体" w:cs="宋体"/>
          <w:color w:val="auto"/>
          <w:sz w:val="24"/>
          <w:szCs w:val="32"/>
          <w:highlight w:val="none"/>
        </w:rPr>
      </w:pPr>
      <w:r>
        <w:rPr>
          <w:rFonts w:hint="eastAsia" w:ascii="宋体" w:hAnsi="宋体" w:cs="宋体"/>
          <w:b/>
          <w:color w:val="auto"/>
          <w:kern w:val="0"/>
          <w:sz w:val="24"/>
          <w:highlight w:val="none"/>
        </w:rPr>
        <w:t>四、</w:t>
      </w:r>
      <w:r>
        <w:rPr>
          <w:rFonts w:hint="eastAsia" w:ascii="宋体" w:hAnsi="宋体" w:cs="宋体"/>
          <w:b/>
          <w:bCs/>
          <w:color w:val="auto"/>
          <w:sz w:val="24"/>
          <w:szCs w:val="32"/>
          <w:highlight w:val="none"/>
        </w:rPr>
        <w:t>开标</w:t>
      </w:r>
    </w:p>
    <w:p w14:paraId="4D40627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（一）开标事项</w:t>
      </w:r>
    </w:p>
    <w:p w14:paraId="3394BCC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将按照招标文件规定的时间通过“政府采购云平台”组织开标、开启投标文件，所有投标人均应当准时在线参加。投标人因未在线参加开标而导致投标文件无法按时解密等一切后果由投标人自己承担。</w:t>
      </w:r>
    </w:p>
    <w:p w14:paraId="0ED8FB2F">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采购过程中出现以下情形，导致电子交易平台无法正常运行，或者无法保证电子交易的公平、公正和安全时，采购组织机构可中止电子交易活动：</w:t>
      </w:r>
    </w:p>
    <w:p w14:paraId="71E2C849">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（1）电子交易平台发生故障而无法登录访问的；</w:t>
      </w:r>
    </w:p>
    <w:p w14:paraId="633E01E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（2）电子交易平台应用或数据库出现错误，不能进行正常操作的；</w:t>
      </w:r>
    </w:p>
    <w:p w14:paraId="75CCEBA0">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（3）电子交易平台发现严重安全漏洞，有潜在泄密危险的；</w:t>
      </w:r>
    </w:p>
    <w:p w14:paraId="487A6C5B">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（4）病毒发作导致不能进行正常操作的；</w:t>
      </w:r>
    </w:p>
    <w:p w14:paraId="0504C13F">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（5）其他无法保证电子交易的公平、公正和安全的情况。</w:t>
      </w:r>
    </w:p>
    <w:p w14:paraId="30148910">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出现前款规定情形，不影响采购公平、公正性的，采购组织机构可以待上述情形消除后继续组织电子交易活动；影响或可能影响采购公平、公正性的，应当重新采购。</w:t>
      </w:r>
    </w:p>
    <w:p w14:paraId="13779732">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（二）开标程序：</w:t>
      </w:r>
    </w:p>
    <w:p w14:paraId="0AB9B23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1、开标会由招标项目负责人主持，主持人宣布开标会议开始；</w:t>
      </w:r>
    </w:p>
    <w:p w14:paraId="257615E8">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2、主持人介绍参加开标会的人员名单；</w:t>
      </w:r>
    </w:p>
    <w:p w14:paraId="05F61C8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3、主持人宣布评标期间的有关事项，告知应当回避的情形,提请有关人员回避；对投标人进行签到验证。</w:t>
      </w:r>
    </w:p>
    <w:p w14:paraId="619AB3B3">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4、向各投标人发出电子加密投标文件【开始解密】通知，由投标人按招标文件规定的时间内自行进行投标文件解密。投标文件的制作和解密应使用同一个数字证书，否则将可能解密失败。</w:t>
      </w:r>
    </w:p>
    <w:p w14:paraId="2D72483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5、采购组织机构点击【开启标书信息】，开启标书成功后进入开标流程。</w:t>
      </w:r>
    </w:p>
    <w:p w14:paraId="4B87D48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评审；</w:t>
      </w:r>
    </w:p>
    <w:p w14:paraId="4E4A431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7、由主持人公布无效投标的投标人名单、投标无效的原因及其他有效投标的评分汇总分；</w:t>
      </w:r>
    </w:p>
    <w:p w14:paraId="6A3816D0">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8、开启报价响应文件：采购代理机构成功开启报价响应文件后，方可查看各供应商报价情况。</w:t>
      </w:r>
    </w:p>
    <w:p w14:paraId="59EEC13F">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9、报价文件评审；</w:t>
      </w:r>
    </w:p>
    <w:p w14:paraId="50B9386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10、由主持人公布无效投标的投标人名单、投标无效的原因及其他有效投标的报价文件得分；</w:t>
      </w:r>
    </w:p>
    <w:p w14:paraId="6620DAF3">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11、宣布综合得分结果及中标候选人名单；</w:t>
      </w:r>
    </w:p>
    <w:p w14:paraId="442FAB0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12、开标会议结束。</w:t>
      </w:r>
    </w:p>
    <w:p w14:paraId="7278B2EC">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五、评标</w:t>
      </w:r>
    </w:p>
    <w:p w14:paraId="56238DC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本项目采用电子评审方法，评标的依据为招标文件和投标文件。</w:t>
      </w:r>
    </w:p>
    <w:p w14:paraId="2CAD0EA5">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（一）组建评标委员会</w:t>
      </w:r>
    </w:p>
    <w:p w14:paraId="0897C4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评标委员会由采购人代表和评审专家组成，成员人数为5人以上单数，其中评审专家不得少于成员总数的三分之二。</w:t>
      </w:r>
    </w:p>
    <w:p w14:paraId="63D92E08">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（二）评标程序</w:t>
      </w:r>
    </w:p>
    <w:p w14:paraId="457518FD">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1、资格审查</w:t>
      </w:r>
    </w:p>
    <w:p w14:paraId="4624F95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公开招标采购项目开标结束后，采购人或者采购组织机构应当依法对投标人的资格进行审查，对审查发现无效的进行必要的询标，结束后公布无效投标的投标人名单、投标无效的原因。</w:t>
      </w:r>
    </w:p>
    <w:p w14:paraId="20CB1ED9">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2、符合性审查</w:t>
      </w:r>
    </w:p>
    <w:p w14:paraId="59ED8D2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14:paraId="08A2E75B">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3、综合比较与评价</w:t>
      </w:r>
    </w:p>
    <w:p w14:paraId="1CB0C39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（1）对于投标文件中含义不明确、同类问题表述不一致或者有明显文字和计算错误的内容，评标委员会应当以书面形式要求投标人作出必要的澄清、说明或者补正。</w:t>
      </w:r>
    </w:p>
    <w:p w14:paraId="74398FC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14:paraId="3B02B47D">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（3）评标时，评标委员会各成员应当独立对每个投标人的投标文件进行评价，并汇总每个投标人的得分。</w:t>
      </w:r>
    </w:p>
    <w:p w14:paraId="4DBBFAF9">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4、得分确认及评审报告编写</w:t>
      </w:r>
    </w:p>
    <w:p w14:paraId="0E92FB1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（1）评标委员会对报价文件进行复核，对于系统计算出的价格分及总得分进行确认；</w:t>
      </w:r>
    </w:p>
    <w:p w14:paraId="33D126E2">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14:paraId="6E23354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（3）评标委员会按评标原则及得分情况编写评审报告。</w:t>
      </w:r>
    </w:p>
    <w:p w14:paraId="6775FEE2">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5、评价</w:t>
      </w:r>
    </w:p>
    <w:p w14:paraId="6A2CB88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采购组织机构对评标委员会评审专家进行评价。</w:t>
      </w:r>
    </w:p>
    <w:p w14:paraId="644D9A09">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（三）澄清问题的形式</w:t>
      </w:r>
    </w:p>
    <w:p w14:paraId="066441C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投标人的澄清、说明或者补正应当采用书面形式，并加盖公章，或者由法定代理人或其授权委托代理人签字，并不得超出投标文件的范围或者改变投标文件的实质性内容。</w:t>
      </w:r>
    </w:p>
    <w:p w14:paraId="5E4D8758">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（四）错误修正</w:t>
      </w:r>
    </w:p>
    <w:p w14:paraId="19269B8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投标文件报价出现前后不一致的，除招标文件另有规定外，按照下列规定修正：</w:t>
      </w:r>
    </w:p>
    <w:p w14:paraId="2EEC55F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1、投标文件中开标一览表（报价表）内容与投标文件中相应内容不一致的，以开标一览表（报价表）为准；</w:t>
      </w:r>
    </w:p>
    <w:p w14:paraId="35B0986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2、大写金额和小写金额不一致的，以大写金额为准；</w:t>
      </w:r>
    </w:p>
    <w:p w14:paraId="67F36F3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3、单价金额小数点或者百分比有明显错位的，以开标一览表的总价为准，并修改单价；</w:t>
      </w:r>
    </w:p>
    <w:p w14:paraId="03E1B5E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4、总价金额与按单价汇总金额不一致的，以单价金额计算结果为准。</w:t>
      </w:r>
    </w:p>
    <w:p w14:paraId="3B9172F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14:paraId="74CE4604">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（五）投标人存在下列情况之一的，投标无效：</w:t>
      </w:r>
    </w:p>
    <w:p w14:paraId="04227A46">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在指定页面无法定代表人盖章或签字、未在指定页面盖公章、在指定页面无被授权人签字、投标文件份数少于招标文件要求、未提供法定代表人授权委托书、未提供投标函或者投标函格式不符合招标文件要求或填写项目不齐全的；</w:t>
      </w:r>
    </w:p>
    <w:p w14:paraId="25F1E8F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跟报价文件出现混装或在</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中出现投标报价的，或者报价文件中报价的货物跟</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中的投标货物出现重大偏差的；</w:t>
      </w:r>
    </w:p>
    <w:p w14:paraId="47A3BF5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3、不具备招标文件中规定的资格要求的。</w:t>
      </w:r>
      <w:r>
        <w:rPr>
          <w:rFonts w:hint="eastAsia" w:ascii="宋体" w:hAnsi="宋体" w:cs="宋体"/>
          <w:color w:val="auto"/>
          <w:sz w:val="24"/>
          <w:szCs w:val="32"/>
          <w:highlight w:val="none"/>
        </w:rPr>
        <w:tab/>
      </w:r>
    </w:p>
    <w:p w14:paraId="7F3FF353">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4、投标文件含有采购人不能接受的附加条件的。</w:t>
      </w:r>
    </w:p>
    <w:p w14:paraId="1776C1CD">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5、授权委托代理人未能出具身份证明或与法定代表人授权委托人身份不符的；</w:t>
      </w:r>
    </w:p>
    <w:p w14:paraId="54A25052">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20A1FF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7、报价超过招标文件中规定的预算金额/最高限价，或报价的投标单价超过规定上限。</w:t>
      </w:r>
    </w:p>
    <w:p w14:paraId="2A8045E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8、投标参数未如实填写，完全复制粘贴招标参数的。</w:t>
      </w:r>
    </w:p>
    <w:p w14:paraId="0953C246">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9、投标文件提供虚假材料的。</w:t>
      </w:r>
    </w:p>
    <w:p w14:paraId="24EA931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10、投标人的电子投标文件无法按时解密的，且未达到备份投标文件启用条件或未提交备份投标文件的。</w:t>
      </w:r>
    </w:p>
    <w:p w14:paraId="01F075B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11、不符合中华人民共和国财政部令第87号《政府采购货物和服务招标投标管理办法》第三十七条情形之一的，视为投标人串通投标，其投标无效，并移送采购监管部门：</w:t>
      </w:r>
    </w:p>
    <w:p w14:paraId="00FBA65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（1）不同投标人的投标文件由同一单位或者个人编制；不同投标人的投标文件,由同一台电脑编制；</w:t>
      </w:r>
    </w:p>
    <w:p w14:paraId="4B652EF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（2）不同投标人委托同一单位或者个人办理投标事宜；</w:t>
      </w:r>
    </w:p>
    <w:p w14:paraId="7877812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（3）不同投标人的投标文件载明的项目管理成员或者联系人员为同一人；</w:t>
      </w:r>
    </w:p>
    <w:p w14:paraId="52110D2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（4）不同投标人的投标文件异常一致或者投标报价呈规律性差异；</w:t>
      </w:r>
    </w:p>
    <w:p w14:paraId="408ED7AB">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（5）不同投标人的投标文件相互混装。</w:t>
      </w:r>
    </w:p>
    <w:p w14:paraId="5CA77FE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12、不符合法律、法规和招标文件中规定的其他实质性要求的（招标文件中打“▲”内容及被拒绝的条款）。</w:t>
      </w:r>
    </w:p>
    <w:p w14:paraId="0FFCD84C">
      <w:pPr>
        <w:numPr>
          <w:ilvl w:val="0"/>
          <w:numId w:val="6"/>
        </w:num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未传输递交电子投标文件的或者未按规定提供相应的备份投标文件，造成项目开评标活动无法进行下去的。</w:t>
      </w:r>
    </w:p>
    <w:p w14:paraId="57976EFF">
      <w:pPr>
        <w:numPr>
          <w:ilvl w:val="0"/>
          <w:numId w:val="6"/>
        </w:num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投标文件未按照投标文件组成要求编制的，造成项目开评标活动无法进行下去的。</w:t>
      </w:r>
    </w:p>
    <w:p w14:paraId="4C567A14">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（六）有下列情况之一的，本次招标作为废标处理</w:t>
      </w:r>
    </w:p>
    <w:p w14:paraId="5FBEE636">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1、出现影响采购公正的违法、违规行为的；</w:t>
      </w:r>
    </w:p>
    <w:p w14:paraId="307480DF">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2、评标委员会发现招标文件存在歧义、重大缺陷导致评标工作无法进行，或者招标文件内容违反国家有关强制性规定的；</w:t>
      </w:r>
    </w:p>
    <w:p w14:paraId="1A01637F">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3、因重大变故，采购任务取消的；</w:t>
      </w:r>
    </w:p>
    <w:p w14:paraId="1F5B3008">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4、法律、法规和招标文件规定的其他导致评标结果无效的。</w:t>
      </w:r>
    </w:p>
    <w:p w14:paraId="519D09D7">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（七）评标原则和评标办法</w:t>
      </w:r>
    </w:p>
    <w:p w14:paraId="613B9E5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45311D2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2、评标办法。具体评标内容及评分标准等详见《第三章：评标方法及评分标准》。</w:t>
      </w:r>
    </w:p>
    <w:p w14:paraId="50D453D0">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（八）评标过程的监控</w:t>
      </w:r>
    </w:p>
    <w:p w14:paraId="09D0C32F">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本项目评标过程实行全程录音、录像监控，政府采购监管部门视情进行现场监督，投标人在评标过程中所进行的试图影响评标结果的不公正活动，可能导致其投标被拒绝。</w:t>
      </w:r>
    </w:p>
    <w:p w14:paraId="11B70514">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六、定标</w:t>
      </w:r>
    </w:p>
    <w:p w14:paraId="765AE1A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06423A6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14:paraId="49A6A054">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3、发出中标通知书。采购组织机构在发布中标结果的同时，向中标人发出中标通知书。</w:t>
      </w:r>
    </w:p>
    <w:p w14:paraId="0A29D82D">
      <w:pPr>
        <w:pStyle w:val="27"/>
        <w:spacing w:before="0" w:beforeAutospacing="0" w:after="0" w:afterAutospacing="0" w:line="360" w:lineRule="auto"/>
        <w:ind w:firstLine="480" w:firstLineChars="200"/>
        <w:jc w:val="both"/>
        <w:rPr>
          <w:rFonts w:hint="eastAsia" w:cs="宋体"/>
          <w:color w:val="auto"/>
          <w:highlight w:val="none"/>
        </w:rPr>
      </w:pPr>
      <w:r>
        <w:rPr>
          <w:rFonts w:hint="eastAsia" w:cs="宋体"/>
          <w:color w:val="auto"/>
          <w:highlight w:val="none"/>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0285F872">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5、招标代理费用：</w:t>
      </w:r>
      <w:r>
        <w:rPr>
          <w:rFonts w:hint="eastAsia" w:ascii="宋体" w:hAnsi="宋体" w:cs="宋体"/>
          <w:color w:val="auto"/>
          <w:sz w:val="24"/>
          <w:szCs w:val="32"/>
          <w:highlight w:val="none"/>
          <w:lang w:val="en-US" w:eastAsia="zh-CN"/>
        </w:rPr>
        <w:t>《台州市建设咨询招标代理服务费收费标准(详见下表)》的收取。按服务招标的中标价为基数计取招标代理费。中标方须在中标通知书发出5日内一次性付清。</w:t>
      </w:r>
      <w:r>
        <w:rPr>
          <w:rFonts w:hint="eastAsia" w:ascii="宋体" w:hAnsi="宋体" w:cs="宋体"/>
          <w:color w:val="auto"/>
          <w:sz w:val="24"/>
          <w:szCs w:val="32"/>
          <w:highlight w:val="none"/>
        </w:rPr>
        <w:t>代理服务费结算不足</w:t>
      </w:r>
      <w:r>
        <w:rPr>
          <w:rFonts w:hint="eastAsia" w:ascii="宋体" w:hAnsi="宋体" w:cs="宋体"/>
          <w:color w:val="auto"/>
          <w:sz w:val="24"/>
          <w:szCs w:val="32"/>
          <w:highlight w:val="none"/>
          <w:lang w:val="en-US" w:eastAsia="zh-CN"/>
        </w:rPr>
        <w:t>八千元</w:t>
      </w:r>
      <w:r>
        <w:rPr>
          <w:rFonts w:hint="eastAsia" w:ascii="宋体" w:hAnsi="宋体" w:cs="宋体"/>
          <w:color w:val="auto"/>
          <w:sz w:val="24"/>
          <w:szCs w:val="32"/>
          <w:highlight w:val="none"/>
        </w:rPr>
        <w:t>的，按定额</w:t>
      </w:r>
      <w:r>
        <w:rPr>
          <w:rFonts w:hint="eastAsia" w:ascii="宋体" w:hAnsi="宋体" w:cs="宋体"/>
          <w:color w:val="auto"/>
          <w:sz w:val="24"/>
          <w:szCs w:val="32"/>
          <w:highlight w:val="none"/>
          <w:lang w:val="en-US" w:eastAsia="zh-CN"/>
        </w:rPr>
        <w:t>八千元</w:t>
      </w:r>
      <w:r>
        <w:rPr>
          <w:rFonts w:hint="eastAsia" w:ascii="宋体" w:hAnsi="宋体" w:cs="宋体"/>
          <w:color w:val="auto"/>
          <w:sz w:val="24"/>
          <w:szCs w:val="32"/>
          <w:highlight w:val="none"/>
        </w:rPr>
        <w:t>收取。</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35"/>
        <w:gridCol w:w="1777"/>
        <w:gridCol w:w="1640"/>
        <w:gridCol w:w="2119"/>
      </w:tblGrid>
      <w:tr w14:paraId="66EA8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61D159A9">
            <w:pPr>
              <w:jc w:val="center"/>
              <w:rPr>
                <w:rFonts w:hint="eastAsia" w:ascii="宋体" w:hAnsi="宋体" w:cs="宋体"/>
                <w:color w:val="auto"/>
                <w:sz w:val="24"/>
                <w:highlight w:val="none"/>
              </w:rPr>
            </w:pPr>
            <w:r>
              <w:rPr>
                <w:rFonts w:hint="eastAsia" w:ascii="宋体" w:hAnsi="宋体" w:cs="宋体"/>
                <w:color w:val="auto"/>
                <w:sz w:val="24"/>
                <w:highlight w:val="none"/>
              </w:rPr>
              <w:t>服务类型、费率、中标金额（万元）</w:t>
            </w:r>
          </w:p>
        </w:tc>
        <w:tc>
          <w:tcPr>
            <w:tcW w:w="1777" w:type="dxa"/>
            <w:noWrap w:val="0"/>
            <w:vAlign w:val="center"/>
          </w:tcPr>
          <w:p w14:paraId="3080E111">
            <w:pPr>
              <w:jc w:val="center"/>
              <w:rPr>
                <w:rFonts w:hint="eastAsia" w:ascii="宋体" w:hAnsi="宋体" w:cs="宋体"/>
                <w:color w:val="auto"/>
                <w:sz w:val="24"/>
                <w:highlight w:val="none"/>
              </w:rPr>
            </w:pPr>
            <w:r>
              <w:rPr>
                <w:rFonts w:hint="eastAsia" w:ascii="宋体" w:hAnsi="宋体" w:cs="宋体"/>
                <w:color w:val="auto"/>
                <w:sz w:val="24"/>
                <w:highlight w:val="none"/>
              </w:rPr>
              <w:t>货物招标</w:t>
            </w:r>
          </w:p>
        </w:tc>
        <w:tc>
          <w:tcPr>
            <w:tcW w:w="1640" w:type="dxa"/>
            <w:noWrap w:val="0"/>
            <w:vAlign w:val="center"/>
          </w:tcPr>
          <w:p w14:paraId="2E0BCC20">
            <w:pPr>
              <w:jc w:val="center"/>
              <w:rPr>
                <w:rFonts w:hint="eastAsia" w:ascii="宋体" w:hAnsi="宋体" w:cs="宋体"/>
                <w:color w:val="auto"/>
                <w:sz w:val="24"/>
                <w:highlight w:val="none"/>
              </w:rPr>
            </w:pPr>
            <w:r>
              <w:rPr>
                <w:rFonts w:hint="eastAsia" w:ascii="宋体" w:hAnsi="宋体" w:cs="宋体"/>
                <w:color w:val="auto"/>
                <w:sz w:val="24"/>
                <w:highlight w:val="none"/>
              </w:rPr>
              <w:t>服务招标</w:t>
            </w:r>
          </w:p>
        </w:tc>
        <w:tc>
          <w:tcPr>
            <w:tcW w:w="2119" w:type="dxa"/>
            <w:noWrap w:val="0"/>
            <w:vAlign w:val="center"/>
          </w:tcPr>
          <w:p w14:paraId="4DEB9B8A">
            <w:pPr>
              <w:jc w:val="center"/>
              <w:rPr>
                <w:rFonts w:hint="eastAsia" w:ascii="宋体" w:hAnsi="宋体" w:cs="宋体"/>
                <w:color w:val="auto"/>
                <w:sz w:val="24"/>
                <w:highlight w:val="none"/>
              </w:rPr>
            </w:pPr>
            <w:r>
              <w:rPr>
                <w:rFonts w:hint="eastAsia" w:ascii="宋体" w:hAnsi="宋体" w:cs="宋体"/>
                <w:color w:val="auto"/>
                <w:sz w:val="24"/>
                <w:highlight w:val="none"/>
              </w:rPr>
              <w:t>工程招标</w:t>
            </w:r>
          </w:p>
        </w:tc>
      </w:tr>
      <w:tr w14:paraId="7EA12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1973F934">
            <w:pPr>
              <w:jc w:val="center"/>
              <w:rPr>
                <w:rFonts w:hint="eastAsia" w:ascii="宋体" w:hAnsi="宋体" w:cs="宋体"/>
                <w:color w:val="auto"/>
                <w:sz w:val="24"/>
                <w:highlight w:val="none"/>
              </w:rPr>
            </w:pPr>
            <w:r>
              <w:rPr>
                <w:rFonts w:hint="eastAsia" w:ascii="宋体" w:hAnsi="宋体" w:cs="宋体"/>
                <w:color w:val="auto"/>
                <w:sz w:val="24"/>
                <w:highlight w:val="none"/>
              </w:rPr>
              <w:t>100以下</w:t>
            </w:r>
          </w:p>
        </w:tc>
        <w:tc>
          <w:tcPr>
            <w:tcW w:w="1777" w:type="dxa"/>
            <w:noWrap w:val="0"/>
            <w:vAlign w:val="center"/>
          </w:tcPr>
          <w:p w14:paraId="05FD10E1">
            <w:pP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1640" w:type="dxa"/>
            <w:noWrap w:val="0"/>
            <w:vAlign w:val="center"/>
          </w:tcPr>
          <w:p w14:paraId="132A94CC">
            <w:pP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2119" w:type="dxa"/>
            <w:noWrap w:val="0"/>
            <w:vAlign w:val="center"/>
          </w:tcPr>
          <w:p w14:paraId="48F9D736">
            <w:pPr>
              <w:jc w:val="center"/>
              <w:rPr>
                <w:rFonts w:hint="eastAsia" w:ascii="宋体" w:hAnsi="宋体" w:cs="宋体"/>
                <w:color w:val="auto"/>
                <w:sz w:val="24"/>
                <w:highlight w:val="none"/>
              </w:rPr>
            </w:pPr>
            <w:r>
              <w:rPr>
                <w:rFonts w:hint="eastAsia" w:ascii="宋体" w:hAnsi="宋体" w:cs="宋体"/>
                <w:color w:val="auto"/>
                <w:sz w:val="24"/>
                <w:highlight w:val="none"/>
              </w:rPr>
              <w:t>1.00%</w:t>
            </w:r>
          </w:p>
        </w:tc>
      </w:tr>
      <w:tr w14:paraId="1EBEC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4376F6D0">
            <w:pPr>
              <w:jc w:val="center"/>
              <w:rPr>
                <w:rFonts w:hint="eastAsia" w:ascii="宋体" w:hAnsi="宋体" w:cs="宋体"/>
                <w:color w:val="auto"/>
                <w:sz w:val="24"/>
                <w:highlight w:val="none"/>
              </w:rPr>
            </w:pPr>
            <w:r>
              <w:rPr>
                <w:rFonts w:hint="eastAsia" w:ascii="宋体" w:hAnsi="宋体" w:cs="宋体"/>
                <w:color w:val="auto"/>
                <w:sz w:val="24"/>
                <w:highlight w:val="none"/>
              </w:rPr>
              <w:t>100-500</w:t>
            </w:r>
          </w:p>
        </w:tc>
        <w:tc>
          <w:tcPr>
            <w:tcW w:w="1777" w:type="dxa"/>
            <w:noWrap w:val="0"/>
            <w:vAlign w:val="center"/>
          </w:tcPr>
          <w:p w14:paraId="5DAECDEE">
            <w:pPr>
              <w:jc w:val="center"/>
              <w:rPr>
                <w:rFonts w:hint="eastAsia" w:ascii="宋体" w:hAnsi="宋体" w:cs="宋体"/>
                <w:color w:val="auto"/>
                <w:sz w:val="24"/>
                <w:highlight w:val="none"/>
              </w:rPr>
            </w:pPr>
            <w:r>
              <w:rPr>
                <w:rFonts w:hint="eastAsia" w:ascii="宋体" w:hAnsi="宋体" w:cs="宋体"/>
                <w:color w:val="auto"/>
                <w:sz w:val="24"/>
                <w:highlight w:val="none"/>
              </w:rPr>
              <w:t>1.10%</w:t>
            </w:r>
          </w:p>
        </w:tc>
        <w:tc>
          <w:tcPr>
            <w:tcW w:w="1640" w:type="dxa"/>
            <w:noWrap w:val="0"/>
            <w:vAlign w:val="center"/>
          </w:tcPr>
          <w:p w14:paraId="57B31B0B">
            <w:pP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2119" w:type="dxa"/>
            <w:noWrap w:val="0"/>
            <w:vAlign w:val="center"/>
          </w:tcPr>
          <w:p w14:paraId="1C84F06B">
            <w:pPr>
              <w:jc w:val="center"/>
              <w:rPr>
                <w:rFonts w:hint="eastAsia" w:ascii="宋体" w:hAnsi="宋体" w:cs="宋体"/>
                <w:color w:val="auto"/>
                <w:sz w:val="24"/>
                <w:highlight w:val="none"/>
              </w:rPr>
            </w:pPr>
            <w:r>
              <w:rPr>
                <w:rFonts w:hint="eastAsia" w:ascii="宋体" w:hAnsi="宋体" w:cs="宋体"/>
                <w:color w:val="auto"/>
                <w:sz w:val="24"/>
                <w:highlight w:val="none"/>
              </w:rPr>
              <w:t>0.70%</w:t>
            </w:r>
          </w:p>
        </w:tc>
      </w:tr>
      <w:tr w14:paraId="78C2D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935" w:type="dxa"/>
            <w:noWrap w:val="0"/>
            <w:vAlign w:val="center"/>
          </w:tcPr>
          <w:p w14:paraId="22C68DF1">
            <w:pPr>
              <w:jc w:val="center"/>
              <w:rPr>
                <w:rFonts w:hint="eastAsia" w:ascii="宋体" w:hAnsi="宋体" w:cs="宋体"/>
                <w:color w:val="auto"/>
                <w:sz w:val="24"/>
                <w:highlight w:val="none"/>
              </w:rPr>
            </w:pPr>
            <w:r>
              <w:rPr>
                <w:rFonts w:hint="eastAsia" w:ascii="宋体" w:hAnsi="宋体" w:cs="宋体"/>
                <w:color w:val="auto"/>
                <w:sz w:val="24"/>
                <w:highlight w:val="none"/>
              </w:rPr>
              <w:t>500-1000</w:t>
            </w:r>
          </w:p>
        </w:tc>
        <w:tc>
          <w:tcPr>
            <w:tcW w:w="1777" w:type="dxa"/>
            <w:noWrap w:val="0"/>
            <w:vAlign w:val="center"/>
          </w:tcPr>
          <w:p w14:paraId="7993CC02">
            <w:pP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1640" w:type="dxa"/>
            <w:noWrap w:val="0"/>
            <w:vAlign w:val="center"/>
          </w:tcPr>
          <w:p w14:paraId="7377A43B">
            <w:pPr>
              <w:jc w:val="center"/>
              <w:rPr>
                <w:rFonts w:hint="eastAsia" w:ascii="宋体" w:hAnsi="宋体" w:cs="宋体"/>
                <w:color w:val="auto"/>
                <w:sz w:val="24"/>
                <w:highlight w:val="none"/>
              </w:rPr>
            </w:pPr>
            <w:r>
              <w:rPr>
                <w:rFonts w:hint="eastAsia" w:ascii="宋体" w:hAnsi="宋体" w:cs="宋体"/>
                <w:color w:val="auto"/>
                <w:sz w:val="24"/>
                <w:highlight w:val="none"/>
              </w:rPr>
              <w:t>0.45%</w:t>
            </w:r>
          </w:p>
        </w:tc>
        <w:tc>
          <w:tcPr>
            <w:tcW w:w="2119" w:type="dxa"/>
            <w:noWrap w:val="0"/>
            <w:vAlign w:val="center"/>
          </w:tcPr>
          <w:p w14:paraId="6F55DDD8">
            <w:pPr>
              <w:jc w:val="center"/>
              <w:rPr>
                <w:rFonts w:hint="eastAsia" w:ascii="宋体" w:hAnsi="宋体" w:cs="宋体"/>
                <w:color w:val="auto"/>
                <w:sz w:val="24"/>
                <w:highlight w:val="none"/>
              </w:rPr>
            </w:pPr>
            <w:r>
              <w:rPr>
                <w:rFonts w:hint="eastAsia" w:ascii="宋体" w:hAnsi="宋体" w:cs="宋体"/>
                <w:color w:val="auto"/>
                <w:sz w:val="24"/>
                <w:highlight w:val="none"/>
              </w:rPr>
              <w:t>0.55%</w:t>
            </w:r>
          </w:p>
        </w:tc>
      </w:tr>
      <w:tr w14:paraId="62822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45585C32">
            <w:pPr>
              <w:jc w:val="center"/>
              <w:rPr>
                <w:rFonts w:hint="eastAsia" w:ascii="宋体" w:hAnsi="宋体" w:cs="宋体"/>
                <w:color w:val="auto"/>
                <w:sz w:val="24"/>
                <w:highlight w:val="none"/>
              </w:rPr>
            </w:pPr>
            <w:r>
              <w:rPr>
                <w:rFonts w:hint="eastAsia" w:ascii="宋体" w:hAnsi="宋体" w:cs="宋体"/>
                <w:color w:val="auto"/>
                <w:sz w:val="24"/>
                <w:highlight w:val="none"/>
              </w:rPr>
              <w:t>1000-5000</w:t>
            </w:r>
          </w:p>
        </w:tc>
        <w:tc>
          <w:tcPr>
            <w:tcW w:w="1777" w:type="dxa"/>
            <w:noWrap w:val="0"/>
            <w:vAlign w:val="center"/>
          </w:tcPr>
          <w:p w14:paraId="5C7B71A3">
            <w:pPr>
              <w:jc w:val="center"/>
              <w:rPr>
                <w:rFonts w:hint="eastAsia" w:ascii="宋体" w:hAnsi="宋体" w:cs="宋体"/>
                <w:color w:val="auto"/>
                <w:sz w:val="24"/>
                <w:highlight w:val="none"/>
              </w:rPr>
            </w:pPr>
            <w:r>
              <w:rPr>
                <w:rFonts w:hint="eastAsia" w:ascii="宋体" w:hAnsi="宋体" w:cs="宋体"/>
                <w:color w:val="auto"/>
                <w:sz w:val="24"/>
                <w:highlight w:val="none"/>
              </w:rPr>
              <w:t>0.50%</w:t>
            </w:r>
          </w:p>
        </w:tc>
        <w:tc>
          <w:tcPr>
            <w:tcW w:w="1640" w:type="dxa"/>
            <w:noWrap w:val="0"/>
            <w:vAlign w:val="center"/>
          </w:tcPr>
          <w:p w14:paraId="47ADBAE0">
            <w:pP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2119" w:type="dxa"/>
            <w:noWrap w:val="0"/>
            <w:vAlign w:val="center"/>
          </w:tcPr>
          <w:p w14:paraId="0794680C">
            <w:pPr>
              <w:jc w:val="center"/>
              <w:rPr>
                <w:rFonts w:hint="eastAsia" w:ascii="宋体" w:hAnsi="宋体" w:cs="宋体"/>
                <w:color w:val="auto"/>
                <w:sz w:val="24"/>
                <w:highlight w:val="none"/>
              </w:rPr>
            </w:pPr>
            <w:r>
              <w:rPr>
                <w:rFonts w:hint="eastAsia" w:ascii="宋体" w:hAnsi="宋体" w:cs="宋体"/>
                <w:color w:val="auto"/>
                <w:sz w:val="24"/>
                <w:highlight w:val="none"/>
              </w:rPr>
              <w:t>0.35%</w:t>
            </w:r>
          </w:p>
        </w:tc>
      </w:tr>
      <w:tr w14:paraId="04705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57C69E6F">
            <w:pPr>
              <w:jc w:val="center"/>
              <w:rPr>
                <w:rFonts w:hint="eastAsia" w:ascii="宋体" w:hAnsi="宋体" w:cs="宋体"/>
                <w:color w:val="auto"/>
                <w:sz w:val="24"/>
                <w:highlight w:val="none"/>
              </w:rPr>
            </w:pPr>
            <w:r>
              <w:rPr>
                <w:rFonts w:hint="eastAsia" w:ascii="宋体" w:hAnsi="宋体" w:cs="宋体"/>
                <w:color w:val="auto"/>
                <w:sz w:val="24"/>
                <w:highlight w:val="none"/>
              </w:rPr>
              <w:t>5000-10000</w:t>
            </w:r>
          </w:p>
        </w:tc>
        <w:tc>
          <w:tcPr>
            <w:tcW w:w="1777" w:type="dxa"/>
            <w:noWrap w:val="0"/>
            <w:vAlign w:val="center"/>
          </w:tcPr>
          <w:p w14:paraId="2398BABD">
            <w:pP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1640" w:type="dxa"/>
            <w:noWrap w:val="0"/>
            <w:vAlign w:val="center"/>
          </w:tcPr>
          <w:p w14:paraId="20501CB4">
            <w:pPr>
              <w:jc w:val="center"/>
              <w:rPr>
                <w:rFonts w:hint="eastAsia" w:ascii="宋体" w:hAnsi="宋体" w:cs="宋体"/>
                <w:color w:val="auto"/>
                <w:sz w:val="24"/>
                <w:highlight w:val="none"/>
              </w:rPr>
            </w:pPr>
            <w:r>
              <w:rPr>
                <w:rFonts w:hint="eastAsia" w:ascii="宋体" w:hAnsi="宋体" w:cs="宋体"/>
                <w:color w:val="auto"/>
                <w:sz w:val="24"/>
                <w:highlight w:val="none"/>
              </w:rPr>
              <w:t>0.10%</w:t>
            </w:r>
          </w:p>
        </w:tc>
        <w:tc>
          <w:tcPr>
            <w:tcW w:w="2119" w:type="dxa"/>
            <w:noWrap w:val="0"/>
            <w:vAlign w:val="center"/>
          </w:tcPr>
          <w:p w14:paraId="103FC72A">
            <w:pPr>
              <w:jc w:val="center"/>
              <w:rPr>
                <w:rFonts w:hint="eastAsia" w:ascii="宋体" w:hAnsi="宋体" w:cs="宋体"/>
                <w:color w:val="auto"/>
                <w:sz w:val="24"/>
                <w:highlight w:val="none"/>
              </w:rPr>
            </w:pPr>
            <w:r>
              <w:rPr>
                <w:rFonts w:hint="eastAsia" w:ascii="宋体" w:hAnsi="宋体" w:cs="宋体"/>
                <w:color w:val="auto"/>
                <w:sz w:val="24"/>
                <w:highlight w:val="none"/>
              </w:rPr>
              <w:t>0.20%</w:t>
            </w:r>
          </w:p>
        </w:tc>
      </w:tr>
      <w:tr w14:paraId="090DE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439B69CF">
            <w:pPr>
              <w:jc w:val="center"/>
              <w:rPr>
                <w:rFonts w:hint="eastAsia" w:ascii="宋体" w:hAnsi="宋体" w:cs="宋体"/>
                <w:color w:val="auto"/>
                <w:sz w:val="24"/>
                <w:highlight w:val="none"/>
              </w:rPr>
            </w:pPr>
            <w:r>
              <w:rPr>
                <w:rFonts w:hint="eastAsia" w:ascii="宋体" w:hAnsi="宋体" w:cs="宋体"/>
                <w:color w:val="auto"/>
                <w:sz w:val="24"/>
                <w:highlight w:val="none"/>
              </w:rPr>
              <w:t>10000-100000</w:t>
            </w:r>
          </w:p>
        </w:tc>
        <w:tc>
          <w:tcPr>
            <w:tcW w:w="1777" w:type="dxa"/>
            <w:noWrap w:val="0"/>
            <w:vAlign w:val="center"/>
          </w:tcPr>
          <w:p w14:paraId="3D5CC56F">
            <w:pP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1640" w:type="dxa"/>
            <w:noWrap w:val="0"/>
            <w:vAlign w:val="center"/>
          </w:tcPr>
          <w:p w14:paraId="43DF2852">
            <w:pP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2119" w:type="dxa"/>
            <w:noWrap w:val="0"/>
            <w:vAlign w:val="center"/>
          </w:tcPr>
          <w:p w14:paraId="116C5C35">
            <w:pPr>
              <w:jc w:val="center"/>
              <w:rPr>
                <w:rFonts w:hint="eastAsia" w:ascii="宋体" w:hAnsi="宋体" w:cs="宋体"/>
                <w:color w:val="auto"/>
                <w:sz w:val="24"/>
                <w:highlight w:val="none"/>
              </w:rPr>
            </w:pPr>
            <w:r>
              <w:rPr>
                <w:rFonts w:hint="eastAsia" w:ascii="宋体" w:hAnsi="宋体" w:cs="宋体"/>
                <w:color w:val="auto"/>
                <w:sz w:val="24"/>
                <w:highlight w:val="none"/>
              </w:rPr>
              <w:t>0.05%</w:t>
            </w:r>
          </w:p>
        </w:tc>
      </w:tr>
      <w:tr w14:paraId="3BBAD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935" w:type="dxa"/>
            <w:noWrap w:val="0"/>
            <w:vAlign w:val="center"/>
          </w:tcPr>
          <w:p w14:paraId="26D88AFE">
            <w:pPr>
              <w:jc w:val="center"/>
              <w:rPr>
                <w:rFonts w:hint="eastAsia" w:ascii="宋体" w:hAnsi="宋体" w:cs="宋体"/>
                <w:color w:val="auto"/>
                <w:sz w:val="24"/>
                <w:highlight w:val="none"/>
              </w:rPr>
            </w:pPr>
            <w:r>
              <w:rPr>
                <w:rFonts w:hint="eastAsia" w:ascii="宋体" w:hAnsi="宋体" w:cs="宋体"/>
                <w:color w:val="auto"/>
                <w:sz w:val="24"/>
                <w:highlight w:val="none"/>
              </w:rPr>
              <w:t>100000以上</w:t>
            </w:r>
          </w:p>
        </w:tc>
        <w:tc>
          <w:tcPr>
            <w:tcW w:w="1777" w:type="dxa"/>
            <w:noWrap w:val="0"/>
            <w:vAlign w:val="center"/>
          </w:tcPr>
          <w:p w14:paraId="1A18E6AF">
            <w:pP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1640" w:type="dxa"/>
            <w:noWrap w:val="0"/>
            <w:vAlign w:val="center"/>
          </w:tcPr>
          <w:p w14:paraId="2686043C">
            <w:pP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2119" w:type="dxa"/>
            <w:noWrap w:val="0"/>
            <w:vAlign w:val="center"/>
          </w:tcPr>
          <w:p w14:paraId="196EF2D5">
            <w:pPr>
              <w:jc w:val="center"/>
              <w:rPr>
                <w:rFonts w:hint="eastAsia" w:ascii="宋体" w:hAnsi="宋体" w:cs="宋体"/>
                <w:color w:val="auto"/>
                <w:sz w:val="24"/>
                <w:highlight w:val="none"/>
              </w:rPr>
            </w:pPr>
            <w:r>
              <w:rPr>
                <w:rFonts w:hint="eastAsia" w:ascii="宋体" w:hAnsi="宋体" w:cs="宋体"/>
                <w:color w:val="auto"/>
                <w:sz w:val="24"/>
                <w:highlight w:val="none"/>
              </w:rPr>
              <w:t>0.01%</w:t>
            </w:r>
          </w:p>
        </w:tc>
      </w:tr>
    </w:tbl>
    <w:p w14:paraId="231C0B78">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七、合同签订及公告</w:t>
      </w:r>
    </w:p>
    <w:p w14:paraId="567FDD94">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（一）签订合同</w:t>
      </w:r>
    </w:p>
    <w:p w14:paraId="6E50D4D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1、采购人应当自中标通知书发出之日起30天内，按照招标文件和中标人投标文件的规定，与中标人签订书面合同。所签订的合同不得对招标文件确定的事项和中标人投标文件作实质性修改。</w:t>
      </w:r>
    </w:p>
    <w:p w14:paraId="7400EDF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2、采购人不得向中标人提出任何不合理的要求作为签订合同的条件。</w:t>
      </w:r>
    </w:p>
    <w:p w14:paraId="576BB4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3、中标供应商无故拖延、拒签合同的,取消中标资格。</w:t>
      </w:r>
    </w:p>
    <w:p w14:paraId="16FCFBF3">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4E1E06ED">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5、询问或者质疑事项可能影响中标结果的，采购人应当暂停签订合同，已经签订合同的，应当中止履行合同（中标结果的质疑期为中标结果公告期限届满之日起七个工作日）。</w:t>
      </w:r>
    </w:p>
    <w:p w14:paraId="458A34EE">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（二）合同公告及备案</w:t>
      </w:r>
    </w:p>
    <w:p w14:paraId="7BAB489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1、采购人应当自政府采购合同签订之日起2个工作日内，在省级以上财政部门指定的政府采购信息发布媒体及相关网站上公告。</w:t>
      </w:r>
    </w:p>
    <w:p w14:paraId="6434319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2、采购人应当自政府采购合同签订之日起7个工作日内，将政府采购合同副本报同级人民政府财政部门备案以及采购组织机构存档。</w:t>
      </w:r>
    </w:p>
    <w:p w14:paraId="75AB7935">
      <w:pPr>
        <w:spacing w:line="360" w:lineRule="auto"/>
        <w:ind w:firstLine="480" w:firstLineChars="200"/>
        <w:rPr>
          <w:rFonts w:ascii="宋体" w:hAnsi="宋体" w:cs="宋体"/>
          <w:color w:val="auto"/>
          <w:sz w:val="24"/>
          <w:szCs w:val="32"/>
          <w:highlight w:val="none"/>
        </w:rPr>
      </w:pPr>
    </w:p>
    <w:p w14:paraId="7CB3C411">
      <w:pPr>
        <w:rPr>
          <w:rFonts w:ascii="宋体" w:hAnsi="宋体" w:cs="宋体"/>
          <w:color w:val="auto"/>
          <w:sz w:val="24"/>
          <w:szCs w:val="32"/>
          <w:highlight w:val="none"/>
        </w:rPr>
      </w:pPr>
      <w:r>
        <w:rPr>
          <w:rFonts w:ascii="宋体" w:hAnsi="宋体" w:cs="宋体"/>
          <w:color w:val="auto"/>
          <w:sz w:val="24"/>
          <w:szCs w:val="32"/>
          <w:highlight w:val="none"/>
        </w:rPr>
        <w:br w:type="page"/>
      </w:r>
    </w:p>
    <w:p w14:paraId="5C5A2DEC">
      <w:pPr>
        <w:pStyle w:val="30"/>
        <w:rPr>
          <w:color w:val="auto"/>
          <w:highlight w:val="none"/>
        </w:rPr>
      </w:pPr>
    </w:p>
    <w:p w14:paraId="26803F8A">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第三章评标办法及评分标准</w:t>
      </w:r>
    </w:p>
    <w:p w14:paraId="0EB619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一、采购组织机构将组织评标委员会，对投标人提供的投标文件进行综合评审。本项目原则上采用电子评审方法。</w:t>
      </w:r>
    </w:p>
    <w:p w14:paraId="54160AE0">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二、本次招标项目的评标方法为综合评分法，总计100分。</w:t>
      </w:r>
    </w:p>
    <w:p w14:paraId="6ABA5B57">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（一）资格及商务技术文件中的客观分打分应一致，客观分打分不一致时，采购人及采购代理机构可以提示评审委员会复核或书面说明理由；其余在规定的分值内单独评定打分。</w:t>
      </w:r>
    </w:p>
    <w:p w14:paraId="62DDE3A0">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（二）各投标人资格及商务技术文件得分按照评标委员会成员的独立评分结果汇总后的算术平均分计算，计算公式为：</w:t>
      </w:r>
    </w:p>
    <w:p w14:paraId="3FE1294B">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资格及商务技术文件</w:t>
      </w:r>
      <w:r>
        <w:rPr>
          <w:rFonts w:hint="eastAsia" w:ascii="宋体" w:hAnsi="宋体" w:cs="宋体"/>
          <w:color w:val="auto"/>
          <w:sz w:val="24"/>
          <w:szCs w:val="32"/>
          <w:highlight w:val="none"/>
        </w:rPr>
        <w:t>得分</w:t>
      </w:r>
      <w:r>
        <w:rPr>
          <w:rFonts w:hint="eastAsia" w:ascii="宋体" w:hAnsi="宋体" w:cs="宋体"/>
          <w:color w:val="auto"/>
          <w:sz w:val="24"/>
          <w:szCs w:val="32"/>
          <w:highlight w:val="none"/>
          <w:lang w:val="zh-CN"/>
        </w:rPr>
        <w:t>=评标委员会所有成员评分合计数/评标委员会组成人员数。</w:t>
      </w:r>
    </w:p>
    <w:p w14:paraId="16B4DC2E">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（三）投标报价得分采用低价优先法计算，即满足招标文件要求且投标价格最低的投标报价为评标基准价，其报价得满分。其他投标人的投标报价得分按下列公式计算：</w:t>
      </w:r>
    </w:p>
    <w:p w14:paraId="12F0920D">
      <w:pPr>
        <w:spacing w:line="360" w:lineRule="auto"/>
        <w:ind w:firstLine="480" w:firstLineChars="200"/>
        <w:rPr>
          <w:rFonts w:ascii="宋体" w:hAnsi="宋体" w:cs="宋体"/>
          <w:color w:val="auto"/>
          <w:sz w:val="24"/>
          <w:szCs w:val="32"/>
          <w:highlight w:val="none"/>
          <w:u w:val="single"/>
        </w:rPr>
      </w:pPr>
      <w:r>
        <w:rPr>
          <w:rFonts w:hint="eastAsia" w:ascii="宋体" w:hAnsi="宋体" w:cs="宋体"/>
          <w:color w:val="auto"/>
          <w:sz w:val="24"/>
          <w:szCs w:val="32"/>
          <w:highlight w:val="none"/>
          <w:u w:val="single"/>
        </w:rPr>
        <w:t>投标报价得分=(评标基准价／投标报价)×</w:t>
      </w:r>
      <w:r>
        <w:rPr>
          <w:rFonts w:hint="eastAsia" w:ascii="宋体" w:hAnsi="宋体" w:cs="宋体"/>
          <w:color w:val="auto"/>
          <w:sz w:val="24"/>
          <w:szCs w:val="32"/>
          <w:highlight w:val="none"/>
          <w:u w:val="single"/>
          <w:lang w:val="en-US" w:eastAsia="zh-CN"/>
        </w:rPr>
        <w:t>1</w:t>
      </w:r>
      <w:r>
        <w:rPr>
          <w:rFonts w:hint="eastAsia" w:ascii="宋体" w:hAnsi="宋体" w:cs="宋体"/>
          <w:color w:val="auto"/>
          <w:sz w:val="24"/>
          <w:szCs w:val="32"/>
          <w:highlight w:val="none"/>
          <w:u w:val="single"/>
        </w:rPr>
        <w:t>0%×100。</w:t>
      </w:r>
    </w:p>
    <w:p w14:paraId="6E55BC16">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（四）投标人综合得分＝资格及商务技术文件得分＋投标报价得分。</w:t>
      </w:r>
    </w:p>
    <w:p w14:paraId="748DD1EE">
      <w:pPr>
        <w:shd w:val="clear" w:color="auto" w:fill="FFFFFF"/>
        <w:spacing w:line="360" w:lineRule="auto"/>
        <w:ind w:firstLine="480" w:firstLineChars="200"/>
        <w:jc w:val="left"/>
        <w:textAlignment w:val="bottom"/>
        <w:rPr>
          <w:color w:val="auto"/>
          <w:highlight w:val="none"/>
          <w:lang w:val="zh-CN"/>
        </w:rPr>
      </w:pPr>
      <w:r>
        <w:rPr>
          <w:rFonts w:hint="eastAsia" w:ascii="宋体" w:hAnsi="宋体" w:cs="宋体"/>
          <w:bCs/>
          <w:color w:val="auto"/>
          <w:kern w:val="0"/>
          <w:sz w:val="24"/>
          <w:highlight w:val="none"/>
          <w:lang w:val="zh-CN"/>
        </w:rPr>
        <w:t>注：得分以</w:t>
      </w:r>
      <w:r>
        <w:rPr>
          <w:rFonts w:hint="eastAsia" w:ascii="宋体" w:hAnsi="宋体" w:cs="宋体"/>
          <w:bCs/>
          <w:color w:val="auto"/>
          <w:kern w:val="0"/>
          <w:sz w:val="24"/>
          <w:highlight w:val="none"/>
        </w:rPr>
        <w:t>政采云</w:t>
      </w:r>
      <w:r>
        <w:rPr>
          <w:rFonts w:hint="eastAsia" w:ascii="宋体" w:hAnsi="宋体" w:cs="宋体"/>
          <w:bCs/>
          <w:color w:val="auto"/>
          <w:kern w:val="0"/>
          <w:sz w:val="24"/>
          <w:highlight w:val="none"/>
          <w:lang w:val="zh-CN"/>
        </w:rPr>
        <w:t>系统计算为准，保留2位小数。</w:t>
      </w:r>
    </w:p>
    <w:p w14:paraId="33A5E4B9">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三、在最大限度地满足招标文件实质性要求前提下，评标委员会按照招标文件中规定的各项因素进行综合评审后，以评标总得分最高的投标人为第一中标候选人。</w:t>
      </w:r>
    </w:p>
    <w:p w14:paraId="294F4BBD">
      <w:pPr>
        <w:spacing w:line="360" w:lineRule="auto"/>
        <w:ind w:firstLine="480" w:firstLineChars="200"/>
        <w:rPr>
          <w:rFonts w:hint="default" w:ascii="宋体" w:hAnsi="宋体" w:eastAsia="宋体" w:cs="宋体"/>
          <w:color w:val="auto"/>
          <w:sz w:val="24"/>
          <w:szCs w:val="32"/>
          <w:highlight w:val="none"/>
          <w:lang w:val="en-US" w:eastAsia="zh-CN"/>
        </w:rPr>
      </w:pPr>
      <w:r>
        <w:rPr>
          <w:rFonts w:hint="eastAsia" w:ascii="宋体" w:hAnsi="宋体" w:cs="宋体"/>
          <w:color w:val="auto"/>
          <w:sz w:val="24"/>
          <w:szCs w:val="32"/>
          <w:highlight w:val="none"/>
          <w:lang w:val="zh-CN"/>
        </w:rPr>
        <w:t>四、如综合得分相同，投标报价低者为先；如综合得分且投标报价相同的，以商务技术文件得分技术性能得分较高者为先。</w:t>
      </w:r>
    </w:p>
    <w:p w14:paraId="7A3B940A">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五、提供相同品牌产品的不同投标人参加同一合同项下投标的，按一家供应商认定：</w:t>
      </w:r>
    </w:p>
    <w:p w14:paraId="4608E2F8">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（1）采用最低评标价法的采购项目，以其中通过资格审查、符合性审查且报价最低的参加评标；报价相同的，由评标委员会集体确定一个投标人参加评标，其他投标无效。</w:t>
      </w:r>
    </w:p>
    <w:p w14:paraId="0BBE48F2">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（2）使用综合评分法的采购项目，评审后得分最高的同品牌投标人获得中标人推荐资格；评审得分相同的，由评标委员会集体推荐一个投标人作为中标候选人，其他同品牌投标人不作为中标候选人。</w:t>
      </w:r>
    </w:p>
    <w:p w14:paraId="3E83BF16">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zh-CN"/>
        </w:rPr>
        <w:t>六、本次评分具体分值细化条款如下表：</w:t>
      </w:r>
    </w:p>
    <w:p w14:paraId="1C4762AA">
      <w:pPr>
        <w:numPr>
          <w:ilvl w:val="0"/>
          <w:numId w:val="7"/>
        </w:numPr>
        <w:snapToGrid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商务技术文件打分标准（</w:t>
      </w:r>
      <w:r>
        <w:rPr>
          <w:rFonts w:hint="eastAsia" w:ascii="宋体" w:hAnsi="宋体" w:cs="宋体"/>
          <w:color w:val="auto"/>
          <w:sz w:val="24"/>
          <w:highlight w:val="none"/>
          <w:lang w:val="en-US" w:eastAsia="zh-CN"/>
        </w:rPr>
        <w:t>90</w:t>
      </w:r>
      <w:r>
        <w:rPr>
          <w:rFonts w:hint="eastAsia" w:ascii="宋体" w:hAnsi="宋体" w:cs="宋体"/>
          <w:color w:val="auto"/>
          <w:sz w:val="24"/>
          <w:highlight w:val="none"/>
          <w:lang w:val="zh-CN"/>
        </w:rPr>
        <w:t>分）</w:t>
      </w:r>
      <w:bookmarkStart w:id="1" w:name="_Hlk88833272"/>
    </w:p>
    <w:tbl>
      <w:tblPr>
        <w:tblStyle w:val="31"/>
        <w:tblpPr w:leftFromText="180" w:rightFromText="180" w:vertAnchor="text" w:horzAnchor="page" w:tblpX="987" w:tblpY="306"/>
        <w:tblOverlap w:val="never"/>
        <w:tblW w:w="102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2070"/>
        <w:gridCol w:w="6314"/>
        <w:gridCol w:w="765"/>
      </w:tblGrid>
      <w:tr w14:paraId="10F63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3140" w:type="dxa"/>
            <w:gridSpan w:val="2"/>
            <w:shd w:val="pct20" w:color="auto" w:fill="auto"/>
            <w:noWrap w:val="0"/>
            <w:vAlign w:val="center"/>
          </w:tcPr>
          <w:p w14:paraId="51C934B7">
            <w:pPr>
              <w:widowControl/>
              <w:spacing w:line="360" w:lineRule="exact"/>
              <w:jc w:val="center"/>
              <w:rPr>
                <w:rFonts w:hint="eastAsia" w:ascii="Arial" w:hAnsi="Arial" w:eastAsia="宋体" w:cs="Arial"/>
                <w:b/>
                <w:bCs/>
                <w:color w:val="auto"/>
                <w:szCs w:val="21"/>
                <w:highlight w:val="none"/>
                <w:lang w:val="en-US" w:eastAsia="zh-CN"/>
              </w:rPr>
            </w:pPr>
            <w:r>
              <w:rPr>
                <w:rFonts w:hint="eastAsia" w:ascii="Arial" w:hAnsi="Arial" w:cs="Arial"/>
                <w:b/>
                <w:bCs/>
                <w:color w:val="auto"/>
                <w:szCs w:val="21"/>
                <w:highlight w:val="none"/>
                <w:lang w:val="en-US" w:eastAsia="zh-CN"/>
              </w:rPr>
              <w:t>评标因素</w:t>
            </w:r>
          </w:p>
        </w:tc>
        <w:tc>
          <w:tcPr>
            <w:tcW w:w="6314" w:type="dxa"/>
            <w:shd w:val="pct20" w:color="auto" w:fill="auto"/>
            <w:noWrap w:val="0"/>
            <w:vAlign w:val="center"/>
          </w:tcPr>
          <w:p w14:paraId="2E601044">
            <w:pPr>
              <w:widowControl/>
              <w:jc w:val="center"/>
              <w:rPr>
                <w:rFonts w:ascii="宋体" w:hAnsi="Calibri"/>
                <w:color w:val="auto"/>
                <w:szCs w:val="21"/>
                <w:highlight w:val="none"/>
              </w:rPr>
            </w:pPr>
            <w:r>
              <w:rPr>
                <w:rFonts w:hint="eastAsia" w:ascii="Calibri" w:hAnsi="Calibri" w:eastAsia="宋体"/>
                <w:b/>
                <w:color w:val="auto"/>
                <w:szCs w:val="21"/>
                <w:highlight w:val="none"/>
              </w:rPr>
              <w:t>评分细则</w:t>
            </w:r>
          </w:p>
        </w:tc>
        <w:tc>
          <w:tcPr>
            <w:tcW w:w="765" w:type="dxa"/>
            <w:shd w:val="pct20" w:color="auto" w:fill="auto"/>
            <w:noWrap w:val="0"/>
            <w:vAlign w:val="center"/>
          </w:tcPr>
          <w:p w14:paraId="6F0D7F9C">
            <w:pPr>
              <w:widowControl/>
              <w:jc w:val="center"/>
              <w:rPr>
                <w:rFonts w:ascii="Arial" w:hAnsi="Arial" w:eastAsia="宋体" w:cs="Arial"/>
                <w:bCs/>
                <w:color w:val="auto"/>
                <w:szCs w:val="21"/>
                <w:highlight w:val="none"/>
              </w:rPr>
            </w:pPr>
            <w:r>
              <w:rPr>
                <w:rFonts w:hint="eastAsia" w:ascii="Arial" w:hAnsi="Arial" w:eastAsia="宋体" w:cs="Arial"/>
                <w:bCs/>
                <w:color w:val="auto"/>
                <w:szCs w:val="21"/>
                <w:highlight w:val="none"/>
              </w:rPr>
              <w:t>分值</w:t>
            </w:r>
          </w:p>
        </w:tc>
      </w:tr>
      <w:tr w14:paraId="0F82C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1070" w:type="dxa"/>
            <w:vMerge w:val="restart"/>
            <w:noWrap w:val="0"/>
            <w:vAlign w:val="center"/>
          </w:tcPr>
          <w:p w14:paraId="34497BD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b/>
                <w:bCs/>
                <w:color w:val="auto"/>
                <w:szCs w:val="21"/>
                <w:highlight w:val="none"/>
                <w:lang w:val="en-US" w:eastAsia="zh-CN"/>
              </w:rPr>
            </w:pPr>
            <w:r>
              <w:rPr>
                <w:rFonts w:hint="eastAsia" w:ascii="宋体" w:hAnsi="宋体" w:eastAsia="宋体" w:cs="宋体"/>
                <w:color w:val="auto"/>
                <w:sz w:val="21"/>
                <w:szCs w:val="21"/>
                <w:highlight w:val="none"/>
              </w:rPr>
              <w:t>商务</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2070" w:type="dxa"/>
            <w:noWrap w:val="0"/>
            <w:vAlign w:val="center"/>
          </w:tcPr>
          <w:p w14:paraId="2D4F0068">
            <w:pPr>
              <w:autoSpaceDE w:val="0"/>
              <w:autoSpaceDN w:val="0"/>
              <w:adjustRightInd w:val="0"/>
              <w:jc w:val="center"/>
              <w:rPr>
                <w:rFonts w:hint="default" w:ascii="宋体" w:hAnsi="宋体" w:eastAsia="宋体" w:cs="宋体"/>
                <w:color w:val="auto"/>
                <w:kern w:val="0"/>
                <w:szCs w:val="21"/>
                <w:highlight w:val="none"/>
                <w:lang w:val="en-US" w:eastAsia="zh-CN"/>
              </w:rPr>
            </w:pPr>
            <w:r>
              <w:rPr>
                <w:rFonts w:hint="eastAsia" w:asciiTheme="minorEastAsia" w:hAnsiTheme="minorEastAsia" w:eastAsiaTheme="minorEastAsia" w:cstheme="minorEastAsia"/>
                <w:color w:val="auto"/>
                <w:szCs w:val="21"/>
                <w:highlight w:val="none"/>
              </w:rPr>
              <w:t>项目负责人</w:t>
            </w:r>
          </w:p>
        </w:tc>
        <w:tc>
          <w:tcPr>
            <w:tcW w:w="6314" w:type="dxa"/>
            <w:noWrap w:val="0"/>
            <w:vAlign w:val="top"/>
          </w:tcPr>
          <w:p w14:paraId="1AFD45FF">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eastAsia" w:ascii="宋体" w:hAnsi="宋体" w:eastAsia="宋体" w:cs="宋体"/>
                <w:color w:val="auto"/>
                <w:sz w:val="21"/>
                <w:szCs w:val="21"/>
                <w:highlight w:val="none"/>
              </w:rPr>
            </w:pPr>
            <w:r>
              <w:rPr>
                <w:rFonts w:hint="eastAsia" w:asciiTheme="minorEastAsia" w:hAnsiTheme="minorEastAsia" w:eastAsiaTheme="minorEastAsia" w:cstheme="minorEastAsia"/>
                <w:color w:val="auto"/>
                <w:szCs w:val="21"/>
                <w:highlight w:val="none"/>
              </w:rPr>
              <w:t>项目负责人</w:t>
            </w:r>
            <w:r>
              <w:rPr>
                <w:rFonts w:hint="eastAsia" w:ascii="宋体" w:hAnsi="宋体" w:eastAsia="宋体" w:cs="宋体"/>
                <w:color w:val="auto"/>
                <w:sz w:val="21"/>
                <w:szCs w:val="21"/>
                <w:highlight w:val="none"/>
              </w:rPr>
              <w:t>具有市政专业注册建造师二级</w:t>
            </w:r>
            <w:r>
              <w:rPr>
                <w:rFonts w:hint="eastAsia" w:ascii="宋体" w:hAnsi="宋体" w:cs="宋体"/>
                <w:color w:val="auto"/>
                <w:sz w:val="21"/>
                <w:szCs w:val="21"/>
                <w:highlight w:val="none"/>
                <w:lang w:val="en-US" w:eastAsia="zh-CN"/>
              </w:rPr>
              <w:t>或</w:t>
            </w:r>
            <w:r>
              <w:rPr>
                <w:rFonts w:hint="eastAsia" w:ascii="宋体" w:hAnsi="宋体" w:eastAsia="宋体" w:cs="宋体"/>
                <w:color w:val="auto"/>
                <w:sz w:val="21"/>
                <w:szCs w:val="21"/>
                <w:highlight w:val="none"/>
              </w:rPr>
              <w:t>以上</w:t>
            </w:r>
            <w:r>
              <w:rPr>
                <w:rFonts w:hint="eastAsia" w:ascii="宋体" w:hAnsi="宋体" w:cs="宋体"/>
                <w:color w:val="auto"/>
                <w:sz w:val="21"/>
                <w:szCs w:val="21"/>
                <w:highlight w:val="none"/>
                <w:lang w:eastAsia="zh-CN"/>
              </w:rPr>
              <w:t>的</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14:paraId="0691B1EC">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sz w:val="21"/>
                <w:szCs w:val="21"/>
                <w:highlight w:val="none"/>
              </w:rPr>
              <w:t>注：1.投标文件中需提供上述人员的相关证书复印件和投标人为该人员缴纳的近 3个月社保证明并加盖投标人公章，否则不得分。</w:t>
            </w:r>
          </w:p>
        </w:tc>
        <w:tc>
          <w:tcPr>
            <w:tcW w:w="765" w:type="dxa"/>
            <w:noWrap w:val="0"/>
            <w:vAlign w:val="center"/>
          </w:tcPr>
          <w:p w14:paraId="11E80FAE">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w:t>
            </w:r>
          </w:p>
        </w:tc>
      </w:tr>
      <w:tr w14:paraId="4EEDD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070" w:type="dxa"/>
            <w:vMerge w:val="continue"/>
            <w:noWrap w:val="0"/>
            <w:vAlign w:val="center"/>
          </w:tcPr>
          <w:p w14:paraId="145E0FBC">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firstLineChars="0"/>
              <w:jc w:val="center"/>
              <w:textAlignment w:val="auto"/>
              <w:rPr>
                <w:rFonts w:hint="eastAsia" w:ascii="宋体" w:hAnsi="宋体" w:eastAsia="宋体" w:cs="宋体"/>
                <w:b/>
                <w:bCs/>
                <w:color w:val="auto"/>
                <w:szCs w:val="21"/>
                <w:highlight w:val="none"/>
                <w:lang w:val="en-US" w:eastAsia="zh-CN"/>
              </w:rPr>
            </w:pPr>
          </w:p>
        </w:tc>
        <w:tc>
          <w:tcPr>
            <w:tcW w:w="2070" w:type="dxa"/>
            <w:noWrap w:val="0"/>
            <w:vAlign w:val="center"/>
          </w:tcPr>
          <w:p w14:paraId="5C4534B3">
            <w:pPr>
              <w:autoSpaceDE w:val="0"/>
              <w:autoSpaceDN w:val="0"/>
              <w:adjustRightInd w:val="0"/>
              <w:jc w:val="center"/>
              <w:rPr>
                <w:rFonts w:hint="eastAsia" w:ascii="宋体" w:hAnsi="宋体" w:eastAsia="宋体" w:cs="宋体"/>
                <w:color w:val="auto"/>
                <w:kern w:val="0"/>
                <w:szCs w:val="21"/>
                <w:highlight w:val="none"/>
                <w:lang w:val="en-US" w:eastAsia="zh-CN"/>
              </w:rPr>
            </w:pPr>
            <w:r>
              <w:rPr>
                <w:rFonts w:hint="eastAsia" w:asciiTheme="minorEastAsia" w:hAnsiTheme="minorEastAsia" w:eastAsiaTheme="minorEastAsia" w:cstheme="minorEastAsia"/>
                <w:color w:val="auto"/>
                <w:szCs w:val="21"/>
                <w:highlight w:val="none"/>
              </w:rPr>
              <w:t>人员配备</w:t>
            </w:r>
          </w:p>
        </w:tc>
        <w:tc>
          <w:tcPr>
            <w:tcW w:w="6314" w:type="dxa"/>
            <w:noWrap w:val="0"/>
            <w:vAlign w:val="top"/>
          </w:tcPr>
          <w:p w14:paraId="38D7BFDF">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.项目组成员具有</w:t>
            </w:r>
            <w:r>
              <w:rPr>
                <w:rFonts w:hint="eastAsia" w:ascii="宋体" w:hAnsi="宋体" w:cs="宋体"/>
                <w:color w:val="auto"/>
                <w:sz w:val="21"/>
                <w:szCs w:val="21"/>
                <w:highlight w:val="none"/>
                <w:lang w:val="en-US" w:eastAsia="zh-CN"/>
              </w:rPr>
              <w:t>安全员证书的</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4078CBEF">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2.项目组成员具有资料员证书的，得1分。</w:t>
            </w:r>
          </w:p>
          <w:p w14:paraId="798770FE">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3.项目组成员具有质量员证书的，得1分。</w:t>
            </w:r>
          </w:p>
          <w:p w14:paraId="57114513">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4.项目组成员具有施工员证书的，得1分</w:t>
            </w:r>
          </w:p>
          <w:p w14:paraId="634A6299">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注：1.投标文件中需提供上述人员的相关证书复印件和投标人为该人员缴纳的近</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个月社保证明并加盖投标人公章，否则不得分。</w:t>
            </w:r>
          </w:p>
          <w:p w14:paraId="7636E54B">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50" w:leftChars="0"/>
              <w:textAlignment w:val="auto"/>
              <w:rPr>
                <w:rFonts w:hint="default"/>
                <w:lang w:val="en-US" w:eastAsia="zh-CN"/>
              </w:rPr>
            </w:pPr>
            <w:r>
              <w:rPr>
                <w:rFonts w:hint="eastAsia" w:ascii="宋体" w:hAnsi="宋体" w:eastAsia="宋体" w:cs="宋体"/>
                <w:color w:val="auto"/>
                <w:sz w:val="21"/>
                <w:szCs w:val="21"/>
                <w:highlight w:val="none"/>
              </w:rPr>
              <w:t>2.同一人员只计取最高级别的分数，不重复计分。</w:t>
            </w:r>
          </w:p>
        </w:tc>
        <w:tc>
          <w:tcPr>
            <w:tcW w:w="765" w:type="dxa"/>
            <w:noWrap w:val="0"/>
            <w:vAlign w:val="center"/>
          </w:tcPr>
          <w:p w14:paraId="088A3EC2">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w:t>
            </w:r>
          </w:p>
        </w:tc>
      </w:tr>
      <w:tr w14:paraId="349E9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70" w:type="dxa"/>
            <w:vMerge w:val="restart"/>
            <w:noWrap w:val="0"/>
            <w:vAlign w:val="center"/>
          </w:tcPr>
          <w:p w14:paraId="3CF0B9F4">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firstLineChars="0"/>
              <w:jc w:val="center"/>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技术分</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84</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2070" w:type="dxa"/>
            <w:noWrap w:val="0"/>
            <w:vAlign w:val="center"/>
          </w:tcPr>
          <w:p w14:paraId="2C204BD0">
            <w:pPr>
              <w:autoSpaceDE w:val="0"/>
              <w:autoSpaceDN w:val="0"/>
              <w:adjustRightInd w:val="0"/>
              <w:jc w:val="center"/>
              <w:rPr>
                <w:rFonts w:hint="eastAsia" w:ascii="微软雅黑" w:hAnsi="微软雅黑" w:eastAsia="微软雅黑" w:cs="微软雅黑"/>
                <w:color w:val="auto"/>
                <w:kern w:val="2"/>
                <w:sz w:val="20"/>
                <w:szCs w:val="20"/>
                <w:highlight w:val="none"/>
                <w:lang w:val="en-US" w:eastAsia="zh-CN" w:bidi="ar-SA"/>
              </w:rPr>
            </w:pPr>
            <w:r>
              <w:rPr>
                <w:rFonts w:hint="eastAsia" w:ascii="宋体" w:hAnsi="宋体" w:eastAsia="宋体" w:cs="宋体"/>
                <w:color w:val="000000"/>
                <w:sz w:val="21"/>
                <w:szCs w:val="21"/>
                <w:highlight w:val="none"/>
                <w:lang w:val="en-US" w:eastAsia="zh-CN"/>
              </w:rPr>
              <w:t>重点、难点、关键点分析</w:t>
            </w:r>
          </w:p>
        </w:tc>
        <w:tc>
          <w:tcPr>
            <w:tcW w:w="6314" w:type="dxa"/>
            <w:noWrap w:val="0"/>
            <w:vAlign w:val="top"/>
          </w:tcPr>
          <w:p w14:paraId="78D45DAD">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根据投标人对本项目的重点、难点、关键点分析进行综合评分：</w:t>
            </w:r>
          </w:p>
          <w:p w14:paraId="5D6AE8C3">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 xml:space="preserve">1.分析内容齐全，认识准确、到位的得 </w:t>
            </w:r>
            <w:r>
              <w:rPr>
                <w:rFonts w:hint="eastAsia" w:ascii="宋体" w:hAnsi="宋体" w:cs="宋体"/>
                <w:color w:val="auto"/>
                <w:kern w:val="0"/>
                <w:szCs w:val="21"/>
                <w:highlight w:val="none"/>
                <w:lang w:val="en-US" w:eastAsia="zh-CN"/>
              </w:rPr>
              <w:t>3</w:t>
            </w:r>
            <w:r>
              <w:rPr>
                <w:rFonts w:hint="eastAsia" w:ascii="宋体" w:hAnsi="宋体" w:eastAsia="宋体" w:cs="宋体"/>
                <w:color w:val="auto"/>
                <w:kern w:val="0"/>
                <w:szCs w:val="21"/>
                <w:highlight w:val="none"/>
                <w:lang w:val="en-US" w:eastAsia="zh-CN"/>
              </w:rPr>
              <w:t>.1～</w:t>
            </w:r>
            <w:r>
              <w:rPr>
                <w:rFonts w:hint="eastAsia" w:ascii="宋体" w:hAnsi="宋体" w:cs="宋体"/>
                <w:color w:val="auto"/>
                <w:kern w:val="0"/>
                <w:szCs w:val="21"/>
                <w:highlight w:val="none"/>
                <w:lang w:val="en-US" w:eastAsia="zh-CN"/>
              </w:rPr>
              <w:t>5</w:t>
            </w:r>
            <w:r>
              <w:rPr>
                <w:rFonts w:hint="eastAsia" w:ascii="宋体" w:hAnsi="宋体" w:eastAsia="宋体" w:cs="宋体"/>
                <w:color w:val="auto"/>
                <w:kern w:val="0"/>
                <w:szCs w:val="21"/>
                <w:highlight w:val="none"/>
                <w:lang w:val="en-US" w:eastAsia="zh-CN"/>
              </w:rPr>
              <w:t xml:space="preserve"> 分；</w:t>
            </w:r>
          </w:p>
          <w:p w14:paraId="35AA193E">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 xml:space="preserve">2.分析内容基本齐全，认识一般的得 </w:t>
            </w:r>
            <w:r>
              <w:rPr>
                <w:rFonts w:hint="eastAsia" w:ascii="宋体" w:hAnsi="宋体" w:cs="宋体"/>
                <w:color w:val="auto"/>
                <w:kern w:val="0"/>
                <w:szCs w:val="21"/>
                <w:highlight w:val="none"/>
                <w:lang w:val="en-US" w:eastAsia="zh-CN"/>
              </w:rPr>
              <w:t>1</w:t>
            </w:r>
            <w:r>
              <w:rPr>
                <w:rFonts w:hint="eastAsia" w:ascii="宋体" w:hAnsi="宋体" w:eastAsia="宋体" w:cs="宋体"/>
                <w:color w:val="auto"/>
                <w:kern w:val="0"/>
                <w:szCs w:val="21"/>
                <w:highlight w:val="none"/>
                <w:lang w:val="en-US" w:eastAsia="zh-CN"/>
              </w:rPr>
              <w:t>.1～</w:t>
            </w:r>
            <w:r>
              <w:rPr>
                <w:rFonts w:hint="eastAsia" w:ascii="宋体" w:hAnsi="宋体" w:cs="宋体"/>
                <w:color w:val="auto"/>
                <w:kern w:val="0"/>
                <w:szCs w:val="21"/>
                <w:highlight w:val="none"/>
                <w:lang w:val="en-US" w:eastAsia="zh-CN"/>
              </w:rPr>
              <w:t>3</w:t>
            </w:r>
            <w:r>
              <w:rPr>
                <w:rFonts w:hint="eastAsia" w:ascii="宋体" w:hAnsi="宋体" w:eastAsia="宋体" w:cs="宋体"/>
                <w:color w:val="auto"/>
                <w:kern w:val="0"/>
                <w:szCs w:val="21"/>
                <w:highlight w:val="none"/>
                <w:lang w:val="en-US" w:eastAsia="zh-CN"/>
              </w:rPr>
              <w:t>分；</w:t>
            </w:r>
          </w:p>
          <w:p w14:paraId="66F09706">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3.分析内容不齐全，认识较差的得 0.1～</w:t>
            </w:r>
            <w:r>
              <w:rPr>
                <w:rFonts w:hint="eastAsia" w:ascii="宋体" w:hAnsi="宋体" w:cs="宋体"/>
                <w:color w:val="auto"/>
                <w:kern w:val="0"/>
                <w:szCs w:val="21"/>
                <w:highlight w:val="none"/>
                <w:lang w:val="en-US" w:eastAsia="zh-CN"/>
              </w:rPr>
              <w:t>1</w:t>
            </w:r>
            <w:r>
              <w:rPr>
                <w:rFonts w:hint="eastAsia" w:ascii="宋体" w:hAnsi="宋体" w:eastAsia="宋体" w:cs="宋体"/>
                <w:color w:val="auto"/>
                <w:kern w:val="0"/>
                <w:szCs w:val="21"/>
                <w:highlight w:val="none"/>
                <w:lang w:val="en-US" w:eastAsia="zh-CN"/>
              </w:rPr>
              <w:t xml:space="preserve"> 分</w:t>
            </w:r>
          </w:p>
          <w:p w14:paraId="2AA1D70E">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未提及此项的不得分。</w:t>
            </w:r>
          </w:p>
        </w:tc>
        <w:tc>
          <w:tcPr>
            <w:tcW w:w="765" w:type="dxa"/>
            <w:noWrap w:val="0"/>
            <w:vAlign w:val="center"/>
          </w:tcPr>
          <w:p w14:paraId="7BF27233">
            <w:pPr>
              <w:widowControl/>
              <w:jc w:val="center"/>
              <w:rPr>
                <w:rFonts w:hint="default" w:ascii="微软雅黑" w:hAnsi="微软雅黑" w:eastAsia="微软雅黑" w:cs="微软雅黑"/>
                <w:color w:val="auto"/>
                <w:kern w:val="2"/>
                <w:sz w:val="20"/>
                <w:szCs w:val="20"/>
                <w:highlight w:val="none"/>
                <w:lang w:val="en-US" w:eastAsia="zh-CN" w:bidi="ar-SA"/>
              </w:rPr>
            </w:pPr>
            <w:r>
              <w:rPr>
                <w:rFonts w:hint="eastAsia" w:ascii="宋体" w:hAnsi="宋体" w:cs="宋体"/>
                <w:color w:val="auto"/>
                <w:kern w:val="0"/>
                <w:szCs w:val="21"/>
                <w:highlight w:val="none"/>
                <w:lang w:val="en-US" w:eastAsia="zh-CN"/>
              </w:rPr>
              <w:t>5</w:t>
            </w:r>
          </w:p>
        </w:tc>
      </w:tr>
      <w:tr w14:paraId="415CA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70" w:type="dxa"/>
            <w:vMerge w:val="continue"/>
            <w:noWrap w:val="0"/>
            <w:vAlign w:val="center"/>
          </w:tcPr>
          <w:p w14:paraId="5387CCAC">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firstLineChars="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noWrap w:val="0"/>
            <w:vAlign w:val="center"/>
          </w:tcPr>
          <w:p w14:paraId="23F3810B">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000000"/>
                <w:sz w:val="21"/>
                <w:szCs w:val="21"/>
                <w:highlight w:val="none"/>
                <w:lang w:val="en-US" w:eastAsia="zh-CN"/>
              </w:rPr>
              <w:t>重点、难点、关键点的应对措施及建议</w:t>
            </w:r>
          </w:p>
        </w:tc>
        <w:tc>
          <w:tcPr>
            <w:tcW w:w="6314" w:type="dxa"/>
            <w:noWrap w:val="0"/>
            <w:vAlign w:val="center"/>
          </w:tcPr>
          <w:p w14:paraId="46B1BD7C">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根据投标人对本项目的重点、难点、关键点的应对措施及建议进行综合评分：</w:t>
            </w:r>
          </w:p>
          <w:p w14:paraId="094642FC">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1.应对措施及建议合理，贴合项目实际的得</w:t>
            </w:r>
            <w:r>
              <w:rPr>
                <w:rFonts w:hint="eastAsia" w:ascii="宋体" w:hAnsi="宋体" w:cs="宋体"/>
                <w:color w:val="000000"/>
                <w:sz w:val="21"/>
                <w:szCs w:val="21"/>
                <w:highlight w:val="none"/>
                <w:lang w:val="en-US" w:eastAsia="zh-CN"/>
              </w:rPr>
              <w:t>7.1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10</w:t>
            </w:r>
            <w:r>
              <w:rPr>
                <w:rFonts w:hint="eastAsia" w:ascii="宋体" w:hAnsi="宋体" w:eastAsia="宋体" w:cs="宋体"/>
                <w:color w:val="000000"/>
                <w:sz w:val="21"/>
                <w:szCs w:val="21"/>
                <w:highlight w:val="none"/>
                <w:lang w:val="en-US" w:eastAsia="zh-CN"/>
              </w:rPr>
              <w:t>分；</w:t>
            </w:r>
          </w:p>
          <w:p w14:paraId="49D6D659">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2.应对措施及建议基本合理，基本符合项目实际的得</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en-US" w:eastAsia="zh-CN"/>
              </w:rPr>
              <w:t>.1～</w:t>
            </w:r>
            <w:r>
              <w:rPr>
                <w:rFonts w:hint="eastAsia" w:ascii="宋体" w:hAnsi="宋体" w:cs="宋体"/>
                <w:color w:val="000000"/>
                <w:sz w:val="21"/>
                <w:szCs w:val="21"/>
                <w:highlight w:val="none"/>
                <w:lang w:val="en-US" w:eastAsia="zh-CN"/>
              </w:rPr>
              <w:t>7</w:t>
            </w:r>
            <w:r>
              <w:rPr>
                <w:rFonts w:hint="eastAsia" w:ascii="宋体" w:hAnsi="宋体" w:eastAsia="宋体" w:cs="宋体"/>
                <w:color w:val="000000"/>
                <w:sz w:val="21"/>
                <w:szCs w:val="21"/>
                <w:highlight w:val="none"/>
                <w:lang w:val="en-US" w:eastAsia="zh-CN"/>
              </w:rPr>
              <w:t>分；</w:t>
            </w:r>
          </w:p>
          <w:p w14:paraId="70937A87">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default"/>
                <w:lang w:val="en-US" w:eastAsia="zh-CN"/>
              </w:rPr>
            </w:pP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lang w:val="en-US" w:eastAsia="zh-CN"/>
              </w:rPr>
              <w:t>应对措施及建议</w:t>
            </w:r>
            <w:r>
              <w:rPr>
                <w:rFonts w:hint="eastAsia" w:ascii="宋体" w:hAnsi="宋体" w:cs="宋体"/>
                <w:color w:val="000000"/>
                <w:sz w:val="21"/>
                <w:szCs w:val="21"/>
                <w:highlight w:val="none"/>
                <w:lang w:val="en-US" w:eastAsia="zh-CN"/>
              </w:rPr>
              <w:t>较差，不能复核项目实际的得0.1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4分；</w:t>
            </w:r>
          </w:p>
          <w:p w14:paraId="2DB1E9BD">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000000"/>
                <w:sz w:val="21"/>
                <w:szCs w:val="21"/>
                <w:highlight w:val="none"/>
                <w:lang w:val="en-US" w:eastAsia="zh-CN"/>
              </w:rPr>
              <w:t>未提及此项的不得分。</w:t>
            </w:r>
          </w:p>
        </w:tc>
        <w:tc>
          <w:tcPr>
            <w:tcW w:w="765" w:type="dxa"/>
            <w:noWrap w:val="0"/>
            <w:vAlign w:val="center"/>
          </w:tcPr>
          <w:p w14:paraId="074943C5">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5D5E4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4" w:hRule="atLeast"/>
        </w:trPr>
        <w:tc>
          <w:tcPr>
            <w:tcW w:w="1070" w:type="dxa"/>
            <w:vMerge w:val="continue"/>
            <w:vAlign w:val="center"/>
          </w:tcPr>
          <w:p w14:paraId="2DE67B15">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vAlign w:val="center"/>
          </w:tcPr>
          <w:p w14:paraId="34DC1272">
            <w:pPr>
              <w:widowControl/>
              <w:jc w:val="both"/>
              <w:rPr>
                <w:rFonts w:hint="eastAsia" w:ascii="宋体" w:hAnsi="宋体" w:eastAsia="宋体" w:cs="宋体"/>
                <w:color w:val="auto"/>
                <w:kern w:val="0"/>
                <w:szCs w:val="21"/>
                <w:highlight w:val="none"/>
                <w:lang w:val="en-US" w:eastAsia="zh-CN"/>
              </w:rPr>
            </w:pPr>
            <w:r>
              <w:rPr>
                <w:rFonts w:hint="eastAsia" w:ascii="宋体" w:hAnsi="宋体" w:eastAsia="宋体" w:cs="宋体"/>
                <w:color w:val="000000"/>
                <w:sz w:val="21"/>
                <w:szCs w:val="21"/>
                <w:highlight w:val="none"/>
              </w:rPr>
              <w:t>质量保障措施</w:t>
            </w:r>
          </w:p>
        </w:tc>
        <w:tc>
          <w:tcPr>
            <w:tcW w:w="6314" w:type="dxa"/>
            <w:vAlign w:val="center"/>
          </w:tcPr>
          <w:p w14:paraId="68739651">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根据投标人提供的针对本项目的质量保障措施进行综合评分：</w:t>
            </w:r>
          </w:p>
          <w:p w14:paraId="1E83DE1D">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1.质量保证措施科学、合理、完整且可行性、针对性强，贴合本项目的实际，能够充分保障项目的顺利实施，得 </w:t>
            </w:r>
            <w:r>
              <w:rPr>
                <w:rFonts w:hint="eastAsia" w:ascii="宋体" w:hAnsi="宋体" w:cs="宋体"/>
                <w:color w:val="000000"/>
                <w:sz w:val="21"/>
                <w:szCs w:val="21"/>
                <w:highlight w:val="none"/>
                <w:lang w:val="en-US" w:eastAsia="zh-CN"/>
              </w:rPr>
              <w:t>10.1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15</w:t>
            </w:r>
            <w:r>
              <w:rPr>
                <w:rFonts w:hint="eastAsia" w:ascii="宋体" w:hAnsi="宋体" w:eastAsia="宋体" w:cs="宋体"/>
                <w:color w:val="000000"/>
                <w:sz w:val="21"/>
                <w:szCs w:val="21"/>
                <w:highlight w:val="none"/>
              </w:rPr>
              <w:t>分；</w:t>
            </w:r>
          </w:p>
          <w:p w14:paraId="0B9041DC">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2.质量保证措施可行性、可操作性、针对性一般，基本能够保障项目的实施，得</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en-US" w:eastAsia="zh-CN"/>
              </w:rPr>
              <w:t>.1～</w:t>
            </w:r>
            <w:r>
              <w:rPr>
                <w:rFonts w:hint="eastAsia" w:ascii="宋体" w:hAnsi="宋体" w:cs="宋体"/>
                <w:color w:val="000000"/>
                <w:sz w:val="21"/>
                <w:szCs w:val="21"/>
                <w:highlight w:val="none"/>
                <w:lang w:val="en-US" w:eastAsia="zh-CN"/>
              </w:rPr>
              <w:t>10</w:t>
            </w:r>
            <w:r>
              <w:rPr>
                <w:rFonts w:hint="eastAsia" w:ascii="宋体" w:hAnsi="宋体" w:eastAsia="宋体" w:cs="宋体"/>
                <w:color w:val="000000"/>
                <w:sz w:val="21"/>
                <w:szCs w:val="21"/>
                <w:highlight w:val="none"/>
                <w:lang w:val="en-US" w:eastAsia="zh-CN"/>
              </w:rPr>
              <w:t xml:space="preserve"> 分；</w:t>
            </w:r>
          </w:p>
          <w:p w14:paraId="4D8B249C">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rPr>
              <w:t>质量保证措施可行性、可操作性、针对性</w:t>
            </w:r>
            <w:r>
              <w:rPr>
                <w:rFonts w:hint="eastAsia" w:ascii="宋体" w:hAnsi="宋体" w:eastAsia="宋体" w:cs="宋体"/>
                <w:color w:val="000000"/>
                <w:sz w:val="21"/>
                <w:szCs w:val="21"/>
                <w:highlight w:val="none"/>
                <w:lang w:eastAsia="zh-CN"/>
              </w:rPr>
              <w:t>较差</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eastAsia="zh-CN"/>
              </w:rPr>
              <w:t>不</w:t>
            </w:r>
            <w:r>
              <w:rPr>
                <w:rFonts w:hint="eastAsia" w:ascii="宋体" w:hAnsi="宋体" w:eastAsia="宋体" w:cs="宋体"/>
                <w:color w:val="000000"/>
                <w:sz w:val="21"/>
                <w:szCs w:val="21"/>
                <w:highlight w:val="none"/>
              </w:rPr>
              <w:t>能够保障项目的实施</w:t>
            </w:r>
            <w:r>
              <w:rPr>
                <w:rFonts w:hint="eastAsia" w:ascii="宋体" w:hAnsi="宋体" w:eastAsia="宋体" w:cs="宋体"/>
                <w:color w:val="000000"/>
                <w:sz w:val="21"/>
                <w:szCs w:val="21"/>
                <w:highlight w:val="none"/>
                <w:lang w:eastAsia="zh-CN"/>
              </w:rPr>
              <w:t>，得</w:t>
            </w:r>
            <w:r>
              <w:rPr>
                <w:rFonts w:hint="eastAsia" w:ascii="宋体" w:hAnsi="宋体" w:eastAsia="宋体" w:cs="宋体"/>
                <w:color w:val="000000"/>
                <w:sz w:val="21"/>
                <w:szCs w:val="21"/>
                <w:highlight w:val="none"/>
                <w:lang w:val="en-US" w:eastAsia="zh-CN"/>
              </w:rPr>
              <w:t xml:space="preserve"> 0.1～</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en-US" w:eastAsia="zh-CN"/>
              </w:rPr>
              <w:t xml:space="preserve"> 分；</w:t>
            </w:r>
          </w:p>
          <w:p w14:paraId="51B3C711">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000000"/>
                <w:sz w:val="21"/>
                <w:szCs w:val="21"/>
                <w:highlight w:val="none"/>
              </w:rPr>
              <w:t>未提及此项的不得分。</w:t>
            </w:r>
          </w:p>
        </w:tc>
        <w:tc>
          <w:tcPr>
            <w:tcW w:w="765" w:type="dxa"/>
            <w:vAlign w:val="center"/>
          </w:tcPr>
          <w:p w14:paraId="345A3D97">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15</w:t>
            </w:r>
          </w:p>
        </w:tc>
      </w:tr>
      <w:tr w14:paraId="50E71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70" w:type="dxa"/>
            <w:vMerge w:val="continue"/>
            <w:vAlign w:val="center"/>
          </w:tcPr>
          <w:p w14:paraId="5FEF81CE">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vAlign w:val="center"/>
          </w:tcPr>
          <w:p w14:paraId="2C841B67">
            <w:pPr>
              <w:widowControl/>
              <w:jc w:val="both"/>
              <w:rPr>
                <w:rFonts w:hint="eastAsia" w:ascii="宋体" w:hAnsi="宋体" w:eastAsia="宋体" w:cs="宋体"/>
                <w:color w:val="auto"/>
                <w:kern w:val="0"/>
                <w:szCs w:val="21"/>
                <w:highlight w:val="none"/>
                <w:lang w:val="en-US" w:eastAsia="zh-CN"/>
              </w:rPr>
            </w:pPr>
            <w:r>
              <w:rPr>
                <w:rFonts w:hint="eastAsia" w:ascii="宋体" w:hAnsi="宋体" w:eastAsia="宋体" w:cs="宋体"/>
                <w:color w:val="000000"/>
                <w:sz w:val="21"/>
                <w:szCs w:val="21"/>
                <w:highlight w:val="none"/>
              </w:rPr>
              <w:t>应急预案</w:t>
            </w:r>
          </w:p>
        </w:tc>
        <w:tc>
          <w:tcPr>
            <w:tcW w:w="6314" w:type="dxa"/>
            <w:vAlign w:val="center"/>
          </w:tcPr>
          <w:p w14:paraId="0DC9B7D3">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根据投标人针对本项目实际情况制定的突发事件应急预案（包含但不限于窨井清淤封堵事故、防汛防台等气象灾害、交通事故、火灾事故、触电事故、夜间施工事故、管线事故、中毒事故、高空坠落事故、跌落事故等应急预案）进行综合评分：</w:t>
            </w:r>
          </w:p>
          <w:p w14:paraId="4D5A2FF2">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1.突发事件应急预案科学、合理、完整且可行性、针对性强，贴合本项目的实际，能够充分保障项目的顺利实施，得</w:t>
            </w:r>
            <w:r>
              <w:rPr>
                <w:rFonts w:hint="eastAsia" w:ascii="宋体" w:hAnsi="宋体" w:cs="宋体"/>
                <w:color w:val="000000"/>
                <w:sz w:val="21"/>
                <w:szCs w:val="21"/>
                <w:highlight w:val="none"/>
                <w:lang w:val="en-US" w:eastAsia="zh-CN"/>
              </w:rPr>
              <w:t>10.1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15</w:t>
            </w:r>
            <w:r>
              <w:rPr>
                <w:rFonts w:hint="eastAsia" w:ascii="宋体" w:hAnsi="宋体" w:eastAsia="宋体" w:cs="宋体"/>
                <w:color w:val="000000"/>
                <w:sz w:val="21"/>
                <w:szCs w:val="21"/>
                <w:highlight w:val="none"/>
              </w:rPr>
              <w:t>分；</w:t>
            </w:r>
          </w:p>
          <w:p w14:paraId="66C03A37">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2.突发事件应急预案基本科学、合理、完整且可行性、针对性一般，基本能够保障项目的建设实施，但有一定不足，需进一步完善，得 </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en-US" w:eastAsia="zh-CN"/>
              </w:rPr>
              <w:t>.1～</w:t>
            </w:r>
            <w:r>
              <w:rPr>
                <w:rFonts w:hint="eastAsia" w:ascii="宋体" w:hAnsi="宋体" w:cs="宋体"/>
                <w:color w:val="000000"/>
                <w:sz w:val="21"/>
                <w:szCs w:val="21"/>
                <w:highlight w:val="none"/>
                <w:lang w:val="en-US" w:eastAsia="zh-CN"/>
              </w:rPr>
              <w:t>10</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分；</w:t>
            </w:r>
          </w:p>
          <w:p w14:paraId="57A93235">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3.突发事件应急预案欠科学、合理、完整且可行性、针对性欠缺，得 0.1～</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rPr>
              <w:t xml:space="preserve"> 分；</w:t>
            </w:r>
          </w:p>
          <w:p w14:paraId="2575CFCD">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000000"/>
                <w:sz w:val="21"/>
                <w:szCs w:val="21"/>
                <w:highlight w:val="none"/>
              </w:rPr>
              <w:t>未提及此项的不得分。</w:t>
            </w:r>
          </w:p>
        </w:tc>
        <w:tc>
          <w:tcPr>
            <w:tcW w:w="765" w:type="dxa"/>
            <w:vAlign w:val="center"/>
          </w:tcPr>
          <w:p w14:paraId="6142EE27">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15</w:t>
            </w:r>
          </w:p>
        </w:tc>
      </w:tr>
      <w:tr w14:paraId="15413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70" w:type="dxa"/>
            <w:vMerge w:val="continue"/>
            <w:vAlign w:val="center"/>
          </w:tcPr>
          <w:p w14:paraId="62F86EC1">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vAlign w:val="center"/>
          </w:tcPr>
          <w:p w14:paraId="5E94D40F">
            <w:pPr>
              <w:widowControl/>
              <w:jc w:val="both"/>
              <w:rPr>
                <w:rFonts w:hint="eastAsia" w:ascii="宋体" w:hAnsi="宋体" w:eastAsia="宋体" w:cs="宋体"/>
                <w:color w:val="auto"/>
                <w:kern w:val="0"/>
                <w:szCs w:val="21"/>
                <w:highlight w:val="none"/>
                <w:lang w:val="en-US" w:eastAsia="zh-CN"/>
              </w:rPr>
            </w:pPr>
            <w:r>
              <w:rPr>
                <w:rFonts w:hint="eastAsia" w:ascii="宋体" w:hAnsi="宋体" w:eastAsia="宋体" w:cs="宋体"/>
                <w:bCs/>
                <w:color w:val="000000"/>
                <w:kern w:val="28"/>
                <w:sz w:val="21"/>
                <w:szCs w:val="21"/>
                <w:highlight w:val="none"/>
              </w:rPr>
              <w:t>安全文明作业方案</w:t>
            </w:r>
          </w:p>
        </w:tc>
        <w:tc>
          <w:tcPr>
            <w:tcW w:w="6314" w:type="dxa"/>
            <w:vAlign w:val="center"/>
          </w:tcPr>
          <w:p w14:paraId="27D29385">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根据投标人结合本项目实际情况制定的安全文明作业方案（包含但不限于安全目标及安全施工责任承诺书、安全作业措施、交通维护专项安全方案、有限空间作业专项安全方案、潜水作业专项安全方案、管线数据专项安全方案以及文明作业方案等内容）进行综合评分：</w:t>
            </w:r>
          </w:p>
          <w:p w14:paraId="442A7D9A">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 xml:space="preserve">1.安全文明作业方案科学、合理、完整且可行性、可操作性、针对性强，贴合本项目的实际，能够充分保障项目的顺利实施，得 </w:t>
            </w:r>
            <w:r>
              <w:rPr>
                <w:rFonts w:hint="eastAsia" w:ascii="宋体" w:hAnsi="宋体" w:cs="宋体"/>
                <w:color w:val="000000"/>
                <w:sz w:val="21"/>
                <w:szCs w:val="21"/>
                <w:highlight w:val="none"/>
                <w:lang w:val="en-US" w:eastAsia="zh-CN"/>
              </w:rPr>
              <w:t>7.1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10</w:t>
            </w:r>
            <w:r>
              <w:rPr>
                <w:rFonts w:hint="eastAsia" w:ascii="宋体" w:hAnsi="宋体" w:eastAsia="宋体" w:cs="宋体"/>
                <w:bCs/>
                <w:color w:val="000000"/>
                <w:kern w:val="28"/>
                <w:sz w:val="21"/>
                <w:szCs w:val="21"/>
                <w:highlight w:val="none"/>
              </w:rPr>
              <w:t>分；</w:t>
            </w:r>
          </w:p>
          <w:p w14:paraId="2D91A534">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2.安全文明作业方案基本科学、合理、完整且可行性、可操作性、针对性一般，基本能够保障项目的顺利实施，但有一定不足，需进一步完善，得</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rPr>
              <w:t>.1～</w:t>
            </w:r>
            <w:r>
              <w:rPr>
                <w:rFonts w:hint="eastAsia" w:ascii="宋体" w:hAnsi="宋体" w:cs="宋体"/>
                <w:color w:val="000000"/>
                <w:sz w:val="21"/>
                <w:szCs w:val="21"/>
                <w:highlight w:val="none"/>
                <w:lang w:val="en-US" w:eastAsia="zh-CN"/>
              </w:rPr>
              <w:t>7</w:t>
            </w:r>
            <w:r>
              <w:rPr>
                <w:rFonts w:hint="eastAsia" w:ascii="宋体" w:hAnsi="宋体" w:eastAsia="宋体" w:cs="宋体"/>
                <w:bCs/>
                <w:color w:val="000000"/>
                <w:kern w:val="28"/>
                <w:sz w:val="21"/>
                <w:szCs w:val="21"/>
                <w:highlight w:val="none"/>
              </w:rPr>
              <w:t xml:space="preserve"> 分；</w:t>
            </w:r>
          </w:p>
          <w:p w14:paraId="781A9FC0">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3.安全文明作业方案欠科学、合理、完整且可行性、可操作性、针对性欠缺，得0.1～</w:t>
            </w:r>
            <w:r>
              <w:rPr>
                <w:rFonts w:hint="eastAsia" w:ascii="宋体" w:hAnsi="宋体" w:cs="宋体"/>
                <w:bCs/>
                <w:color w:val="000000"/>
                <w:kern w:val="28"/>
                <w:sz w:val="21"/>
                <w:szCs w:val="21"/>
                <w:highlight w:val="none"/>
                <w:lang w:val="en-US" w:eastAsia="zh-CN"/>
              </w:rPr>
              <w:t>4</w:t>
            </w:r>
            <w:r>
              <w:rPr>
                <w:rFonts w:hint="eastAsia" w:ascii="宋体" w:hAnsi="宋体" w:eastAsia="宋体" w:cs="宋体"/>
                <w:bCs/>
                <w:color w:val="000000"/>
                <w:kern w:val="28"/>
                <w:sz w:val="21"/>
                <w:szCs w:val="21"/>
                <w:highlight w:val="none"/>
              </w:rPr>
              <w:t>分；</w:t>
            </w:r>
          </w:p>
          <w:p w14:paraId="0D46F81A">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bCs/>
                <w:color w:val="000000"/>
                <w:kern w:val="28"/>
                <w:sz w:val="21"/>
                <w:szCs w:val="21"/>
                <w:highlight w:val="none"/>
              </w:rPr>
              <w:t>未提及此项的不得分。</w:t>
            </w:r>
          </w:p>
        </w:tc>
        <w:tc>
          <w:tcPr>
            <w:tcW w:w="765" w:type="dxa"/>
            <w:vAlign w:val="center"/>
          </w:tcPr>
          <w:p w14:paraId="32101096">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4E14F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1070" w:type="dxa"/>
            <w:vMerge w:val="continue"/>
            <w:vAlign w:val="center"/>
          </w:tcPr>
          <w:p w14:paraId="04AB4055">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vAlign w:val="center"/>
          </w:tcPr>
          <w:p w14:paraId="569FB148">
            <w:pPr>
              <w:widowControl/>
              <w:jc w:val="both"/>
              <w:rPr>
                <w:rFonts w:hint="eastAsia" w:ascii="宋体" w:hAnsi="宋体" w:eastAsia="宋体" w:cs="宋体"/>
                <w:color w:val="auto"/>
                <w:kern w:val="0"/>
                <w:szCs w:val="21"/>
                <w:highlight w:val="none"/>
                <w:lang w:val="en-US" w:eastAsia="zh-CN"/>
              </w:rPr>
            </w:pPr>
            <w:r>
              <w:rPr>
                <w:rFonts w:hint="eastAsia" w:ascii="宋体" w:hAnsi="宋体" w:eastAsia="宋体" w:cs="宋体"/>
                <w:bCs/>
                <w:color w:val="000000"/>
                <w:kern w:val="28"/>
                <w:sz w:val="21"/>
                <w:szCs w:val="21"/>
                <w:highlight w:val="none"/>
              </w:rPr>
              <w:t>管网巡查方案</w:t>
            </w:r>
          </w:p>
        </w:tc>
        <w:tc>
          <w:tcPr>
            <w:tcW w:w="6314" w:type="dxa"/>
            <w:vAlign w:val="center"/>
          </w:tcPr>
          <w:p w14:paraId="5EA6BBC9">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根据投标人管网巡查方案进行综合评分：</w:t>
            </w:r>
          </w:p>
          <w:p w14:paraId="3EA5E64A">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1.管网巡查方案科学、合理、完整且可行性、可操作性、针对性强，贴合本项目的实际，能够充分保障项目的顺利实施，得</w:t>
            </w:r>
            <w:r>
              <w:rPr>
                <w:rFonts w:hint="eastAsia" w:ascii="宋体" w:hAnsi="宋体" w:cs="宋体"/>
                <w:color w:val="000000"/>
                <w:sz w:val="21"/>
                <w:szCs w:val="21"/>
                <w:highlight w:val="none"/>
                <w:lang w:val="en-US" w:eastAsia="zh-CN"/>
              </w:rPr>
              <w:t>10.1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15</w:t>
            </w:r>
            <w:r>
              <w:rPr>
                <w:rFonts w:hint="eastAsia" w:ascii="宋体" w:hAnsi="宋体" w:eastAsia="宋体" w:cs="宋体"/>
                <w:bCs/>
                <w:color w:val="000000"/>
                <w:kern w:val="28"/>
                <w:sz w:val="21"/>
                <w:szCs w:val="21"/>
                <w:highlight w:val="none"/>
              </w:rPr>
              <w:t>分；</w:t>
            </w:r>
          </w:p>
          <w:p w14:paraId="03CC0884">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 xml:space="preserve">2.管网巡查方案可行性、可操作性、针对性一般，基本能够保障项目的实施，得 </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rPr>
              <w:t>.1～</w:t>
            </w:r>
            <w:r>
              <w:rPr>
                <w:rFonts w:hint="eastAsia" w:ascii="宋体" w:hAnsi="宋体" w:cs="宋体"/>
                <w:color w:val="000000"/>
                <w:sz w:val="21"/>
                <w:szCs w:val="21"/>
                <w:highlight w:val="none"/>
                <w:lang w:val="en-US" w:eastAsia="zh-CN"/>
              </w:rPr>
              <w:t>10</w:t>
            </w:r>
            <w:r>
              <w:rPr>
                <w:rFonts w:hint="eastAsia" w:ascii="宋体" w:hAnsi="宋体" w:eastAsia="宋体" w:cs="宋体"/>
                <w:bCs/>
                <w:color w:val="000000"/>
                <w:kern w:val="28"/>
                <w:sz w:val="21"/>
                <w:szCs w:val="21"/>
                <w:highlight w:val="none"/>
              </w:rPr>
              <w:t>分；</w:t>
            </w:r>
          </w:p>
          <w:p w14:paraId="5CEFF484">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default" w:ascii="宋体" w:hAnsi="宋体" w:eastAsia="宋体" w:cs="宋体"/>
                <w:bCs/>
                <w:color w:val="000000"/>
                <w:kern w:val="28"/>
                <w:sz w:val="21"/>
                <w:szCs w:val="21"/>
                <w:highlight w:val="none"/>
                <w:lang w:val="en-US" w:eastAsia="zh-CN"/>
              </w:rPr>
            </w:pPr>
            <w:r>
              <w:rPr>
                <w:rFonts w:hint="eastAsia" w:ascii="宋体" w:hAnsi="宋体" w:cs="宋体"/>
                <w:bCs/>
                <w:color w:val="000000"/>
                <w:kern w:val="28"/>
                <w:sz w:val="21"/>
                <w:szCs w:val="21"/>
                <w:highlight w:val="none"/>
                <w:lang w:val="en-US" w:eastAsia="zh-CN"/>
              </w:rPr>
              <w:t>3.</w:t>
            </w:r>
            <w:r>
              <w:rPr>
                <w:rFonts w:hint="eastAsia" w:ascii="宋体" w:hAnsi="宋体" w:eastAsia="宋体" w:cs="宋体"/>
                <w:bCs/>
                <w:color w:val="000000"/>
                <w:kern w:val="28"/>
                <w:sz w:val="21"/>
                <w:szCs w:val="21"/>
                <w:highlight w:val="none"/>
              </w:rPr>
              <w:t>管网巡查方案可行性、可操作性、针对性</w:t>
            </w:r>
            <w:r>
              <w:rPr>
                <w:rFonts w:hint="eastAsia" w:ascii="宋体" w:hAnsi="宋体" w:eastAsia="宋体" w:cs="宋体"/>
                <w:bCs/>
                <w:color w:val="000000"/>
                <w:kern w:val="28"/>
                <w:sz w:val="21"/>
                <w:szCs w:val="21"/>
                <w:highlight w:val="none"/>
                <w:lang w:eastAsia="zh-CN"/>
              </w:rPr>
              <w:t>较差</w:t>
            </w:r>
            <w:r>
              <w:rPr>
                <w:rFonts w:hint="eastAsia" w:ascii="宋体" w:hAnsi="宋体" w:eastAsia="宋体" w:cs="宋体"/>
                <w:bCs/>
                <w:color w:val="000000"/>
                <w:kern w:val="28"/>
                <w:sz w:val="21"/>
                <w:szCs w:val="21"/>
                <w:highlight w:val="none"/>
              </w:rPr>
              <w:t>，</w:t>
            </w:r>
            <w:r>
              <w:rPr>
                <w:rFonts w:hint="eastAsia" w:ascii="宋体" w:hAnsi="宋体" w:eastAsia="宋体" w:cs="宋体"/>
                <w:bCs/>
                <w:color w:val="000000"/>
                <w:kern w:val="28"/>
                <w:sz w:val="21"/>
                <w:szCs w:val="21"/>
                <w:highlight w:val="none"/>
                <w:lang w:eastAsia="zh-CN"/>
              </w:rPr>
              <w:t>不</w:t>
            </w:r>
            <w:r>
              <w:rPr>
                <w:rFonts w:hint="eastAsia" w:ascii="宋体" w:hAnsi="宋体" w:eastAsia="宋体" w:cs="宋体"/>
                <w:bCs/>
                <w:color w:val="000000"/>
                <w:kern w:val="28"/>
                <w:sz w:val="21"/>
                <w:szCs w:val="21"/>
                <w:highlight w:val="none"/>
              </w:rPr>
              <w:t>能够保障项目的实施，得</w:t>
            </w:r>
            <w:r>
              <w:rPr>
                <w:rFonts w:hint="eastAsia" w:ascii="宋体" w:hAnsi="宋体" w:cs="宋体"/>
                <w:bCs/>
                <w:color w:val="000000"/>
                <w:kern w:val="28"/>
                <w:sz w:val="21"/>
                <w:szCs w:val="21"/>
                <w:highlight w:val="none"/>
                <w:lang w:val="en-US" w:eastAsia="zh-CN"/>
              </w:rPr>
              <w:t>0</w:t>
            </w:r>
            <w:r>
              <w:rPr>
                <w:rFonts w:hint="eastAsia" w:ascii="宋体" w:hAnsi="宋体" w:eastAsia="宋体" w:cs="宋体"/>
                <w:bCs/>
                <w:color w:val="000000"/>
                <w:kern w:val="28"/>
                <w:sz w:val="21"/>
                <w:szCs w:val="21"/>
                <w:highlight w:val="none"/>
              </w:rPr>
              <w:t>.1～</w:t>
            </w:r>
            <w:r>
              <w:rPr>
                <w:rFonts w:hint="eastAsia" w:ascii="宋体" w:hAnsi="宋体" w:cs="宋体"/>
                <w:bCs/>
                <w:color w:val="000000"/>
                <w:kern w:val="28"/>
                <w:sz w:val="21"/>
                <w:szCs w:val="21"/>
                <w:highlight w:val="none"/>
                <w:lang w:val="en-US" w:eastAsia="zh-CN"/>
              </w:rPr>
              <w:t>5</w:t>
            </w:r>
            <w:r>
              <w:rPr>
                <w:rFonts w:hint="eastAsia" w:ascii="宋体" w:hAnsi="宋体" w:eastAsia="宋体" w:cs="宋体"/>
                <w:bCs/>
                <w:color w:val="000000"/>
                <w:kern w:val="28"/>
                <w:sz w:val="21"/>
                <w:szCs w:val="21"/>
                <w:highlight w:val="none"/>
              </w:rPr>
              <w:t>分；</w:t>
            </w:r>
          </w:p>
          <w:p w14:paraId="1B0AE887">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bCs/>
                <w:color w:val="000000"/>
                <w:kern w:val="28"/>
                <w:sz w:val="21"/>
                <w:szCs w:val="21"/>
                <w:highlight w:val="none"/>
              </w:rPr>
              <w:t>未提及此项的不得分。</w:t>
            </w:r>
          </w:p>
        </w:tc>
        <w:tc>
          <w:tcPr>
            <w:tcW w:w="765" w:type="dxa"/>
            <w:vAlign w:val="center"/>
          </w:tcPr>
          <w:p w14:paraId="7209D640">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15</w:t>
            </w:r>
          </w:p>
        </w:tc>
      </w:tr>
      <w:tr w14:paraId="3BA7D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70" w:type="dxa"/>
            <w:vMerge w:val="continue"/>
            <w:vAlign w:val="center"/>
          </w:tcPr>
          <w:p w14:paraId="1D158229">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vAlign w:val="center"/>
          </w:tcPr>
          <w:p w14:paraId="4FAD49B1">
            <w:pPr>
              <w:widowControl/>
              <w:jc w:val="both"/>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管道疏通养护方案</w:t>
            </w:r>
          </w:p>
        </w:tc>
        <w:tc>
          <w:tcPr>
            <w:tcW w:w="6314" w:type="dxa"/>
            <w:vAlign w:val="center"/>
          </w:tcPr>
          <w:p w14:paraId="2B586DDE">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根据投标人管道疏通养护方案进行综合评分：</w:t>
            </w:r>
          </w:p>
          <w:p w14:paraId="1621B978">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 xml:space="preserve">1.管道疏通养护方案科学、合理、完整且可行性、可操作性、针对性强，贴合本项目的实际，能够充分保障项目的顺利实施，得 </w:t>
            </w:r>
            <w:r>
              <w:rPr>
                <w:rFonts w:hint="eastAsia" w:ascii="宋体" w:hAnsi="宋体" w:cs="宋体"/>
                <w:color w:val="000000"/>
                <w:sz w:val="21"/>
                <w:szCs w:val="21"/>
                <w:highlight w:val="none"/>
                <w:lang w:val="en-US" w:eastAsia="zh-CN"/>
              </w:rPr>
              <w:t>7.1</w:t>
            </w:r>
            <w:r>
              <w:rPr>
                <w:rFonts w:hint="eastAsia" w:ascii="宋体" w:hAnsi="宋体" w:eastAsia="宋体" w:cs="宋体"/>
                <w:color w:val="000000"/>
                <w:sz w:val="21"/>
                <w:szCs w:val="21"/>
                <w:highlight w:val="none"/>
                <w:lang w:val="en-US" w:eastAsia="zh-CN"/>
              </w:rPr>
              <w:t>～</w:t>
            </w:r>
            <w:r>
              <w:rPr>
                <w:rFonts w:hint="eastAsia" w:ascii="宋体" w:hAnsi="宋体" w:cs="宋体"/>
                <w:color w:val="000000"/>
                <w:sz w:val="21"/>
                <w:szCs w:val="21"/>
                <w:highlight w:val="none"/>
                <w:lang w:val="en-US" w:eastAsia="zh-CN"/>
              </w:rPr>
              <w:t>10</w:t>
            </w:r>
            <w:r>
              <w:rPr>
                <w:rFonts w:hint="eastAsia" w:ascii="宋体" w:hAnsi="宋体" w:eastAsia="宋体" w:cs="宋体"/>
                <w:bCs/>
                <w:color w:val="000000"/>
                <w:kern w:val="28"/>
                <w:sz w:val="21"/>
                <w:szCs w:val="21"/>
                <w:highlight w:val="none"/>
              </w:rPr>
              <w:t>分；</w:t>
            </w:r>
          </w:p>
          <w:p w14:paraId="67300593">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eastAsia" w:ascii="宋体" w:hAnsi="宋体" w:eastAsia="宋体" w:cs="宋体"/>
                <w:bCs/>
                <w:color w:val="000000"/>
                <w:kern w:val="28"/>
                <w:sz w:val="21"/>
                <w:szCs w:val="21"/>
                <w:highlight w:val="none"/>
              </w:rPr>
            </w:pPr>
            <w:r>
              <w:rPr>
                <w:rFonts w:hint="eastAsia" w:ascii="宋体" w:hAnsi="宋体" w:eastAsia="宋体" w:cs="宋体"/>
                <w:bCs/>
                <w:color w:val="000000"/>
                <w:kern w:val="28"/>
                <w:sz w:val="21"/>
                <w:szCs w:val="21"/>
                <w:highlight w:val="none"/>
              </w:rPr>
              <w:t xml:space="preserve">2.管道疏通养护方案可行性、可操作性、针对性一般，基本能够保障项目的实施，得 </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rPr>
              <w:t>.1～</w:t>
            </w:r>
            <w:r>
              <w:rPr>
                <w:rFonts w:hint="eastAsia" w:ascii="宋体" w:hAnsi="宋体" w:cs="宋体"/>
                <w:color w:val="000000"/>
                <w:sz w:val="21"/>
                <w:szCs w:val="21"/>
                <w:highlight w:val="none"/>
                <w:lang w:val="en-US" w:eastAsia="zh-CN"/>
              </w:rPr>
              <w:t>7</w:t>
            </w:r>
            <w:r>
              <w:rPr>
                <w:rFonts w:hint="eastAsia" w:ascii="宋体" w:hAnsi="宋体" w:eastAsia="宋体" w:cs="宋体"/>
                <w:bCs/>
                <w:color w:val="000000"/>
                <w:kern w:val="28"/>
                <w:sz w:val="21"/>
                <w:szCs w:val="21"/>
                <w:highlight w:val="none"/>
              </w:rPr>
              <w:t>分；</w:t>
            </w:r>
          </w:p>
          <w:p w14:paraId="71233BEE">
            <w:pPr>
              <w:keepNext w:val="0"/>
              <w:keepLines w:val="0"/>
              <w:pageBreakBefore w:val="0"/>
              <w:widowControl w:val="0"/>
              <w:shd w:val="clear" w:color="auto" w:fill="auto"/>
              <w:kinsoku/>
              <w:wordWrap/>
              <w:overflowPunct/>
              <w:topLinePunct w:val="0"/>
              <w:autoSpaceDE/>
              <w:autoSpaceDN/>
              <w:bidi w:val="0"/>
              <w:adjustRightInd/>
              <w:snapToGrid/>
              <w:spacing w:line="300" w:lineRule="exact"/>
              <w:jc w:val="left"/>
              <w:textAlignment w:val="auto"/>
              <w:rPr>
                <w:rFonts w:hint="default" w:ascii="宋体" w:hAnsi="宋体" w:eastAsia="宋体" w:cs="宋体"/>
                <w:bCs/>
                <w:color w:val="000000"/>
                <w:kern w:val="28"/>
                <w:sz w:val="21"/>
                <w:szCs w:val="21"/>
                <w:highlight w:val="none"/>
                <w:lang w:val="en-US" w:eastAsia="zh-CN"/>
              </w:rPr>
            </w:pPr>
            <w:r>
              <w:rPr>
                <w:rFonts w:hint="eastAsia" w:ascii="宋体" w:hAnsi="宋体" w:cs="宋体"/>
                <w:bCs/>
                <w:color w:val="000000"/>
                <w:kern w:val="28"/>
                <w:sz w:val="21"/>
                <w:szCs w:val="21"/>
                <w:highlight w:val="none"/>
                <w:lang w:val="en-US" w:eastAsia="zh-CN"/>
              </w:rPr>
              <w:t>3.</w:t>
            </w:r>
            <w:r>
              <w:rPr>
                <w:rFonts w:hint="eastAsia" w:ascii="宋体" w:hAnsi="宋体" w:eastAsia="宋体" w:cs="宋体"/>
                <w:bCs/>
                <w:color w:val="000000"/>
                <w:kern w:val="28"/>
                <w:sz w:val="21"/>
                <w:szCs w:val="21"/>
                <w:highlight w:val="none"/>
              </w:rPr>
              <w:t>管道疏通养护方案可行性、可操作性、针对性</w:t>
            </w:r>
            <w:r>
              <w:rPr>
                <w:rFonts w:hint="eastAsia" w:ascii="宋体" w:hAnsi="宋体" w:eastAsia="宋体" w:cs="宋体"/>
                <w:bCs/>
                <w:color w:val="000000"/>
                <w:kern w:val="28"/>
                <w:sz w:val="21"/>
                <w:szCs w:val="21"/>
                <w:highlight w:val="none"/>
                <w:lang w:eastAsia="zh-CN"/>
              </w:rPr>
              <w:t>较差</w:t>
            </w:r>
            <w:r>
              <w:rPr>
                <w:rFonts w:hint="eastAsia" w:ascii="宋体" w:hAnsi="宋体" w:eastAsia="宋体" w:cs="宋体"/>
                <w:bCs/>
                <w:color w:val="000000"/>
                <w:kern w:val="28"/>
                <w:sz w:val="21"/>
                <w:szCs w:val="21"/>
                <w:highlight w:val="none"/>
              </w:rPr>
              <w:t>，</w:t>
            </w:r>
            <w:r>
              <w:rPr>
                <w:rFonts w:hint="eastAsia" w:ascii="宋体" w:hAnsi="宋体" w:eastAsia="宋体" w:cs="宋体"/>
                <w:bCs/>
                <w:color w:val="000000"/>
                <w:kern w:val="28"/>
                <w:sz w:val="21"/>
                <w:szCs w:val="21"/>
                <w:highlight w:val="none"/>
                <w:lang w:eastAsia="zh-CN"/>
              </w:rPr>
              <w:t>不</w:t>
            </w:r>
            <w:r>
              <w:rPr>
                <w:rFonts w:hint="eastAsia" w:ascii="宋体" w:hAnsi="宋体" w:eastAsia="宋体" w:cs="宋体"/>
                <w:bCs/>
                <w:color w:val="000000"/>
                <w:kern w:val="28"/>
                <w:sz w:val="21"/>
                <w:szCs w:val="21"/>
                <w:highlight w:val="none"/>
              </w:rPr>
              <w:t>能够保障项目的实施，得 0.1～</w:t>
            </w:r>
            <w:r>
              <w:rPr>
                <w:rFonts w:hint="eastAsia" w:ascii="宋体" w:hAnsi="宋体" w:cs="宋体"/>
                <w:bCs/>
                <w:color w:val="000000"/>
                <w:kern w:val="28"/>
                <w:sz w:val="21"/>
                <w:szCs w:val="21"/>
                <w:highlight w:val="none"/>
                <w:lang w:val="en-US" w:eastAsia="zh-CN"/>
              </w:rPr>
              <w:t>4</w:t>
            </w:r>
            <w:r>
              <w:rPr>
                <w:rFonts w:hint="eastAsia" w:ascii="宋体" w:hAnsi="宋体" w:eastAsia="宋体" w:cs="宋体"/>
                <w:bCs/>
                <w:color w:val="000000"/>
                <w:kern w:val="28"/>
                <w:sz w:val="21"/>
                <w:szCs w:val="21"/>
                <w:highlight w:val="none"/>
              </w:rPr>
              <w:t>分；</w:t>
            </w:r>
          </w:p>
          <w:p w14:paraId="3928FB4B">
            <w:pPr>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bCs/>
                <w:color w:val="000000"/>
                <w:kern w:val="28"/>
                <w:sz w:val="21"/>
                <w:szCs w:val="21"/>
                <w:highlight w:val="none"/>
              </w:rPr>
              <w:t>未提及此项的不得分。</w:t>
            </w:r>
          </w:p>
        </w:tc>
        <w:tc>
          <w:tcPr>
            <w:tcW w:w="765" w:type="dxa"/>
            <w:vAlign w:val="center"/>
          </w:tcPr>
          <w:p w14:paraId="18D8E055">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01E58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70" w:type="dxa"/>
            <w:vMerge w:val="continue"/>
            <w:vAlign w:val="center"/>
          </w:tcPr>
          <w:p w14:paraId="518A54A1">
            <w:pPr>
              <w:keepNext w:val="0"/>
              <w:keepLines w:val="0"/>
              <w:pageBreakBefore w:val="0"/>
              <w:widowControl w:val="0"/>
              <w:numPr>
                <w:ilvl w:val="0"/>
                <w:numId w:val="0"/>
              </w:numPr>
              <w:kinsoku/>
              <w:wordWrap/>
              <w:overflowPunct/>
              <w:topLinePunct w:val="0"/>
              <w:bidi w:val="0"/>
              <w:adjustRightInd/>
              <w:snapToGrid/>
              <w:spacing w:line="240" w:lineRule="auto"/>
              <w:ind w:left="0" w:leftChars="0" w:right="0" w:rightChars="0" w:firstLine="0"/>
              <w:jc w:val="center"/>
              <w:textAlignment w:val="auto"/>
              <w:rPr>
                <w:rFonts w:hint="eastAsia" w:ascii="宋体" w:hAnsi="宋体" w:eastAsia="宋体" w:cs="宋体"/>
                <w:b/>
                <w:bCs/>
                <w:color w:val="auto"/>
                <w:kern w:val="2"/>
                <w:sz w:val="21"/>
                <w:szCs w:val="21"/>
                <w:highlight w:val="none"/>
                <w:lang w:val="en-US" w:eastAsia="zh-CN" w:bidi="ar-SA"/>
              </w:rPr>
            </w:pPr>
          </w:p>
        </w:tc>
        <w:tc>
          <w:tcPr>
            <w:tcW w:w="2070" w:type="dxa"/>
            <w:vAlign w:val="center"/>
          </w:tcPr>
          <w:p w14:paraId="51897005">
            <w:pPr>
              <w:snapToGrid w:val="0"/>
              <w:jc w:val="center"/>
              <w:rPr>
                <w:rFonts w:hint="eastAsia" w:ascii="宋体" w:hAnsi="宋体" w:eastAsia="宋体" w:cs="宋体"/>
                <w:bCs/>
                <w:color w:val="000000"/>
                <w:kern w:val="28"/>
                <w:sz w:val="21"/>
                <w:szCs w:val="21"/>
                <w:highlight w:val="none"/>
              </w:rPr>
            </w:pPr>
            <w:r>
              <w:rPr>
                <w:rFonts w:hint="eastAsia" w:ascii="宋体" w:hAnsi="宋体" w:cs="新宋体"/>
                <w:color w:val="auto"/>
                <w:szCs w:val="21"/>
                <w:highlight w:val="none"/>
              </w:rPr>
              <w:t>服务响应</w:t>
            </w:r>
          </w:p>
        </w:tc>
        <w:tc>
          <w:tcPr>
            <w:tcW w:w="6314" w:type="dxa"/>
            <w:vAlign w:val="center"/>
          </w:tcPr>
          <w:p w14:paraId="7312D910">
            <w:pPr>
              <w:widowControl/>
              <w:rPr>
                <w:rFonts w:ascii="宋体" w:hAnsi="宋体" w:cs="宋体"/>
                <w:color w:val="auto"/>
                <w:spacing w:val="-4"/>
                <w:szCs w:val="21"/>
                <w:highlight w:val="none"/>
              </w:rPr>
            </w:pPr>
            <w:r>
              <w:rPr>
                <w:rFonts w:hint="eastAsia" w:ascii="宋体" w:hAnsi="宋体" w:cs="宋体"/>
                <w:color w:val="auto"/>
                <w:spacing w:val="-4"/>
                <w:szCs w:val="21"/>
                <w:highlight w:val="none"/>
              </w:rPr>
              <w:t>根据投标人承诺的服务响应时间等情况进行打分。</w:t>
            </w:r>
          </w:p>
          <w:p w14:paraId="103A6B13">
            <w:pPr>
              <w:widowControl/>
              <w:rPr>
                <w:rFonts w:ascii="宋体" w:hAnsi="宋体" w:cs="宋体"/>
                <w:color w:val="auto"/>
                <w:spacing w:val="-4"/>
                <w:szCs w:val="21"/>
                <w:highlight w:val="none"/>
              </w:rPr>
            </w:pPr>
            <w:r>
              <w:rPr>
                <w:rFonts w:hint="eastAsia" w:ascii="宋体" w:hAnsi="宋体" w:cs="宋体"/>
                <w:color w:val="auto"/>
                <w:spacing w:val="-4"/>
                <w:szCs w:val="21"/>
                <w:highlight w:val="none"/>
              </w:rPr>
              <w:t>承诺接到采购方通知后，在2小时内（含）到达现场的得</w:t>
            </w:r>
            <w:r>
              <w:rPr>
                <w:rFonts w:hint="eastAsia" w:ascii="宋体" w:hAnsi="宋体" w:cs="宋体"/>
                <w:color w:val="auto"/>
                <w:spacing w:val="-4"/>
                <w:szCs w:val="21"/>
                <w:highlight w:val="none"/>
                <w:lang w:val="en-US" w:eastAsia="zh-CN"/>
              </w:rPr>
              <w:t>4</w:t>
            </w:r>
            <w:r>
              <w:rPr>
                <w:rFonts w:hint="eastAsia" w:ascii="宋体" w:hAnsi="宋体" w:cs="宋体"/>
                <w:color w:val="auto"/>
                <w:spacing w:val="-4"/>
                <w:szCs w:val="21"/>
                <w:highlight w:val="none"/>
              </w:rPr>
              <w:t>分；</w:t>
            </w:r>
          </w:p>
          <w:p w14:paraId="77BD436D">
            <w:pPr>
              <w:widowControl/>
              <w:rPr>
                <w:rFonts w:ascii="宋体" w:hAnsi="宋体" w:cs="宋体"/>
                <w:color w:val="auto"/>
                <w:spacing w:val="-4"/>
                <w:szCs w:val="21"/>
                <w:highlight w:val="none"/>
              </w:rPr>
            </w:pPr>
            <w:r>
              <w:rPr>
                <w:rFonts w:hint="eastAsia" w:ascii="宋体" w:hAnsi="宋体" w:cs="宋体"/>
                <w:color w:val="auto"/>
                <w:spacing w:val="-4"/>
                <w:szCs w:val="21"/>
                <w:highlight w:val="none"/>
              </w:rPr>
              <w:t>承诺接到采购方通知后，在4小时内（含）到达现场的得</w:t>
            </w:r>
            <w:r>
              <w:rPr>
                <w:rFonts w:hint="eastAsia" w:ascii="宋体" w:hAnsi="宋体" w:cs="宋体"/>
                <w:color w:val="auto"/>
                <w:spacing w:val="-4"/>
                <w:szCs w:val="21"/>
                <w:highlight w:val="none"/>
                <w:lang w:val="en-US" w:eastAsia="zh-CN"/>
              </w:rPr>
              <w:t>2</w:t>
            </w:r>
            <w:r>
              <w:rPr>
                <w:rFonts w:hint="eastAsia" w:ascii="宋体" w:hAnsi="宋体" w:cs="宋体"/>
                <w:color w:val="auto"/>
                <w:spacing w:val="-4"/>
                <w:szCs w:val="21"/>
                <w:highlight w:val="none"/>
              </w:rPr>
              <w:t>分；</w:t>
            </w:r>
          </w:p>
          <w:p w14:paraId="6CF3B575">
            <w:pPr>
              <w:widowControl/>
              <w:rPr>
                <w:rFonts w:ascii="宋体" w:hAnsi="宋体" w:cs="宋体"/>
                <w:color w:val="auto"/>
                <w:spacing w:val="-4"/>
                <w:szCs w:val="21"/>
                <w:highlight w:val="none"/>
              </w:rPr>
            </w:pPr>
            <w:r>
              <w:rPr>
                <w:rFonts w:hint="eastAsia" w:ascii="宋体" w:hAnsi="宋体" w:cs="宋体"/>
                <w:color w:val="auto"/>
                <w:spacing w:val="-4"/>
                <w:szCs w:val="21"/>
                <w:highlight w:val="none"/>
              </w:rPr>
              <w:t>承诺接到采购方通知后，在24小时内（含）到达现场的得1分；</w:t>
            </w:r>
          </w:p>
          <w:p w14:paraId="7C0D1C79">
            <w:pPr>
              <w:widowControl/>
              <w:rPr>
                <w:rFonts w:hint="eastAsia" w:ascii="宋体" w:hAnsi="宋体" w:eastAsia="宋体" w:cs="宋体"/>
                <w:bCs/>
                <w:color w:val="000000"/>
                <w:kern w:val="28"/>
                <w:sz w:val="21"/>
                <w:szCs w:val="21"/>
                <w:highlight w:val="none"/>
              </w:rPr>
            </w:pPr>
            <w:r>
              <w:rPr>
                <w:rFonts w:hint="eastAsia" w:ascii="宋体" w:hAnsi="宋体" w:cs="宋体"/>
                <w:color w:val="auto"/>
                <w:spacing w:val="-4"/>
                <w:szCs w:val="21"/>
                <w:highlight w:val="none"/>
              </w:rPr>
              <w:t>接到采购方通知后，超过24小时到达现场的或未提及此项不得分。</w:t>
            </w:r>
          </w:p>
        </w:tc>
        <w:tc>
          <w:tcPr>
            <w:tcW w:w="765" w:type="dxa"/>
            <w:vAlign w:val="center"/>
          </w:tcPr>
          <w:p w14:paraId="3EDEF32C">
            <w:pPr>
              <w:widowControl/>
              <w:jc w:val="center"/>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w:t>
            </w:r>
          </w:p>
        </w:tc>
      </w:tr>
    </w:tbl>
    <w:p w14:paraId="7056AB31">
      <w:pPr>
        <w:pStyle w:val="28"/>
        <w:rPr>
          <w:rFonts w:hint="eastAsia" w:ascii="宋体" w:hAnsi="宋体" w:cs="宋体"/>
          <w:color w:val="auto"/>
          <w:sz w:val="24"/>
          <w:highlight w:val="none"/>
          <w:lang w:val="zh-CN"/>
        </w:rPr>
      </w:pPr>
    </w:p>
    <w:bookmarkEnd w:id="1"/>
    <w:p w14:paraId="072178B8">
      <w:pPr>
        <w:snapToGrid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（二）价格分（</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0</w:t>
      </w:r>
      <w:r>
        <w:rPr>
          <w:rFonts w:hint="eastAsia" w:ascii="宋体" w:hAnsi="宋体" w:cs="宋体"/>
          <w:color w:val="auto"/>
          <w:sz w:val="24"/>
          <w:highlight w:val="none"/>
          <w:lang w:val="zh-CN"/>
        </w:rPr>
        <w:t>分）</w:t>
      </w:r>
    </w:p>
    <w:p w14:paraId="4EF3DEFA">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highlight w:val="none"/>
        </w:rPr>
        <w:t>以投标合格供应商有效报价中的最低价为基准价，其价格分为满分。其他投标人的价格分按照下列公式计算：投标报价得分=（评标基准价/投标报价）*</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0%*100。</w:t>
      </w:r>
      <w:r>
        <w:rPr>
          <w:rFonts w:hint="eastAsia" w:ascii="宋体" w:hAnsi="宋体" w:cs="宋体"/>
          <w:color w:val="auto"/>
          <w:sz w:val="24"/>
          <w:highlight w:val="none"/>
          <w:lang w:val="zh-CN"/>
        </w:rPr>
        <w:t>（小数点后保留2位小数）。</w:t>
      </w:r>
      <w:r>
        <w:rPr>
          <w:rFonts w:hint="eastAsia" w:ascii="宋体" w:hAnsi="宋体" w:cs="宋体"/>
          <w:color w:val="auto"/>
          <w:sz w:val="24"/>
          <w:highlight w:val="none"/>
        </w:rPr>
        <w:t>（注：本项目为专门面向中小企业采购项目，不进行价格扣除）</w:t>
      </w:r>
    </w:p>
    <w:p w14:paraId="33C7CAA7">
      <w:pPr>
        <w:rPr>
          <w:color w:val="auto"/>
          <w:sz w:val="24"/>
          <w:highlight w:val="none"/>
        </w:rPr>
      </w:pPr>
      <w:r>
        <w:rPr>
          <w:rFonts w:hint="eastAsia"/>
          <w:color w:val="auto"/>
          <w:sz w:val="24"/>
          <w:highlight w:val="none"/>
        </w:rPr>
        <w:br w:type="page"/>
      </w:r>
    </w:p>
    <w:p w14:paraId="41E9941A">
      <w:pPr>
        <w:pStyle w:val="24"/>
        <w:rPr>
          <w:color w:val="auto"/>
          <w:highlight w:val="none"/>
          <w:lang w:val="zh-CN"/>
        </w:rPr>
      </w:pPr>
    </w:p>
    <w:p w14:paraId="3034F4AF">
      <w:pP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第四章</w:t>
      </w:r>
      <w:r>
        <w:rPr>
          <w:rFonts w:hint="eastAsia" w:ascii="宋体" w:hAnsi="宋体" w:cs="宋体"/>
          <w:b/>
          <w:bCs/>
          <w:color w:val="auto"/>
          <w:sz w:val="36"/>
          <w:szCs w:val="44"/>
          <w:highlight w:val="none"/>
          <w:lang w:val="en-US" w:eastAsia="zh-CN"/>
        </w:rPr>
        <w:t xml:space="preserve">  </w:t>
      </w:r>
      <w:r>
        <w:rPr>
          <w:rFonts w:hint="eastAsia" w:ascii="宋体" w:hAnsi="宋体" w:cs="宋体"/>
          <w:b/>
          <w:bCs/>
          <w:color w:val="auto"/>
          <w:sz w:val="36"/>
          <w:szCs w:val="44"/>
          <w:highlight w:val="none"/>
        </w:rPr>
        <w:t>公开招标需求</w:t>
      </w:r>
    </w:p>
    <w:p w14:paraId="1F718C32">
      <w:pPr>
        <w:snapToGrid w:val="0"/>
        <w:spacing w:line="360" w:lineRule="auto"/>
        <w:jc w:val="left"/>
        <w:rPr>
          <w:rFonts w:ascii="宋体" w:hAnsi="宋体"/>
          <w:b/>
          <w:bCs/>
          <w:color w:val="auto"/>
          <w:sz w:val="24"/>
          <w:highlight w:val="none"/>
        </w:rPr>
      </w:pPr>
      <w:r>
        <w:rPr>
          <w:rFonts w:hint="eastAsia" w:ascii="宋体" w:hAnsi="宋体"/>
          <w:b/>
          <w:bCs/>
          <w:color w:val="auto"/>
          <w:sz w:val="24"/>
          <w:highlight w:val="none"/>
        </w:rPr>
        <w:t>一、采购概况、范围及要求</w:t>
      </w:r>
    </w:p>
    <w:tbl>
      <w:tblPr>
        <w:tblStyle w:val="110"/>
        <w:tblW w:w="8729" w:type="dxa"/>
        <w:tblInd w:w="7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1"/>
        <w:gridCol w:w="5933"/>
        <w:gridCol w:w="1905"/>
      </w:tblGrid>
      <w:tr w14:paraId="4955F9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25" w:hRule="atLeast"/>
        </w:trPr>
        <w:tc>
          <w:tcPr>
            <w:tcW w:w="891" w:type="dxa"/>
            <w:noWrap w:val="0"/>
            <w:vAlign w:val="top"/>
          </w:tcPr>
          <w:p w14:paraId="66DF0616">
            <w:pPr>
              <w:jc w:val="center"/>
              <w:rPr>
                <w:color w:val="auto"/>
                <w:sz w:val="24"/>
                <w:szCs w:val="24"/>
                <w:highlight w:val="none"/>
              </w:rPr>
            </w:pPr>
            <w:r>
              <w:rPr>
                <w:color w:val="auto"/>
                <w:sz w:val="24"/>
                <w:szCs w:val="24"/>
                <w:highlight w:val="none"/>
              </w:rPr>
              <w:t>标段</w:t>
            </w:r>
          </w:p>
        </w:tc>
        <w:tc>
          <w:tcPr>
            <w:tcW w:w="5933" w:type="dxa"/>
            <w:tcBorders>
              <w:bottom w:val="single" w:color="auto" w:sz="4" w:space="0"/>
            </w:tcBorders>
            <w:noWrap w:val="0"/>
            <w:vAlign w:val="top"/>
          </w:tcPr>
          <w:p w14:paraId="511D7259">
            <w:pPr>
              <w:jc w:val="center"/>
              <w:rPr>
                <w:color w:val="auto"/>
                <w:sz w:val="24"/>
                <w:szCs w:val="24"/>
                <w:highlight w:val="none"/>
              </w:rPr>
            </w:pPr>
            <w:r>
              <w:rPr>
                <w:color w:val="auto"/>
                <w:sz w:val="24"/>
                <w:szCs w:val="24"/>
                <w:highlight w:val="none"/>
              </w:rPr>
              <w:t>采购内容</w:t>
            </w:r>
          </w:p>
        </w:tc>
        <w:tc>
          <w:tcPr>
            <w:tcW w:w="1905" w:type="dxa"/>
            <w:tcBorders>
              <w:bottom w:val="single" w:color="auto" w:sz="4" w:space="0"/>
            </w:tcBorders>
            <w:noWrap w:val="0"/>
            <w:vAlign w:val="top"/>
          </w:tcPr>
          <w:p w14:paraId="5C29D8C4">
            <w:pPr>
              <w:jc w:val="center"/>
              <w:rPr>
                <w:color w:val="auto"/>
                <w:sz w:val="24"/>
                <w:szCs w:val="24"/>
                <w:highlight w:val="none"/>
              </w:rPr>
            </w:pPr>
            <w:r>
              <w:rPr>
                <w:color w:val="auto"/>
                <w:sz w:val="24"/>
                <w:szCs w:val="24"/>
                <w:highlight w:val="none"/>
              </w:rPr>
              <w:t>服务期限</w:t>
            </w:r>
          </w:p>
        </w:tc>
      </w:tr>
      <w:tr w14:paraId="7AD87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4" w:hRule="atLeast"/>
        </w:trPr>
        <w:tc>
          <w:tcPr>
            <w:tcW w:w="891" w:type="dxa"/>
            <w:tcBorders>
              <w:right w:val="single" w:color="auto" w:sz="4" w:space="0"/>
            </w:tcBorders>
            <w:noWrap w:val="0"/>
            <w:vAlign w:val="center"/>
          </w:tcPr>
          <w:p w14:paraId="6348D6D8">
            <w:pPr>
              <w:jc w:val="center"/>
              <w:rPr>
                <w:color w:val="auto"/>
                <w:sz w:val="24"/>
                <w:szCs w:val="24"/>
                <w:highlight w:val="none"/>
              </w:rPr>
            </w:pPr>
            <w:r>
              <w:rPr>
                <w:color w:val="auto"/>
                <w:sz w:val="24"/>
                <w:szCs w:val="24"/>
                <w:highlight w:val="none"/>
              </w:rPr>
              <w:t>1</w:t>
            </w:r>
          </w:p>
        </w:tc>
        <w:tc>
          <w:tcPr>
            <w:tcW w:w="5933" w:type="dxa"/>
            <w:tcBorders>
              <w:top w:val="single" w:color="auto" w:sz="4" w:space="0"/>
              <w:left w:val="single" w:color="auto" w:sz="4" w:space="0"/>
              <w:bottom w:val="single" w:color="auto" w:sz="4" w:space="0"/>
              <w:right w:val="single" w:color="auto" w:sz="4" w:space="0"/>
            </w:tcBorders>
            <w:noWrap w:val="0"/>
            <w:vAlign w:val="center"/>
          </w:tcPr>
          <w:p w14:paraId="2B5885B8">
            <w:pPr>
              <w:jc w:val="both"/>
              <w:rPr>
                <w:rFonts w:hint="eastAsia" w:eastAsia="宋体" w:cs="Times New Roman"/>
                <w:color w:val="auto"/>
                <w:sz w:val="21"/>
                <w:szCs w:val="21"/>
                <w:highlight w:val="none"/>
                <w:lang w:eastAsia="zh-CN"/>
              </w:rPr>
            </w:pPr>
            <w:r>
              <w:rPr>
                <w:rFonts w:hint="eastAsia" w:ascii="宋体" w:hAnsi="宋体" w:cs="宋体"/>
                <w:szCs w:val="21"/>
                <w:highlight w:val="none"/>
                <w:lang w:val="en-US" w:eastAsia="zh-CN"/>
              </w:rPr>
              <w:t>对蓬街镇区域范围内单个养护金额小于等于30万元的雨污水管网进行排查、养护、运行维护、维修及河道应急处理等；总费用约240万元，其中雨污管网日常养护和疏通费用约90万元（涉及雨污水管网约362公里），应急项目费用约150万元</w:t>
            </w:r>
            <w:r>
              <w:rPr>
                <w:rFonts w:hint="eastAsia" w:ascii="宋体" w:hAnsi="宋体" w:cs="宋体"/>
                <w:szCs w:val="21"/>
                <w:highlight w:val="none"/>
                <w:lang w:eastAsia="zh-CN"/>
              </w:rPr>
              <w:t>。</w:t>
            </w:r>
          </w:p>
        </w:tc>
        <w:tc>
          <w:tcPr>
            <w:tcW w:w="1905" w:type="dxa"/>
            <w:tcBorders>
              <w:top w:val="single" w:color="auto" w:sz="4" w:space="0"/>
              <w:left w:val="single" w:color="auto" w:sz="4" w:space="0"/>
              <w:bottom w:val="single" w:color="auto" w:sz="4" w:space="0"/>
              <w:right w:val="single" w:color="auto" w:sz="4" w:space="0"/>
            </w:tcBorders>
            <w:noWrap w:val="0"/>
            <w:vAlign w:val="center"/>
          </w:tcPr>
          <w:p w14:paraId="5C044B61">
            <w:pPr>
              <w:jc w:val="center"/>
              <w:rPr>
                <w:rFonts w:cs="Times New Roman"/>
                <w:color w:val="auto"/>
                <w:sz w:val="21"/>
                <w:szCs w:val="21"/>
                <w:highlight w:val="none"/>
              </w:rPr>
            </w:pPr>
            <w:r>
              <w:rPr>
                <w:rFonts w:cs="Times New Roman"/>
                <w:color w:val="auto"/>
                <w:sz w:val="21"/>
                <w:szCs w:val="21"/>
                <w:highlight w:val="none"/>
              </w:rPr>
              <w:t>一年</w:t>
            </w:r>
            <w:r>
              <w:rPr>
                <w:rFonts w:hint="eastAsia" w:cs="Times New Roman"/>
                <w:color w:val="auto"/>
                <w:sz w:val="21"/>
                <w:szCs w:val="21"/>
                <w:highlight w:val="none"/>
                <w:lang w:val="en-US" w:eastAsia="zh-CN"/>
              </w:rPr>
              <w:t>或累计合同额达240万合同终止</w:t>
            </w:r>
          </w:p>
        </w:tc>
      </w:tr>
    </w:tbl>
    <w:p w14:paraId="7556C943">
      <w:pPr>
        <w:jc w:val="center"/>
        <w:rPr>
          <w:color w:val="auto"/>
          <w:sz w:val="21"/>
          <w:szCs w:val="21"/>
          <w:highlight w:val="none"/>
        </w:rPr>
      </w:pPr>
    </w:p>
    <w:p w14:paraId="2FF4E0D6">
      <w:pPr>
        <w:keepNext w:val="0"/>
        <w:keepLines w:val="0"/>
        <w:pageBreakBefore w:val="0"/>
        <w:widowControl w:val="0"/>
        <w:numPr>
          <w:ilvl w:val="0"/>
          <w:numId w:val="8"/>
        </w:numPr>
        <w:kinsoku/>
        <w:wordWrap/>
        <w:overflowPunct/>
        <w:topLinePunct w:val="0"/>
        <w:bidi w:val="0"/>
        <w:spacing w:line="360" w:lineRule="exact"/>
        <w:textAlignment w:val="auto"/>
        <w:rPr>
          <w:rFonts w:hint="eastAsia" w:ascii="宋体" w:hAnsi="宋体" w:eastAsia="宋体" w:cs="Times New Roman"/>
          <w:b/>
          <w:bCs/>
          <w:color w:val="auto"/>
          <w:sz w:val="24"/>
          <w:highlight w:val="none"/>
        </w:rPr>
      </w:pPr>
      <w:r>
        <w:rPr>
          <w:rFonts w:hint="eastAsia" w:ascii="宋体" w:hAnsi="宋体" w:eastAsia="宋体" w:cs="Times New Roman"/>
          <w:b/>
          <w:bCs/>
          <w:color w:val="auto"/>
          <w:sz w:val="24"/>
          <w:highlight w:val="none"/>
        </w:rPr>
        <w:t>采购内容及要求</w:t>
      </w:r>
    </w:p>
    <w:p w14:paraId="285CF66E">
      <w:pPr>
        <w:keepNext w:val="0"/>
        <w:keepLines w:val="0"/>
        <w:pageBreakBefore w:val="0"/>
        <w:widowControl w:val="0"/>
        <w:numPr>
          <w:ilvl w:val="0"/>
          <w:numId w:val="0"/>
        </w:numPr>
        <w:kinsoku/>
        <w:wordWrap/>
        <w:overflowPunct/>
        <w:topLinePunct w:val="0"/>
        <w:bidi w:val="0"/>
        <w:spacing w:line="360" w:lineRule="exact"/>
        <w:ind w:firstLine="422" w:firstLineChars="200"/>
        <w:textAlignment w:val="auto"/>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lang w:val="en-US" w:eastAsia="zh-CN"/>
        </w:rPr>
        <w:t>本工程为路桥区蓬街镇202</w:t>
      </w:r>
      <w:r>
        <w:rPr>
          <w:rFonts w:hint="eastAsia" w:ascii="宋体" w:hAnsi="宋体" w:cs="宋体"/>
          <w:b/>
          <w:color w:val="000000"/>
          <w:sz w:val="21"/>
          <w:szCs w:val="21"/>
          <w:highlight w:val="none"/>
          <w:lang w:val="en-US" w:eastAsia="zh-CN"/>
        </w:rPr>
        <w:t>5</w:t>
      </w:r>
      <w:r>
        <w:rPr>
          <w:rFonts w:hint="eastAsia" w:ascii="宋体" w:hAnsi="宋体" w:eastAsia="宋体" w:cs="宋体"/>
          <w:b/>
          <w:color w:val="000000"/>
          <w:sz w:val="21"/>
          <w:szCs w:val="21"/>
          <w:highlight w:val="none"/>
          <w:lang w:val="en-US" w:eastAsia="zh-CN"/>
        </w:rPr>
        <w:t>年度雨污管网养护及河道应急处理项目，位于路桥区蓬街镇。本工程主要内容有：对蓬街镇区域范围内单个养护金额小于等于30万元的雨污水管网进行排查、养护、运行维护、维修及河道应急处理等；总费用约240万元，其中雨污管网日常养护和疏通费用约90万元（涉及雨污水管网约362公里），应急项目费用约150万元。本次任务以一二级为主，但是溯源到三级管网的，也要进行整改；主要涉及防洪排涝、雨污管网维护（主要为集镇范围人口稠密区块）、水泵检修保养、箱涵清淤等工程，</w:t>
      </w:r>
      <w:r>
        <w:rPr>
          <w:rFonts w:hint="eastAsia" w:ascii="宋体" w:hAnsi="宋体" w:eastAsia="宋体" w:cs="宋体"/>
          <w:b/>
          <w:color w:val="000000"/>
          <w:sz w:val="21"/>
          <w:szCs w:val="21"/>
          <w:highlight w:val="none"/>
          <w:lang w:eastAsia="zh-CN"/>
        </w:rPr>
        <w:t>具体服务项目以业主的委托任务单为准：</w:t>
      </w:r>
    </w:p>
    <w:p w14:paraId="53CB1EA6">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bCs w:val="0"/>
          <w:color w:val="000000"/>
          <w:sz w:val="21"/>
          <w:szCs w:val="21"/>
          <w:highlight w:val="none"/>
        </w:rPr>
        <w:t>1</w:t>
      </w:r>
      <w:r>
        <w:rPr>
          <w:rFonts w:hint="eastAsia" w:ascii="宋体" w:hAnsi="宋体" w:eastAsia="宋体" w:cs="宋体"/>
          <w:b/>
          <w:bCs w:val="0"/>
          <w:color w:val="000000"/>
          <w:sz w:val="21"/>
          <w:szCs w:val="21"/>
          <w:highlight w:val="none"/>
          <w:lang w:val="en-US" w:eastAsia="zh-CN"/>
        </w:rPr>
        <w:t>.</w:t>
      </w:r>
      <w:r>
        <w:rPr>
          <w:rFonts w:hint="eastAsia" w:ascii="宋体" w:hAnsi="宋体" w:eastAsia="宋体" w:cs="宋体"/>
          <w:b/>
          <w:bCs w:val="0"/>
          <w:color w:val="000000"/>
          <w:sz w:val="21"/>
          <w:szCs w:val="21"/>
          <w:highlight w:val="none"/>
        </w:rPr>
        <w:t>摸排</w:t>
      </w:r>
      <w:r>
        <w:rPr>
          <w:rFonts w:hint="eastAsia" w:ascii="宋体" w:hAnsi="宋体" w:eastAsia="宋体" w:cs="宋体"/>
          <w:b/>
          <w:color w:val="000000"/>
          <w:sz w:val="21"/>
          <w:szCs w:val="21"/>
          <w:highlight w:val="none"/>
        </w:rPr>
        <w:t>：</w:t>
      </w:r>
      <w:r>
        <w:rPr>
          <w:rFonts w:hint="eastAsia" w:ascii="宋体" w:hAnsi="宋体" w:eastAsia="宋体" w:cs="宋体"/>
          <w:bCs/>
          <w:color w:val="000000"/>
          <w:sz w:val="21"/>
          <w:szCs w:val="21"/>
          <w:highlight w:val="none"/>
        </w:rPr>
        <w:t>主要包含（1）现状管道破损情况；（2）现状管网系统渗漏水情况；（3）现状管网淤泥厚度及堵塞情况；（4）井盖、安全网破损、缺失情况；（5）管道进出水情况；（6）管网走向及管径大小；（</w:t>
      </w:r>
      <w:r>
        <w:rPr>
          <w:rFonts w:hint="eastAsia" w:ascii="宋体" w:hAnsi="宋体" w:eastAsia="宋体" w:cs="宋体"/>
          <w:bCs/>
          <w:color w:val="000000"/>
          <w:sz w:val="21"/>
          <w:szCs w:val="21"/>
          <w:highlight w:val="none"/>
          <w:lang w:val="en-US" w:eastAsia="zh-CN"/>
        </w:rPr>
        <w:t>7</w:t>
      </w:r>
      <w:r>
        <w:rPr>
          <w:rFonts w:hint="eastAsia" w:ascii="宋体" w:hAnsi="宋体" w:eastAsia="宋体" w:cs="宋体"/>
          <w:bCs/>
          <w:color w:val="000000"/>
          <w:sz w:val="21"/>
          <w:szCs w:val="21"/>
          <w:highlight w:val="none"/>
        </w:rPr>
        <w:t>）隔油池、化粪池、沉沙池点位及使用情况；（</w:t>
      </w:r>
      <w:r>
        <w:rPr>
          <w:rFonts w:hint="eastAsia" w:ascii="宋体" w:hAnsi="宋体" w:eastAsia="宋体" w:cs="宋体"/>
          <w:bCs/>
          <w:color w:val="000000"/>
          <w:sz w:val="21"/>
          <w:szCs w:val="21"/>
          <w:highlight w:val="none"/>
          <w:lang w:val="en-US" w:eastAsia="zh-CN"/>
        </w:rPr>
        <w:t>8</w:t>
      </w:r>
      <w:r>
        <w:rPr>
          <w:rFonts w:hint="eastAsia" w:ascii="宋体" w:hAnsi="宋体" w:eastAsia="宋体" w:cs="宋体"/>
          <w:bCs/>
          <w:color w:val="000000"/>
          <w:sz w:val="21"/>
          <w:szCs w:val="21"/>
          <w:highlight w:val="none"/>
        </w:rPr>
        <w:t>）制定清掏及维修计划等。最终需提供完整的摸排报告。</w:t>
      </w:r>
    </w:p>
    <w:p w14:paraId="05D09160">
      <w:pPr>
        <w:keepNext w:val="0"/>
        <w:keepLines w:val="0"/>
        <w:pageBreakBefore w:val="0"/>
        <w:widowControl w:val="0"/>
        <w:kinsoku/>
        <w:wordWrap/>
        <w:overflowPunct/>
        <w:topLinePunct w:val="0"/>
        <w:autoSpaceDE w:val="0"/>
        <w:autoSpaceDN w:val="0"/>
        <w:bidi w:val="0"/>
        <w:adjustRightInd w:val="0"/>
        <w:spacing w:line="360" w:lineRule="exact"/>
        <w:ind w:left="0" w:leftChars="0" w:right="0" w:firstLine="422" w:firstLineChars="200"/>
        <w:jc w:val="both"/>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
          <w:color w:val="000000"/>
          <w:kern w:val="2"/>
          <w:sz w:val="21"/>
          <w:szCs w:val="21"/>
          <w:highlight w:val="none"/>
          <w:lang w:val="en-US" w:eastAsia="zh-CN" w:bidi="ar-SA"/>
        </w:rPr>
        <w:t>2.管网清掏（清淤）：</w:t>
      </w:r>
      <w:r>
        <w:rPr>
          <w:rFonts w:hint="eastAsia" w:ascii="宋体" w:hAnsi="宋体" w:eastAsia="宋体" w:cs="宋体"/>
          <w:b w:val="0"/>
          <w:bCs/>
          <w:color w:val="000000"/>
          <w:kern w:val="2"/>
          <w:sz w:val="21"/>
          <w:szCs w:val="21"/>
          <w:highlight w:val="none"/>
          <w:lang w:val="en-US" w:eastAsia="zh-CN" w:bidi="ar-SA"/>
        </w:rPr>
        <w:t>管网清掏（清淤）需好清掏记录，清掏完成后需经业主方验收合格。要求排水设施完好，无阻水物，泄水孔、排水管道通畅，积泥深度不超过1/5管径；检查井安全防护网设置到位。各类管线井框固定平稳，井盖与井框吻合，无破裂、缺失现象。</w:t>
      </w:r>
    </w:p>
    <w:p w14:paraId="7C1D4AB0">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color w:val="000000"/>
          <w:sz w:val="21"/>
          <w:szCs w:val="21"/>
          <w:highlight w:val="none"/>
        </w:rPr>
        <w:t>3</w:t>
      </w:r>
      <w:r>
        <w:rPr>
          <w:rFonts w:hint="eastAsia" w:ascii="宋体" w:hAnsi="宋体" w:eastAsia="宋体" w:cs="宋体"/>
          <w:b/>
          <w:color w:val="000000"/>
          <w:sz w:val="21"/>
          <w:szCs w:val="21"/>
          <w:highlight w:val="none"/>
          <w:lang w:val="en-US" w:eastAsia="zh-CN"/>
        </w:rPr>
        <w:t>.</w:t>
      </w:r>
      <w:r>
        <w:rPr>
          <w:rFonts w:hint="eastAsia" w:ascii="宋体" w:hAnsi="宋体" w:eastAsia="宋体" w:cs="宋体"/>
          <w:b/>
          <w:color w:val="000000"/>
          <w:sz w:val="21"/>
          <w:szCs w:val="21"/>
          <w:highlight w:val="none"/>
        </w:rPr>
        <w:t>疏通：</w:t>
      </w:r>
      <w:r>
        <w:rPr>
          <w:rFonts w:hint="eastAsia" w:ascii="宋体" w:hAnsi="宋体" w:eastAsia="宋体" w:cs="宋体"/>
          <w:bCs/>
          <w:color w:val="000000"/>
          <w:sz w:val="21"/>
          <w:szCs w:val="21"/>
          <w:highlight w:val="none"/>
        </w:rPr>
        <w:t>根据摸排及日常巡查情况，对堵塞部位进行疏通，需在收到或知晓度疏通任务后24小时内进行疏通；特殊事项报业主方后，说明有关原因后可适当延长。</w:t>
      </w:r>
    </w:p>
    <w:p w14:paraId="118DF6C7">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color w:val="000000"/>
          <w:sz w:val="21"/>
          <w:szCs w:val="21"/>
          <w:highlight w:val="none"/>
        </w:rPr>
        <w:t>4</w:t>
      </w:r>
      <w:r>
        <w:rPr>
          <w:rFonts w:hint="eastAsia" w:ascii="宋体" w:hAnsi="宋体" w:eastAsia="宋体" w:cs="宋体"/>
          <w:b/>
          <w:color w:val="000000"/>
          <w:sz w:val="21"/>
          <w:szCs w:val="21"/>
          <w:highlight w:val="none"/>
          <w:lang w:val="en-US" w:eastAsia="zh-CN"/>
        </w:rPr>
        <w:t>.</w:t>
      </w:r>
      <w:r>
        <w:rPr>
          <w:rFonts w:hint="eastAsia" w:ascii="宋体" w:hAnsi="宋体" w:eastAsia="宋体" w:cs="宋体"/>
          <w:b/>
          <w:color w:val="000000"/>
          <w:sz w:val="21"/>
          <w:szCs w:val="21"/>
          <w:highlight w:val="none"/>
        </w:rPr>
        <w:t>维修：</w:t>
      </w:r>
      <w:r>
        <w:rPr>
          <w:rFonts w:hint="eastAsia" w:ascii="宋体" w:hAnsi="宋体" w:eastAsia="宋体" w:cs="宋体"/>
          <w:bCs/>
          <w:color w:val="000000"/>
          <w:sz w:val="21"/>
          <w:szCs w:val="21"/>
          <w:highlight w:val="none"/>
        </w:rPr>
        <w:t>所有维修工作需经业主方确认后，凭有效凭证结算维修费用。所有维修更换的材料必须符合国家及行业有关标准，不得使用翻新、不合格产品。</w:t>
      </w:r>
    </w:p>
    <w:p w14:paraId="09FA39B7">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color w:val="000000"/>
          <w:sz w:val="21"/>
          <w:szCs w:val="21"/>
          <w:highlight w:val="none"/>
        </w:rPr>
        <w:t>5</w:t>
      </w:r>
      <w:r>
        <w:rPr>
          <w:rFonts w:hint="eastAsia" w:ascii="宋体" w:hAnsi="宋体" w:eastAsia="宋体" w:cs="宋体"/>
          <w:b/>
          <w:color w:val="000000"/>
          <w:sz w:val="21"/>
          <w:szCs w:val="21"/>
          <w:highlight w:val="none"/>
          <w:lang w:val="en-US" w:eastAsia="zh-CN"/>
        </w:rPr>
        <w:t>.</w:t>
      </w:r>
      <w:r>
        <w:rPr>
          <w:rFonts w:hint="eastAsia" w:ascii="宋体" w:hAnsi="宋体" w:eastAsia="宋体" w:cs="宋体"/>
          <w:b/>
          <w:color w:val="000000"/>
          <w:sz w:val="21"/>
          <w:szCs w:val="21"/>
          <w:highlight w:val="none"/>
        </w:rPr>
        <w:t>运维、巡查和日常管理：</w:t>
      </w:r>
      <w:r>
        <w:rPr>
          <w:rFonts w:hint="eastAsia" w:ascii="宋体" w:hAnsi="宋体" w:eastAsia="宋体" w:cs="宋体"/>
          <w:bCs/>
          <w:color w:val="000000"/>
          <w:sz w:val="21"/>
          <w:szCs w:val="21"/>
          <w:highlight w:val="none"/>
        </w:rPr>
        <w:t>项目开始后，需组建不少于2人的管理队伍，负责日常管理及巡查和运维工作；做好巡查记录，对未按要求清掏的及时进行书面告知相关单位，并汇报给业主方；及时向业主方汇报相关工作；每月需向业主方递交书面材料，汇报工作情况。</w:t>
      </w:r>
    </w:p>
    <w:p w14:paraId="5E12B1EC">
      <w:pPr>
        <w:keepNext w:val="0"/>
        <w:keepLines w:val="0"/>
        <w:pageBreakBefore w:val="0"/>
        <w:widowControl w:val="0"/>
        <w:kinsoku/>
        <w:wordWrap/>
        <w:overflowPunct/>
        <w:topLinePunct w:val="0"/>
        <w:bidi w:val="0"/>
        <w:snapToGrid w:val="0"/>
        <w:spacing w:line="360" w:lineRule="exact"/>
        <w:ind w:left="0" w:leftChars="0" w:firstLine="422" w:firstLineChars="200"/>
        <w:jc w:val="left"/>
        <w:textAlignment w:val="auto"/>
        <w:rPr>
          <w:rFonts w:hint="eastAsia"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en-US" w:eastAsia="zh-CN"/>
        </w:rPr>
        <w:t>6.河道应急处理：</w:t>
      </w:r>
      <w:r>
        <w:rPr>
          <w:rFonts w:hint="eastAsia" w:ascii="宋体" w:hAnsi="宋体" w:eastAsia="宋体" w:cs="宋体"/>
          <w:bCs/>
          <w:color w:val="000000"/>
          <w:sz w:val="21"/>
          <w:szCs w:val="21"/>
          <w:highlight w:val="none"/>
          <w:lang w:val="en-US" w:eastAsia="zh-CN"/>
        </w:rPr>
        <w:t>具体服务项目内容以业主书面通知为准。</w:t>
      </w:r>
    </w:p>
    <w:p w14:paraId="59482522">
      <w:pPr>
        <w:keepNext w:val="0"/>
        <w:keepLines w:val="0"/>
        <w:pageBreakBefore w:val="0"/>
        <w:widowControl w:val="0"/>
        <w:kinsoku/>
        <w:wordWrap/>
        <w:overflowPunct/>
        <w:topLinePunct w:val="0"/>
        <w:bidi w:val="0"/>
        <w:snapToGrid w:val="0"/>
        <w:spacing w:line="360" w:lineRule="exact"/>
        <w:ind w:left="0" w:leftChars="0" w:firstLine="422" w:firstLineChars="200"/>
        <w:jc w:val="left"/>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lang w:val="en-US" w:eastAsia="zh-CN"/>
        </w:rPr>
        <w:t>7.</w:t>
      </w:r>
      <w:r>
        <w:rPr>
          <w:rFonts w:hint="eastAsia" w:ascii="宋体" w:hAnsi="宋体" w:eastAsia="宋体" w:cs="宋体"/>
          <w:b/>
          <w:color w:val="000000"/>
          <w:sz w:val="21"/>
          <w:szCs w:val="21"/>
          <w:highlight w:val="none"/>
        </w:rPr>
        <w:t>其他：</w:t>
      </w:r>
    </w:p>
    <w:p w14:paraId="4FF6C0A2">
      <w:pPr>
        <w:keepNext w:val="0"/>
        <w:keepLines w:val="0"/>
        <w:pageBreakBefore w:val="0"/>
        <w:widowControl w:val="0"/>
        <w:kinsoku/>
        <w:wordWrap/>
        <w:overflowPunct/>
        <w:topLinePunct w:val="0"/>
        <w:bidi w:val="0"/>
        <w:snapToGrid w:val="0"/>
        <w:spacing w:line="360" w:lineRule="exact"/>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（1）做到窨井和排水口必须保持完好通畅，不得阻塞，周边不得有明显积水；</w:t>
      </w:r>
      <w:r>
        <w:rPr>
          <w:rFonts w:hint="eastAsia" w:ascii="宋体" w:hAnsi="宋体" w:eastAsia="宋体" w:cs="宋体"/>
          <w:color w:val="000000"/>
          <w:sz w:val="21"/>
          <w:szCs w:val="21"/>
          <w:highlight w:val="none"/>
          <w:lang w:eastAsia="zh-CN"/>
        </w:rPr>
        <w:t>根据</w:t>
      </w:r>
      <w:r>
        <w:rPr>
          <w:rFonts w:hint="eastAsia" w:ascii="宋体" w:hAnsi="宋体" w:eastAsia="宋体" w:cs="宋体"/>
          <w:color w:val="000000"/>
          <w:sz w:val="21"/>
          <w:szCs w:val="21"/>
          <w:highlight w:val="none"/>
        </w:rPr>
        <w:t>业主方</w:t>
      </w:r>
      <w:r>
        <w:rPr>
          <w:rFonts w:hint="eastAsia" w:ascii="宋体" w:hAnsi="宋体" w:eastAsia="宋体" w:cs="宋体"/>
          <w:color w:val="000000"/>
          <w:sz w:val="21"/>
          <w:szCs w:val="21"/>
          <w:highlight w:val="none"/>
          <w:lang w:eastAsia="zh-CN"/>
        </w:rPr>
        <w:t>需求</w:t>
      </w:r>
      <w:r>
        <w:rPr>
          <w:rFonts w:hint="eastAsia" w:ascii="宋体" w:hAnsi="宋体" w:eastAsia="宋体" w:cs="宋体"/>
          <w:color w:val="000000"/>
          <w:sz w:val="21"/>
          <w:szCs w:val="21"/>
          <w:highlight w:val="none"/>
        </w:rPr>
        <w:t>滚动巡查各作业部位，发现问题及时处理。遇到设施遭遇人为破坏，要及时上报。作业完成后，须及时盖好窨井。</w:t>
      </w:r>
    </w:p>
    <w:p w14:paraId="53553B6A">
      <w:pPr>
        <w:keepNext w:val="0"/>
        <w:keepLines w:val="0"/>
        <w:pageBreakBefore w:val="0"/>
        <w:widowControl w:val="0"/>
        <w:kinsoku/>
        <w:wordWrap/>
        <w:overflowPunct/>
        <w:topLinePunct w:val="0"/>
        <w:bidi w:val="0"/>
        <w:snapToGrid w:val="0"/>
        <w:spacing w:line="360" w:lineRule="exact"/>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（2）免费承担业主方提出的管网疏通、预留井检测定位、现场管网排摸、雨污管网封堵的等涉及管网的应急工作任务。</w:t>
      </w:r>
    </w:p>
    <w:p w14:paraId="7C3B19F2">
      <w:pPr>
        <w:keepNext w:val="0"/>
        <w:keepLines w:val="0"/>
        <w:pageBreakBefore w:val="0"/>
        <w:widowControl w:val="0"/>
        <w:kinsoku/>
        <w:wordWrap/>
        <w:overflowPunct/>
        <w:topLinePunct w:val="0"/>
        <w:bidi w:val="0"/>
        <w:snapToGrid w:val="0"/>
        <w:spacing w:line="360" w:lineRule="exact"/>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（3）如遇特殊情况，例如突击检查，上级部门考核，各类创建、迎检活动，以及恶劣天气应急保障措施时，</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单位应服从业主方的指挥，配合做好各项配合服务工作，业主方应根据</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单位表现适当给于人工成本补助保证</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单位权益。</w:t>
      </w:r>
    </w:p>
    <w:p w14:paraId="2EA6E5AF">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r>
        <w:rPr>
          <w:rFonts w:hint="eastAsia" w:ascii="宋体" w:hAnsi="宋体" w:eastAsia="宋体" w:cs="宋体"/>
          <w:color w:val="000000"/>
          <w:sz w:val="21"/>
          <w:szCs w:val="21"/>
          <w:highlight w:val="none"/>
          <w:lang w:eastAsia="zh-CN"/>
        </w:rPr>
        <w:t>养护单位</w:t>
      </w:r>
      <w:r>
        <w:rPr>
          <w:rFonts w:hint="eastAsia" w:ascii="宋体" w:hAnsi="宋体" w:eastAsia="宋体" w:cs="宋体"/>
          <w:color w:val="000000"/>
          <w:sz w:val="21"/>
          <w:szCs w:val="21"/>
          <w:highlight w:val="none"/>
        </w:rPr>
        <w:t>应建立</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档案，健全日常</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作业记录，认真做好台帐的整理和归档工作，应每年将运维档案资料报业主方一份、主管单位一份备案。</w:t>
      </w:r>
    </w:p>
    <w:p w14:paraId="0524F9C8">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eastAsia="zh-Hans"/>
        </w:rPr>
      </w:pP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Hans"/>
        </w:rPr>
        <w:t>中标人须提供每月月报</w:t>
      </w:r>
      <w:r>
        <w:rPr>
          <w:rFonts w:hint="eastAsia" w:ascii="宋体" w:hAnsi="宋体" w:eastAsia="宋体" w:cs="宋体"/>
          <w:color w:val="000000"/>
          <w:sz w:val="21"/>
          <w:szCs w:val="21"/>
          <w:highlight w:val="none"/>
          <w:lang w:eastAsia="zh-CN"/>
        </w:rPr>
        <w:t>（月报需包括每月养护工作量）</w:t>
      </w:r>
      <w:r>
        <w:rPr>
          <w:rFonts w:hint="eastAsia" w:ascii="宋体" w:hAnsi="宋体" w:eastAsia="宋体" w:cs="宋体"/>
          <w:color w:val="000000"/>
          <w:sz w:val="21"/>
          <w:szCs w:val="21"/>
          <w:highlight w:val="none"/>
          <w:lang w:eastAsia="zh-Hans"/>
        </w:rPr>
        <w:t>及作业视频或照片</w:t>
      </w:r>
      <w:r>
        <w:rPr>
          <w:rFonts w:hint="eastAsia" w:ascii="宋体" w:hAnsi="宋体" w:eastAsia="宋体" w:cs="宋体"/>
          <w:color w:val="000000"/>
          <w:sz w:val="21"/>
          <w:szCs w:val="21"/>
          <w:highlight w:val="none"/>
          <w:lang w:eastAsia="zh-CN"/>
        </w:rPr>
        <w:t>等</w:t>
      </w:r>
      <w:r>
        <w:rPr>
          <w:rFonts w:hint="eastAsia" w:ascii="宋体" w:hAnsi="宋体" w:eastAsia="宋体" w:cs="宋体"/>
          <w:color w:val="000000"/>
          <w:sz w:val="21"/>
          <w:szCs w:val="21"/>
          <w:highlight w:val="none"/>
          <w:lang w:eastAsia="zh-Hans"/>
        </w:rPr>
        <w:t>。</w:t>
      </w:r>
    </w:p>
    <w:p w14:paraId="36ABAB77">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（6）养护单位</w:t>
      </w:r>
      <w:r>
        <w:rPr>
          <w:rFonts w:hint="eastAsia" w:ascii="宋体" w:hAnsi="宋体" w:eastAsia="宋体" w:cs="宋体"/>
          <w:color w:val="000000"/>
          <w:sz w:val="21"/>
          <w:szCs w:val="21"/>
          <w:highlight w:val="none"/>
          <w:lang w:eastAsia="zh-Hans"/>
        </w:rPr>
        <w:t>日常工作中</w:t>
      </w:r>
      <w:r>
        <w:rPr>
          <w:rFonts w:hint="eastAsia" w:ascii="宋体" w:hAnsi="宋体" w:eastAsia="宋体" w:cs="宋体"/>
          <w:color w:val="000000"/>
          <w:sz w:val="21"/>
          <w:szCs w:val="21"/>
          <w:highlight w:val="none"/>
          <w:lang w:eastAsia="zh-CN"/>
        </w:rPr>
        <w:t>当发现问题时需先向招标人</w:t>
      </w:r>
      <w:r>
        <w:rPr>
          <w:rFonts w:hint="eastAsia" w:ascii="宋体" w:hAnsi="宋体" w:eastAsia="宋体" w:cs="宋体"/>
          <w:color w:val="000000"/>
          <w:sz w:val="21"/>
          <w:szCs w:val="21"/>
          <w:highlight w:val="none"/>
          <w:lang w:eastAsia="zh-Hans"/>
        </w:rPr>
        <w:t>提交工作</w:t>
      </w:r>
      <w:r>
        <w:rPr>
          <w:rFonts w:hint="eastAsia" w:ascii="宋体" w:hAnsi="宋体" w:eastAsia="宋体" w:cs="宋体"/>
          <w:color w:val="000000"/>
          <w:sz w:val="21"/>
          <w:szCs w:val="21"/>
          <w:highlight w:val="none"/>
          <w:lang w:eastAsia="zh-CN"/>
        </w:rPr>
        <w:t>整改方案，经招标人书面同意后方可实施；如</w:t>
      </w:r>
      <w:r>
        <w:rPr>
          <w:rFonts w:hint="eastAsia" w:ascii="宋体" w:hAnsi="宋体" w:eastAsia="宋体" w:cs="宋体"/>
          <w:color w:val="000000"/>
          <w:sz w:val="21"/>
          <w:szCs w:val="21"/>
          <w:highlight w:val="none"/>
          <w:lang w:val="en-US" w:eastAsia="zh-CN"/>
        </w:rPr>
        <w:t>养护单位</w:t>
      </w:r>
      <w:r>
        <w:rPr>
          <w:rFonts w:hint="eastAsia" w:ascii="宋体" w:hAnsi="宋体" w:eastAsia="宋体" w:cs="宋体"/>
          <w:color w:val="000000"/>
          <w:sz w:val="21"/>
          <w:szCs w:val="21"/>
          <w:highlight w:val="none"/>
          <w:lang w:eastAsia="zh-CN"/>
        </w:rPr>
        <w:t>未经发包人书面同意自行实施，造成的</w:t>
      </w:r>
      <w:r>
        <w:rPr>
          <w:rFonts w:hint="eastAsia" w:ascii="宋体" w:hAnsi="宋体" w:eastAsia="宋体" w:cs="宋体"/>
          <w:color w:val="000000"/>
          <w:sz w:val="21"/>
          <w:szCs w:val="21"/>
          <w:highlight w:val="none"/>
          <w:lang w:val="en-US" w:eastAsia="zh-Hans"/>
        </w:rPr>
        <w:t>一切责任和后果由养护单位自己承担</w:t>
      </w:r>
      <w:r>
        <w:rPr>
          <w:rFonts w:hint="eastAsia" w:ascii="宋体" w:hAnsi="宋体" w:eastAsia="宋体" w:cs="宋体"/>
          <w:color w:val="000000"/>
          <w:sz w:val="21"/>
          <w:szCs w:val="21"/>
          <w:highlight w:val="none"/>
          <w:lang w:eastAsia="zh-Hans"/>
        </w:rPr>
        <w:t>。</w:t>
      </w:r>
    </w:p>
    <w:p w14:paraId="192C2019">
      <w:pPr>
        <w:keepNext w:val="0"/>
        <w:keepLines w:val="0"/>
        <w:pageBreakBefore w:val="0"/>
        <w:widowControl/>
        <w:kinsoku w:val="0"/>
        <w:wordWrap/>
        <w:overflowPunct/>
        <w:topLinePunct w:val="0"/>
        <w:autoSpaceDE w:val="0"/>
        <w:autoSpaceDN w:val="0"/>
        <w:bidi w:val="0"/>
        <w:adjustRightInd w:val="0"/>
        <w:snapToGrid w:val="0"/>
        <w:textAlignment w:val="baseline"/>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2"/>
          <w:sz w:val="21"/>
          <w:szCs w:val="21"/>
          <w:highlight w:val="none"/>
          <w:lang w:val="en-US" w:eastAsia="zh-CN" w:bidi="ar-SA"/>
        </w:rPr>
        <w:t>三、合同期限</w:t>
      </w:r>
    </w:p>
    <w:p w14:paraId="09F7B086">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总合同额到达（或接近）240万元时或合同签订之日起满一年时结束（以先到者为准），具体以发包人通知为准。</w:t>
      </w:r>
    </w:p>
    <w:p w14:paraId="2D7059E2">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bCs/>
          <w:color w:val="000000"/>
          <w:sz w:val="21"/>
          <w:szCs w:val="21"/>
          <w:highlight w:val="none"/>
          <w:lang w:eastAsia="zh-CN"/>
        </w:rPr>
      </w:pPr>
      <w:r>
        <w:rPr>
          <w:rFonts w:hint="eastAsia" w:ascii="宋体" w:hAnsi="宋体" w:eastAsia="宋体" w:cs="宋体"/>
          <w:b/>
          <w:bCs/>
          <w:color w:val="000000"/>
          <w:sz w:val="21"/>
          <w:szCs w:val="21"/>
          <w:highlight w:val="none"/>
          <w:lang w:eastAsia="zh-CN"/>
        </w:rPr>
        <w:t>四、预算价（全费用综合单价）：</w:t>
      </w:r>
    </w:p>
    <w:tbl>
      <w:tblPr>
        <w:tblStyle w:val="31"/>
        <w:tblW w:w="8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7"/>
        <w:gridCol w:w="966"/>
        <w:gridCol w:w="1801"/>
        <w:gridCol w:w="2103"/>
        <w:gridCol w:w="591"/>
        <w:gridCol w:w="909"/>
        <w:gridCol w:w="1761"/>
      </w:tblGrid>
      <w:tr w14:paraId="2F023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740" w:type="dxa"/>
            <w:tcBorders>
              <w:tl2br w:val="nil"/>
              <w:tr2bl w:val="nil"/>
            </w:tcBorders>
            <w:noWrap/>
            <w:vAlign w:val="center"/>
          </w:tcPr>
          <w:p w14:paraId="7408B13A">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2794" w:type="dxa"/>
            <w:gridSpan w:val="3"/>
            <w:tcBorders>
              <w:tl2br w:val="nil"/>
              <w:tr2bl w:val="nil"/>
            </w:tcBorders>
            <w:noWrap/>
            <w:vAlign w:val="center"/>
          </w:tcPr>
          <w:p w14:paraId="737A005B">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名称</w:t>
            </w:r>
          </w:p>
        </w:tc>
        <w:tc>
          <w:tcPr>
            <w:tcW w:w="2694" w:type="dxa"/>
            <w:gridSpan w:val="2"/>
            <w:tcBorders>
              <w:tl2br w:val="nil"/>
              <w:tr2bl w:val="nil"/>
            </w:tcBorders>
            <w:noWrap/>
            <w:vAlign w:val="center"/>
          </w:tcPr>
          <w:p w14:paraId="54ADD490">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项目特征</w:t>
            </w:r>
          </w:p>
        </w:tc>
        <w:tc>
          <w:tcPr>
            <w:tcW w:w="909" w:type="dxa"/>
            <w:tcBorders>
              <w:tl2br w:val="nil"/>
              <w:tr2bl w:val="nil"/>
            </w:tcBorders>
            <w:noWrap/>
            <w:vAlign w:val="center"/>
          </w:tcPr>
          <w:p w14:paraId="123448C4">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单位</w:t>
            </w:r>
          </w:p>
        </w:tc>
        <w:tc>
          <w:tcPr>
            <w:tcW w:w="1761" w:type="dxa"/>
            <w:tcBorders>
              <w:tl2br w:val="nil"/>
              <w:tr2bl w:val="nil"/>
            </w:tcBorders>
            <w:noWrap w:val="0"/>
            <w:vAlign w:val="center"/>
          </w:tcPr>
          <w:p w14:paraId="4FF15D0C">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预算价（</w:t>
            </w:r>
            <w:r>
              <w:rPr>
                <w:rFonts w:hint="eastAsia" w:ascii="宋体" w:hAnsi="宋体" w:eastAsia="宋体" w:cs="宋体"/>
                <w:b/>
                <w:bCs/>
                <w:color w:val="auto"/>
                <w:sz w:val="21"/>
                <w:szCs w:val="21"/>
                <w:highlight w:val="none"/>
                <w:lang w:eastAsia="zh-CN"/>
              </w:rPr>
              <w:t>全费用综合单价</w:t>
            </w:r>
            <w:r>
              <w:rPr>
                <w:rFonts w:hint="eastAsia" w:ascii="宋体" w:hAnsi="宋体" w:eastAsia="宋体" w:cs="宋体"/>
                <w:b/>
                <w:bCs/>
                <w:color w:val="auto"/>
                <w:sz w:val="21"/>
                <w:szCs w:val="21"/>
                <w:highlight w:val="none"/>
              </w:rPr>
              <w:t>）</w:t>
            </w:r>
          </w:p>
        </w:tc>
      </w:tr>
      <w:tr w14:paraId="58979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4A4F718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2794" w:type="dxa"/>
            <w:gridSpan w:val="3"/>
            <w:tcBorders>
              <w:tl2br w:val="nil"/>
              <w:tr2bl w:val="nil"/>
            </w:tcBorders>
            <w:noWrap/>
            <w:vAlign w:val="center"/>
          </w:tcPr>
          <w:p w14:paraId="12B9F4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管道疏通</w:t>
            </w:r>
          </w:p>
        </w:tc>
        <w:tc>
          <w:tcPr>
            <w:tcW w:w="2694" w:type="dxa"/>
            <w:gridSpan w:val="2"/>
            <w:tcBorders>
              <w:tl2br w:val="nil"/>
              <w:tr2bl w:val="nil"/>
            </w:tcBorders>
            <w:noWrap/>
            <w:vAlign w:val="center"/>
          </w:tcPr>
          <w:p w14:paraId="6A5F159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装水，启闭井盖，水冲沟管，清理场地，工地转移等。</w:t>
            </w:r>
          </w:p>
        </w:tc>
        <w:tc>
          <w:tcPr>
            <w:tcW w:w="909" w:type="dxa"/>
            <w:tcBorders>
              <w:tl2br w:val="nil"/>
              <w:tr2bl w:val="nil"/>
            </w:tcBorders>
            <w:noWrap/>
            <w:vAlign w:val="center"/>
          </w:tcPr>
          <w:p w14:paraId="1EF29DF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m</w:t>
            </w:r>
          </w:p>
        </w:tc>
        <w:tc>
          <w:tcPr>
            <w:tcW w:w="1761" w:type="dxa"/>
            <w:tcBorders>
              <w:tl2br w:val="nil"/>
              <w:tr2bl w:val="nil"/>
            </w:tcBorders>
            <w:noWrap w:val="0"/>
            <w:vAlign w:val="center"/>
          </w:tcPr>
          <w:p w14:paraId="6FC4A4C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12.40</w:t>
            </w:r>
          </w:p>
        </w:tc>
      </w:tr>
      <w:tr w14:paraId="76E3F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26C63F4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2794" w:type="dxa"/>
            <w:gridSpan w:val="3"/>
            <w:tcBorders>
              <w:tl2br w:val="nil"/>
              <w:tr2bl w:val="nil"/>
            </w:tcBorders>
            <w:noWrap/>
            <w:vAlign w:val="center"/>
          </w:tcPr>
          <w:p w14:paraId="0DFC7AB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CCTV检测</w:t>
            </w:r>
          </w:p>
        </w:tc>
        <w:tc>
          <w:tcPr>
            <w:tcW w:w="2694" w:type="dxa"/>
            <w:gridSpan w:val="2"/>
            <w:tcBorders>
              <w:tl2br w:val="nil"/>
              <w:tr2bl w:val="nil"/>
            </w:tcBorders>
            <w:noWrap/>
            <w:vAlign w:val="center"/>
          </w:tcPr>
          <w:p w14:paraId="7A1A8DE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启闭井盖，有毒气体测试、强制通风，设备调试，检测设备下井，管道检测，图像判读，取出检测设备，清理装车，场内运输等。</w:t>
            </w:r>
          </w:p>
        </w:tc>
        <w:tc>
          <w:tcPr>
            <w:tcW w:w="909" w:type="dxa"/>
            <w:tcBorders>
              <w:tl2br w:val="nil"/>
              <w:tr2bl w:val="nil"/>
            </w:tcBorders>
            <w:noWrap/>
            <w:vAlign w:val="center"/>
          </w:tcPr>
          <w:p w14:paraId="2B6839E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m</w:t>
            </w:r>
          </w:p>
        </w:tc>
        <w:tc>
          <w:tcPr>
            <w:tcW w:w="1761" w:type="dxa"/>
            <w:tcBorders>
              <w:tl2br w:val="nil"/>
              <w:tr2bl w:val="nil"/>
            </w:tcBorders>
            <w:noWrap w:val="0"/>
            <w:vAlign w:val="center"/>
          </w:tcPr>
          <w:p w14:paraId="14488C3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30.31</w:t>
            </w:r>
          </w:p>
        </w:tc>
      </w:tr>
      <w:tr w14:paraId="6188A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006865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2794" w:type="dxa"/>
            <w:gridSpan w:val="3"/>
            <w:tcBorders>
              <w:tl2br w:val="nil"/>
              <w:tr2bl w:val="nil"/>
            </w:tcBorders>
            <w:noWrap/>
            <w:vAlign w:val="center"/>
          </w:tcPr>
          <w:p w14:paraId="00874DD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检查井人工清捞</w:t>
            </w:r>
          </w:p>
        </w:tc>
        <w:tc>
          <w:tcPr>
            <w:tcW w:w="2694" w:type="dxa"/>
            <w:gridSpan w:val="2"/>
            <w:tcBorders>
              <w:tl2br w:val="nil"/>
              <w:tr2bl w:val="nil"/>
            </w:tcBorders>
            <w:noWrap/>
            <w:vAlign w:val="center"/>
          </w:tcPr>
          <w:p w14:paraId="6259E39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启闭井盖，人工清捞，洗刷，场内运输，清理场地，工地转移等。人工挖污泥、装土、汽车运输、卸污泥。</w:t>
            </w:r>
          </w:p>
        </w:tc>
        <w:tc>
          <w:tcPr>
            <w:tcW w:w="909" w:type="dxa"/>
            <w:tcBorders>
              <w:tl2br w:val="nil"/>
              <w:tr2bl w:val="nil"/>
            </w:tcBorders>
            <w:noWrap/>
            <w:vAlign w:val="center"/>
          </w:tcPr>
          <w:p w14:paraId="058BE21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0E685C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75.62</w:t>
            </w:r>
          </w:p>
        </w:tc>
      </w:tr>
      <w:tr w14:paraId="43441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53AFB2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2794" w:type="dxa"/>
            <w:gridSpan w:val="3"/>
            <w:tcBorders>
              <w:tl2br w:val="nil"/>
              <w:tr2bl w:val="nil"/>
            </w:tcBorders>
            <w:noWrap/>
            <w:vAlign w:val="center"/>
          </w:tcPr>
          <w:p w14:paraId="7359769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雨水口人工清捞</w:t>
            </w:r>
          </w:p>
        </w:tc>
        <w:tc>
          <w:tcPr>
            <w:tcW w:w="2694" w:type="dxa"/>
            <w:gridSpan w:val="2"/>
            <w:tcBorders>
              <w:tl2br w:val="nil"/>
              <w:tr2bl w:val="nil"/>
            </w:tcBorders>
            <w:noWrap/>
            <w:vAlign w:val="center"/>
          </w:tcPr>
          <w:p w14:paraId="7006618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启闭井盖，人工清捞，洗刷，场内运输，清理场地，工地转移等。人工挖污泥、装土、汽车运输、卸污泥。</w:t>
            </w:r>
          </w:p>
        </w:tc>
        <w:tc>
          <w:tcPr>
            <w:tcW w:w="909" w:type="dxa"/>
            <w:tcBorders>
              <w:tl2br w:val="nil"/>
              <w:tr2bl w:val="nil"/>
            </w:tcBorders>
            <w:noWrap/>
            <w:vAlign w:val="center"/>
          </w:tcPr>
          <w:p w14:paraId="0E68E69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0CA510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40.19</w:t>
            </w:r>
          </w:p>
        </w:tc>
      </w:tr>
      <w:tr w14:paraId="01A86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740" w:type="dxa"/>
            <w:tcBorders>
              <w:tl2br w:val="nil"/>
              <w:tr2bl w:val="nil"/>
            </w:tcBorders>
            <w:noWrap/>
            <w:vAlign w:val="center"/>
          </w:tcPr>
          <w:p w14:paraId="316B69D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2794" w:type="dxa"/>
            <w:gridSpan w:val="3"/>
            <w:tcBorders>
              <w:tl2br w:val="nil"/>
              <w:tr2bl w:val="nil"/>
            </w:tcBorders>
            <w:noWrap/>
            <w:vAlign w:val="center"/>
          </w:tcPr>
          <w:p w14:paraId="4167B7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日常巡视检测</w:t>
            </w:r>
          </w:p>
        </w:tc>
        <w:tc>
          <w:tcPr>
            <w:tcW w:w="2694" w:type="dxa"/>
            <w:gridSpan w:val="2"/>
            <w:tcBorders>
              <w:tl2br w:val="nil"/>
              <w:tr2bl w:val="nil"/>
            </w:tcBorders>
            <w:noWrap/>
            <w:vAlign w:val="center"/>
          </w:tcPr>
          <w:p w14:paraId="3C62FD4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检查并记录管道污水冒溢、井盖和雨水篦缺损、管道塌陷、违章占压、违章排放、私接管道等情况。</w:t>
            </w:r>
          </w:p>
        </w:tc>
        <w:tc>
          <w:tcPr>
            <w:tcW w:w="909" w:type="dxa"/>
            <w:tcBorders>
              <w:tl2br w:val="nil"/>
              <w:tr2bl w:val="nil"/>
            </w:tcBorders>
            <w:noWrap/>
            <w:vAlign w:val="center"/>
          </w:tcPr>
          <w:p w14:paraId="64D65D0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km</w:t>
            </w:r>
          </w:p>
        </w:tc>
        <w:tc>
          <w:tcPr>
            <w:tcW w:w="1761" w:type="dxa"/>
            <w:tcBorders>
              <w:tl2br w:val="nil"/>
              <w:tr2bl w:val="nil"/>
            </w:tcBorders>
            <w:noWrap w:val="0"/>
            <w:vAlign w:val="center"/>
          </w:tcPr>
          <w:p w14:paraId="2BE1254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25.32</w:t>
            </w:r>
          </w:p>
        </w:tc>
      </w:tr>
      <w:tr w14:paraId="136F5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740" w:type="dxa"/>
            <w:tcBorders>
              <w:tl2br w:val="nil"/>
              <w:tr2bl w:val="nil"/>
            </w:tcBorders>
            <w:noWrap/>
            <w:vAlign w:val="center"/>
          </w:tcPr>
          <w:p w14:paraId="731B8DD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2794" w:type="dxa"/>
            <w:gridSpan w:val="3"/>
            <w:tcBorders>
              <w:tl2br w:val="nil"/>
              <w:tr2bl w:val="nil"/>
            </w:tcBorders>
            <w:noWrap/>
            <w:vAlign w:val="center"/>
          </w:tcPr>
          <w:p w14:paraId="3F6CE7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水泵检修保养</w:t>
            </w:r>
          </w:p>
        </w:tc>
        <w:tc>
          <w:tcPr>
            <w:tcW w:w="2694" w:type="dxa"/>
            <w:gridSpan w:val="2"/>
            <w:tcBorders>
              <w:tl2br w:val="nil"/>
              <w:tr2bl w:val="nil"/>
            </w:tcBorders>
            <w:noWrap/>
            <w:vAlign w:val="center"/>
          </w:tcPr>
          <w:p w14:paraId="4BF0097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外观保洁，盘车，振动和异声检查，轴承润滑检查，检查联轴器，轴封机构的填料检查，各部连接螺栓检查，铭牌清洗，温度、泄漏及湿度传感器等检查。</w:t>
            </w:r>
          </w:p>
        </w:tc>
        <w:tc>
          <w:tcPr>
            <w:tcW w:w="909" w:type="dxa"/>
            <w:tcBorders>
              <w:tl2br w:val="nil"/>
              <w:tr2bl w:val="nil"/>
            </w:tcBorders>
            <w:noWrap/>
            <w:vAlign w:val="center"/>
          </w:tcPr>
          <w:p w14:paraId="3F5F69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台</w:t>
            </w:r>
          </w:p>
        </w:tc>
        <w:tc>
          <w:tcPr>
            <w:tcW w:w="1761" w:type="dxa"/>
            <w:tcBorders>
              <w:tl2br w:val="nil"/>
              <w:tr2bl w:val="nil"/>
            </w:tcBorders>
            <w:noWrap w:val="0"/>
            <w:vAlign w:val="center"/>
          </w:tcPr>
          <w:p w14:paraId="0BA06D5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1217.10</w:t>
            </w:r>
          </w:p>
        </w:tc>
      </w:tr>
      <w:tr w14:paraId="0C46D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740" w:type="dxa"/>
            <w:tcBorders>
              <w:tl2br w:val="nil"/>
              <w:tr2bl w:val="nil"/>
            </w:tcBorders>
            <w:noWrap/>
            <w:vAlign w:val="center"/>
          </w:tcPr>
          <w:p w14:paraId="184BA3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2794" w:type="dxa"/>
            <w:gridSpan w:val="3"/>
            <w:tcBorders>
              <w:tl2br w:val="nil"/>
              <w:tr2bl w:val="nil"/>
            </w:tcBorders>
            <w:noWrap/>
            <w:vAlign w:val="center"/>
          </w:tcPr>
          <w:p w14:paraId="0D3BF65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φ500以内气囊封堵</w:t>
            </w:r>
          </w:p>
        </w:tc>
        <w:tc>
          <w:tcPr>
            <w:tcW w:w="2694" w:type="dxa"/>
            <w:gridSpan w:val="2"/>
            <w:tcBorders>
              <w:tl2br w:val="nil"/>
              <w:tr2bl w:val="nil"/>
            </w:tcBorders>
            <w:noWrap/>
            <w:vAlign w:val="center"/>
          </w:tcPr>
          <w:p w14:paraId="4E2054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启闭井盖，有毒气体测试，强制通风，清理管口淤泥，塞管塞，管塞充气，场内运输、清理场地等。</w:t>
            </w:r>
          </w:p>
        </w:tc>
        <w:tc>
          <w:tcPr>
            <w:tcW w:w="909" w:type="dxa"/>
            <w:tcBorders>
              <w:tl2br w:val="nil"/>
              <w:tr2bl w:val="nil"/>
            </w:tcBorders>
            <w:noWrap/>
            <w:vAlign w:val="center"/>
          </w:tcPr>
          <w:p w14:paraId="3BD288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只</w:t>
            </w:r>
          </w:p>
        </w:tc>
        <w:tc>
          <w:tcPr>
            <w:tcW w:w="1761" w:type="dxa"/>
            <w:tcBorders>
              <w:tl2br w:val="nil"/>
              <w:tr2bl w:val="nil"/>
            </w:tcBorders>
            <w:noWrap w:val="0"/>
            <w:vAlign w:val="center"/>
          </w:tcPr>
          <w:p w14:paraId="529BD66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yellow"/>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583.71</w:t>
            </w:r>
          </w:p>
        </w:tc>
      </w:tr>
      <w:tr w14:paraId="6F46D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40" w:type="dxa"/>
            <w:tcBorders>
              <w:tl2br w:val="nil"/>
              <w:tr2bl w:val="nil"/>
            </w:tcBorders>
            <w:noWrap/>
            <w:vAlign w:val="center"/>
          </w:tcPr>
          <w:p w14:paraId="288CC0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2794" w:type="dxa"/>
            <w:gridSpan w:val="3"/>
            <w:tcBorders>
              <w:tl2br w:val="nil"/>
              <w:tr2bl w:val="nil"/>
            </w:tcBorders>
            <w:noWrap/>
            <w:vAlign w:val="center"/>
          </w:tcPr>
          <w:p w14:paraId="4D3F6C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φ500以内气囊封堵拆除</w:t>
            </w:r>
          </w:p>
        </w:tc>
        <w:tc>
          <w:tcPr>
            <w:tcW w:w="2694" w:type="dxa"/>
            <w:gridSpan w:val="2"/>
            <w:tcBorders>
              <w:tl2br w:val="nil"/>
              <w:tr2bl w:val="nil"/>
            </w:tcBorders>
            <w:noWrap/>
            <w:vAlign w:val="center"/>
          </w:tcPr>
          <w:p w14:paraId="64DE68C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抽水、拆除，旧料场内运输，清理场地等。</w:t>
            </w:r>
          </w:p>
        </w:tc>
        <w:tc>
          <w:tcPr>
            <w:tcW w:w="909" w:type="dxa"/>
            <w:tcBorders>
              <w:tl2br w:val="nil"/>
              <w:tr2bl w:val="nil"/>
            </w:tcBorders>
            <w:noWrap/>
            <w:vAlign w:val="center"/>
          </w:tcPr>
          <w:p w14:paraId="56E1EC8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只</w:t>
            </w:r>
          </w:p>
        </w:tc>
        <w:tc>
          <w:tcPr>
            <w:tcW w:w="1761" w:type="dxa"/>
            <w:tcBorders>
              <w:tl2br w:val="nil"/>
              <w:tr2bl w:val="nil"/>
            </w:tcBorders>
            <w:noWrap w:val="0"/>
            <w:vAlign w:val="center"/>
          </w:tcPr>
          <w:p w14:paraId="496DCB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yellow"/>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316.18</w:t>
            </w:r>
          </w:p>
        </w:tc>
      </w:tr>
      <w:tr w14:paraId="35EDB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7BD555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2794" w:type="dxa"/>
            <w:gridSpan w:val="3"/>
            <w:tcBorders>
              <w:tl2br w:val="nil"/>
              <w:tr2bl w:val="nil"/>
            </w:tcBorders>
            <w:noWrap/>
            <w:vAlign w:val="center"/>
          </w:tcPr>
          <w:p w14:paraId="434209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调换φ750钢纤维井盖</w:t>
            </w:r>
          </w:p>
        </w:tc>
        <w:tc>
          <w:tcPr>
            <w:tcW w:w="2694" w:type="dxa"/>
            <w:gridSpan w:val="2"/>
            <w:tcBorders>
              <w:tl2br w:val="nil"/>
              <w:tr2bl w:val="nil"/>
            </w:tcBorders>
            <w:noWrap/>
            <w:vAlign w:val="center"/>
          </w:tcPr>
          <w:p w14:paraId="7FB7DD3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909" w:type="dxa"/>
            <w:tcBorders>
              <w:tl2br w:val="nil"/>
              <w:tr2bl w:val="nil"/>
            </w:tcBorders>
            <w:noWrap/>
            <w:vAlign w:val="center"/>
          </w:tcPr>
          <w:p w14:paraId="407CCDB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10549F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311.05</w:t>
            </w:r>
          </w:p>
        </w:tc>
      </w:tr>
      <w:tr w14:paraId="0F587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134CC7C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2794" w:type="dxa"/>
            <w:gridSpan w:val="3"/>
            <w:tcBorders>
              <w:tl2br w:val="nil"/>
              <w:tr2bl w:val="nil"/>
            </w:tcBorders>
            <w:noWrap/>
            <w:vAlign w:val="center"/>
          </w:tcPr>
          <w:p w14:paraId="01AECD3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调换φ750钢纤维井盖座（含1m2路面拆除修复）</w:t>
            </w:r>
          </w:p>
        </w:tc>
        <w:tc>
          <w:tcPr>
            <w:tcW w:w="2694" w:type="dxa"/>
            <w:gridSpan w:val="2"/>
            <w:tcBorders>
              <w:tl2br w:val="nil"/>
              <w:tr2bl w:val="nil"/>
            </w:tcBorders>
            <w:noWrap/>
            <w:vAlign w:val="center"/>
          </w:tcPr>
          <w:p w14:paraId="6524E02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909" w:type="dxa"/>
            <w:tcBorders>
              <w:tl2br w:val="nil"/>
              <w:tr2bl w:val="nil"/>
            </w:tcBorders>
            <w:noWrap/>
            <w:vAlign w:val="center"/>
          </w:tcPr>
          <w:p w14:paraId="1FB876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56455DC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1043.45</w:t>
            </w:r>
          </w:p>
        </w:tc>
      </w:tr>
      <w:tr w14:paraId="5E7E1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634DA3C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2794" w:type="dxa"/>
            <w:gridSpan w:val="3"/>
            <w:tcBorders>
              <w:tl2br w:val="nil"/>
              <w:tr2bl w:val="nil"/>
            </w:tcBorders>
            <w:noWrap/>
            <w:vAlign w:val="center"/>
          </w:tcPr>
          <w:p w14:paraId="22F739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调换500*500钢纤维井盖</w:t>
            </w:r>
          </w:p>
        </w:tc>
        <w:tc>
          <w:tcPr>
            <w:tcW w:w="2694" w:type="dxa"/>
            <w:gridSpan w:val="2"/>
            <w:tcBorders>
              <w:tl2br w:val="nil"/>
              <w:tr2bl w:val="nil"/>
            </w:tcBorders>
            <w:noWrap/>
            <w:vAlign w:val="center"/>
          </w:tcPr>
          <w:p w14:paraId="0E8A211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909" w:type="dxa"/>
            <w:tcBorders>
              <w:tl2br w:val="nil"/>
              <w:tr2bl w:val="nil"/>
            </w:tcBorders>
            <w:noWrap/>
            <w:vAlign w:val="center"/>
          </w:tcPr>
          <w:p w14:paraId="16D8E5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19E48B8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202.05</w:t>
            </w:r>
          </w:p>
        </w:tc>
      </w:tr>
      <w:tr w14:paraId="5F481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0EBD8B2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2794" w:type="dxa"/>
            <w:gridSpan w:val="3"/>
            <w:tcBorders>
              <w:tl2br w:val="nil"/>
              <w:tr2bl w:val="nil"/>
            </w:tcBorders>
            <w:noWrap/>
            <w:vAlign w:val="center"/>
          </w:tcPr>
          <w:p w14:paraId="2A2716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调换500*500钢纤维井盖座（含0.5m2路面拆除修复）</w:t>
            </w:r>
          </w:p>
        </w:tc>
        <w:tc>
          <w:tcPr>
            <w:tcW w:w="2694" w:type="dxa"/>
            <w:gridSpan w:val="2"/>
            <w:tcBorders>
              <w:tl2br w:val="nil"/>
              <w:tr2bl w:val="nil"/>
            </w:tcBorders>
            <w:noWrap/>
            <w:vAlign w:val="center"/>
          </w:tcPr>
          <w:p w14:paraId="51F88BE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909" w:type="dxa"/>
            <w:tcBorders>
              <w:tl2br w:val="nil"/>
              <w:tr2bl w:val="nil"/>
            </w:tcBorders>
            <w:noWrap/>
            <w:vAlign w:val="center"/>
          </w:tcPr>
          <w:p w14:paraId="5AE4B5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789E27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693.58</w:t>
            </w:r>
          </w:p>
        </w:tc>
      </w:tr>
      <w:tr w14:paraId="164EF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56FFE3C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2794" w:type="dxa"/>
            <w:gridSpan w:val="3"/>
            <w:tcBorders>
              <w:tl2br w:val="nil"/>
              <w:tr2bl w:val="nil"/>
            </w:tcBorders>
            <w:noWrap/>
            <w:vAlign w:val="center"/>
          </w:tcPr>
          <w:p w14:paraId="1FE30E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防坠网（含6个不锈钢挂钩）</w:t>
            </w:r>
          </w:p>
        </w:tc>
        <w:tc>
          <w:tcPr>
            <w:tcW w:w="2694" w:type="dxa"/>
            <w:gridSpan w:val="2"/>
            <w:tcBorders>
              <w:tl2br w:val="nil"/>
              <w:tr2bl w:val="nil"/>
            </w:tcBorders>
            <w:noWrap/>
            <w:vAlign w:val="center"/>
          </w:tcPr>
          <w:p w14:paraId="7DA0D01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启闭盖板，安装螺栓，挂防坠网，清理场地，井深≥1米。</w:t>
            </w:r>
          </w:p>
        </w:tc>
        <w:tc>
          <w:tcPr>
            <w:tcW w:w="909" w:type="dxa"/>
            <w:tcBorders>
              <w:tl2br w:val="nil"/>
              <w:tr2bl w:val="nil"/>
            </w:tcBorders>
            <w:noWrap/>
            <w:vAlign w:val="center"/>
          </w:tcPr>
          <w:p w14:paraId="121016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13A68DC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70.01</w:t>
            </w:r>
          </w:p>
        </w:tc>
      </w:tr>
      <w:tr w14:paraId="33085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1036DBC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2794" w:type="dxa"/>
            <w:gridSpan w:val="3"/>
            <w:tcBorders>
              <w:tl2br w:val="nil"/>
              <w:tr2bl w:val="nil"/>
            </w:tcBorders>
            <w:noWrap/>
            <w:vAlign w:val="center"/>
          </w:tcPr>
          <w:p w14:paraId="118C55D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调换400*550雨水口井盖</w:t>
            </w:r>
          </w:p>
        </w:tc>
        <w:tc>
          <w:tcPr>
            <w:tcW w:w="2694" w:type="dxa"/>
            <w:gridSpan w:val="2"/>
            <w:tcBorders>
              <w:tl2br w:val="nil"/>
              <w:tr2bl w:val="nil"/>
            </w:tcBorders>
            <w:noWrap/>
            <w:vAlign w:val="center"/>
          </w:tcPr>
          <w:p w14:paraId="4BC2908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909" w:type="dxa"/>
            <w:tcBorders>
              <w:tl2br w:val="nil"/>
              <w:tr2bl w:val="nil"/>
            </w:tcBorders>
            <w:noWrap/>
            <w:vAlign w:val="center"/>
          </w:tcPr>
          <w:p w14:paraId="0F72286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3042B4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154.22</w:t>
            </w:r>
          </w:p>
        </w:tc>
      </w:tr>
      <w:tr w14:paraId="47D65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4D7B5A3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2794" w:type="dxa"/>
            <w:gridSpan w:val="3"/>
            <w:tcBorders>
              <w:tl2br w:val="nil"/>
              <w:tr2bl w:val="nil"/>
            </w:tcBorders>
            <w:noWrap/>
            <w:vAlign w:val="center"/>
          </w:tcPr>
          <w:p w14:paraId="496B14A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调换400*550雨水口井盖座（含0.6m2路面拆除修复）</w:t>
            </w:r>
          </w:p>
        </w:tc>
        <w:tc>
          <w:tcPr>
            <w:tcW w:w="2694" w:type="dxa"/>
            <w:gridSpan w:val="2"/>
            <w:tcBorders>
              <w:tl2br w:val="nil"/>
              <w:tr2bl w:val="nil"/>
            </w:tcBorders>
            <w:noWrap/>
            <w:vAlign w:val="center"/>
          </w:tcPr>
          <w:p w14:paraId="4F490E9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909" w:type="dxa"/>
            <w:tcBorders>
              <w:tl2br w:val="nil"/>
              <w:tr2bl w:val="nil"/>
            </w:tcBorders>
            <w:noWrap/>
            <w:vAlign w:val="center"/>
          </w:tcPr>
          <w:p w14:paraId="3CE2845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3C1E1FD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509.56</w:t>
            </w:r>
          </w:p>
        </w:tc>
      </w:tr>
      <w:tr w14:paraId="46499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73EC3B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c>
          <w:tcPr>
            <w:tcW w:w="2794" w:type="dxa"/>
            <w:gridSpan w:val="3"/>
            <w:tcBorders>
              <w:tl2br w:val="nil"/>
              <w:tr2bl w:val="nil"/>
            </w:tcBorders>
            <w:noWrap/>
            <w:vAlign w:val="center"/>
          </w:tcPr>
          <w:p w14:paraId="5052835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调换300*400雨水口井盖</w:t>
            </w:r>
          </w:p>
        </w:tc>
        <w:tc>
          <w:tcPr>
            <w:tcW w:w="2694" w:type="dxa"/>
            <w:gridSpan w:val="2"/>
            <w:tcBorders>
              <w:tl2br w:val="nil"/>
              <w:tr2bl w:val="nil"/>
            </w:tcBorders>
            <w:noWrap/>
            <w:vAlign w:val="center"/>
          </w:tcPr>
          <w:p w14:paraId="7F25B4C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909" w:type="dxa"/>
            <w:tcBorders>
              <w:tl2br w:val="nil"/>
              <w:tr2bl w:val="nil"/>
            </w:tcBorders>
            <w:noWrap/>
            <w:vAlign w:val="center"/>
          </w:tcPr>
          <w:p w14:paraId="61C179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77EF12D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143.71</w:t>
            </w:r>
          </w:p>
        </w:tc>
      </w:tr>
      <w:tr w14:paraId="5370F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5D693C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c>
          <w:tcPr>
            <w:tcW w:w="2794" w:type="dxa"/>
            <w:gridSpan w:val="3"/>
            <w:tcBorders>
              <w:tl2br w:val="nil"/>
              <w:tr2bl w:val="nil"/>
            </w:tcBorders>
            <w:noWrap/>
            <w:vAlign w:val="center"/>
          </w:tcPr>
          <w:p w14:paraId="4AD774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调换300*400雨水口井盖座（含0.3m2路面拆除修复）</w:t>
            </w:r>
          </w:p>
        </w:tc>
        <w:tc>
          <w:tcPr>
            <w:tcW w:w="2694" w:type="dxa"/>
            <w:gridSpan w:val="2"/>
            <w:tcBorders>
              <w:tl2br w:val="nil"/>
              <w:tr2bl w:val="nil"/>
            </w:tcBorders>
            <w:noWrap/>
            <w:vAlign w:val="center"/>
          </w:tcPr>
          <w:p w14:paraId="08627C3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909" w:type="dxa"/>
            <w:tcBorders>
              <w:tl2br w:val="nil"/>
              <w:tr2bl w:val="nil"/>
            </w:tcBorders>
            <w:noWrap/>
            <w:vAlign w:val="center"/>
          </w:tcPr>
          <w:p w14:paraId="3B00A6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3D78395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341.06</w:t>
            </w:r>
          </w:p>
        </w:tc>
      </w:tr>
      <w:tr w14:paraId="5ADD0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0" w:type="dxa"/>
            <w:tcBorders>
              <w:tl2br w:val="nil"/>
              <w:tr2bl w:val="nil"/>
            </w:tcBorders>
            <w:noWrap/>
            <w:vAlign w:val="center"/>
          </w:tcPr>
          <w:p w14:paraId="4ECAAC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2794" w:type="dxa"/>
            <w:gridSpan w:val="3"/>
            <w:tcBorders>
              <w:tl2br w:val="nil"/>
              <w:tr2bl w:val="nil"/>
            </w:tcBorders>
            <w:noWrap/>
            <w:vAlign w:val="center"/>
          </w:tcPr>
          <w:p w14:paraId="3CBA792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管道非开挖修复φ300</w:t>
            </w:r>
          </w:p>
        </w:tc>
        <w:tc>
          <w:tcPr>
            <w:tcW w:w="2694" w:type="dxa"/>
            <w:gridSpan w:val="2"/>
            <w:tcBorders>
              <w:tl2br w:val="nil"/>
              <w:tr2bl w:val="nil"/>
            </w:tcBorders>
            <w:noWrap/>
            <w:vAlign w:val="center"/>
          </w:tcPr>
          <w:p w14:paraId="38DD747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毒气检测，树脂渗透毡筒，毡筒缠绕于气囊上，在电视引导下到达修复地点，气囊充气加压，加热固化，气囊减压拉出管道，检测，清理现场等。</w:t>
            </w:r>
          </w:p>
        </w:tc>
        <w:tc>
          <w:tcPr>
            <w:tcW w:w="909" w:type="dxa"/>
            <w:tcBorders>
              <w:tl2br w:val="nil"/>
              <w:tr2bl w:val="nil"/>
            </w:tcBorders>
            <w:noWrap/>
            <w:vAlign w:val="center"/>
          </w:tcPr>
          <w:p w14:paraId="719481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处</w:t>
            </w:r>
          </w:p>
        </w:tc>
        <w:tc>
          <w:tcPr>
            <w:tcW w:w="1761" w:type="dxa"/>
            <w:tcBorders>
              <w:tl2br w:val="nil"/>
              <w:tr2bl w:val="nil"/>
            </w:tcBorders>
            <w:noWrap w:val="0"/>
            <w:vAlign w:val="center"/>
          </w:tcPr>
          <w:p w14:paraId="7B2770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2812.53</w:t>
            </w:r>
          </w:p>
        </w:tc>
      </w:tr>
      <w:tr w14:paraId="31535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40" w:type="dxa"/>
            <w:tcBorders>
              <w:tl2br w:val="nil"/>
              <w:tr2bl w:val="nil"/>
            </w:tcBorders>
            <w:noWrap/>
            <w:vAlign w:val="center"/>
          </w:tcPr>
          <w:p w14:paraId="718127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w:t>
            </w:r>
          </w:p>
        </w:tc>
        <w:tc>
          <w:tcPr>
            <w:tcW w:w="2794" w:type="dxa"/>
            <w:gridSpan w:val="3"/>
            <w:tcBorders>
              <w:tl2br w:val="nil"/>
              <w:tr2bl w:val="nil"/>
            </w:tcBorders>
            <w:noWrap/>
            <w:vAlign w:val="center"/>
          </w:tcPr>
          <w:p w14:paraId="6810CE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铲斗式挖泥船</w:t>
            </w:r>
          </w:p>
        </w:tc>
        <w:tc>
          <w:tcPr>
            <w:tcW w:w="2694" w:type="dxa"/>
            <w:gridSpan w:val="2"/>
            <w:tcBorders>
              <w:tl2br w:val="nil"/>
              <w:tr2bl w:val="nil"/>
            </w:tcBorders>
            <w:noWrap/>
            <w:vAlign w:val="center"/>
          </w:tcPr>
          <w:p w14:paraId="201187F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141289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61" w:type="dxa"/>
            <w:tcBorders>
              <w:tl2br w:val="nil"/>
              <w:tr2bl w:val="nil"/>
            </w:tcBorders>
            <w:noWrap w:val="0"/>
            <w:vAlign w:val="center"/>
          </w:tcPr>
          <w:p w14:paraId="678384C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3000</w:t>
            </w:r>
          </w:p>
        </w:tc>
      </w:tr>
      <w:tr w14:paraId="78F45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740" w:type="dxa"/>
            <w:tcBorders>
              <w:tl2br w:val="nil"/>
              <w:tr2bl w:val="nil"/>
            </w:tcBorders>
            <w:noWrap/>
            <w:vAlign w:val="center"/>
          </w:tcPr>
          <w:p w14:paraId="724BFF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c>
          <w:tcPr>
            <w:tcW w:w="2794" w:type="dxa"/>
            <w:gridSpan w:val="3"/>
            <w:tcBorders>
              <w:tl2br w:val="nil"/>
              <w:tr2bl w:val="nil"/>
            </w:tcBorders>
            <w:noWrap/>
            <w:vAlign w:val="center"/>
          </w:tcPr>
          <w:p w14:paraId="4ABA583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运输船</w:t>
            </w:r>
          </w:p>
        </w:tc>
        <w:tc>
          <w:tcPr>
            <w:tcW w:w="2694" w:type="dxa"/>
            <w:gridSpan w:val="2"/>
            <w:tcBorders>
              <w:tl2br w:val="nil"/>
              <w:tr2bl w:val="nil"/>
            </w:tcBorders>
            <w:noWrap/>
            <w:vAlign w:val="center"/>
          </w:tcPr>
          <w:p w14:paraId="1C2DDC2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包含运输费、泥浆上岸费、泥浆处置费</w:t>
            </w:r>
          </w:p>
        </w:tc>
        <w:tc>
          <w:tcPr>
            <w:tcW w:w="909" w:type="dxa"/>
            <w:tcBorders>
              <w:tl2br w:val="nil"/>
              <w:tr2bl w:val="nil"/>
            </w:tcBorders>
            <w:noWrap/>
            <w:vAlign w:val="center"/>
          </w:tcPr>
          <w:p w14:paraId="600E0F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船</w:t>
            </w:r>
          </w:p>
        </w:tc>
        <w:tc>
          <w:tcPr>
            <w:tcW w:w="1761" w:type="dxa"/>
            <w:tcBorders>
              <w:tl2br w:val="nil"/>
              <w:tr2bl w:val="nil"/>
            </w:tcBorders>
            <w:noWrap w:val="0"/>
            <w:vAlign w:val="center"/>
          </w:tcPr>
          <w:p w14:paraId="3A11E0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1400</w:t>
            </w:r>
          </w:p>
        </w:tc>
      </w:tr>
      <w:tr w14:paraId="4258D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40" w:type="dxa"/>
            <w:tcBorders>
              <w:tl2br w:val="nil"/>
              <w:tr2bl w:val="nil"/>
            </w:tcBorders>
            <w:noWrap/>
            <w:vAlign w:val="center"/>
          </w:tcPr>
          <w:p w14:paraId="135E77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c>
          <w:tcPr>
            <w:tcW w:w="2794" w:type="dxa"/>
            <w:gridSpan w:val="3"/>
            <w:tcBorders>
              <w:tl2br w:val="nil"/>
              <w:tr2bl w:val="nil"/>
            </w:tcBorders>
            <w:noWrap/>
            <w:vAlign w:val="center"/>
          </w:tcPr>
          <w:p w14:paraId="0BE441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运输车</w:t>
            </w:r>
          </w:p>
        </w:tc>
        <w:tc>
          <w:tcPr>
            <w:tcW w:w="2694" w:type="dxa"/>
            <w:gridSpan w:val="2"/>
            <w:tcBorders>
              <w:tl2br w:val="nil"/>
              <w:tr2bl w:val="nil"/>
            </w:tcBorders>
            <w:noWrap/>
            <w:vAlign w:val="center"/>
          </w:tcPr>
          <w:p w14:paraId="53D8B4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59FC7C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车</w:t>
            </w:r>
          </w:p>
        </w:tc>
        <w:tc>
          <w:tcPr>
            <w:tcW w:w="1761" w:type="dxa"/>
            <w:tcBorders>
              <w:tl2br w:val="nil"/>
              <w:tr2bl w:val="nil"/>
            </w:tcBorders>
            <w:noWrap w:val="0"/>
            <w:vAlign w:val="center"/>
          </w:tcPr>
          <w:p w14:paraId="0BA08C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700</w:t>
            </w:r>
          </w:p>
        </w:tc>
      </w:tr>
      <w:tr w14:paraId="0B61C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740" w:type="dxa"/>
            <w:tcBorders>
              <w:tl2br w:val="nil"/>
              <w:tr2bl w:val="nil"/>
            </w:tcBorders>
            <w:noWrap/>
            <w:vAlign w:val="center"/>
          </w:tcPr>
          <w:p w14:paraId="11DB62C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c>
          <w:tcPr>
            <w:tcW w:w="2794" w:type="dxa"/>
            <w:gridSpan w:val="3"/>
            <w:tcBorders>
              <w:tl2br w:val="nil"/>
              <w:tr2bl w:val="nil"/>
            </w:tcBorders>
            <w:noWrap/>
            <w:vAlign w:val="center"/>
          </w:tcPr>
          <w:p w14:paraId="6FDCA1C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泥浆泵冲洗河道台班</w:t>
            </w:r>
          </w:p>
        </w:tc>
        <w:tc>
          <w:tcPr>
            <w:tcW w:w="2694" w:type="dxa"/>
            <w:gridSpan w:val="2"/>
            <w:tcBorders>
              <w:tl2br w:val="nil"/>
              <w:tr2bl w:val="nil"/>
            </w:tcBorders>
            <w:noWrap/>
            <w:vAlign w:val="center"/>
          </w:tcPr>
          <w:p w14:paraId="05D0845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技术工人工不少于三个、泥浆泵租赁费、高压泵租赁费等</w:t>
            </w:r>
          </w:p>
        </w:tc>
        <w:tc>
          <w:tcPr>
            <w:tcW w:w="909" w:type="dxa"/>
            <w:tcBorders>
              <w:tl2br w:val="nil"/>
              <w:tr2bl w:val="nil"/>
            </w:tcBorders>
            <w:noWrap/>
            <w:vAlign w:val="center"/>
          </w:tcPr>
          <w:p w14:paraId="7F2C89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61" w:type="dxa"/>
            <w:tcBorders>
              <w:tl2br w:val="nil"/>
              <w:tr2bl w:val="nil"/>
            </w:tcBorders>
            <w:noWrap w:val="0"/>
            <w:vAlign w:val="center"/>
          </w:tcPr>
          <w:p w14:paraId="45EB76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3000</w:t>
            </w:r>
          </w:p>
        </w:tc>
      </w:tr>
      <w:tr w14:paraId="3A8FC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l2br w:val="nil"/>
              <w:tr2bl w:val="nil"/>
            </w:tcBorders>
            <w:noWrap/>
            <w:vAlign w:val="center"/>
          </w:tcPr>
          <w:p w14:paraId="67B2971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w:t>
            </w:r>
          </w:p>
        </w:tc>
        <w:tc>
          <w:tcPr>
            <w:tcW w:w="2794" w:type="dxa"/>
            <w:gridSpan w:val="3"/>
            <w:tcBorders>
              <w:tl2br w:val="nil"/>
              <w:tr2bl w:val="nil"/>
            </w:tcBorders>
            <w:noWrap/>
            <w:vAlign w:val="center"/>
          </w:tcPr>
          <w:p w14:paraId="683BBC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泥浆泵租赁费</w:t>
            </w:r>
          </w:p>
        </w:tc>
        <w:tc>
          <w:tcPr>
            <w:tcW w:w="2694" w:type="dxa"/>
            <w:gridSpan w:val="2"/>
            <w:tcBorders>
              <w:tl2br w:val="nil"/>
              <w:tr2bl w:val="nil"/>
            </w:tcBorders>
            <w:noWrap/>
            <w:vAlign w:val="center"/>
          </w:tcPr>
          <w:p w14:paraId="7BA5335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5B9C77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61" w:type="dxa"/>
            <w:tcBorders>
              <w:tl2br w:val="nil"/>
              <w:tr2bl w:val="nil"/>
            </w:tcBorders>
            <w:noWrap w:val="0"/>
            <w:vAlign w:val="center"/>
          </w:tcPr>
          <w:p w14:paraId="1C1A54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700</w:t>
            </w:r>
          </w:p>
        </w:tc>
      </w:tr>
      <w:tr w14:paraId="18C00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l2br w:val="nil"/>
              <w:tr2bl w:val="nil"/>
            </w:tcBorders>
            <w:noWrap/>
            <w:vAlign w:val="center"/>
          </w:tcPr>
          <w:p w14:paraId="066D51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w:t>
            </w:r>
          </w:p>
        </w:tc>
        <w:tc>
          <w:tcPr>
            <w:tcW w:w="2794" w:type="dxa"/>
            <w:gridSpan w:val="3"/>
            <w:tcBorders>
              <w:tl2br w:val="nil"/>
              <w:tr2bl w:val="nil"/>
            </w:tcBorders>
            <w:noWrap/>
            <w:vAlign w:val="center"/>
          </w:tcPr>
          <w:p w14:paraId="6DAEDA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发电机50W</w:t>
            </w:r>
          </w:p>
        </w:tc>
        <w:tc>
          <w:tcPr>
            <w:tcW w:w="2694" w:type="dxa"/>
            <w:gridSpan w:val="2"/>
            <w:tcBorders>
              <w:tl2br w:val="nil"/>
              <w:tr2bl w:val="nil"/>
            </w:tcBorders>
            <w:noWrap/>
            <w:vAlign w:val="center"/>
          </w:tcPr>
          <w:p w14:paraId="50BF4A2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24C50A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61" w:type="dxa"/>
            <w:tcBorders>
              <w:tl2br w:val="nil"/>
              <w:tr2bl w:val="nil"/>
            </w:tcBorders>
            <w:noWrap w:val="0"/>
            <w:vAlign w:val="center"/>
          </w:tcPr>
          <w:p w14:paraId="64787C0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800</w:t>
            </w:r>
          </w:p>
        </w:tc>
      </w:tr>
      <w:tr w14:paraId="6BDFB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l2br w:val="nil"/>
              <w:tr2bl w:val="nil"/>
            </w:tcBorders>
            <w:noWrap/>
            <w:vAlign w:val="center"/>
          </w:tcPr>
          <w:p w14:paraId="3D3A09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c>
          <w:tcPr>
            <w:tcW w:w="2794" w:type="dxa"/>
            <w:gridSpan w:val="3"/>
            <w:tcBorders>
              <w:tl2br w:val="nil"/>
              <w:tr2bl w:val="nil"/>
            </w:tcBorders>
            <w:noWrap/>
            <w:vAlign w:val="center"/>
          </w:tcPr>
          <w:p w14:paraId="71233F3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柴油</w:t>
            </w:r>
          </w:p>
        </w:tc>
        <w:tc>
          <w:tcPr>
            <w:tcW w:w="2694" w:type="dxa"/>
            <w:gridSpan w:val="2"/>
            <w:tcBorders>
              <w:tl2br w:val="nil"/>
              <w:tr2bl w:val="nil"/>
            </w:tcBorders>
            <w:noWrap/>
            <w:vAlign w:val="center"/>
          </w:tcPr>
          <w:p w14:paraId="4AA67D6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50E43DC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kg</w:t>
            </w:r>
          </w:p>
        </w:tc>
        <w:tc>
          <w:tcPr>
            <w:tcW w:w="1761" w:type="dxa"/>
            <w:tcBorders>
              <w:tl2br w:val="nil"/>
              <w:tr2bl w:val="nil"/>
            </w:tcBorders>
            <w:noWrap w:val="0"/>
            <w:vAlign w:val="center"/>
          </w:tcPr>
          <w:p w14:paraId="504BC1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8.65</w:t>
            </w:r>
          </w:p>
        </w:tc>
      </w:tr>
      <w:tr w14:paraId="77821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l2br w:val="nil"/>
              <w:tr2bl w:val="nil"/>
            </w:tcBorders>
            <w:noWrap/>
            <w:vAlign w:val="center"/>
          </w:tcPr>
          <w:p w14:paraId="37770E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w:t>
            </w:r>
          </w:p>
        </w:tc>
        <w:tc>
          <w:tcPr>
            <w:tcW w:w="2794" w:type="dxa"/>
            <w:gridSpan w:val="3"/>
            <w:tcBorders>
              <w:tl2br w:val="nil"/>
              <w:tr2bl w:val="nil"/>
            </w:tcBorders>
            <w:noWrap/>
            <w:vAlign w:val="center"/>
          </w:tcPr>
          <w:p w14:paraId="03610E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6寸污水泵</w:t>
            </w:r>
          </w:p>
        </w:tc>
        <w:tc>
          <w:tcPr>
            <w:tcW w:w="2694" w:type="dxa"/>
            <w:gridSpan w:val="2"/>
            <w:tcBorders>
              <w:tl2br w:val="nil"/>
              <w:tr2bl w:val="nil"/>
            </w:tcBorders>
            <w:noWrap/>
            <w:vAlign w:val="center"/>
          </w:tcPr>
          <w:p w14:paraId="63DB80F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4DB3D7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61" w:type="dxa"/>
            <w:tcBorders>
              <w:tl2br w:val="nil"/>
              <w:tr2bl w:val="nil"/>
            </w:tcBorders>
            <w:noWrap w:val="0"/>
            <w:vAlign w:val="center"/>
          </w:tcPr>
          <w:p w14:paraId="1C08698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w:t>
            </w:r>
          </w:p>
        </w:tc>
      </w:tr>
      <w:tr w14:paraId="6C32F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l2br w:val="nil"/>
              <w:tr2bl w:val="nil"/>
            </w:tcBorders>
            <w:noWrap/>
            <w:vAlign w:val="center"/>
          </w:tcPr>
          <w:p w14:paraId="1E540E5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w:t>
            </w:r>
          </w:p>
        </w:tc>
        <w:tc>
          <w:tcPr>
            <w:tcW w:w="2794" w:type="dxa"/>
            <w:gridSpan w:val="3"/>
            <w:tcBorders>
              <w:tl2br w:val="nil"/>
              <w:tr2bl w:val="nil"/>
            </w:tcBorders>
            <w:noWrap/>
            <w:vAlign w:val="center"/>
          </w:tcPr>
          <w:p w14:paraId="5C7DD9A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普工</w:t>
            </w:r>
          </w:p>
        </w:tc>
        <w:tc>
          <w:tcPr>
            <w:tcW w:w="2694" w:type="dxa"/>
            <w:gridSpan w:val="2"/>
            <w:tcBorders>
              <w:tl2br w:val="nil"/>
              <w:tr2bl w:val="nil"/>
            </w:tcBorders>
            <w:noWrap/>
            <w:vAlign w:val="center"/>
          </w:tcPr>
          <w:p w14:paraId="59DB7DD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65F6600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工日</w:t>
            </w:r>
          </w:p>
        </w:tc>
        <w:tc>
          <w:tcPr>
            <w:tcW w:w="1761" w:type="dxa"/>
            <w:tcBorders>
              <w:tl2br w:val="nil"/>
              <w:tr2bl w:val="nil"/>
            </w:tcBorders>
            <w:noWrap w:val="0"/>
            <w:vAlign w:val="center"/>
          </w:tcPr>
          <w:p w14:paraId="2E8A5B1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200.00</w:t>
            </w:r>
          </w:p>
        </w:tc>
      </w:tr>
      <w:tr w14:paraId="32EEE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l2br w:val="nil"/>
              <w:tr2bl w:val="nil"/>
            </w:tcBorders>
            <w:noWrap/>
            <w:vAlign w:val="center"/>
          </w:tcPr>
          <w:p w14:paraId="66EFBAF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w:t>
            </w:r>
          </w:p>
        </w:tc>
        <w:tc>
          <w:tcPr>
            <w:tcW w:w="2794" w:type="dxa"/>
            <w:gridSpan w:val="3"/>
            <w:tcBorders>
              <w:tl2br w:val="nil"/>
              <w:tr2bl w:val="nil"/>
            </w:tcBorders>
            <w:noWrap/>
            <w:vAlign w:val="center"/>
          </w:tcPr>
          <w:p w14:paraId="5BE178B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技术工</w:t>
            </w:r>
          </w:p>
        </w:tc>
        <w:tc>
          <w:tcPr>
            <w:tcW w:w="2694" w:type="dxa"/>
            <w:gridSpan w:val="2"/>
            <w:tcBorders>
              <w:tl2br w:val="nil"/>
              <w:tr2bl w:val="nil"/>
            </w:tcBorders>
            <w:noWrap/>
            <w:vAlign w:val="center"/>
          </w:tcPr>
          <w:p w14:paraId="7EC30DA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09" w:type="dxa"/>
            <w:tcBorders>
              <w:tl2br w:val="nil"/>
              <w:tr2bl w:val="nil"/>
            </w:tcBorders>
            <w:noWrap/>
            <w:vAlign w:val="center"/>
          </w:tcPr>
          <w:p w14:paraId="7776476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工日</w:t>
            </w:r>
          </w:p>
        </w:tc>
        <w:tc>
          <w:tcPr>
            <w:tcW w:w="1761" w:type="dxa"/>
            <w:tcBorders>
              <w:tl2br w:val="nil"/>
              <w:tr2bl w:val="nil"/>
            </w:tcBorders>
            <w:noWrap w:val="0"/>
            <w:vAlign w:val="center"/>
          </w:tcPr>
          <w:p w14:paraId="15D31D4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320.00</w:t>
            </w:r>
          </w:p>
        </w:tc>
      </w:tr>
      <w:tr w14:paraId="01990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22DC1C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w:t>
            </w:r>
          </w:p>
        </w:tc>
        <w:tc>
          <w:tcPr>
            <w:tcW w:w="966" w:type="dxa"/>
            <w:vMerge w:val="restart"/>
            <w:tcBorders>
              <w:tl2br w:val="nil"/>
              <w:tr2bl w:val="nil"/>
            </w:tcBorders>
            <w:noWrap/>
            <w:vAlign w:val="center"/>
          </w:tcPr>
          <w:p w14:paraId="583182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箱涵清淤（宽度1.0米）</w:t>
            </w:r>
          </w:p>
        </w:tc>
        <w:tc>
          <w:tcPr>
            <w:tcW w:w="1801" w:type="dxa"/>
            <w:tcBorders>
              <w:tl2br w:val="nil"/>
              <w:tr2bl w:val="nil"/>
            </w:tcBorders>
            <w:noWrap/>
            <w:vAlign w:val="center"/>
          </w:tcPr>
          <w:p w14:paraId="7D5B0D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38A3F36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50CA28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87620C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84.63</w:t>
            </w:r>
          </w:p>
        </w:tc>
      </w:tr>
      <w:tr w14:paraId="43149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2864BA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58A88B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792744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1CB02D1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074A19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20A1E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118.482</w:t>
            </w:r>
          </w:p>
        </w:tc>
      </w:tr>
      <w:tr w14:paraId="68596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81FD8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161343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73ABCA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58C0409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0F31F41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9D5A14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169.26</w:t>
            </w:r>
          </w:p>
        </w:tc>
      </w:tr>
      <w:tr w14:paraId="6170A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6E0924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17D6B42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13C15E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6B9FD4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8BBF1A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18AC4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236.964</w:t>
            </w:r>
          </w:p>
        </w:tc>
      </w:tr>
      <w:tr w14:paraId="692F2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0B7912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w:t>
            </w:r>
          </w:p>
        </w:tc>
        <w:tc>
          <w:tcPr>
            <w:tcW w:w="966" w:type="dxa"/>
            <w:vMerge w:val="restart"/>
            <w:tcBorders>
              <w:tl2br w:val="nil"/>
              <w:tr2bl w:val="nil"/>
            </w:tcBorders>
            <w:noWrap/>
            <w:vAlign w:val="center"/>
          </w:tcPr>
          <w:p w14:paraId="5EA91B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箱涵清淤（宽度1.1米）</w:t>
            </w:r>
          </w:p>
        </w:tc>
        <w:tc>
          <w:tcPr>
            <w:tcW w:w="1801" w:type="dxa"/>
            <w:tcBorders>
              <w:tl2br w:val="nil"/>
              <w:tr2bl w:val="nil"/>
            </w:tcBorders>
            <w:noWrap/>
            <w:vAlign w:val="center"/>
          </w:tcPr>
          <w:p w14:paraId="3B6E2D2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1D3A624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067E1B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4F30697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93.09664</w:t>
            </w:r>
          </w:p>
        </w:tc>
      </w:tr>
      <w:tr w14:paraId="2C290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5A2796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5CE964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2E8678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25F574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E530F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9CF33B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130.33384</w:t>
            </w:r>
          </w:p>
        </w:tc>
      </w:tr>
      <w:tr w14:paraId="3061F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7D142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6FE826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C1850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647A08D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DB6492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A08AB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186.186</w:t>
            </w:r>
          </w:p>
        </w:tc>
      </w:tr>
      <w:tr w14:paraId="2852F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87F2C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55FBAF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D77724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074502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4BEA1CC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A87622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260.6604</w:t>
            </w:r>
          </w:p>
        </w:tc>
      </w:tr>
      <w:tr w14:paraId="0CD49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542FD0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w:t>
            </w:r>
          </w:p>
        </w:tc>
        <w:tc>
          <w:tcPr>
            <w:tcW w:w="966" w:type="dxa"/>
            <w:vMerge w:val="restart"/>
            <w:tcBorders>
              <w:tl2br w:val="nil"/>
              <w:tr2bl w:val="nil"/>
            </w:tcBorders>
            <w:noWrap/>
            <w:vAlign w:val="center"/>
          </w:tcPr>
          <w:p w14:paraId="7C7AA4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箱涵清淤（宽度1.2米）</w:t>
            </w:r>
          </w:p>
        </w:tc>
        <w:tc>
          <w:tcPr>
            <w:tcW w:w="1801" w:type="dxa"/>
            <w:tcBorders>
              <w:tl2br w:val="nil"/>
              <w:tr2bl w:val="nil"/>
            </w:tcBorders>
            <w:noWrap/>
            <w:vAlign w:val="center"/>
          </w:tcPr>
          <w:p w14:paraId="4A704F8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787983E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77D254A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908EF3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101.556</w:t>
            </w:r>
          </w:p>
        </w:tc>
      </w:tr>
      <w:tr w14:paraId="1593C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5F33B5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00B9E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CC044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720963F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09C24D8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7FBD267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142.1784</w:t>
            </w:r>
          </w:p>
        </w:tc>
      </w:tr>
      <w:tr w14:paraId="4B828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25052C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274F8A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D6957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5E8EB2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2A9AE5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F2D9E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203.112</w:t>
            </w:r>
          </w:p>
        </w:tc>
      </w:tr>
      <w:tr w14:paraId="3FA8B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49B95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2869DC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4E1D9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2873B4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8EDE6D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4CB82B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284.3568</w:t>
            </w:r>
          </w:p>
        </w:tc>
      </w:tr>
      <w:tr w14:paraId="0DDF7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FBF9D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052A227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87277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0F60CC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88688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7BFAE47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365.6016</w:t>
            </w:r>
          </w:p>
        </w:tc>
      </w:tr>
      <w:tr w14:paraId="534B9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24D13A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w:t>
            </w:r>
          </w:p>
        </w:tc>
        <w:tc>
          <w:tcPr>
            <w:tcW w:w="966" w:type="dxa"/>
            <w:vMerge w:val="restart"/>
            <w:tcBorders>
              <w:tl2br w:val="nil"/>
              <w:tr2bl w:val="nil"/>
            </w:tcBorders>
            <w:noWrap/>
            <w:vAlign w:val="center"/>
          </w:tcPr>
          <w:p w14:paraId="212581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箱涵清淤（宽度1.3米）</w:t>
            </w:r>
          </w:p>
        </w:tc>
        <w:tc>
          <w:tcPr>
            <w:tcW w:w="1801" w:type="dxa"/>
            <w:tcBorders>
              <w:tl2br w:val="nil"/>
              <w:tr2bl w:val="nil"/>
            </w:tcBorders>
            <w:noWrap/>
            <w:vAlign w:val="center"/>
          </w:tcPr>
          <w:p w14:paraId="7B81BF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44905A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5FC144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FAF7B3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110.02264</w:t>
            </w:r>
          </w:p>
        </w:tc>
      </w:tr>
      <w:tr w14:paraId="6D230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773654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2CEC75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BAAEE5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5CB38C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842AD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BAE14A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154.03024</w:t>
            </w:r>
          </w:p>
        </w:tc>
      </w:tr>
      <w:tr w14:paraId="43434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4F070D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77C763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4EAA0E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170276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0B0C18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961439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220.038</w:t>
            </w:r>
          </w:p>
        </w:tc>
      </w:tr>
      <w:tr w14:paraId="22EBB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D6590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73959F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C76B03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68BD1A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FE4DB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E8EB27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308.0532</w:t>
            </w:r>
          </w:p>
        </w:tc>
      </w:tr>
      <w:tr w14:paraId="36BDF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1072D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560835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8879D9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12BAF7F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163633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EB484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396.0684</w:t>
            </w:r>
          </w:p>
        </w:tc>
      </w:tr>
      <w:tr w14:paraId="62229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07D8C9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w:t>
            </w:r>
          </w:p>
        </w:tc>
        <w:tc>
          <w:tcPr>
            <w:tcW w:w="966" w:type="dxa"/>
            <w:vMerge w:val="restart"/>
            <w:tcBorders>
              <w:tl2br w:val="nil"/>
              <w:tr2bl w:val="nil"/>
            </w:tcBorders>
            <w:noWrap/>
            <w:vAlign w:val="center"/>
          </w:tcPr>
          <w:p w14:paraId="6E2C8D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箱涵清淤（宽度1.4米）</w:t>
            </w:r>
          </w:p>
        </w:tc>
        <w:tc>
          <w:tcPr>
            <w:tcW w:w="1801" w:type="dxa"/>
            <w:tcBorders>
              <w:tl2br w:val="nil"/>
              <w:tr2bl w:val="nil"/>
            </w:tcBorders>
            <w:noWrap/>
            <w:vAlign w:val="center"/>
          </w:tcPr>
          <w:p w14:paraId="526F4F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782706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5A8F8D3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5075C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118.482</w:t>
            </w:r>
          </w:p>
        </w:tc>
      </w:tr>
      <w:tr w14:paraId="61A05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5856B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2E043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46D234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142442F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E0C3EB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3601A1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165.8748</w:t>
            </w:r>
          </w:p>
        </w:tc>
      </w:tr>
      <w:tr w14:paraId="64EC0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72F85D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DC77F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28F497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11815D3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B7F8F2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4AD77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236.964</w:t>
            </w:r>
          </w:p>
        </w:tc>
      </w:tr>
      <w:tr w14:paraId="1FC2A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777CAC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D8CC3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2DAB49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4718D3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2E9CB0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CD7C2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331.7496</w:t>
            </w:r>
          </w:p>
        </w:tc>
      </w:tr>
      <w:tr w14:paraId="07D75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65FEEB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54AD15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2B2C8D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3C7F42C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8C7A12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222E7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426.5352</w:t>
            </w:r>
          </w:p>
        </w:tc>
      </w:tr>
      <w:tr w14:paraId="3F491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5ED33E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w:t>
            </w:r>
          </w:p>
        </w:tc>
        <w:tc>
          <w:tcPr>
            <w:tcW w:w="966" w:type="dxa"/>
            <w:vMerge w:val="restart"/>
            <w:tcBorders>
              <w:tl2br w:val="nil"/>
              <w:tr2bl w:val="nil"/>
            </w:tcBorders>
            <w:noWrap/>
            <w:vAlign w:val="center"/>
          </w:tcPr>
          <w:p w14:paraId="503F7F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箱涵清淤（宽度1.5米）</w:t>
            </w:r>
          </w:p>
        </w:tc>
        <w:tc>
          <w:tcPr>
            <w:tcW w:w="1801" w:type="dxa"/>
            <w:tcBorders>
              <w:tl2br w:val="nil"/>
              <w:tr2bl w:val="nil"/>
            </w:tcBorders>
            <w:noWrap/>
            <w:vAlign w:val="center"/>
          </w:tcPr>
          <w:p w14:paraId="5744460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3283F9D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5DEA63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5A5AE4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126.945</w:t>
            </w:r>
          </w:p>
        </w:tc>
      </w:tr>
      <w:tr w14:paraId="1D524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294C90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2A9AF5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EDC47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25033E6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614657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9AA0B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177.723</w:t>
            </w:r>
          </w:p>
        </w:tc>
      </w:tr>
      <w:tr w14:paraId="16439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C5CDC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6A619DA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3ADFFDA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2A8FE4A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2DCA293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4B93D58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253.89</w:t>
            </w:r>
          </w:p>
        </w:tc>
      </w:tr>
      <w:tr w14:paraId="686D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419847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11F137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423269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7ED645D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7E338B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47B4D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355.446</w:t>
            </w:r>
          </w:p>
        </w:tc>
      </w:tr>
      <w:tr w14:paraId="07F80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D3282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5A774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445FC7D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1045E3F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26DAB1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5656A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457.002</w:t>
            </w:r>
          </w:p>
        </w:tc>
      </w:tr>
      <w:tr w14:paraId="6F213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2EFAD7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w:t>
            </w:r>
          </w:p>
        </w:tc>
        <w:tc>
          <w:tcPr>
            <w:tcW w:w="966" w:type="dxa"/>
            <w:vMerge w:val="restart"/>
            <w:tcBorders>
              <w:tl2br w:val="nil"/>
              <w:tr2bl w:val="nil"/>
            </w:tcBorders>
            <w:noWrap/>
            <w:vAlign w:val="center"/>
          </w:tcPr>
          <w:p w14:paraId="13AC89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箱涵清淤（宽度1.6米）</w:t>
            </w:r>
          </w:p>
        </w:tc>
        <w:tc>
          <w:tcPr>
            <w:tcW w:w="1801" w:type="dxa"/>
            <w:tcBorders>
              <w:tl2br w:val="nil"/>
              <w:tr2bl w:val="nil"/>
            </w:tcBorders>
            <w:noWrap/>
            <w:vAlign w:val="center"/>
          </w:tcPr>
          <w:p w14:paraId="1F3085A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6FE883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7210CCF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7E75911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135.408</w:t>
            </w:r>
          </w:p>
        </w:tc>
      </w:tr>
      <w:tr w14:paraId="311BC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1F9B6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93ED9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BB861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45CB869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441DC2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05A44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189.5712</w:t>
            </w:r>
          </w:p>
        </w:tc>
      </w:tr>
      <w:tr w14:paraId="5F198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7AE84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72A60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4DC099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25AE3CA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920953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5D593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270.816</w:t>
            </w:r>
          </w:p>
        </w:tc>
      </w:tr>
      <w:tr w14:paraId="55625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AB97C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B4121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F3DF4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0997E99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0D7E5B7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C2C144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379.1424</w:t>
            </w:r>
          </w:p>
        </w:tc>
      </w:tr>
      <w:tr w14:paraId="0372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5CEBDB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1D5A55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16672C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68C01B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2972D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AEFD1A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487.4688</w:t>
            </w:r>
          </w:p>
        </w:tc>
      </w:tr>
      <w:tr w14:paraId="34A0C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5D61ED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w:t>
            </w:r>
          </w:p>
        </w:tc>
        <w:tc>
          <w:tcPr>
            <w:tcW w:w="966" w:type="dxa"/>
            <w:vMerge w:val="restart"/>
            <w:tcBorders>
              <w:tl2br w:val="nil"/>
              <w:tr2bl w:val="nil"/>
            </w:tcBorders>
            <w:noWrap/>
            <w:vAlign w:val="center"/>
          </w:tcPr>
          <w:p w14:paraId="612E20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箱涵清淤（宽度1.8米）</w:t>
            </w:r>
          </w:p>
        </w:tc>
        <w:tc>
          <w:tcPr>
            <w:tcW w:w="1801" w:type="dxa"/>
            <w:tcBorders>
              <w:tl2br w:val="nil"/>
              <w:tr2bl w:val="nil"/>
            </w:tcBorders>
            <w:noWrap/>
            <w:vAlign w:val="center"/>
          </w:tcPr>
          <w:p w14:paraId="77F04C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38AADE7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3FAC32A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B82EC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152.334</w:t>
            </w:r>
          </w:p>
        </w:tc>
      </w:tr>
      <w:tr w14:paraId="1CEF2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208765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71A88C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3214B0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2AD824A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EEFE6B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3C352A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213.2676</w:t>
            </w:r>
          </w:p>
        </w:tc>
      </w:tr>
      <w:tr w14:paraId="60546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84B1E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0B925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19A0FF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09C65F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16634F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E31154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304.668</w:t>
            </w:r>
          </w:p>
        </w:tc>
      </w:tr>
      <w:tr w14:paraId="321EB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B2DA3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874B1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3F9F42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3F1F18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B0C97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7867EA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426.5352</w:t>
            </w:r>
          </w:p>
        </w:tc>
      </w:tr>
      <w:tr w14:paraId="0051E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270770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7BB5A2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35298C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3CEF40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2E7F1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FEB222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548.4024</w:t>
            </w:r>
          </w:p>
        </w:tc>
      </w:tr>
      <w:tr w14:paraId="6119C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68212C0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w:t>
            </w:r>
          </w:p>
        </w:tc>
        <w:tc>
          <w:tcPr>
            <w:tcW w:w="966" w:type="dxa"/>
            <w:vMerge w:val="restart"/>
            <w:tcBorders>
              <w:tl2br w:val="nil"/>
              <w:tr2bl w:val="nil"/>
            </w:tcBorders>
            <w:noWrap/>
            <w:vAlign w:val="center"/>
          </w:tcPr>
          <w:p w14:paraId="4E3E4B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箱涵清淤（宽度2.0米）</w:t>
            </w:r>
          </w:p>
        </w:tc>
        <w:tc>
          <w:tcPr>
            <w:tcW w:w="1801" w:type="dxa"/>
            <w:tcBorders>
              <w:tl2br w:val="nil"/>
              <w:tr2bl w:val="nil"/>
            </w:tcBorders>
            <w:noWrap/>
            <w:vAlign w:val="center"/>
          </w:tcPr>
          <w:p w14:paraId="2806DB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75EECB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1A5063B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EA275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169.26</w:t>
            </w:r>
          </w:p>
        </w:tc>
      </w:tr>
      <w:tr w14:paraId="238C7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4BA5CA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5A160A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41FA8D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32E50E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62BEA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4FC15EE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236.964</w:t>
            </w:r>
          </w:p>
        </w:tc>
      </w:tr>
      <w:tr w14:paraId="6E98A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5AEDA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1F7F74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14AFE9C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64BBBB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4B94D7B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FB26D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338.52</w:t>
            </w:r>
          </w:p>
        </w:tc>
      </w:tr>
      <w:tr w14:paraId="05879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0A1E6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392615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730A228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7859725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CCF174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8B12B6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473.928</w:t>
            </w:r>
          </w:p>
        </w:tc>
      </w:tr>
      <w:tr w14:paraId="1BA15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B783A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76FD68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AF0C3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6318B67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DAA917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8A0C2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609.336</w:t>
            </w:r>
          </w:p>
        </w:tc>
      </w:tr>
      <w:tr w14:paraId="2843E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3B3FF2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w:t>
            </w:r>
          </w:p>
        </w:tc>
        <w:tc>
          <w:tcPr>
            <w:tcW w:w="966" w:type="dxa"/>
            <w:vMerge w:val="restart"/>
            <w:tcBorders>
              <w:tl2br w:val="nil"/>
              <w:tr2bl w:val="nil"/>
            </w:tcBorders>
            <w:noWrap/>
            <w:vAlign w:val="center"/>
          </w:tcPr>
          <w:p w14:paraId="4E38263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雨、污水管（立管）安装</w:t>
            </w:r>
          </w:p>
        </w:tc>
        <w:tc>
          <w:tcPr>
            <w:tcW w:w="1801" w:type="dxa"/>
            <w:tcBorders>
              <w:tl2br w:val="nil"/>
              <w:tr2bl w:val="nil"/>
            </w:tcBorders>
            <w:noWrap/>
            <w:vAlign w:val="center"/>
          </w:tcPr>
          <w:p w14:paraId="611D065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DN50</w:t>
            </w:r>
          </w:p>
        </w:tc>
        <w:tc>
          <w:tcPr>
            <w:tcW w:w="2103" w:type="dxa"/>
            <w:vMerge w:val="restart"/>
            <w:tcBorders>
              <w:tl2br w:val="nil"/>
              <w:tr2bl w:val="nil"/>
            </w:tcBorders>
            <w:noWrap/>
            <w:vAlign w:val="center"/>
          </w:tcPr>
          <w:p w14:paraId="13B3808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UPVC排水管，粘接，管件安装，抱箍，立管安装措施费</w:t>
            </w:r>
          </w:p>
        </w:tc>
        <w:tc>
          <w:tcPr>
            <w:tcW w:w="1500" w:type="dxa"/>
            <w:gridSpan w:val="2"/>
            <w:tcBorders>
              <w:tl2br w:val="nil"/>
              <w:tr2bl w:val="nil"/>
            </w:tcBorders>
            <w:noWrap/>
            <w:vAlign w:val="center"/>
          </w:tcPr>
          <w:p w14:paraId="7B1F85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2B303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73.39</w:t>
            </w:r>
          </w:p>
        </w:tc>
      </w:tr>
      <w:tr w14:paraId="578E9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F0F62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7DAD05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F643A3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DN75</w:t>
            </w:r>
          </w:p>
        </w:tc>
        <w:tc>
          <w:tcPr>
            <w:tcW w:w="2103" w:type="dxa"/>
            <w:vMerge w:val="continue"/>
            <w:tcBorders>
              <w:tl2br w:val="nil"/>
              <w:tr2bl w:val="nil"/>
            </w:tcBorders>
            <w:noWrap/>
            <w:vAlign w:val="center"/>
          </w:tcPr>
          <w:p w14:paraId="312722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8A7C8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B2DA4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83.36</w:t>
            </w:r>
          </w:p>
        </w:tc>
      </w:tr>
      <w:tr w14:paraId="1F6CE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1868DC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7899F90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E1D97D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DN110</w:t>
            </w:r>
          </w:p>
        </w:tc>
        <w:tc>
          <w:tcPr>
            <w:tcW w:w="2103" w:type="dxa"/>
            <w:vMerge w:val="continue"/>
            <w:tcBorders>
              <w:tl2br w:val="nil"/>
              <w:tr2bl w:val="nil"/>
            </w:tcBorders>
            <w:noWrap/>
            <w:vAlign w:val="center"/>
          </w:tcPr>
          <w:p w14:paraId="4A54DB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2198E19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928F3D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99.51</w:t>
            </w:r>
          </w:p>
        </w:tc>
      </w:tr>
      <w:tr w14:paraId="134C4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3C98CFF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0A92E8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787721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DN160</w:t>
            </w:r>
          </w:p>
        </w:tc>
        <w:tc>
          <w:tcPr>
            <w:tcW w:w="2103" w:type="dxa"/>
            <w:vMerge w:val="continue"/>
            <w:tcBorders>
              <w:tl2br w:val="nil"/>
              <w:tr2bl w:val="nil"/>
            </w:tcBorders>
            <w:noWrap/>
            <w:vAlign w:val="center"/>
          </w:tcPr>
          <w:p w14:paraId="56FECA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ECDBF6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6DEE2D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132.47</w:t>
            </w:r>
          </w:p>
        </w:tc>
      </w:tr>
      <w:tr w14:paraId="5A61A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712836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F0CD02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7C3AAE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DN160</w:t>
            </w:r>
          </w:p>
        </w:tc>
        <w:tc>
          <w:tcPr>
            <w:tcW w:w="2103" w:type="dxa"/>
            <w:vMerge w:val="continue"/>
            <w:tcBorders>
              <w:tl2br w:val="nil"/>
              <w:tr2bl w:val="nil"/>
            </w:tcBorders>
            <w:noWrap/>
            <w:vAlign w:val="center"/>
          </w:tcPr>
          <w:p w14:paraId="4EB5C04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3743998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89B3C2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154.97</w:t>
            </w:r>
          </w:p>
        </w:tc>
      </w:tr>
      <w:tr w14:paraId="508C8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tcBorders>
              <w:tl2br w:val="nil"/>
              <w:tr2bl w:val="nil"/>
            </w:tcBorders>
            <w:noWrap/>
            <w:vAlign w:val="center"/>
          </w:tcPr>
          <w:p w14:paraId="43DBD47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w:t>
            </w:r>
          </w:p>
        </w:tc>
        <w:tc>
          <w:tcPr>
            <w:tcW w:w="2767" w:type="dxa"/>
            <w:gridSpan w:val="2"/>
            <w:tcBorders>
              <w:tl2br w:val="nil"/>
              <w:tr2bl w:val="nil"/>
            </w:tcBorders>
            <w:noWrap/>
            <w:vAlign w:val="center"/>
          </w:tcPr>
          <w:p w14:paraId="322C97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金属支架制作、安装</w:t>
            </w:r>
          </w:p>
        </w:tc>
        <w:tc>
          <w:tcPr>
            <w:tcW w:w="2103" w:type="dxa"/>
            <w:tcBorders>
              <w:tl2br w:val="nil"/>
              <w:tr2bl w:val="nil"/>
            </w:tcBorders>
            <w:noWrap/>
            <w:vAlign w:val="center"/>
          </w:tcPr>
          <w:p w14:paraId="38E435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热镀锌角钢、抱箍，螺栓包含在单价内</w:t>
            </w:r>
          </w:p>
        </w:tc>
        <w:tc>
          <w:tcPr>
            <w:tcW w:w="1500" w:type="dxa"/>
            <w:gridSpan w:val="2"/>
            <w:tcBorders>
              <w:tl2br w:val="nil"/>
              <w:tr2bl w:val="nil"/>
            </w:tcBorders>
            <w:noWrap/>
            <w:vAlign w:val="center"/>
          </w:tcPr>
          <w:p w14:paraId="2583E23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kg</w:t>
            </w:r>
          </w:p>
        </w:tc>
        <w:tc>
          <w:tcPr>
            <w:tcW w:w="1761" w:type="dxa"/>
            <w:tcBorders>
              <w:tl2br w:val="nil"/>
              <w:tr2bl w:val="nil"/>
            </w:tcBorders>
            <w:noWrap w:val="0"/>
            <w:vAlign w:val="center"/>
          </w:tcPr>
          <w:p w14:paraId="5B65053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22.5</w:t>
            </w:r>
          </w:p>
        </w:tc>
      </w:tr>
      <w:tr w14:paraId="6E19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2" w:hRule="exact"/>
          <w:jc w:val="center"/>
        </w:trPr>
        <w:tc>
          <w:tcPr>
            <w:tcW w:w="767" w:type="dxa"/>
            <w:gridSpan w:val="2"/>
            <w:tcBorders>
              <w:tl2br w:val="nil"/>
              <w:tr2bl w:val="nil"/>
            </w:tcBorders>
            <w:noWrap/>
            <w:vAlign w:val="center"/>
          </w:tcPr>
          <w:p w14:paraId="562E0C1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c>
          <w:tcPr>
            <w:tcW w:w="2767" w:type="dxa"/>
            <w:gridSpan w:val="2"/>
            <w:tcBorders>
              <w:tl2br w:val="nil"/>
              <w:tr2bl w:val="nil"/>
            </w:tcBorders>
            <w:noWrap/>
            <w:vAlign w:val="center"/>
          </w:tcPr>
          <w:p w14:paraId="56E0BC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化粪池修复</w:t>
            </w:r>
          </w:p>
        </w:tc>
        <w:tc>
          <w:tcPr>
            <w:tcW w:w="2103" w:type="dxa"/>
            <w:tcBorders>
              <w:tl2br w:val="nil"/>
              <w:tr2bl w:val="nil"/>
            </w:tcBorders>
            <w:noWrap/>
            <w:vAlign w:val="center"/>
          </w:tcPr>
          <w:p w14:paraId="546F33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化粪池修复，高度综合考虑，M10水泥砂浆混凝土实心砖1砖厚，20mm厚1:2水泥砂浆抹面，φ400钢纤维砼井盖座，地面拆除修复，人工开挖回填，余方弃置</w:t>
            </w:r>
          </w:p>
        </w:tc>
        <w:tc>
          <w:tcPr>
            <w:tcW w:w="1500" w:type="dxa"/>
            <w:gridSpan w:val="2"/>
            <w:tcBorders>
              <w:tl2br w:val="nil"/>
              <w:tr2bl w:val="nil"/>
            </w:tcBorders>
            <w:noWrap/>
            <w:vAlign w:val="center"/>
          </w:tcPr>
          <w:p w14:paraId="57AA6ED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61" w:type="dxa"/>
            <w:tcBorders>
              <w:tl2br w:val="nil"/>
              <w:tr2bl w:val="nil"/>
            </w:tcBorders>
            <w:noWrap w:val="0"/>
            <w:vAlign w:val="center"/>
          </w:tcPr>
          <w:p w14:paraId="7050C5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784.31</w:t>
            </w:r>
          </w:p>
        </w:tc>
      </w:tr>
      <w:tr w14:paraId="4DF57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0DE2BD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w:t>
            </w:r>
          </w:p>
        </w:tc>
        <w:tc>
          <w:tcPr>
            <w:tcW w:w="966" w:type="dxa"/>
            <w:vMerge w:val="restart"/>
            <w:tcBorders>
              <w:tl2br w:val="nil"/>
              <w:tr2bl w:val="nil"/>
            </w:tcBorders>
            <w:noWrap/>
            <w:vAlign w:val="center"/>
          </w:tcPr>
          <w:p w14:paraId="79BB2DF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圆管涵清淤（直径1.5米）</w:t>
            </w:r>
          </w:p>
        </w:tc>
        <w:tc>
          <w:tcPr>
            <w:tcW w:w="1801" w:type="dxa"/>
            <w:tcBorders>
              <w:tl2br w:val="nil"/>
              <w:tr2bl w:val="nil"/>
            </w:tcBorders>
            <w:noWrap/>
            <w:vAlign w:val="center"/>
          </w:tcPr>
          <w:p w14:paraId="54EB788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3CBF86C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7F650B0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403A1A2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64.74</w:t>
            </w:r>
          </w:p>
        </w:tc>
      </w:tr>
      <w:tr w14:paraId="1C068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F918C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47752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1B610F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75F99C0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0A6B087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54EDF6E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99.52</w:t>
            </w:r>
          </w:p>
        </w:tc>
      </w:tr>
      <w:tr w14:paraId="6A625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7055575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0E4766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0E21C6D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66D127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7541031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54AA0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172.65</w:t>
            </w:r>
          </w:p>
        </w:tc>
      </w:tr>
      <w:tr w14:paraId="744BA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6C1D7A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97206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6F8DA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7040C0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47B5088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AEA76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280.80</w:t>
            </w:r>
          </w:p>
        </w:tc>
      </w:tr>
      <w:tr w14:paraId="3F85E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F39822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26AF34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3CB558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643E04B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E11AE1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2D2C8D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329.04</w:t>
            </w:r>
          </w:p>
        </w:tc>
      </w:tr>
      <w:tr w14:paraId="6C66C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restart"/>
            <w:tcBorders>
              <w:tl2br w:val="nil"/>
              <w:tr2bl w:val="nil"/>
            </w:tcBorders>
            <w:noWrap/>
            <w:vAlign w:val="center"/>
          </w:tcPr>
          <w:p w14:paraId="6CC8566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w:t>
            </w:r>
          </w:p>
        </w:tc>
        <w:tc>
          <w:tcPr>
            <w:tcW w:w="966" w:type="dxa"/>
            <w:vMerge w:val="restart"/>
            <w:tcBorders>
              <w:tl2br w:val="nil"/>
              <w:tr2bl w:val="nil"/>
            </w:tcBorders>
            <w:noWrap/>
            <w:vAlign w:val="center"/>
          </w:tcPr>
          <w:p w14:paraId="30B6268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圆管涵清淤（直径1.8米）</w:t>
            </w:r>
          </w:p>
        </w:tc>
        <w:tc>
          <w:tcPr>
            <w:tcW w:w="1801" w:type="dxa"/>
            <w:tcBorders>
              <w:tl2br w:val="nil"/>
              <w:tr2bl w:val="nil"/>
            </w:tcBorders>
            <w:noWrap/>
            <w:vAlign w:val="center"/>
          </w:tcPr>
          <w:p w14:paraId="5D022B9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103" w:type="dxa"/>
            <w:vMerge w:val="restart"/>
            <w:tcBorders>
              <w:tl2br w:val="nil"/>
              <w:tr2bl w:val="nil"/>
            </w:tcBorders>
            <w:noWrap/>
            <w:vAlign w:val="center"/>
          </w:tcPr>
          <w:p w14:paraId="3297B3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1500" w:type="dxa"/>
            <w:gridSpan w:val="2"/>
            <w:tcBorders>
              <w:tl2br w:val="nil"/>
              <w:tr2bl w:val="nil"/>
            </w:tcBorders>
            <w:noWrap/>
            <w:vAlign w:val="center"/>
          </w:tcPr>
          <w:p w14:paraId="071C67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8C513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71.60</w:t>
            </w:r>
          </w:p>
        </w:tc>
      </w:tr>
      <w:tr w14:paraId="37BF6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07F32B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10EA48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7080F6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103" w:type="dxa"/>
            <w:vMerge w:val="continue"/>
            <w:tcBorders>
              <w:tl2br w:val="nil"/>
              <w:tr2bl w:val="nil"/>
            </w:tcBorders>
            <w:noWrap/>
            <w:vAlign w:val="center"/>
          </w:tcPr>
          <w:p w14:paraId="5A10B0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66090D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163A77D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106.63</w:t>
            </w:r>
          </w:p>
        </w:tc>
      </w:tr>
      <w:tr w14:paraId="0783F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781B6C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C9F63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6E75CA0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103" w:type="dxa"/>
            <w:vMerge w:val="continue"/>
            <w:tcBorders>
              <w:tl2br w:val="nil"/>
              <w:tr2bl w:val="nil"/>
            </w:tcBorders>
            <w:noWrap/>
            <w:vAlign w:val="center"/>
          </w:tcPr>
          <w:p w14:paraId="356EA0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60A78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0E9BC63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194.99</w:t>
            </w:r>
          </w:p>
        </w:tc>
      </w:tr>
      <w:tr w14:paraId="73422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10EE27B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41B708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5088B6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103" w:type="dxa"/>
            <w:vMerge w:val="continue"/>
            <w:tcBorders>
              <w:tl2br w:val="nil"/>
              <w:tr2bl w:val="nil"/>
            </w:tcBorders>
            <w:noWrap/>
            <w:vAlign w:val="center"/>
          </w:tcPr>
          <w:p w14:paraId="48AAF50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233DF8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34FA53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307.11</w:t>
            </w:r>
          </w:p>
        </w:tc>
      </w:tr>
      <w:tr w14:paraId="6A430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67" w:type="dxa"/>
            <w:gridSpan w:val="2"/>
            <w:vMerge w:val="continue"/>
            <w:tcBorders>
              <w:tl2br w:val="nil"/>
              <w:tr2bl w:val="nil"/>
            </w:tcBorders>
            <w:noWrap/>
            <w:vAlign w:val="center"/>
          </w:tcPr>
          <w:p w14:paraId="2D44B6F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66" w:type="dxa"/>
            <w:vMerge w:val="continue"/>
            <w:tcBorders>
              <w:tl2br w:val="nil"/>
              <w:tr2bl w:val="nil"/>
            </w:tcBorders>
            <w:noWrap/>
            <w:vAlign w:val="center"/>
          </w:tcPr>
          <w:p w14:paraId="022D9EF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801" w:type="dxa"/>
            <w:tcBorders>
              <w:tl2br w:val="nil"/>
              <w:tr2bl w:val="nil"/>
            </w:tcBorders>
            <w:noWrap/>
            <w:vAlign w:val="center"/>
          </w:tcPr>
          <w:p w14:paraId="19058B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103" w:type="dxa"/>
            <w:vMerge w:val="continue"/>
            <w:tcBorders>
              <w:tl2br w:val="nil"/>
              <w:tr2bl w:val="nil"/>
            </w:tcBorders>
            <w:noWrap/>
            <w:vAlign w:val="center"/>
          </w:tcPr>
          <w:p w14:paraId="3268D02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500" w:type="dxa"/>
            <w:gridSpan w:val="2"/>
            <w:tcBorders>
              <w:tl2br w:val="nil"/>
              <w:tr2bl w:val="nil"/>
            </w:tcBorders>
            <w:noWrap/>
            <w:vAlign w:val="center"/>
          </w:tcPr>
          <w:p w14:paraId="5D1722B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61" w:type="dxa"/>
            <w:tcBorders>
              <w:tl2br w:val="nil"/>
              <w:tr2bl w:val="nil"/>
            </w:tcBorders>
            <w:noWrap w:val="0"/>
            <w:vAlign w:val="center"/>
          </w:tcPr>
          <w:p w14:paraId="61539A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430.50</w:t>
            </w:r>
          </w:p>
        </w:tc>
      </w:tr>
    </w:tbl>
    <w:p w14:paraId="261B7B74">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五、结算方式：</w:t>
      </w:r>
    </w:p>
    <w:p w14:paraId="052B74CE">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exact"/>
        <w:ind w:firstLine="420" w:firstLineChars="200"/>
        <w:jc w:val="left"/>
        <w:rPr>
          <w:rFonts w:hint="eastAsia" w:ascii="宋体" w:hAnsi="宋体" w:eastAsia="宋体" w:cs="宋体"/>
          <w:color w:val="000000"/>
          <w:sz w:val="21"/>
          <w:szCs w:val="21"/>
          <w:highlight w:val="none"/>
          <w:u w:val="single"/>
        </w:rPr>
      </w:pPr>
      <w:r>
        <w:rPr>
          <w:rFonts w:hint="eastAsia" w:ascii="宋体" w:hAnsi="宋体" w:eastAsia="宋体" w:cs="宋体"/>
          <w:color w:val="000000"/>
          <w:kern w:val="0"/>
          <w:sz w:val="21"/>
          <w:szCs w:val="21"/>
          <w:highlight w:val="none"/>
        </w:rPr>
        <w:t>1</w:t>
      </w:r>
      <w:r>
        <w:rPr>
          <w:rFonts w:hint="eastAsia" w:ascii="宋体" w:hAnsi="宋体" w:eastAsia="宋体" w:cs="宋体"/>
          <w:color w:val="000000"/>
          <w:kern w:val="0"/>
          <w:sz w:val="21"/>
          <w:szCs w:val="21"/>
          <w:highlight w:val="none"/>
          <w:lang w:val="en-US" w:eastAsia="zh-CN"/>
        </w:rPr>
        <w:t>.</w:t>
      </w:r>
      <w:r>
        <w:rPr>
          <w:rFonts w:hint="eastAsia" w:ascii="宋体" w:hAnsi="宋体" w:eastAsia="宋体" w:cs="宋体"/>
          <w:b/>
          <w:bCs/>
          <w:color w:val="000000"/>
          <w:kern w:val="0"/>
          <w:sz w:val="21"/>
          <w:szCs w:val="21"/>
          <w:highlight w:val="none"/>
          <w:u w:val="none"/>
        </w:rPr>
        <w:t>本</w:t>
      </w:r>
      <w:r>
        <w:rPr>
          <w:rFonts w:hint="eastAsia" w:ascii="宋体" w:hAnsi="宋体" w:eastAsia="宋体" w:cs="宋体"/>
          <w:b/>
          <w:bCs/>
          <w:color w:val="000000"/>
          <w:kern w:val="0"/>
          <w:sz w:val="21"/>
          <w:szCs w:val="21"/>
          <w:highlight w:val="none"/>
          <w:u w:val="none"/>
          <w:lang w:eastAsia="zh-CN"/>
        </w:rPr>
        <w:t>项目的中标结算率为中标人的投标</w:t>
      </w:r>
      <w:r>
        <w:rPr>
          <w:rFonts w:hint="eastAsia" w:ascii="宋体" w:hAnsi="宋体" w:eastAsia="宋体" w:cs="宋体"/>
          <w:b/>
          <w:bCs/>
          <w:color w:val="000000"/>
          <w:sz w:val="21"/>
          <w:szCs w:val="21"/>
          <w:highlight w:val="none"/>
          <w:u w:val="none"/>
        </w:rPr>
        <w:t>结算率</w:t>
      </w:r>
      <w:r>
        <w:rPr>
          <w:rFonts w:hint="eastAsia" w:ascii="宋体" w:hAnsi="宋体" w:eastAsia="宋体" w:cs="宋体"/>
          <w:b/>
          <w:bCs/>
          <w:color w:val="000000"/>
          <w:sz w:val="21"/>
          <w:szCs w:val="21"/>
          <w:highlight w:val="none"/>
        </w:rPr>
        <w:t>。</w:t>
      </w:r>
    </w:p>
    <w:p w14:paraId="1EE49AC9">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rPr>
      </w:pPr>
      <w:r>
        <w:rPr>
          <w:rFonts w:hint="eastAsia" w:ascii="宋体" w:hAnsi="宋体" w:eastAsia="宋体" w:cs="宋体"/>
          <w:b w:val="0"/>
          <w:bCs w:val="0"/>
          <w:color w:val="000000"/>
          <w:sz w:val="21"/>
          <w:szCs w:val="21"/>
          <w:highlight w:val="none"/>
        </w:rPr>
        <w:t>2</w:t>
      </w:r>
      <w:r>
        <w:rPr>
          <w:rFonts w:hint="eastAsia" w:ascii="宋体" w:hAnsi="宋体" w:eastAsia="宋体" w:cs="宋体"/>
          <w:b w:val="0"/>
          <w:bCs w:val="0"/>
          <w:color w:val="000000"/>
          <w:sz w:val="21"/>
          <w:szCs w:val="21"/>
          <w:highlight w:val="none"/>
          <w:lang w:val="en-US" w:eastAsia="zh-CN"/>
        </w:rPr>
        <w:t>.</w:t>
      </w:r>
      <w:r>
        <w:rPr>
          <w:rFonts w:hint="eastAsia" w:ascii="宋体" w:hAnsi="宋体" w:eastAsia="宋体" w:cs="宋体"/>
          <w:b w:val="0"/>
          <w:bCs w:val="0"/>
          <w:color w:val="000000"/>
          <w:sz w:val="21"/>
          <w:szCs w:val="21"/>
          <w:highlight w:val="none"/>
        </w:rPr>
        <w:t>结算方式：</w:t>
      </w:r>
      <w:r>
        <w:rPr>
          <w:rFonts w:hint="eastAsia" w:ascii="宋体" w:hAnsi="宋体" w:eastAsia="宋体" w:cs="宋体"/>
          <w:b w:val="0"/>
          <w:bCs w:val="0"/>
          <w:color w:val="000000"/>
          <w:kern w:val="0"/>
          <w:sz w:val="21"/>
          <w:szCs w:val="21"/>
          <w:highlight w:val="none"/>
        </w:rPr>
        <w:t>招标人</w:t>
      </w:r>
      <w:r>
        <w:rPr>
          <w:rFonts w:hint="eastAsia" w:ascii="宋体" w:hAnsi="宋体" w:eastAsia="宋体" w:cs="宋体"/>
          <w:b w:val="0"/>
          <w:bCs w:val="0"/>
          <w:color w:val="000000"/>
          <w:kern w:val="0"/>
          <w:sz w:val="21"/>
          <w:szCs w:val="21"/>
          <w:highlight w:val="none"/>
          <w:lang w:eastAsia="zh-CN"/>
        </w:rPr>
        <w:t>提供的</w:t>
      </w:r>
      <w:r>
        <w:rPr>
          <w:rFonts w:hint="eastAsia" w:ascii="宋体" w:hAnsi="宋体" w:eastAsia="宋体" w:cs="宋体"/>
          <w:b w:val="0"/>
          <w:bCs w:val="0"/>
          <w:color w:val="000000"/>
          <w:kern w:val="0"/>
          <w:sz w:val="21"/>
          <w:szCs w:val="21"/>
          <w:highlight w:val="none"/>
        </w:rPr>
        <w:t>各个项目</w:t>
      </w:r>
      <w:r>
        <w:rPr>
          <w:rFonts w:hint="eastAsia" w:ascii="宋体" w:hAnsi="宋体" w:eastAsia="宋体" w:cs="宋体"/>
          <w:b w:val="0"/>
          <w:bCs w:val="0"/>
          <w:color w:val="000000"/>
          <w:kern w:val="0"/>
          <w:sz w:val="21"/>
          <w:szCs w:val="21"/>
          <w:highlight w:val="none"/>
          <w:lang w:eastAsia="zh-CN"/>
        </w:rPr>
        <w:t>预算价（</w:t>
      </w:r>
      <w:r>
        <w:rPr>
          <w:rFonts w:hint="eastAsia" w:ascii="宋体" w:hAnsi="宋体" w:eastAsia="宋体" w:cs="宋体"/>
          <w:b w:val="0"/>
          <w:bCs w:val="0"/>
          <w:color w:val="000000"/>
          <w:kern w:val="0"/>
          <w:sz w:val="21"/>
          <w:szCs w:val="21"/>
          <w:highlight w:val="none"/>
        </w:rPr>
        <w:t>全费用综合单价</w:t>
      </w:r>
      <w:r>
        <w:rPr>
          <w:rFonts w:hint="eastAsia" w:ascii="宋体" w:hAnsi="宋体" w:eastAsia="宋体" w:cs="宋体"/>
          <w:b w:val="0"/>
          <w:bCs w:val="0"/>
          <w:color w:val="000000"/>
          <w:kern w:val="0"/>
          <w:sz w:val="21"/>
          <w:szCs w:val="21"/>
          <w:highlight w:val="none"/>
          <w:lang w:eastAsia="zh-CN"/>
        </w:rPr>
        <w:t>）</w:t>
      </w:r>
      <w:r>
        <w:rPr>
          <w:rFonts w:hint="eastAsia" w:ascii="宋体" w:hAnsi="宋体" w:eastAsia="宋体" w:cs="宋体"/>
          <w:b w:val="0"/>
          <w:bCs w:val="0"/>
          <w:color w:val="000000"/>
          <w:kern w:val="0"/>
          <w:sz w:val="21"/>
          <w:szCs w:val="21"/>
          <w:highlight w:val="none"/>
        </w:rPr>
        <w:t>及</w:t>
      </w:r>
      <w:r>
        <w:rPr>
          <w:rFonts w:hint="eastAsia" w:ascii="宋体" w:hAnsi="宋体" w:eastAsia="宋体" w:cs="宋体"/>
          <w:b w:val="0"/>
          <w:bCs w:val="0"/>
          <w:color w:val="000000"/>
          <w:kern w:val="0"/>
          <w:sz w:val="21"/>
          <w:szCs w:val="21"/>
          <w:highlight w:val="none"/>
          <w:lang w:eastAsia="zh-CN"/>
        </w:rPr>
        <w:t>中标</w:t>
      </w:r>
      <w:r>
        <w:rPr>
          <w:rFonts w:hint="eastAsia" w:ascii="宋体" w:hAnsi="宋体" w:eastAsia="宋体" w:cs="宋体"/>
          <w:b w:val="0"/>
          <w:bCs w:val="0"/>
          <w:color w:val="000000"/>
          <w:kern w:val="0"/>
          <w:sz w:val="21"/>
          <w:szCs w:val="21"/>
          <w:highlight w:val="none"/>
        </w:rPr>
        <w:t>结算率一次性包定</w:t>
      </w:r>
      <w:r>
        <w:rPr>
          <w:rFonts w:hint="eastAsia" w:ascii="宋体" w:hAnsi="宋体" w:eastAsia="宋体" w:cs="宋体"/>
          <w:b w:val="0"/>
          <w:bCs w:val="0"/>
          <w:color w:val="000000"/>
          <w:kern w:val="0"/>
          <w:sz w:val="21"/>
          <w:szCs w:val="21"/>
          <w:highlight w:val="none"/>
          <w:lang w:eastAsia="zh-CN"/>
        </w:rPr>
        <w:t>；</w:t>
      </w:r>
      <w:r>
        <w:rPr>
          <w:rFonts w:hint="eastAsia" w:ascii="宋体" w:hAnsi="宋体" w:eastAsia="宋体" w:cs="宋体"/>
          <w:color w:val="auto"/>
          <w:sz w:val="21"/>
          <w:szCs w:val="21"/>
          <w:highlight w:val="none"/>
          <w:lang w:val="en-US" w:eastAsia="zh-CN"/>
        </w:rPr>
        <w:t>工程量凭承包人盖章提交申请，招标人签证确认，按实结算；实际结算价=相应</w:t>
      </w:r>
      <w:r>
        <w:rPr>
          <w:rFonts w:hint="eastAsia" w:ascii="宋体" w:hAnsi="宋体" w:eastAsia="宋体" w:cs="宋体"/>
          <w:b w:val="0"/>
          <w:bCs w:val="0"/>
          <w:color w:val="000000"/>
          <w:kern w:val="0"/>
          <w:sz w:val="21"/>
          <w:szCs w:val="21"/>
          <w:highlight w:val="none"/>
        </w:rPr>
        <w:t>全费用综合单价</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000000"/>
          <w:kern w:val="0"/>
          <w:sz w:val="21"/>
          <w:szCs w:val="21"/>
          <w:highlight w:val="none"/>
          <w:lang w:eastAsia="zh-CN"/>
        </w:rPr>
        <w:t>中标</w:t>
      </w:r>
      <w:r>
        <w:rPr>
          <w:rFonts w:hint="eastAsia" w:ascii="宋体" w:hAnsi="宋体" w:eastAsia="宋体" w:cs="宋体"/>
          <w:b w:val="0"/>
          <w:bCs w:val="0"/>
          <w:color w:val="000000"/>
          <w:kern w:val="0"/>
          <w:sz w:val="21"/>
          <w:szCs w:val="21"/>
          <w:highlight w:val="none"/>
        </w:rPr>
        <w:t>结算率</w:t>
      </w:r>
      <w:r>
        <w:rPr>
          <w:rFonts w:hint="eastAsia" w:ascii="宋体" w:hAnsi="宋体" w:eastAsia="宋体" w:cs="宋体"/>
          <w:color w:val="auto"/>
          <w:sz w:val="21"/>
          <w:szCs w:val="21"/>
          <w:highlight w:val="none"/>
          <w:lang w:val="en-US" w:eastAsia="zh-CN"/>
        </w:rPr>
        <w:t>×经业主确认实际完成工程量</w:t>
      </w:r>
      <w:r>
        <w:rPr>
          <w:rFonts w:hint="eastAsia" w:ascii="宋体" w:hAnsi="宋体" w:eastAsia="宋体" w:cs="宋体"/>
          <w:b w:val="0"/>
          <w:bCs w:val="0"/>
          <w:color w:val="000000"/>
          <w:kern w:val="0"/>
          <w:sz w:val="21"/>
          <w:szCs w:val="21"/>
          <w:highlight w:val="none"/>
        </w:rPr>
        <w:t>。</w:t>
      </w:r>
    </w:p>
    <w:p w14:paraId="03DD47A9">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color w:val="000000"/>
          <w:sz w:val="21"/>
          <w:szCs w:val="21"/>
          <w:highlight w:val="none"/>
          <w:lang w:val="en-US" w:eastAsia="zh-CN"/>
        </w:rPr>
      </w:pPr>
      <w:r>
        <w:rPr>
          <w:rFonts w:hint="eastAsia" w:ascii="宋体" w:hAnsi="宋体" w:eastAsia="宋体" w:cs="宋体"/>
          <w:b w:val="0"/>
          <w:bCs/>
          <w:color w:val="000000"/>
          <w:sz w:val="21"/>
          <w:szCs w:val="21"/>
          <w:highlight w:val="none"/>
          <w:lang w:val="en-US" w:eastAsia="zh-CN"/>
        </w:rPr>
        <w:t>施工内容属于雨污管网日常养护和疏通项目还是应急项目的判定，以发包人确认为准。</w:t>
      </w:r>
    </w:p>
    <w:p w14:paraId="12E1DD1E">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b w:val="0"/>
          <w:bCs w:val="0"/>
          <w:color w:val="000000"/>
          <w:kern w:val="0"/>
          <w:sz w:val="21"/>
          <w:szCs w:val="21"/>
          <w:highlight w:val="none"/>
          <w:lang w:val="en-US" w:eastAsia="zh-CN"/>
        </w:rPr>
        <w:t>3.</w:t>
      </w:r>
      <w:r>
        <w:rPr>
          <w:rFonts w:hint="eastAsia" w:ascii="宋体" w:hAnsi="宋体" w:eastAsia="宋体" w:cs="宋体"/>
          <w:color w:val="auto"/>
          <w:sz w:val="21"/>
          <w:szCs w:val="21"/>
          <w:highlight w:val="none"/>
          <w:lang w:val="zh-CN" w:eastAsia="zh-CN"/>
        </w:rPr>
        <w:t>投标报价为完成本项目服务及要求所包含的所有费用，投标报价包括日常巡视检查、管道维护、疏通和清淤、管道必要的封堵及拆除、雨水井、检查井、雨水口的淤泥清捞，河道应急处理、应急抢险、养护服务过程中应急突发事件、环保、交通、治安等可能发生的费用，还包括上述所需的技术服务费、人工费、一般材料费和机械费、措施费等，以及设施配套费、备品备件及物资费、办公场所使用费、专用车辆仪器工具使用费（含折旧费、油料费、保险费、人工费、租赁费等）、劳保和安全用品使用费、经营管理费、税费、利润、招标代理费等一切费用；政策性文件规定及合同包含的所有风险、责任等合同中明示或暗示的所有一般风险、责任和义务等一切由招标人支付的各项费用。报价凡未列入的，将被认为均已包含在报价中。招标人将不再支付任何费用。</w:t>
      </w:r>
    </w:p>
    <w:p w14:paraId="35328F5A">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4.涉及管道需土方开挖修复的，优先按信息价计算，如遇无信息价的，则按市场询价进行结算。</w:t>
      </w:r>
    </w:p>
    <w:p w14:paraId="47C1FF5C">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淤泥和建筑垃圾外运由中标单位负责，运距按10公里一次性包死，结算时不再另行调整。费用按照《浙江省建设工程计价规则》（2018版）及浙江省有关补充规定、《浙江省市政工程预算定额》（2018版）进行计价。</w:t>
      </w:r>
    </w:p>
    <w:p w14:paraId="7B3263CB">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本次招标所需的服务项目为业主方近期需求，若涉及其它服务项目的，中标人需配合招标人要求，相关价格可由中标人提交市场（优先参考污水零直排工程价格和蓬街镇小额零星工程结算方法），经招标人审核签证确认后作为结算依据。</w:t>
      </w:r>
    </w:p>
    <w:p w14:paraId="105D4197">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rPr>
      </w:pPr>
      <w:r>
        <w:rPr>
          <w:rFonts w:hint="eastAsia" w:ascii="宋体" w:hAnsi="宋体" w:eastAsia="宋体" w:cs="宋体"/>
          <w:b w:val="0"/>
          <w:bCs w:val="0"/>
          <w:color w:val="000000"/>
          <w:kern w:val="0"/>
          <w:sz w:val="21"/>
          <w:szCs w:val="21"/>
          <w:highlight w:val="none"/>
          <w:lang w:val="en-US" w:eastAsia="zh-CN"/>
        </w:rPr>
        <w:t>7.</w:t>
      </w:r>
      <w:r>
        <w:rPr>
          <w:rFonts w:hint="eastAsia" w:ascii="宋体" w:hAnsi="宋体" w:eastAsia="宋体" w:cs="宋体"/>
          <w:b w:val="0"/>
          <w:bCs w:val="0"/>
          <w:color w:val="000000"/>
          <w:kern w:val="0"/>
          <w:sz w:val="21"/>
          <w:szCs w:val="21"/>
          <w:highlight w:val="none"/>
        </w:rPr>
        <w:t>付款方式：</w:t>
      </w:r>
    </w:p>
    <w:p w14:paraId="13A76BDC">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（一）合同生效以及具备实施条件后七个工作日支付签约合同价的40%作为预付款，中标人并提供40%预付款保函，其余每季度结算一次并扣回预付款。于次月15日前支付上季度养护费。</w:t>
      </w:r>
    </w:p>
    <w:p w14:paraId="787F7889">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（二）每季度支付金额：是指养护季度内的费用，在同一支付周期内双方因违约等产生的违约金、扣款及考核奖惩金，在次月结算时扣减或奖惩。</w:t>
      </w:r>
    </w:p>
    <w:p w14:paraId="0D1C37CB">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lang w:eastAsia="zh-CN"/>
        </w:rPr>
        <w:t>六、</w:t>
      </w:r>
      <w:r>
        <w:rPr>
          <w:rFonts w:hint="eastAsia" w:ascii="宋体" w:hAnsi="宋体" w:eastAsia="宋体" w:cs="宋体"/>
          <w:b/>
          <w:bCs/>
          <w:color w:val="000000"/>
          <w:sz w:val="21"/>
          <w:szCs w:val="21"/>
          <w:highlight w:val="none"/>
        </w:rPr>
        <w:t>质量、安全与验收</w:t>
      </w:r>
    </w:p>
    <w:p w14:paraId="4EC6B502">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1.工程的质量目标是保证在工期内所承包的本项目范围内的</w:t>
      </w:r>
      <w:r>
        <w:rPr>
          <w:rFonts w:hint="eastAsia" w:ascii="宋体" w:hAnsi="宋体" w:eastAsia="宋体" w:cs="宋体"/>
          <w:color w:val="000000"/>
          <w:sz w:val="21"/>
          <w:szCs w:val="21"/>
          <w:highlight w:val="none"/>
          <w:lang w:val="en-US" w:eastAsia="zh-Hans"/>
        </w:rPr>
        <w:t>管道</w:t>
      </w:r>
      <w:r>
        <w:rPr>
          <w:rFonts w:hint="eastAsia" w:ascii="宋体" w:hAnsi="宋体" w:eastAsia="宋体" w:cs="宋体"/>
          <w:color w:val="000000"/>
          <w:sz w:val="21"/>
          <w:szCs w:val="21"/>
          <w:highlight w:val="none"/>
          <w:lang w:val="en-US" w:eastAsia="zh-CN"/>
        </w:rPr>
        <w:t>及河道</w:t>
      </w:r>
      <w:r>
        <w:rPr>
          <w:rFonts w:hint="eastAsia" w:ascii="宋体" w:hAnsi="宋体" w:eastAsia="宋体" w:cs="宋体"/>
          <w:b w:val="0"/>
          <w:bCs w:val="0"/>
          <w:color w:val="000000"/>
          <w:kern w:val="0"/>
          <w:sz w:val="21"/>
          <w:szCs w:val="21"/>
          <w:highlight w:val="none"/>
          <w:lang w:val="en-US" w:eastAsia="zh-CN"/>
        </w:rPr>
        <w:t xml:space="preserve">必须保证畅通，有堵塞、积淤现象需及时清理。 </w:t>
      </w:r>
    </w:p>
    <w:p w14:paraId="0A9869EE">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2.质量标准评定以国家或行业的质量检验评定标准为依据。因</w:t>
      </w:r>
      <w:r>
        <w:rPr>
          <w:rFonts w:hint="eastAsia" w:ascii="宋体" w:hAnsi="宋体" w:eastAsia="宋体" w:cs="宋体"/>
          <w:color w:val="000000"/>
          <w:sz w:val="21"/>
          <w:szCs w:val="21"/>
          <w:highlight w:val="none"/>
          <w:lang w:eastAsia="zh-CN"/>
        </w:rPr>
        <w:t>中标人</w:t>
      </w:r>
      <w:r>
        <w:rPr>
          <w:rFonts w:hint="eastAsia" w:ascii="宋体" w:hAnsi="宋体" w:eastAsia="宋体" w:cs="宋体"/>
          <w:b w:val="0"/>
          <w:bCs w:val="0"/>
          <w:color w:val="000000"/>
          <w:kern w:val="0"/>
          <w:sz w:val="21"/>
          <w:szCs w:val="21"/>
          <w:highlight w:val="none"/>
          <w:lang w:val="en-US" w:eastAsia="zh-CN"/>
        </w:rPr>
        <w:t>原因工程质量达不到约定的质量标准，</w:t>
      </w:r>
      <w:r>
        <w:rPr>
          <w:rFonts w:hint="eastAsia" w:ascii="宋体" w:hAnsi="宋体" w:eastAsia="宋体" w:cs="宋体"/>
          <w:color w:val="000000"/>
          <w:sz w:val="21"/>
          <w:szCs w:val="21"/>
          <w:highlight w:val="none"/>
          <w:lang w:eastAsia="zh-CN"/>
        </w:rPr>
        <w:t>中标人</w:t>
      </w:r>
      <w:r>
        <w:rPr>
          <w:rFonts w:hint="eastAsia" w:ascii="宋体" w:hAnsi="宋体" w:eastAsia="宋体" w:cs="宋体"/>
          <w:b w:val="0"/>
          <w:bCs w:val="0"/>
          <w:color w:val="000000"/>
          <w:kern w:val="0"/>
          <w:sz w:val="21"/>
          <w:szCs w:val="21"/>
          <w:highlight w:val="none"/>
          <w:lang w:val="en-US" w:eastAsia="zh-CN"/>
        </w:rPr>
        <w:t xml:space="preserve">承担违约责任。 </w:t>
      </w:r>
    </w:p>
    <w:p w14:paraId="63286535">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 xml:space="preserve">3.管网疏通日常养护清理质量及验收标准：按 CJJ68-2007《城镇排水管渠与泵站维修技术规程》 、CJJ61-2003/J217-2003《城市地下管线探测技术规程》相关标准执行。 </w:t>
      </w:r>
    </w:p>
    <w:p w14:paraId="0ECC668C">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4.项目工程竣工后，</w:t>
      </w:r>
      <w:r>
        <w:rPr>
          <w:rFonts w:hint="eastAsia" w:ascii="宋体" w:hAnsi="宋体" w:eastAsia="宋体" w:cs="宋体"/>
          <w:color w:val="000000"/>
          <w:sz w:val="21"/>
          <w:szCs w:val="21"/>
          <w:highlight w:val="none"/>
          <w:lang w:eastAsia="zh-CN"/>
        </w:rPr>
        <w:t>中标人</w:t>
      </w:r>
      <w:r>
        <w:rPr>
          <w:rFonts w:hint="eastAsia" w:ascii="宋体" w:hAnsi="宋体" w:eastAsia="宋体" w:cs="宋体"/>
          <w:b w:val="0"/>
          <w:bCs w:val="0"/>
          <w:color w:val="000000"/>
          <w:kern w:val="0"/>
          <w:sz w:val="21"/>
          <w:szCs w:val="21"/>
          <w:highlight w:val="none"/>
          <w:lang w:val="en-US" w:eastAsia="zh-CN"/>
        </w:rPr>
        <w:t xml:space="preserve">须按国家工程竣工有关规定向甲方提供完整竣工资料。 </w:t>
      </w:r>
    </w:p>
    <w:p w14:paraId="7EDA5F44">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5.项目验收由采购人会同有关专业技术部门（如需）共同验收。</w:t>
      </w:r>
    </w:p>
    <w:p w14:paraId="5605088A">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6.施工期间中标人须按相关国家规范要求遵守各项安全操作规程，防止发生各类事故。</w:t>
      </w:r>
    </w:p>
    <w:p w14:paraId="084BBD59">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7.道路上作业施工时需按有关部门要求做好安全防护和警示标志。施工期间发生的安全措施费，夜间施工增加费均由中标人负责。</w:t>
      </w:r>
    </w:p>
    <w:p w14:paraId="09EE8817">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8.项目完成过程中，中标人应加强安全管理，杜绝安全事故的发生。项目完成期间所引起的一切事故，其一切责任和后果由中标人自己承担。</w:t>
      </w:r>
    </w:p>
    <w:p w14:paraId="7BAADF55">
      <w:pPr>
        <w:pStyle w:val="18"/>
        <w:keepNext w:val="0"/>
        <w:keepLines w:val="0"/>
        <w:pageBreakBefore w:val="0"/>
        <w:kinsoku/>
        <w:wordWrap/>
        <w:overflowPunct/>
        <w:topLinePunct w:val="0"/>
        <w:autoSpaceDE/>
        <w:autoSpaceDN/>
        <w:bidi w:val="0"/>
        <w:adjustRightInd/>
        <w:snapToGrid w:val="0"/>
        <w:spacing w:line="360" w:lineRule="exact"/>
        <w:ind w:left="410" w:hanging="358" w:hangingChars="17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lang w:eastAsia="zh-CN"/>
        </w:rPr>
        <w:t>七</w:t>
      </w:r>
      <w:r>
        <w:rPr>
          <w:rFonts w:hint="eastAsia" w:ascii="宋体" w:hAnsi="宋体" w:eastAsia="宋体" w:cs="宋体"/>
          <w:b/>
          <w:color w:val="000000"/>
          <w:sz w:val="21"/>
          <w:szCs w:val="21"/>
          <w:highlight w:val="none"/>
        </w:rPr>
        <w:t>、转包或分包</w:t>
      </w:r>
    </w:p>
    <w:p w14:paraId="5CD5E237">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1.本合同范围的货物，应由</w:t>
      </w:r>
      <w:r>
        <w:rPr>
          <w:rFonts w:hint="eastAsia" w:ascii="宋体" w:hAnsi="宋体" w:eastAsia="宋体" w:cs="宋体"/>
          <w:color w:val="000000"/>
          <w:sz w:val="21"/>
          <w:szCs w:val="21"/>
          <w:highlight w:val="none"/>
          <w:lang w:eastAsia="zh-CN"/>
        </w:rPr>
        <w:t>中标人</w:t>
      </w:r>
      <w:r>
        <w:rPr>
          <w:rFonts w:hint="eastAsia" w:ascii="宋体" w:hAnsi="宋体" w:eastAsia="宋体" w:cs="宋体"/>
          <w:color w:val="000000"/>
          <w:sz w:val="21"/>
          <w:szCs w:val="21"/>
          <w:highlight w:val="none"/>
        </w:rPr>
        <w:t>直接供应，不得转让他人供应；</w:t>
      </w:r>
    </w:p>
    <w:p w14:paraId="5F98A129">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2.除非得到甲方的书面同意，</w:t>
      </w:r>
      <w:r>
        <w:rPr>
          <w:rFonts w:hint="eastAsia" w:ascii="宋体" w:hAnsi="宋体" w:eastAsia="宋体" w:cs="宋体"/>
          <w:color w:val="000000"/>
          <w:sz w:val="21"/>
          <w:szCs w:val="21"/>
          <w:highlight w:val="none"/>
          <w:lang w:eastAsia="zh-CN"/>
        </w:rPr>
        <w:t>中标人</w:t>
      </w:r>
      <w:r>
        <w:rPr>
          <w:rFonts w:hint="eastAsia" w:ascii="宋体" w:hAnsi="宋体" w:eastAsia="宋体" w:cs="宋体"/>
          <w:color w:val="000000"/>
          <w:sz w:val="21"/>
          <w:szCs w:val="21"/>
          <w:highlight w:val="none"/>
        </w:rPr>
        <w:t>不得将本合同范围的货物全部或部分分包给他人供应；</w:t>
      </w:r>
    </w:p>
    <w:p w14:paraId="6660DE90">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3.如有转让和未经</w:t>
      </w:r>
      <w:r>
        <w:rPr>
          <w:rFonts w:hint="eastAsia" w:ascii="宋体" w:hAnsi="宋体" w:eastAsia="宋体" w:cs="宋体"/>
          <w:color w:val="000000"/>
          <w:kern w:val="0"/>
          <w:sz w:val="21"/>
          <w:szCs w:val="21"/>
          <w:highlight w:val="none"/>
          <w:lang w:val="en-US" w:eastAsia="zh-CN" w:bidi="ar-SA"/>
        </w:rPr>
        <w:t>采购人</w:t>
      </w:r>
      <w:r>
        <w:rPr>
          <w:rFonts w:hint="eastAsia" w:ascii="宋体" w:hAnsi="宋体" w:eastAsia="宋体" w:cs="宋体"/>
          <w:color w:val="000000"/>
          <w:sz w:val="21"/>
          <w:szCs w:val="21"/>
          <w:highlight w:val="none"/>
        </w:rPr>
        <w:t>同意的分包行为，</w:t>
      </w:r>
      <w:r>
        <w:rPr>
          <w:rFonts w:hint="eastAsia" w:ascii="宋体" w:hAnsi="宋体" w:eastAsia="宋体" w:cs="宋体"/>
          <w:color w:val="000000"/>
          <w:kern w:val="0"/>
          <w:sz w:val="21"/>
          <w:szCs w:val="21"/>
          <w:highlight w:val="none"/>
          <w:lang w:val="en-US" w:eastAsia="zh-CN" w:bidi="ar-SA"/>
        </w:rPr>
        <w:t>采购人</w:t>
      </w:r>
      <w:r>
        <w:rPr>
          <w:rFonts w:hint="eastAsia" w:ascii="宋体" w:hAnsi="宋体" w:eastAsia="宋体" w:cs="宋体"/>
          <w:color w:val="000000"/>
          <w:sz w:val="21"/>
          <w:szCs w:val="21"/>
          <w:highlight w:val="none"/>
        </w:rPr>
        <w:t>有权解除合同，</w:t>
      </w:r>
      <w:r>
        <w:rPr>
          <w:rFonts w:hint="eastAsia" w:ascii="宋体" w:hAnsi="宋体" w:eastAsia="宋体" w:cs="宋体"/>
          <w:color w:val="000000"/>
          <w:sz w:val="21"/>
          <w:szCs w:val="21"/>
          <w:highlight w:val="none"/>
          <w:lang w:eastAsia="zh-CN"/>
        </w:rPr>
        <w:t>扣除</w:t>
      </w:r>
      <w:r>
        <w:rPr>
          <w:rFonts w:hint="eastAsia" w:ascii="宋体" w:hAnsi="宋体" w:eastAsia="宋体" w:cs="宋体"/>
          <w:color w:val="000000"/>
          <w:sz w:val="21"/>
          <w:szCs w:val="21"/>
          <w:highlight w:val="none"/>
        </w:rPr>
        <w:t>履约保证金并追究</w:t>
      </w:r>
      <w:r>
        <w:rPr>
          <w:rFonts w:hint="eastAsia" w:ascii="宋体" w:hAnsi="宋体" w:eastAsia="宋体" w:cs="宋体"/>
          <w:color w:val="000000"/>
          <w:sz w:val="21"/>
          <w:szCs w:val="21"/>
          <w:highlight w:val="none"/>
          <w:lang w:eastAsia="zh-CN"/>
        </w:rPr>
        <w:t>中标人</w:t>
      </w:r>
      <w:r>
        <w:rPr>
          <w:rFonts w:hint="eastAsia" w:ascii="宋体" w:hAnsi="宋体" w:eastAsia="宋体" w:cs="宋体"/>
          <w:color w:val="000000"/>
          <w:sz w:val="21"/>
          <w:szCs w:val="21"/>
          <w:highlight w:val="none"/>
        </w:rPr>
        <w:t>的违约责任。</w:t>
      </w:r>
    </w:p>
    <w:p w14:paraId="47F9223E">
      <w:pPr>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八、税费</w:t>
      </w:r>
    </w:p>
    <w:p w14:paraId="725E5868">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w:t>
      </w:r>
      <w:r>
        <w:rPr>
          <w:rFonts w:hint="eastAsia" w:ascii="宋体" w:hAnsi="宋体" w:eastAsia="宋体" w:cs="宋体"/>
          <w:color w:val="000000"/>
          <w:sz w:val="21"/>
          <w:szCs w:val="21"/>
          <w:highlight w:val="none"/>
          <w:lang w:eastAsia="zh-CN"/>
        </w:rPr>
        <w:t>项目</w:t>
      </w:r>
      <w:r>
        <w:rPr>
          <w:rFonts w:hint="eastAsia" w:ascii="宋体" w:hAnsi="宋体" w:eastAsia="宋体" w:cs="宋体"/>
          <w:color w:val="000000"/>
          <w:sz w:val="21"/>
          <w:szCs w:val="21"/>
          <w:highlight w:val="none"/>
        </w:rPr>
        <w:t>执行中相关的一切税费均由乙方负担。</w:t>
      </w:r>
    </w:p>
    <w:p w14:paraId="79AAA9FD">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b/>
          <w:color w:val="000000"/>
          <w:sz w:val="21"/>
          <w:szCs w:val="21"/>
          <w:highlight w:val="none"/>
        </w:rPr>
        <w:t>九、安全文明施工</w:t>
      </w:r>
    </w:p>
    <w:p w14:paraId="57FF4EE8">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kern w:val="0"/>
          <w:sz w:val="21"/>
          <w:szCs w:val="21"/>
          <w:highlight w:val="none"/>
          <w:lang w:val="en-US" w:eastAsia="zh-CN" w:bidi="ar-SA"/>
        </w:rPr>
        <w:t>（1）中标人应遵循有关规定及行业规范，严格按照操作规程作业，并随时接受采购人或有关部门的监督检查和社会监督，施工及养护作业人员须配备必要的安全防护措施作业，消除事故隐患。</w:t>
      </w:r>
    </w:p>
    <w:p w14:paraId="1E138F0B">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kern w:val="0"/>
          <w:sz w:val="21"/>
          <w:szCs w:val="21"/>
          <w:highlight w:val="none"/>
          <w:lang w:val="en-US" w:eastAsia="zh-CN" w:bidi="ar-SA"/>
        </w:rPr>
        <w:t>（2）由于中标人管理不善，引起政府职能部门处罚和限期整改，或安全措施不力造成事故的责任和因此产生的费用，由中标人承担。</w:t>
      </w:r>
    </w:p>
    <w:p w14:paraId="74EB478D">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kern w:val="0"/>
          <w:sz w:val="21"/>
          <w:szCs w:val="21"/>
          <w:highlight w:val="none"/>
          <w:lang w:val="en-US" w:eastAsia="zh-CN" w:bidi="ar-SA"/>
        </w:rPr>
        <w:t>（3）如发生重大伤亡及其他安全事故，中标人应就有关规定立即上报有关部门并通知采购人，同时按政府有关部门要求处理，由事故责任方承担发生的费用。</w:t>
      </w:r>
    </w:p>
    <w:p w14:paraId="7740DD0D">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en-US" w:eastAsia="zh-CN"/>
        </w:rPr>
        <w:t>十、其他要求</w:t>
      </w:r>
    </w:p>
    <w:p w14:paraId="0B11DF66">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1.养护单位要具备完成清疏养护服务必须的设备和作业人员，以及充足的交通警示标志和施工作业围栏，一定数量的抽风机、气体检测仪器、通讯设备等必须的设备工具。</w:t>
      </w:r>
    </w:p>
    <w:p w14:paraId="4477BCD7">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在进行雨水井、检查井等清淤作业时，必须按规定实行安全维护，维护设施至少在来车方向需要警示牌1块、道路指向牌1块、警示桶2只，设立醒目标志，作业人员必须服装整齐，标志明显，操作流程规范，做好交通疏导，保证车辆行人安全，避免安全事故的发生，自觉接受管理部门、各级领导和社会群众监督。</w:t>
      </w:r>
    </w:p>
    <w:p w14:paraId="3C40EA0A">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3.清疏作业中产生的淤泥和垃圾及时清理，倾倒到合法消纳场所，不能影响现场周边环境，避免二次污染，由此引发的市民投诉或处罚，均由承包人自行承担责任和相关费用。</w:t>
      </w:r>
    </w:p>
    <w:p w14:paraId="7437BAF2">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4.清淤作业完成以后完成的视频影像资料需交给招标人一份存档。</w:t>
      </w:r>
    </w:p>
    <w:p w14:paraId="3D3D5624">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Hans"/>
        </w:rPr>
      </w:pP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val="en-US" w:eastAsia="zh-Hans"/>
        </w:rPr>
        <w:t>养护作业中，如发生安全生产事故、交通安全事故，由养护单位承担全部责任，所产生的费用由养护单位全部承担；因养护单位管理不善或使用不当造成的损失由养护单位负责赔偿。</w:t>
      </w:r>
    </w:p>
    <w:p w14:paraId="4CE92CA3">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Hans"/>
        </w:rPr>
      </w:pPr>
      <w:r>
        <w:rPr>
          <w:rFonts w:hint="eastAsia" w:ascii="宋体" w:hAnsi="宋体" w:eastAsia="宋体" w:cs="宋体"/>
          <w:color w:val="000000"/>
          <w:sz w:val="21"/>
          <w:szCs w:val="21"/>
          <w:highlight w:val="none"/>
          <w:lang w:val="en-US" w:eastAsia="zh-CN"/>
        </w:rPr>
        <w:t>6.</w:t>
      </w:r>
      <w:r>
        <w:rPr>
          <w:rFonts w:hint="eastAsia" w:ascii="宋体" w:hAnsi="宋体" w:eastAsia="宋体" w:cs="宋体"/>
          <w:color w:val="000000"/>
          <w:sz w:val="21"/>
          <w:szCs w:val="21"/>
          <w:highlight w:val="none"/>
          <w:lang w:val="en-US" w:eastAsia="zh-Hans"/>
        </w:rPr>
        <w:t>养护范围内的投诉和新闻舆论批评，应在24小时内处理完毕并反馈信息。</w:t>
      </w:r>
    </w:p>
    <w:p w14:paraId="5E27AB8B">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Hans"/>
        </w:rPr>
      </w:pPr>
      <w:r>
        <w:rPr>
          <w:rFonts w:hint="eastAsia" w:ascii="宋体" w:hAnsi="宋体" w:eastAsia="宋体" w:cs="宋体"/>
          <w:color w:val="000000"/>
          <w:sz w:val="21"/>
          <w:szCs w:val="21"/>
          <w:highlight w:val="none"/>
          <w:lang w:val="en-US" w:eastAsia="zh-CN"/>
        </w:rPr>
        <w:t>7.</w:t>
      </w:r>
      <w:r>
        <w:rPr>
          <w:rFonts w:hint="eastAsia" w:ascii="宋体" w:hAnsi="宋体" w:eastAsia="宋体" w:cs="宋体"/>
          <w:color w:val="000000"/>
          <w:sz w:val="21"/>
          <w:szCs w:val="21"/>
          <w:highlight w:val="none"/>
          <w:lang w:val="en-US" w:eastAsia="zh-Hans"/>
        </w:rPr>
        <w:t>养护作业专职人员要求配齐作业人员、管理人员及安全监管人员及潜水人员等，保障日常清淤疏通工作和应急抢险工作顺利完成。</w:t>
      </w:r>
    </w:p>
    <w:p w14:paraId="290596AC">
      <w:pPr>
        <w:keepNext w:val="0"/>
        <w:keepLines w:val="0"/>
        <w:pageBreakBefore w:val="0"/>
        <w:widowControl w:val="0"/>
        <w:kinsoku/>
        <w:wordWrap/>
        <w:overflowPunct/>
        <w:topLinePunct w:val="0"/>
        <w:bidi w:val="0"/>
        <w:spacing w:line="360" w:lineRule="exact"/>
        <w:ind w:left="0" w:right="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 xml:space="preserve">    8.</w:t>
      </w:r>
      <w:r>
        <w:rPr>
          <w:rFonts w:hint="eastAsia" w:ascii="宋体" w:hAnsi="宋体" w:eastAsia="宋体" w:cs="宋体"/>
          <w:color w:val="000000"/>
          <w:kern w:val="2"/>
          <w:sz w:val="21"/>
          <w:szCs w:val="21"/>
          <w:highlight w:val="none"/>
          <w:lang w:val="en-US" w:eastAsia="zh-Hans" w:bidi="ar-SA"/>
        </w:rPr>
        <w:t>中标人接</w:t>
      </w:r>
      <w:r>
        <w:rPr>
          <w:rFonts w:hint="eastAsia" w:ascii="宋体" w:hAnsi="宋体" w:eastAsia="宋体" w:cs="宋体"/>
          <w:color w:val="000000"/>
          <w:kern w:val="2"/>
          <w:sz w:val="21"/>
          <w:szCs w:val="21"/>
          <w:highlight w:val="none"/>
          <w:lang w:val="en-US" w:eastAsia="zh-CN" w:bidi="ar-SA"/>
        </w:rPr>
        <w:t>到招标</w:t>
      </w:r>
      <w:r>
        <w:rPr>
          <w:rFonts w:hint="eastAsia" w:ascii="宋体" w:hAnsi="宋体" w:eastAsia="宋体" w:cs="宋体"/>
          <w:color w:val="000000"/>
          <w:kern w:val="2"/>
          <w:sz w:val="21"/>
          <w:szCs w:val="21"/>
          <w:highlight w:val="none"/>
          <w:lang w:val="en-US" w:eastAsia="zh-Hans" w:bidi="ar-SA"/>
        </w:rPr>
        <w:t>人通知后三小时内作出回应，二天内予以解决，如不能按时提供服务，乙方须向甲方赔偿逾期费用1000元/天，从当季服务费用中予以扣除。本项目的免费质保期为三个月，质保期以最后一次考核通过后开始计</w:t>
      </w:r>
      <w:r>
        <w:rPr>
          <w:rFonts w:hint="eastAsia" w:ascii="宋体" w:hAnsi="宋体" w:eastAsia="宋体" w:cs="宋体"/>
          <w:color w:val="000000"/>
          <w:kern w:val="2"/>
          <w:sz w:val="21"/>
          <w:szCs w:val="21"/>
          <w:highlight w:val="none"/>
          <w:lang w:val="en-US" w:eastAsia="zh-CN" w:bidi="ar-SA"/>
        </w:rPr>
        <w:t>。</w:t>
      </w:r>
    </w:p>
    <w:p w14:paraId="189EE28F">
      <w:pPr>
        <w:spacing w:line="360" w:lineRule="auto"/>
        <w:ind w:firstLine="420" w:firstLineChars="200"/>
        <w:rPr>
          <w:rFonts w:hint="eastAsia" w:ascii="宋体" w:hAnsi="宋体" w:cs="宋体"/>
          <w:color w:val="auto"/>
          <w:sz w:val="21"/>
          <w:szCs w:val="21"/>
          <w:highlight w:val="none"/>
          <w:lang w:val="en-US" w:eastAsia="zh-CN"/>
        </w:rPr>
      </w:pPr>
    </w:p>
    <w:p w14:paraId="0095FFDE">
      <w:pP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br w:type="page"/>
      </w:r>
    </w:p>
    <w:p w14:paraId="2162E2D6">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ab/>
      </w:r>
      <w:r>
        <w:rPr>
          <w:rFonts w:hint="eastAsia" w:ascii="宋体" w:hAnsi="宋体" w:cs="宋体"/>
          <w:b/>
          <w:bCs/>
          <w:color w:val="auto"/>
          <w:sz w:val="36"/>
          <w:szCs w:val="44"/>
          <w:highlight w:val="none"/>
        </w:rPr>
        <w:t>第五章</w:t>
      </w:r>
      <w:r>
        <w:rPr>
          <w:rFonts w:hint="eastAsia" w:ascii="宋体" w:hAnsi="宋体" w:cs="宋体"/>
          <w:b/>
          <w:bCs/>
          <w:color w:val="auto"/>
          <w:sz w:val="36"/>
          <w:szCs w:val="44"/>
          <w:highlight w:val="none"/>
          <w:lang w:val="en-US" w:eastAsia="zh-CN"/>
        </w:rPr>
        <w:t xml:space="preserve">  </w:t>
      </w:r>
      <w:r>
        <w:rPr>
          <w:rFonts w:hint="eastAsia" w:ascii="宋体" w:hAnsi="宋体" w:cs="宋体"/>
          <w:b/>
          <w:bCs/>
          <w:color w:val="auto"/>
          <w:sz w:val="36"/>
          <w:szCs w:val="44"/>
          <w:highlight w:val="none"/>
        </w:rPr>
        <w:t>合同主要条款</w:t>
      </w:r>
    </w:p>
    <w:p w14:paraId="67E6B247">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（本合同主要条款为合同样稿，最终定稿待双方协商后确定）</w:t>
      </w:r>
    </w:p>
    <w:p w14:paraId="51386C91">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000000"/>
          <w:sz w:val="21"/>
          <w:szCs w:val="21"/>
          <w:highlight w:val="none"/>
        </w:rPr>
      </w:pPr>
      <w:bookmarkStart w:id="2" w:name="_Toc351203652"/>
      <w:bookmarkStart w:id="3" w:name="_Toc228163249"/>
    </w:p>
    <w:p w14:paraId="43C3A353">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甲方：</w:t>
      </w:r>
      <w:r>
        <w:rPr>
          <w:rFonts w:hint="eastAsia" w:ascii="宋体" w:hAnsi="宋体" w:eastAsia="宋体" w:cs="宋体"/>
          <w:b w:val="0"/>
          <w:bCs w:val="0"/>
          <w:color w:val="000000"/>
          <w:sz w:val="21"/>
          <w:szCs w:val="21"/>
          <w:highlight w:val="none"/>
          <w:u w:val="single"/>
          <w:lang w:val="en-US" w:eastAsia="zh-CN"/>
        </w:rPr>
        <w:t>台州市路桥区蓬街镇人民政府</w:t>
      </w:r>
    </w:p>
    <w:p w14:paraId="0F48EB6A">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乙方：</w:t>
      </w:r>
      <w:r>
        <w:rPr>
          <w:rFonts w:hint="eastAsia" w:ascii="宋体" w:hAnsi="宋体" w:eastAsia="宋体" w:cs="宋体"/>
          <w:color w:val="000000"/>
          <w:sz w:val="21"/>
          <w:szCs w:val="21"/>
          <w:highlight w:val="none"/>
          <w:u w:val="single"/>
          <w:lang w:val="en-US" w:eastAsia="zh-CN"/>
        </w:rPr>
        <w:t xml:space="preserve">                        </w:t>
      </w:r>
    </w:p>
    <w:p w14:paraId="5E6BDE3F">
      <w:pPr>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color w:val="000000"/>
          <w:sz w:val="21"/>
          <w:szCs w:val="21"/>
          <w:highlight w:val="none"/>
          <w:lang w:val="zh-CN"/>
        </w:rPr>
      </w:pPr>
      <w:r>
        <w:rPr>
          <w:rFonts w:hint="eastAsia" w:ascii="宋体" w:hAnsi="宋体" w:eastAsia="宋体" w:cs="宋体"/>
          <w:b/>
          <w:bCs/>
          <w:color w:val="000000"/>
          <w:sz w:val="21"/>
          <w:szCs w:val="21"/>
          <w:highlight w:val="none"/>
          <w:lang w:val="zh-CN"/>
        </w:rPr>
        <w:t>一、合同组成</w:t>
      </w:r>
    </w:p>
    <w:p w14:paraId="33DBA845">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1.合同条款。</w:t>
      </w:r>
    </w:p>
    <w:p w14:paraId="72CAAA0F">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2.中标通知书。</w:t>
      </w:r>
    </w:p>
    <w:p w14:paraId="2F37A7F5">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3.更正补充文件。</w:t>
      </w:r>
    </w:p>
    <w:p w14:paraId="5CD2C68F">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4.招标文件。</w:t>
      </w:r>
    </w:p>
    <w:p w14:paraId="04928F67">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5.中标供应商投标文件。</w:t>
      </w:r>
    </w:p>
    <w:p w14:paraId="0C954D2A">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6.其他。</w:t>
      </w:r>
    </w:p>
    <w:p w14:paraId="7C0E6846">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上述所指合同文件应认为是互相补充和解释的，但是有模棱两可或互相矛盾之处，以其所列内容顺序为准。</w:t>
      </w:r>
    </w:p>
    <w:p w14:paraId="656DBFBB">
      <w:pPr>
        <w:keepNext w:val="0"/>
        <w:keepLines w:val="0"/>
        <w:pageBreakBefore w:val="0"/>
        <w:widowControl/>
        <w:kinsoku/>
        <w:wordWrap/>
        <w:overflowPunct/>
        <w:topLinePunct w:val="0"/>
        <w:autoSpaceDE/>
        <w:autoSpaceDN/>
        <w:bidi w:val="0"/>
        <w:adjustRightInd/>
        <w:spacing w:line="360" w:lineRule="exact"/>
        <w:jc w:val="left"/>
        <w:textAlignment w:val="bottom"/>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rPr>
        <w:t>二、项目概况</w:t>
      </w:r>
      <w:r>
        <w:rPr>
          <w:rFonts w:hint="eastAsia" w:ascii="宋体" w:hAnsi="宋体" w:eastAsia="宋体" w:cs="宋体"/>
          <w:b/>
          <w:color w:val="000000"/>
          <w:sz w:val="21"/>
          <w:szCs w:val="21"/>
          <w:highlight w:val="none"/>
          <w:lang w:val="en-US" w:eastAsia="zh-CN"/>
        </w:rPr>
        <w:t>及工作要求</w:t>
      </w:r>
    </w:p>
    <w:p w14:paraId="1783C0DE">
      <w:pPr>
        <w:keepNext w:val="0"/>
        <w:keepLines w:val="0"/>
        <w:pageBreakBefore w:val="0"/>
        <w:widowControl w:val="0"/>
        <w:numPr>
          <w:ilvl w:val="0"/>
          <w:numId w:val="0"/>
        </w:numPr>
        <w:kinsoku/>
        <w:wordWrap/>
        <w:overflowPunct/>
        <w:topLinePunct w:val="0"/>
        <w:bidi w:val="0"/>
        <w:spacing w:line="360" w:lineRule="exact"/>
        <w:ind w:firstLine="422" w:firstLineChars="200"/>
        <w:textAlignment w:val="auto"/>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lang w:val="en-US" w:eastAsia="zh-CN"/>
        </w:rPr>
        <w:t>本工程为路桥区蓬街镇2024年度雨污管网养护及河道应急处理项目，位于路桥区蓬街镇。本工程主要内容有：对蓬街镇区域范围内单个养护金额小于等于30万元的雨污水管网进行排查、养护、运行维护、维修及河道应急处理等；总费用约240万元，其中雨污管网日常养护和疏通费用约90万元（涉及雨污水管网约362公里），应急项目费用约150万元。本次任务以一二级为主，但是溯源到三级管网的，也要进行整改；主要涉及防洪排涝、雨污管网维护（主要为集镇范围人口稠密区块）、水泵检修保养、箱涵清淤等工程，</w:t>
      </w:r>
      <w:r>
        <w:rPr>
          <w:rFonts w:hint="eastAsia" w:ascii="宋体" w:hAnsi="宋体" w:eastAsia="宋体" w:cs="宋体"/>
          <w:b/>
          <w:color w:val="000000"/>
          <w:sz w:val="21"/>
          <w:szCs w:val="21"/>
          <w:highlight w:val="none"/>
          <w:lang w:eastAsia="zh-CN"/>
        </w:rPr>
        <w:t>具体服务项目以业主的委托任务单为准：</w:t>
      </w:r>
    </w:p>
    <w:p w14:paraId="0447BA74">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bCs w:val="0"/>
          <w:color w:val="000000"/>
          <w:sz w:val="21"/>
          <w:szCs w:val="21"/>
          <w:highlight w:val="none"/>
        </w:rPr>
        <w:t>1</w:t>
      </w:r>
      <w:r>
        <w:rPr>
          <w:rFonts w:hint="eastAsia" w:ascii="宋体" w:hAnsi="宋体" w:eastAsia="宋体" w:cs="宋体"/>
          <w:b/>
          <w:bCs w:val="0"/>
          <w:color w:val="000000"/>
          <w:sz w:val="21"/>
          <w:szCs w:val="21"/>
          <w:highlight w:val="none"/>
          <w:lang w:val="en-US" w:eastAsia="zh-CN"/>
        </w:rPr>
        <w:t>.</w:t>
      </w:r>
      <w:r>
        <w:rPr>
          <w:rFonts w:hint="eastAsia" w:ascii="宋体" w:hAnsi="宋体" w:eastAsia="宋体" w:cs="宋体"/>
          <w:b/>
          <w:bCs w:val="0"/>
          <w:color w:val="000000"/>
          <w:sz w:val="21"/>
          <w:szCs w:val="21"/>
          <w:highlight w:val="none"/>
        </w:rPr>
        <w:t>摸排</w:t>
      </w:r>
      <w:r>
        <w:rPr>
          <w:rFonts w:hint="eastAsia" w:ascii="宋体" w:hAnsi="宋体" w:eastAsia="宋体" w:cs="宋体"/>
          <w:b/>
          <w:color w:val="000000"/>
          <w:sz w:val="21"/>
          <w:szCs w:val="21"/>
          <w:highlight w:val="none"/>
        </w:rPr>
        <w:t>：</w:t>
      </w:r>
      <w:r>
        <w:rPr>
          <w:rFonts w:hint="eastAsia" w:ascii="宋体" w:hAnsi="宋体" w:eastAsia="宋体" w:cs="宋体"/>
          <w:bCs/>
          <w:color w:val="000000"/>
          <w:sz w:val="21"/>
          <w:szCs w:val="21"/>
          <w:highlight w:val="none"/>
        </w:rPr>
        <w:t>主要包含（1）现状管道破损情况；（2）现状管网系统渗漏水情况；（3）现状管网淤泥厚度及堵塞情况；（4）井盖、安全网破损、缺失情况；（5）管道进出水情况；（6）管网走向及管径大小；（</w:t>
      </w:r>
      <w:r>
        <w:rPr>
          <w:rFonts w:hint="eastAsia" w:ascii="宋体" w:hAnsi="宋体" w:eastAsia="宋体" w:cs="宋体"/>
          <w:bCs/>
          <w:color w:val="000000"/>
          <w:sz w:val="21"/>
          <w:szCs w:val="21"/>
          <w:highlight w:val="none"/>
          <w:lang w:val="en-US" w:eastAsia="zh-CN"/>
        </w:rPr>
        <w:t>7</w:t>
      </w:r>
      <w:r>
        <w:rPr>
          <w:rFonts w:hint="eastAsia" w:ascii="宋体" w:hAnsi="宋体" w:eastAsia="宋体" w:cs="宋体"/>
          <w:bCs/>
          <w:color w:val="000000"/>
          <w:sz w:val="21"/>
          <w:szCs w:val="21"/>
          <w:highlight w:val="none"/>
        </w:rPr>
        <w:t>）隔油池、化粪池、沉沙池点位及使用情况；（</w:t>
      </w:r>
      <w:r>
        <w:rPr>
          <w:rFonts w:hint="eastAsia" w:ascii="宋体" w:hAnsi="宋体" w:eastAsia="宋体" w:cs="宋体"/>
          <w:bCs/>
          <w:color w:val="000000"/>
          <w:sz w:val="21"/>
          <w:szCs w:val="21"/>
          <w:highlight w:val="none"/>
          <w:lang w:val="en-US" w:eastAsia="zh-CN"/>
        </w:rPr>
        <w:t>8</w:t>
      </w:r>
      <w:r>
        <w:rPr>
          <w:rFonts w:hint="eastAsia" w:ascii="宋体" w:hAnsi="宋体" w:eastAsia="宋体" w:cs="宋体"/>
          <w:bCs/>
          <w:color w:val="000000"/>
          <w:sz w:val="21"/>
          <w:szCs w:val="21"/>
          <w:highlight w:val="none"/>
        </w:rPr>
        <w:t>）制定清掏及维修计划等。最终需提供完整的摸排报告。</w:t>
      </w:r>
    </w:p>
    <w:p w14:paraId="5FF4393C">
      <w:pPr>
        <w:keepNext w:val="0"/>
        <w:keepLines w:val="0"/>
        <w:pageBreakBefore w:val="0"/>
        <w:widowControl w:val="0"/>
        <w:kinsoku/>
        <w:wordWrap/>
        <w:overflowPunct/>
        <w:topLinePunct w:val="0"/>
        <w:autoSpaceDE w:val="0"/>
        <w:autoSpaceDN w:val="0"/>
        <w:bidi w:val="0"/>
        <w:adjustRightInd w:val="0"/>
        <w:spacing w:line="360" w:lineRule="exact"/>
        <w:ind w:left="0" w:leftChars="0" w:right="0" w:firstLine="422" w:firstLineChars="200"/>
        <w:jc w:val="both"/>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
          <w:color w:val="000000"/>
          <w:kern w:val="2"/>
          <w:sz w:val="21"/>
          <w:szCs w:val="21"/>
          <w:highlight w:val="none"/>
          <w:lang w:val="en-US" w:eastAsia="zh-CN" w:bidi="ar-SA"/>
        </w:rPr>
        <w:t>2.管网清掏（清淤）：</w:t>
      </w:r>
      <w:r>
        <w:rPr>
          <w:rFonts w:hint="eastAsia" w:ascii="宋体" w:hAnsi="宋体" w:eastAsia="宋体" w:cs="宋体"/>
          <w:b w:val="0"/>
          <w:bCs/>
          <w:color w:val="000000"/>
          <w:kern w:val="2"/>
          <w:sz w:val="21"/>
          <w:szCs w:val="21"/>
          <w:highlight w:val="none"/>
          <w:lang w:val="en-US" w:eastAsia="zh-CN" w:bidi="ar-SA"/>
        </w:rPr>
        <w:t>管网清掏（清淤）需好清掏记录，清掏完成后需经业主方验收合格。要求排水设施完好，无阻水物，泄水孔、排水管道通畅，积泥深度不超过1/5管径；检查井安全防护网设置到位。各类管线井框固定平稳，井盖与井框吻合，无破裂、缺失现象。</w:t>
      </w:r>
    </w:p>
    <w:p w14:paraId="6B285208">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color w:val="000000"/>
          <w:sz w:val="21"/>
          <w:szCs w:val="21"/>
          <w:highlight w:val="none"/>
        </w:rPr>
        <w:t>3</w:t>
      </w:r>
      <w:r>
        <w:rPr>
          <w:rFonts w:hint="eastAsia" w:ascii="宋体" w:hAnsi="宋体" w:eastAsia="宋体" w:cs="宋体"/>
          <w:b/>
          <w:color w:val="000000"/>
          <w:sz w:val="21"/>
          <w:szCs w:val="21"/>
          <w:highlight w:val="none"/>
          <w:lang w:val="en-US" w:eastAsia="zh-CN"/>
        </w:rPr>
        <w:t>.</w:t>
      </w:r>
      <w:r>
        <w:rPr>
          <w:rFonts w:hint="eastAsia" w:ascii="宋体" w:hAnsi="宋体" w:eastAsia="宋体" w:cs="宋体"/>
          <w:b/>
          <w:color w:val="000000"/>
          <w:sz w:val="21"/>
          <w:szCs w:val="21"/>
          <w:highlight w:val="none"/>
        </w:rPr>
        <w:t>疏通：</w:t>
      </w:r>
      <w:r>
        <w:rPr>
          <w:rFonts w:hint="eastAsia" w:ascii="宋体" w:hAnsi="宋体" w:eastAsia="宋体" w:cs="宋体"/>
          <w:bCs/>
          <w:color w:val="000000"/>
          <w:sz w:val="21"/>
          <w:szCs w:val="21"/>
          <w:highlight w:val="none"/>
        </w:rPr>
        <w:t>根据摸排及日常巡查情况，对堵塞部位进行疏通，需在收到或知晓度疏通任务后24小时内进行疏通；特殊事项报业主方后，说明有关原因后可适当延长。</w:t>
      </w:r>
    </w:p>
    <w:p w14:paraId="4CE562B8">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color w:val="000000"/>
          <w:sz w:val="21"/>
          <w:szCs w:val="21"/>
          <w:highlight w:val="none"/>
        </w:rPr>
        <w:t>4</w:t>
      </w:r>
      <w:r>
        <w:rPr>
          <w:rFonts w:hint="eastAsia" w:ascii="宋体" w:hAnsi="宋体" w:eastAsia="宋体" w:cs="宋体"/>
          <w:b/>
          <w:color w:val="000000"/>
          <w:sz w:val="21"/>
          <w:szCs w:val="21"/>
          <w:highlight w:val="none"/>
          <w:lang w:val="en-US" w:eastAsia="zh-CN"/>
        </w:rPr>
        <w:t>.</w:t>
      </w:r>
      <w:r>
        <w:rPr>
          <w:rFonts w:hint="eastAsia" w:ascii="宋体" w:hAnsi="宋体" w:eastAsia="宋体" w:cs="宋体"/>
          <w:b/>
          <w:color w:val="000000"/>
          <w:sz w:val="21"/>
          <w:szCs w:val="21"/>
          <w:highlight w:val="none"/>
        </w:rPr>
        <w:t>维修：</w:t>
      </w:r>
      <w:r>
        <w:rPr>
          <w:rFonts w:hint="eastAsia" w:ascii="宋体" w:hAnsi="宋体" w:eastAsia="宋体" w:cs="宋体"/>
          <w:bCs/>
          <w:color w:val="000000"/>
          <w:sz w:val="21"/>
          <w:szCs w:val="21"/>
          <w:highlight w:val="none"/>
        </w:rPr>
        <w:t>所有维修工作需经业主方确认后，凭有效凭证结算维修费用。所有维修更换的材料必须符合国家及行业有关标准，不得使用翻新、不合格产品。</w:t>
      </w:r>
    </w:p>
    <w:p w14:paraId="5EA7C78C">
      <w:pPr>
        <w:keepNext w:val="0"/>
        <w:keepLines w:val="0"/>
        <w:pageBreakBefore w:val="0"/>
        <w:widowControl w:val="0"/>
        <w:kinsoku/>
        <w:wordWrap/>
        <w:overflowPunct/>
        <w:topLinePunct w:val="0"/>
        <w:bidi w:val="0"/>
        <w:spacing w:line="360" w:lineRule="exact"/>
        <w:ind w:left="0" w:leftChars="0" w:firstLine="422" w:firstLineChars="200"/>
        <w:textAlignment w:val="auto"/>
        <w:rPr>
          <w:rFonts w:hint="eastAsia" w:ascii="宋体" w:hAnsi="宋体" w:eastAsia="宋体" w:cs="宋体"/>
          <w:bCs/>
          <w:color w:val="000000"/>
          <w:sz w:val="21"/>
          <w:szCs w:val="21"/>
          <w:highlight w:val="none"/>
        </w:rPr>
      </w:pPr>
      <w:r>
        <w:rPr>
          <w:rFonts w:hint="eastAsia" w:ascii="宋体" w:hAnsi="宋体" w:eastAsia="宋体" w:cs="宋体"/>
          <w:b/>
          <w:color w:val="000000"/>
          <w:sz w:val="21"/>
          <w:szCs w:val="21"/>
          <w:highlight w:val="none"/>
        </w:rPr>
        <w:t>5</w:t>
      </w:r>
      <w:r>
        <w:rPr>
          <w:rFonts w:hint="eastAsia" w:ascii="宋体" w:hAnsi="宋体" w:eastAsia="宋体" w:cs="宋体"/>
          <w:b/>
          <w:color w:val="000000"/>
          <w:sz w:val="21"/>
          <w:szCs w:val="21"/>
          <w:highlight w:val="none"/>
          <w:lang w:val="en-US" w:eastAsia="zh-CN"/>
        </w:rPr>
        <w:t>.</w:t>
      </w:r>
      <w:r>
        <w:rPr>
          <w:rFonts w:hint="eastAsia" w:ascii="宋体" w:hAnsi="宋体" w:eastAsia="宋体" w:cs="宋体"/>
          <w:b/>
          <w:color w:val="000000"/>
          <w:sz w:val="21"/>
          <w:szCs w:val="21"/>
          <w:highlight w:val="none"/>
        </w:rPr>
        <w:t>运维、巡查和日常管理：</w:t>
      </w:r>
      <w:r>
        <w:rPr>
          <w:rFonts w:hint="eastAsia" w:ascii="宋体" w:hAnsi="宋体" w:eastAsia="宋体" w:cs="宋体"/>
          <w:bCs/>
          <w:color w:val="000000"/>
          <w:sz w:val="21"/>
          <w:szCs w:val="21"/>
          <w:highlight w:val="none"/>
        </w:rPr>
        <w:t>项目开始后，需组建不少于2人的管理队伍，负责日常管理及巡查和运维工作；做好巡查记录，对未按要求清掏的及时进行书面告知相关单位，并汇报给业主方；及时向业主方汇报相关工作；每月需向业主方递交书面材料，汇报工作情况。</w:t>
      </w:r>
    </w:p>
    <w:p w14:paraId="32671B14">
      <w:pPr>
        <w:keepNext w:val="0"/>
        <w:keepLines w:val="0"/>
        <w:pageBreakBefore w:val="0"/>
        <w:widowControl w:val="0"/>
        <w:kinsoku/>
        <w:wordWrap/>
        <w:overflowPunct/>
        <w:topLinePunct w:val="0"/>
        <w:bidi w:val="0"/>
        <w:snapToGrid w:val="0"/>
        <w:spacing w:line="360" w:lineRule="exact"/>
        <w:ind w:left="0" w:leftChars="0" w:firstLine="422" w:firstLineChars="200"/>
        <w:jc w:val="left"/>
        <w:textAlignment w:val="auto"/>
        <w:rPr>
          <w:rFonts w:hint="eastAsia"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en-US" w:eastAsia="zh-CN"/>
        </w:rPr>
        <w:t>6.河道应急处理：</w:t>
      </w:r>
      <w:r>
        <w:rPr>
          <w:rFonts w:hint="eastAsia" w:ascii="宋体" w:hAnsi="宋体" w:eastAsia="宋体" w:cs="宋体"/>
          <w:bCs/>
          <w:color w:val="000000"/>
          <w:sz w:val="21"/>
          <w:szCs w:val="21"/>
          <w:highlight w:val="none"/>
          <w:lang w:val="en-US" w:eastAsia="zh-CN"/>
        </w:rPr>
        <w:t>具体服务项目内容以业主书面通知为准。</w:t>
      </w:r>
    </w:p>
    <w:p w14:paraId="0B9E5E0F">
      <w:pPr>
        <w:keepNext w:val="0"/>
        <w:keepLines w:val="0"/>
        <w:pageBreakBefore w:val="0"/>
        <w:widowControl w:val="0"/>
        <w:kinsoku/>
        <w:wordWrap/>
        <w:overflowPunct/>
        <w:topLinePunct w:val="0"/>
        <w:bidi w:val="0"/>
        <w:snapToGrid w:val="0"/>
        <w:spacing w:line="360" w:lineRule="exact"/>
        <w:ind w:left="0" w:leftChars="0" w:firstLine="422" w:firstLineChars="200"/>
        <w:jc w:val="left"/>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lang w:val="en-US" w:eastAsia="zh-CN"/>
        </w:rPr>
        <w:t>7.</w:t>
      </w:r>
      <w:r>
        <w:rPr>
          <w:rFonts w:hint="eastAsia" w:ascii="宋体" w:hAnsi="宋体" w:eastAsia="宋体" w:cs="宋体"/>
          <w:b/>
          <w:color w:val="000000"/>
          <w:sz w:val="21"/>
          <w:szCs w:val="21"/>
          <w:highlight w:val="none"/>
        </w:rPr>
        <w:t>其他：</w:t>
      </w:r>
    </w:p>
    <w:p w14:paraId="6E6F6AFF">
      <w:pPr>
        <w:keepNext w:val="0"/>
        <w:keepLines w:val="0"/>
        <w:pageBreakBefore w:val="0"/>
        <w:widowControl w:val="0"/>
        <w:kinsoku/>
        <w:wordWrap/>
        <w:overflowPunct/>
        <w:topLinePunct w:val="0"/>
        <w:bidi w:val="0"/>
        <w:snapToGrid w:val="0"/>
        <w:spacing w:line="360" w:lineRule="exact"/>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（1）做到窨井和排水口必须保持完好通畅，不得阻塞，周边不得有明显积水；</w:t>
      </w:r>
      <w:r>
        <w:rPr>
          <w:rFonts w:hint="eastAsia" w:ascii="宋体" w:hAnsi="宋体" w:eastAsia="宋体" w:cs="宋体"/>
          <w:color w:val="000000"/>
          <w:sz w:val="21"/>
          <w:szCs w:val="21"/>
          <w:highlight w:val="none"/>
          <w:lang w:eastAsia="zh-CN"/>
        </w:rPr>
        <w:t>根据</w:t>
      </w:r>
      <w:r>
        <w:rPr>
          <w:rFonts w:hint="eastAsia" w:ascii="宋体" w:hAnsi="宋体" w:eastAsia="宋体" w:cs="宋体"/>
          <w:color w:val="000000"/>
          <w:sz w:val="21"/>
          <w:szCs w:val="21"/>
          <w:highlight w:val="none"/>
        </w:rPr>
        <w:t>业主方</w:t>
      </w:r>
      <w:r>
        <w:rPr>
          <w:rFonts w:hint="eastAsia" w:ascii="宋体" w:hAnsi="宋体" w:eastAsia="宋体" w:cs="宋体"/>
          <w:color w:val="000000"/>
          <w:sz w:val="21"/>
          <w:szCs w:val="21"/>
          <w:highlight w:val="none"/>
          <w:lang w:eastAsia="zh-CN"/>
        </w:rPr>
        <w:t>需求</w:t>
      </w:r>
      <w:r>
        <w:rPr>
          <w:rFonts w:hint="eastAsia" w:ascii="宋体" w:hAnsi="宋体" w:eastAsia="宋体" w:cs="宋体"/>
          <w:color w:val="000000"/>
          <w:sz w:val="21"/>
          <w:szCs w:val="21"/>
          <w:highlight w:val="none"/>
        </w:rPr>
        <w:t>滚动巡查各作业部位，发现问题及时处理。遇到设施遭遇人为破坏，要及时上报。作业完成后，须及时盖好窨井。</w:t>
      </w:r>
    </w:p>
    <w:p w14:paraId="071321FB">
      <w:pPr>
        <w:keepNext w:val="0"/>
        <w:keepLines w:val="0"/>
        <w:pageBreakBefore w:val="0"/>
        <w:widowControl w:val="0"/>
        <w:kinsoku/>
        <w:wordWrap/>
        <w:overflowPunct/>
        <w:topLinePunct w:val="0"/>
        <w:bidi w:val="0"/>
        <w:snapToGrid w:val="0"/>
        <w:spacing w:line="360" w:lineRule="exact"/>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（2）免费承担业主方提出的管网疏通、预留井检测定位、现场管网排摸、雨污管网封堵的等涉及管网的应急工作任务。</w:t>
      </w:r>
    </w:p>
    <w:p w14:paraId="1BA6849F">
      <w:pPr>
        <w:keepNext w:val="0"/>
        <w:keepLines w:val="0"/>
        <w:pageBreakBefore w:val="0"/>
        <w:widowControl w:val="0"/>
        <w:kinsoku/>
        <w:wordWrap/>
        <w:overflowPunct/>
        <w:topLinePunct w:val="0"/>
        <w:bidi w:val="0"/>
        <w:snapToGrid w:val="0"/>
        <w:spacing w:line="360" w:lineRule="exact"/>
        <w:ind w:firstLine="420" w:firstLineChars="2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（3）如遇特殊情况，例如突击检查，上级部门考核，各类创建、迎检活动，以及恶劣天气应急保障措施时，</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单位应服从业主方的指挥，配合做好各项配合服务工作，业主方应根据</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单位表现适当给于人工成本补助保证</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单位权益。</w:t>
      </w:r>
    </w:p>
    <w:p w14:paraId="60B40600">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r>
        <w:rPr>
          <w:rFonts w:hint="eastAsia" w:ascii="宋体" w:hAnsi="宋体" w:eastAsia="宋体" w:cs="宋体"/>
          <w:color w:val="000000"/>
          <w:sz w:val="21"/>
          <w:szCs w:val="21"/>
          <w:highlight w:val="none"/>
          <w:lang w:eastAsia="zh-CN"/>
        </w:rPr>
        <w:t>养护单位</w:t>
      </w:r>
      <w:r>
        <w:rPr>
          <w:rFonts w:hint="eastAsia" w:ascii="宋体" w:hAnsi="宋体" w:eastAsia="宋体" w:cs="宋体"/>
          <w:color w:val="000000"/>
          <w:sz w:val="21"/>
          <w:szCs w:val="21"/>
          <w:highlight w:val="none"/>
        </w:rPr>
        <w:t>应建立</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档案，健全日常</w:t>
      </w:r>
      <w:r>
        <w:rPr>
          <w:rFonts w:hint="eastAsia" w:ascii="宋体" w:hAnsi="宋体" w:eastAsia="宋体" w:cs="宋体"/>
          <w:color w:val="000000"/>
          <w:sz w:val="21"/>
          <w:szCs w:val="21"/>
          <w:highlight w:val="none"/>
          <w:lang w:eastAsia="zh-CN"/>
        </w:rPr>
        <w:t>养护</w:t>
      </w:r>
      <w:r>
        <w:rPr>
          <w:rFonts w:hint="eastAsia" w:ascii="宋体" w:hAnsi="宋体" w:eastAsia="宋体" w:cs="宋体"/>
          <w:color w:val="000000"/>
          <w:sz w:val="21"/>
          <w:szCs w:val="21"/>
          <w:highlight w:val="none"/>
        </w:rPr>
        <w:t>作业记录，认真做好台帐的整理和归档工作，应每年将运维档案资料报业主方一份、主管单位一份备案。</w:t>
      </w:r>
    </w:p>
    <w:p w14:paraId="1D8432FD">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eastAsia="zh-Hans"/>
        </w:rPr>
      </w:pP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Hans"/>
        </w:rPr>
        <w:t>中标人须提供每月月报</w:t>
      </w:r>
      <w:r>
        <w:rPr>
          <w:rFonts w:hint="eastAsia" w:ascii="宋体" w:hAnsi="宋体" w:eastAsia="宋体" w:cs="宋体"/>
          <w:color w:val="000000"/>
          <w:sz w:val="21"/>
          <w:szCs w:val="21"/>
          <w:highlight w:val="none"/>
          <w:lang w:eastAsia="zh-CN"/>
        </w:rPr>
        <w:t>（月报需包括每月养护工作量）</w:t>
      </w:r>
      <w:r>
        <w:rPr>
          <w:rFonts w:hint="eastAsia" w:ascii="宋体" w:hAnsi="宋体" w:eastAsia="宋体" w:cs="宋体"/>
          <w:color w:val="000000"/>
          <w:sz w:val="21"/>
          <w:szCs w:val="21"/>
          <w:highlight w:val="none"/>
          <w:lang w:eastAsia="zh-Hans"/>
        </w:rPr>
        <w:t>及作业视频或照片</w:t>
      </w:r>
      <w:r>
        <w:rPr>
          <w:rFonts w:hint="eastAsia" w:ascii="宋体" w:hAnsi="宋体" w:eastAsia="宋体" w:cs="宋体"/>
          <w:color w:val="000000"/>
          <w:sz w:val="21"/>
          <w:szCs w:val="21"/>
          <w:highlight w:val="none"/>
          <w:lang w:eastAsia="zh-CN"/>
        </w:rPr>
        <w:t>等</w:t>
      </w:r>
      <w:r>
        <w:rPr>
          <w:rFonts w:hint="eastAsia" w:ascii="宋体" w:hAnsi="宋体" w:eastAsia="宋体" w:cs="宋体"/>
          <w:color w:val="000000"/>
          <w:sz w:val="21"/>
          <w:szCs w:val="21"/>
          <w:highlight w:val="none"/>
          <w:lang w:eastAsia="zh-Hans"/>
        </w:rPr>
        <w:t>。</w:t>
      </w:r>
    </w:p>
    <w:p w14:paraId="68AF5835">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（6）养护单位</w:t>
      </w:r>
      <w:r>
        <w:rPr>
          <w:rFonts w:hint="eastAsia" w:ascii="宋体" w:hAnsi="宋体" w:eastAsia="宋体" w:cs="宋体"/>
          <w:color w:val="000000"/>
          <w:sz w:val="21"/>
          <w:szCs w:val="21"/>
          <w:highlight w:val="none"/>
          <w:lang w:eastAsia="zh-Hans"/>
        </w:rPr>
        <w:t>日常工作中</w:t>
      </w:r>
      <w:r>
        <w:rPr>
          <w:rFonts w:hint="eastAsia" w:ascii="宋体" w:hAnsi="宋体" w:eastAsia="宋体" w:cs="宋体"/>
          <w:color w:val="000000"/>
          <w:sz w:val="21"/>
          <w:szCs w:val="21"/>
          <w:highlight w:val="none"/>
          <w:lang w:eastAsia="zh-CN"/>
        </w:rPr>
        <w:t>当发现问题时需先向招标人</w:t>
      </w:r>
      <w:r>
        <w:rPr>
          <w:rFonts w:hint="eastAsia" w:ascii="宋体" w:hAnsi="宋体" w:eastAsia="宋体" w:cs="宋体"/>
          <w:color w:val="000000"/>
          <w:sz w:val="21"/>
          <w:szCs w:val="21"/>
          <w:highlight w:val="none"/>
          <w:lang w:eastAsia="zh-Hans"/>
        </w:rPr>
        <w:t>提交工作</w:t>
      </w:r>
      <w:r>
        <w:rPr>
          <w:rFonts w:hint="eastAsia" w:ascii="宋体" w:hAnsi="宋体" w:eastAsia="宋体" w:cs="宋体"/>
          <w:color w:val="000000"/>
          <w:sz w:val="21"/>
          <w:szCs w:val="21"/>
          <w:highlight w:val="none"/>
          <w:lang w:eastAsia="zh-CN"/>
        </w:rPr>
        <w:t>整改方案，经招标人书面同意后方可实施；如</w:t>
      </w:r>
      <w:r>
        <w:rPr>
          <w:rFonts w:hint="eastAsia" w:ascii="宋体" w:hAnsi="宋体" w:eastAsia="宋体" w:cs="宋体"/>
          <w:color w:val="000000"/>
          <w:sz w:val="21"/>
          <w:szCs w:val="21"/>
          <w:highlight w:val="none"/>
          <w:lang w:val="en-US" w:eastAsia="zh-CN"/>
        </w:rPr>
        <w:t>养护单位</w:t>
      </w:r>
      <w:r>
        <w:rPr>
          <w:rFonts w:hint="eastAsia" w:ascii="宋体" w:hAnsi="宋体" w:eastAsia="宋体" w:cs="宋体"/>
          <w:color w:val="000000"/>
          <w:sz w:val="21"/>
          <w:szCs w:val="21"/>
          <w:highlight w:val="none"/>
          <w:lang w:eastAsia="zh-CN"/>
        </w:rPr>
        <w:t>未经发包人书面同意自行实施，造成的</w:t>
      </w:r>
      <w:r>
        <w:rPr>
          <w:rFonts w:hint="eastAsia" w:ascii="宋体" w:hAnsi="宋体" w:eastAsia="宋体" w:cs="宋体"/>
          <w:color w:val="000000"/>
          <w:sz w:val="21"/>
          <w:szCs w:val="21"/>
          <w:highlight w:val="none"/>
          <w:lang w:val="en-US" w:eastAsia="zh-Hans"/>
        </w:rPr>
        <w:t>一切责任和后果由养护单位自己承担</w:t>
      </w:r>
      <w:r>
        <w:rPr>
          <w:rFonts w:hint="eastAsia" w:ascii="宋体" w:hAnsi="宋体" w:eastAsia="宋体" w:cs="宋体"/>
          <w:color w:val="000000"/>
          <w:sz w:val="21"/>
          <w:szCs w:val="21"/>
          <w:highlight w:val="none"/>
          <w:lang w:eastAsia="zh-Hans"/>
        </w:rPr>
        <w:t>。</w:t>
      </w:r>
    </w:p>
    <w:p w14:paraId="5F9BF24C">
      <w:pPr>
        <w:keepNext w:val="0"/>
        <w:keepLines w:val="0"/>
        <w:pageBreakBefore w:val="0"/>
        <w:numPr>
          <w:ilvl w:val="0"/>
          <w:numId w:val="0"/>
        </w:numPr>
        <w:kinsoku/>
        <w:wordWrap/>
        <w:overflowPunct/>
        <w:topLinePunct w:val="0"/>
        <w:bidi w:val="0"/>
        <w:spacing w:line="360" w:lineRule="exact"/>
        <w:rPr>
          <w:rFonts w:hint="eastAsia" w:ascii="宋体" w:hAnsi="宋体" w:eastAsia="宋体" w:cs="宋体"/>
          <w:b/>
          <w:bCs/>
          <w:sz w:val="21"/>
          <w:szCs w:val="21"/>
          <w:highlight w:val="none"/>
          <w:lang w:eastAsia="zh-CN"/>
        </w:rPr>
      </w:pPr>
      <w:r>
        <w:rPr>
          <w:rFonts w:hint="eastAsia" w:ascii="宋体" w:hAnsi="宋体" w:eastAsia="宋体" w:cs="宋体"/>
          <w:b/>
          <w:bCs/>
          <w:sz w:val="21"/>
          <w:szCs w:val="21"/>
          <w:highlight w:val="none"/>
          <w:lang w:eastAsia="zh-CN"/>
        </w:rPr>
        <w:t>三、合同期限</w:t>
      </w:r>
    </w:p>
    <w:p w14:paraId="7D106204">
      <w:pPr>
        <w:keepNext w:val="0"/>
        <w:keepLines w:val="0"/>
        <w:pageBreakBefore w:val="0"/>
        <w:numPr>
          <w:ilvl w:val="0"/>
          <w:numId w:val="0"/>
        </w:numPr>
        <w:kinsoku/>
        <w:wordWrap/>
        <w:overflowPunct/>
        <w:topLinePunct w:val="0"/>
        <w:bidi w:val="0"/>
        <w:spacing w:line="36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总合同额到达（或接近）240万元时或合同签订之日起满一年时结束（以先到者为准）</w:t>
      </w:r>
      <w:r>
        <w:rPr>
          <w:rFonts w:hint="eastAsia" w:ascii="宋体" w:hAnsi="宋体" w:eastAsia="宋体" w:cs="宋体"/>
          <w:sz w:val="21"/>
          <w:szCs w:val="21"/>
          <w:highlight w:val="none"/>
        </w:rPr>
        <w:t>，具体以发包人通知为准。</w:t>
      </w:r>
    </w:p>
    <w:p w14:paraId="700F9A07">
      <w:pPr>
        <w:pStyle w:val="28"/>
        <w:keepNext w:val="0"/>
        <w:keepLines w:val="0"/>
        <w:pageBreakBefore w:val="0"/>
        <w:kinsoku/>
        <w:wordWrap/>
        <w:overflowPunct/>
        <w:topLinePunct w:val="0"/>
        <w:bidi w:val="0"/>
        <w:spacing w:before="0" w:beforeLines="0" w:after="0" w:afterLines="0" w:line="360" w:lineRule="exact"/>
        <w:jc w:val="both"/>
        <w:rPr>
          <w:rFonts w:hint="eastAsia" w:ascii="宋体" w:hAnsi="宋体" w:eastAsia="宋体" w:cs="宋体"/>
          <w:sz w:val="21"/>
          <w:szCs w:val="21"/>
          <w:lang w:val="en-US" w:eastAsia="zh-CN"/>
        </w:rPr>
      </w:pPr>
      <w:bookmarkStart w:id="4" w:name="_Toc31541"/>
      <w:r>
        <w:rPr>
          <w:rFonts w:hint="eastAsia" w:ascii="宋体" w:hAnsi="宋体" w:eastAsia="宋体" w:cs="宋体"/>
          <w:sz w:val="21"/>
          <w:szCs w:val="21"/>
          <w:highlight w:val="none"/>
          <w:lang w:eastAsia="zh-CN"/>
        </w:rPr>
        <w:t>四、</w:t>
      </w:r>
      <w:r>
        <w:rPr>
          <w:rFonts w:hint="eastAsia" w:ascii="宋体" w:hAnsi="宋体" w:eastAsia="宋体" w:cs="宋体"/>
          <w:b/>
          <w:bCs/>
          <w:color w:val="auto"/>
          <w:sz w:val="21"/>
          <w:szCs w:val="21"/>
          <w:highlight w:val="none"/>
        </w:rPr>
        <w:t>预算价（</w:t>
      </w:r>
      <w:r>
        <w:rPr>
          <w:rFonts w:hint="eastAsia" w:ascii="宋体" w:hAnsi="宋体" w:eastAsia="宋体" w:cs="宋体"/>
          <w:b/>
          <w:bCs/>
          <w:color w:val="auto"/>
          <w:sz w:val="21"/>
          <w:szCs w:val="21"/>
          <w:highlight w:val="none"/>
          <w:lang w:eastAsia="zh-CN"/>
        </w:rPr>
        <w:t>全费用综合单价</w:t>
      </w:r>
      <w:r>
        <w:rPr>
          <w:rFonts w:hint="eastAsia" w:ascii="宋体" w:hAnsi="宋体" w:eastAsia="宋体" w:cs="宋体"/>
          <w:b/>
          <w:bCs/>
          <w:color w:val="auto"/>
          <w:sz w:val="21"/>
          <w:szCs w:val="21"/>
          <w:highlight w:val="none"/>
        </w:rPr>
        <w:t>）</w:t>
      </w:r>
      <w:bookmarkEnd w:id="4"/>
    </w:p>
    <w:tbl>
      <w:tblPr>
        <w:tblStyle w:val="31"/>
        <w:tblW w:w="9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990"/>
        <w:gridCol w:w="2160"/>
        <w:gridCol w:w="2985"/>
        <w:gridCol w:w="795"/>
        <w:gridCol w:w="1758"/>
      </w:tblGrid>
      <w:tr w14:paraId="26800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534" w:type="dxa"/>
            <w:tcBorders>
              <w:tl2br w:val="nil"/>
              <w:tr2bl w:val="nil"/>
            </w:tcBorders>
            <w:noWrap/>
            <w:vAlign w:val="center"/>
          </w:tcPr>
          <w:p w14:paraId="14991BE0">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3150" w:type="dxa"/>
            <w:gridSpan w:val="2"/>
            <w:tcBorders>
              <w:tl2br w:val="nil"/>
              <w:tr2bl w:val="nil"/>
            </w:tcBorders>
            <w:noWrap/>
            <w:vAlign w:val="center"/>
          </w:tcPr>
          <w:p w14:paraId="5C44C8E3">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名称</w:t>
            </w:r>
          </w:p>
        </w:tc>
        <w:tc>
          <w:tcPr>
            <w:tcW w:w="2985" w:type="dxa"/>
            <w:tcBorders>
              <w:tl2br w:val="nil"/>
              <w:tr2bl w:val="nil"/>
            </w:tcBorders>
            <w:noWrap/>
            <w:vAlign w:val="center"/>
          </w:tcPr>
          <w:p w14:paraId="7CC542BB">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项目特征</w:t>
            </w:r>
          </w:p>
        </w:tc>
        <w:tc>
          <w:tcPr>
            <w:tcW w:w="795" w:type="dxa"/>
            <w:tcBorders>
              <w:tl2br w:val="nil"/>
              <w:tr2bl w:val="nil"/>
            </w:tcBorders>
            <w:noWrap/>
            <w:vAlign w:val="center"/>
          </w:tcPr>
          <w:p w14:paraId="261F9821">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单位</w:t>
            </w:r>
          </w:p>
        </w:tc>
        <w:tc>
          <w:tcPr>
            <w:tcW w:w="1758" w:type="dxa"/>
            <w:tcBorders>
              <w:tl2br w:val="nil"/>
              <w:tr2bl w:val="nil"/>
            </w:tcBorders>
            <w:noWrap w:val="0"/>
            <w:vAlign w:val="center"/>
          </w:tcPr>
          <w:p w14:paraId="57D839F8">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预算价（</w:t>
            </w:r>
            <w:r>
              <w:rPr>
                <w:rFonts w:hint="eastAsia" w:ascii="宋体" w:hAnsi="宋体" w:eastAsia="宋体" w:cs="宋体"/>
                <w:b/>
                <w:bCs/>
                <w:color w:val="auto"/>
                <w:sz w:val="21"/>
                <w:szCs w:val="21"/>
                <w:highlight w:val="none"/>
                <w:lang w:eastAsia="zh-CN"/>
              </w:rPr>
              <w:t>全费用综合单价</w:t>
            </w:r>
            <w:r>
              <w:rPr>
                <w:rFonts w:hint="eastAsia" w:ascii="宋体" w:hAnsi="宋体" w:eastAsia="宋体" w:cs="宋体"/>
                <w:b/>
                <w:bCs/>
                <w:color w:val="auto"/>
                <w:sz w:val="21"/>
                <w:szCs w:val="21"/>
                <w:highlight w:val="none"/>
              </w:rPr>
              <w:t>）</w:t>
            </w:r>
          </w:p>
        </w:tc>
      </w:tr>
      <w:tr w14:paraId="78336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6E72239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3150" w:type="dxa"/>
            <w:gridSpan w:val="2"/>
            <w:tcBorders>
              <w:tl2br w:val="nil"/>
              <w:tr2bl w:val="nil"/>
            </w:tcBorders>
            <w:noWrap/>
            <w:vAlign w:val="center"/>
          </w:tcPr>
          <w:p w14:paraId="56EA1B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管道疏通</w:t>
            </w:r>
          </w:p>
        </w:tc>
        <w:tc>
          <w:tcPr>
            <w:tcW w:w="2985" w:type="dxa"/>
            <w:tcBorders>
              <w:tl2br w:val="nil"/>
              <w:tr2bl w:val="nil"/>
            </w:tcBorders>
            <w:noWrap/>
            <w:vAlign w:val="center"/>
          </w:tcPr>
          <w:p w14:paraId="5660141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装水，启闭井盖，水冲沟管，清理场地，工地转移等。</w:t>
            </w:r>
          </w:p>
        </w:tc>
        <w:tc>
          <w:tcPr>
            <w:tcW w:w="795" w:type="dxa"/>
            <w:tcBorders>
              <w:tl2br w:val="nil"/>
              <w:tr2bl w:val="nil"/>
            </w:tcBorders>
            <w:noWrap/>
            <w:vAlign w:val="center"/>
          </w:tcPr>
          <w:p w14:paraId="0CC0755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m</w:t>
            </w:r>
          </w:p>
        </w:tc>
        <w:tc>
          <w:tcPr>
            <w:tcW w:w="1758" w:type="dxa"/>
            <w:tcBorders>
              <w:tl2br w:val="nil"/>
              <w:tr2bl w:val="nil"/>
            </w:tcBorders>
            <w:noWrap w:val="0"/>
            <w:vAlign w:val="center"/>
          </w:tcPr>
          <w:p w14:paraId="0CBFBE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12.40</w:t>
            </w:r>
          </w:p>
        </w:tc>
      </w:tr>
      <w:tr w14:paraId="4B3EE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467BE2B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3150" w:type="dxa"/>
            <w:gridSpan w:val="2"/>
            <w:tcBorders>
              <w:tl2br w:val="nil"/>
              <w:tr2bl w:val="nil"/>
            </w:tcBorders>
            <w:noWrap/>
            <w:vAlign w:val="center"/>
          </w:tcPr>
          <w:p w14:paraId="1BAF16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CCTV检测</w:t>
            </w:r>
          </w:p>
        </w:tc>
        <w:tc>
          <w:tcPr>
            <w:tcW w:w="2985" w:type="dxa"/>
            <w:tcBorders>
              <w:tl2br w:val="nil"/>
              <w:tr2bl w:val="nil"/>
            </w:tcBorders>
            <w:noWrap/>
            <w:vAlign w:val="center"/>
          </w:tcPr>
          <w:p w14:paraId="6366A38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启闭井盖，有毒气体测试、强制通风，设备调试，检测设备下井，管道检测，图像判读，取出检测设备，清理装车，场内运输等。</w:t>
            </w:r>
          </w:p>
        </w:tc>
        <w:tc>
          <w:tcPr>
            <w:tcW w:w="795" w:type="dxa"/>
            <w:tcBorders>
              <w:tl2br w:val="nil"/>
              <w:tr2bl w:val="nil"/>
            </w:tcBorders>
            <w:noWrap/>
            <w:vAlign w:val="center"/>
          </w:tcPr>
          <w:p w14:paraId="024E75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m</w:t>
            </w:r>
          </w:p>
        </w:tc>
        <w:tc>
          <w:tcPr>
            <w:tcW w:w="1758" w:type="dxa"/>
            <w:tcBorders>
              <w:tl2br w:val="nil"/>
              <w:tr2bl w:val="nil"/>
            </w:tcBorders>
            <w:noWrap w:val="0"/>
            <w:vAlign w:val="center"/>
          </w:tcPr>
          <w:p w14:paraId="73FB89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30.31</w:t>
            </w:r>
          </w:p>
        </w:tc>
      </w:tr>
      <w:tr w14:paraId="19C85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77743B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3150" w:type="dxa"/>
            <w:gridSpan w:val="2"/>
            <w:tcBorders>
              <w:tl2br w:val="nil"/>
              <w:tr2bl w:val="nil"/>
            </w:tcBorders>
            <w:noWrap/>
            <w:vAlign w:val="center"/>
          </w:tcPr>
          <w:p w14:paraId="0C7EFE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检查井人工清捞</w:t>
            </w:r>
          </w:p>
        </w:tc>
        <w:tc>
          <w:tcPr>
            <w:tcW w:w="2985" w:type="dxa"/>
            <w:tcBorders>
              <w:tl2br w:val="nil"/>
              <w:tr2bl w:val="nil"/>
            </w:tcBorders>
            <w:noWrap/>
            <w:vAlign w:val="center"/>
          </w:tcPr>
          <w:p w14:paraId="230FA70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启闭井盖，人工清捞，洗刷，场内运输，清理场地，工地转移等。人工挖污泥、装土、汽车运输、卸污泥。</w:t>
            </w:r>
          </w:p>
        </w:tc>
        <w:tc>
          <w:tcPr>
            <w:tcW w:w="795" w:type="dxa"/>
            <w:tcBorders>
              <w:tl2br w:val="nil"/>
              <w:tr2bl w:val="nil"/>
            </w:tcBorders>
            <w:noWrap/>
            <w:vAlign w:val="center"/>
          </w:tcPr>
          <w:p w14:paraId="2040EE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10C1FD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75.62</w:t>
            </w:r>
          </w:p>
        </w:tc>
      </w:tr>
      <w:tr w14:paraId="0BF6F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101C37B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3150" w:type="dxa"/>
            <w:gridSpan w:val="2"/>
            <w:tcBorders>
              <w:tl2br w:val="nil"/>
              <w:tr2bl w:val="nil"/>
            </w:tcBorders>
            <w:noWrap/>
            <w:vAlign w:val="center"/>
          </w:tcPr>
          <w:p w14:paraId="406426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雨水口人工清捞</w:t>
            </w:r>
          </w:p>
        </w:tc>
        <w:tc>
          <w:tcPr>
            <w:tcW w:w="2985" w:type="dxa"/>
            <w:tcBorders>
              <w:tl2br w:val="nil"/>
              <w:tr2bl w:val="nil"/>
            </w:tcBorders>
            <w:noWrap/>
            <w:vAlign w:val="center"/>
          </w:tcPr>
          <w:p w14:paraId="5D28057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启闭井盖，人工清捞，洗刷，场内运输，清理场地，工地转移等。人工挖污泥、装土、汽车运输、卸污泥。</w:t>
            </w:r>
          </w:p>
        </w:tc>
        <w:tc>
          <w:tcPr>
            <w:tcW w:w="795" w:type="dxa"/>
            <w:tcBorders>
              <w:tl2br w:val="nil"/>
              <w:tr2bl w:val="nil"/>
            </w:tcBorders>
            <w:noWrap/>
            <w:vAlign w:val="center"/>
          </w:tcPr>
          <w:p w14:paraId="015A75F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130284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40.19</w:t>
            </w:r>
          </w:p>
        </w:tc>
      </w:tr>
      <w:tr w14:paraId="5001F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534" w:type="dxa"/>
            <w:tcBorders>
              <w:tl2br w:val="nil"/>
              <w:tr2bl w:val="nil"/>
            </w:tcBorders>
            <w:noWrap/>
            <w:vAlign w:val="center"/>
          </w:tcPr>
          <w:p w14:paraId="7031D0E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3150" w:type="dxa"/>
            <w:gridSpan w:val="2"/>
            <w:tcBorders>
              <w:tl2br w:val="nil"/>
              <w:tr2bl w:val="nil"/>
            </w:tcBorders>
            <w:noWrap/>
            <w:vAlign w:val="center"/>
          </w:tcPr>
          <w:p w14:paraId="044509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日常巡视检测</w:t>
            </w:r>
          </w:p>
        </w:tc>
        <w:tc>
          <w:tcPr>
            <w:tcW w:w="2985" w:type="dxa"/>
            <w:tcBorders>
              <w:tl2br w:val="nil"/>
              <w:tr2bl w:val="nil"/>
            </w:tcBorders>
            <w:noWrap/>
            <w:vAlign w:val="center"/>
          </w:tcPr>
          <w:p w14:paraId="037D467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检查并记录管道污水冒溢、井盖和雨水篦缺损、管道塌陷、违章占压、违章排放、私接管道等情况。</w:t>
            </w:r>
          </w:p>
        </w:tc>
        <w:tc>
          <w:tcPr>
            <w:tcW w:w="795" w:type="dxa"/>
            <w:tcBorders>
              <w:tl2br w:val="nil"/>
              <w:tr2bl w:val="nil"/>
            </w:tcBorders>
            <w:noWrap/>
            <w:vAlign w:val="center"/>
          </w:tcPr>
          <w:p w14:paraId="4AFD69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km</w:t>
            </w:r>
          </w:p>
        </w:tc>
        <w:tc>
          <w:tcPr>
            <w:tcW w:w="1758" w:type="dxa"/>
            <w:tcBorders>
              <w:tl2br w:val="nil"/>
              <w:tr2bl w:val="nil"/>
            </w:tcBorders>
            <w:noWrap w:val="0"/>
            <w:vAlign w:val="center"/>
          </w:tcPr>
          <w:p w14:paraId="0EFFEEA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25.32</w:t>
            </w:r>
          </w:p>
        </w:tc>
      </w:tr>
      <w:tr w14:paraId="5A215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534" w:type="dxa"/>
            <w:tcBorders>
              <w:tl2br w:val="nil"/>
              <w:tr2bl w:val="nil"/>
            </w:tcBorders>
            <w:noWrap/>
            <w:vAlign w:val="center"/>
          </w:tcPr>
          <w:p w14:paraId="5B597AF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3150" w:type="dxa"/>
            <w:gridSpan w:val="2"/>
            <w:tcBorders>
              <w:tl2br w:val="nil"/>
              <w:tr2bl w:val="nil"/>
            </w:tcBorders>
            <w:noWrap/>
            <w:vAlign w:val="center"/>
          </w:tcPr>
          <w:p w14:paraId="0D8EE0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水泵检修保养</w:t>
            </w:r>
          </w:p>
        </w:tc>
        <w:tc>
          <w:tcPr>
            <w:tcW w:w="2985" w:type="dxa"/>
            <w:tcBorders>
              <w:tl2br w:val="nil"/>
              <w:tr2bl w:val="nil"/>
            </w:tcBorders>
            <w:noWrap/>
            <w:vAlign w:val="center"/>
          </w:tcPr>
          <w:p w14:paraId="110B727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外观保洁，盘车，振动和异声检查，轴承润滑检查，检查联轴器，轴封机构的填料检查，各部连接螺栓检查，铭牌清洗，温度、泄漏及湿度传感器等检查。</w:t>
            </w:r>
          </w:p>
        </w:tc>
        <w:tc>
          <w:tcPr>
            <w:tcW w:w="795" w:type="dxa"/>
            <w:tcBorders>
              <w:tl2br w:val="nil"/>
              <w:tr2bl w:val="nil"/>
            </w:tcBorders>
            <w:noWrap/>
            <w:vAlign w:val="center"/>
          </w:tcPr>
          <w:p w14:paraId="7BEC3F8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台</w:t>
            </w:r>
          </w:p>
        </w:tc>
        <w:tc>
          <w:tcPr>
            <w:tcW w:w="1758" w:type="dxa"/>
            <w:tcBorders>
              <w:tl2br w:val="nil"/>
              <w:tr2bl w:val="nil"/>
            </w:tcBorders>
            <w:noWrap w:val="0"/>
            <w:vAlign w:val="center"/>
          </w:tcPr>
          <w:p w14:paraId="3E8F3BB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1217.10</w:t>
            </w:r>
          </w:p>
        </w:tc>
      </w:tr>
      <w:tr w14:paraId="3B360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534" w:type="dxa"/>
            <w:tcBorders>
              <w:tl2br w:val="nil"/>
              <w:tr2bl w:val="nil"/>
            </w:tcBorders>
            <w:noWrap/>
            <w:vAlign w:val="center"/>
          </w:tcPr>
          <w:p w14:paraId="6D0C135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3150" w:type="dxa"/>
            <w:gridSpan w:val="2"/>
            <w:tcBorders>
              <w:tl2br w:val="nil"/>
              <w:tr2bl w:val="nil"/>
            </w:tcBorders>
            <w:noWrap/>
            <w:vAlign w:val="center"/>
          </w:tcPr>
          <w:p w14:paraId="0EFB6D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φ500以内气囊封堵</w:t>
            </w:r>
          </w:p>
        </w:tc>
        <w:tc>
          <w:tcPr>
            <w:tcW w:w="2985" w:type="dxa"/>
            <w:tcBorders>
              <w:tl2br w:val="nil"/>
              <w:tr2bl w:val="nil"/>
            </w:tcBorders>
            <w:noWrap/>
            <w:vAlign w:val="center"/>
          </w:tcPr>
          <w:p w14:paraId="4B1823C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启闭井盖，有毒气体测试，强制通风，清理管口淤泥，塞管塞，管塞充气，场内运输、清理场地等。</w:t>
            </w:r>
          </w:p>
        </w:tc>
        <w:tc>
          <w:tcPr>
            <w:tcW w:w="795" w:type="dxa"/>
            <w:tcBorders>
              <w:tl2br w:val="nil"/>
              <w:tr2bl w:val="nil"/>
            </w:tcBorders>
            <w:noWrap/>
            <w:vAlign w:val="center"/>
          </w:tcPr>
          <w:p w14:paraId="2F88B4C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只</w:t>
            </w:r>
          </w:p>
        </w:tc>
        <w:tc>
          <w:tcPr>
            <w:tcW w:w="1758" w:type="dxa"/>
            <w:tcBorders>
              <w:tl2br w:val="nil"/>
              <w:tr2bl w:val="nil"/>
            </w:tcBorders>
            <w:noWrap w:val="0"/>
            <w:vAlign w:val="center"/>
          </w:tcPr>
          <w:p w14:paraId="3C26D1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yellow"/>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583.71</w:t>
            </w:r>
          </w:p>
        </w:tc>
      </w:tr>
      <w:tr w14:paraId="25A7C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534" w:type="dxa"/>
            <w:tcBorders>
              <w:tl2br w:val="nil"/>
              <w:tr2bl w:val="nil"/>
            </w:tcBorders>
            <w:noWrap/>
            <w:vAlign w:val="center"/>
          </w:tcPr>
          <w:p w14:paraId="2C066A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3150" w:type="dxa"/>
            <w:gridSpan w:val="2"/>
            <w:tcBorders>
              <w:tl2br w:val="nil"/>
              <w:tr2bl w:val="nil"/>
            </w:tcBorders>
            <w:noWrap/>
            <w:vAlign w:val="center"/>
          </w:tcPr>
          <w:p w14:paraId="46D5DD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φ500以内气囊封堵拆除</w:t>
            </w:r>
          </w:p>
        </w:tc>
        <w:tc>
          <w:tcPr>
            <w:tcW w:w="2985" w:type="dxa"/>
            <w:tcBorders>
              <w:tl2br w:val="nil"/>
              <w:tr2bl w:val="nil"/>
            </w:tcBorders>
            <w:noWrap/>
            <w:vAlign w:val="center"/>
          </w:tcPr>
          <w:p w14:paraId="6F1A0AF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抽水、拆除，旧料场内运输，清理场地等。</w:t>
            </w:r>
          </w:p>
        </w:tc>
        <w:tc>
          <w:tcPr>
            <w:tcW w:w="795" w:type="dxa"/>
            <w:tcBorders>
              <w:tl2br w:val="nil"/>
              <w:tr2bl w:val="nil"/>
            </w:tcBorders>
            <w:noWrap/>
            <w:vAlign w:val="center"/>
          </w:tcPr>
          <w:p w14:paraId="1BF93D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只</w:t>
            </w:r>
          </w:p>
        </w:tc>
        <w:tc>
          <w:tcPr>
            <w:tcW w:w="1758" w:type="dxa"/>
            <w:tcBorders>
              <w:tl2br w:val="nil"/>
              <w:tr2bl w:val="nil"/>
            </w:tcBorders>
            <w:noWrap w:val="0"/>
            <w:vAlign w:val="center"/>
          </w:tcPr>
          <w:p w14:paraId="051DE0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yellow"/>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316.18</w:t>
            </w:r>
          </w:p>
        </w:tc>
      </w:tr>
      <w:tr w14:paraId="25EF2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3F4FE26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3150" w:type="dxa"/>
            <w:gridSpan w:val="2"/>
            <w:tcBorders>
              <w:tl2br w:val="nil"/>
              <w:tr2bl w:val="nil"/>
            </w:tcBorders>
            <w:noWrap/>
            <w:vAlign w:val="center"/>
          </w:tcPr>
          <w:p w14:paraId="290656C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调换φ750钢纤维井盖</w:t>
            </w:r>
          </w:p>
        </w:tc>
        <w:tc>
          <w:tcPr>
            <w:tcW w:w="2985" w:type="dxa"/>
            <w:tcBorders>
              <w:tl2br w:val="nil"/>
              <w:tr2bl w:val="nil"/>
            </w:tcBorders>
            <w:noWrap/>
            <w:vAlign w:val="center"/>
          </w:tcPr>
          <w:p w14:paraId="5F8D37C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795" w:type="dxa"/>
            <w:tcBorders>
              <w:tl2br w:val="nil"/>
              <w:tr2bl w:val="nil"/>
            </w:tcBorders>
            <w:noWrap/>
            <w:vAlign w:val="center"/>
          </w:tcPr>
          <w:p w14:paraId="2B4AC88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485FF50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311.05</w:t>
            </w:r>
          </w:p>
        </w:tc>
      </w:tr>
      <w:tr w14:paraId="6E053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5995C4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3150" w:type="dxa"/>
            <w:gridSpan w:val="2"/>
            <w:tcBorders>
              <w:tl2br w:val="nil"/>
              <w:tr2bl w:val="nil"/>
            </w:tcBorders>
            <w:noWrap/>
            <w:vAlign w:val="center"/>
          </w:tcPr>
          <w:p w14:paraId="3518439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调换φ750钢纤维井盖座（含1m2路面拆除修复）</w:t>
            </w:r>
          </w:p>
        </w:tc>
        <w:tc>
          <w:tcPr>
            <w:tcW w:w="2985" w:type="dxa"/>
            <w:tcBorders>
              <w:tl2br w:val="nil"/>
              <w:tr2bl w:val="nil"/>
            </w:tcBorders>
            <w:noWrap/>
            <w:vAlign w:val="center"/>
          </w:tcPr>
          <w:p w14:paraId="7A648B5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795" w:type="dxa"/>
            <w:tcBorders>
              <w:tl2br w:val="nil"/>
              <w:tr2bl w:val="nil"/>
            </w:tcBorders>
            <w:noWrap/>
            <w:vAlign w:val="center"/>
          </w:tcPr>
          <w:p w14:paraId="70239E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6A7E8AC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1043.45</w:t>
            </w:r>
          </w:p>
        </w:tc>
      </w:tr>
      <w:tr w14:paraId="0DE51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56C83C8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3150" w:type="dxa"/>
            <w:gridSpan w:val="2"/>
            <w:tcBorders>
              <w:tl2br w:val="nil"/>
              <w:tr2bl w:val="nil"/>
            </w:tcBorders>
            <w:noWrap/>
            <w:vAlign w:val="center"/>
          </w:tcPr>
          <w:p w14:paraId="053D941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调换500*500钢纤维井盖</w:t>
            </w:r>
          </w:p>
        </w:tc>
        <w:tc>
          <w:tcPr>
            <w:tcW w:w="2985" w:type="dxa"/>
            <w:tcBorders>
              <w:tl2br w:val="nil"/>
              <w:tr2bl w:val="nil"/>
            </w:tcBorders>
            <w:noWrap/>
            <w:vAlign w:val="center"/>
          </w:tcPr>
          <w:p w14:paraId="3657CE7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795" w:type="dxa"/>
            <w:tcBorders>
              <w:tl2br w:val="nil"/>
              <w:tr2bl w:val="nil"/>
            </w:tcBorders>
            <w:noWrap/>
            <w:vAlign w:val="center"/>
          </w:tcPr>
          <w:p w14:paraId="33861C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2E9152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202.05</w:t>
            </w:r>
          </w:p>
        </w:tc>
      </w:tr>
      <w:tr w14:paraId="47F42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0BEFBC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3150" w:type="dxa"/>
            <w:gridSpan w:val="2"/>
            <w:tcBorders>
              <w:tl2br w:val="nil"/>
              <w:tr2bl w:val="nil"/>
            </w:tcBorders>
            <w:noWrap/>
            <w:vAlign w:val="center"/>
          </w:tcPr>
          <w:p w14:paraId="7AD796F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调换500*500钢纤维井盖座（含0.5m2路面拆除修复）</w:t>
            </w:r>
          </w:p>
        </w:tc>
        <w:tc>
          <w:tcPr>
            <w:tcW w:w="2985" w:type="dxa"/>
            <w:tcBorders>
              <w:tl2br w:val="nil"/>
              <w:tr2bl w:val="nil"/>
            </w:tcBorders>
            <w:noWrap/>
            <w:vAlign w:val="center"/>
          </w:tcPr>
          <w:p w14:paraId="071347F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795" w:type="dxa"/>
            <w:tcBorders>
              <w:tl2br w:val="nil"/>
              <w:tr2bl w:val="nil"/>
            </w:tcBorders>
            <w:noWrap/>
            <w:vAlign w:val="center"/>
          </w:tcPr>
          <w:p w14:paraId="2112FF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374ECF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693.58</w:t>
            </w:r>
          </w:p>
        </w:tc>
      </w:tr>
      <w:tr w14:paraId="29F1C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472E8A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3150" w:type="dxa"/>
            <w:gridSpan w:val="2"/>
            <w:tcBorders>
              <w:tl2br w:val="nil"/>
              <w:tr2bl w:val="nil"/>
            </w:tcBorders>
            <w:noWrap/>
            <w:vAlign w:val="center"/>
          </w:tcPr>
          <w:p w14:paraId="5C2447D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防坠网（含6个不锈钢挂钩）</w:t>
            </w:r>
          </w:p>
        </w:tc>
        <w:tc>
          <w:tcPr>
            <w:tcW w:w="2985" w:type="dxa"/>
            <w:tcBorders>
              <w:tl2br w:val="nil"/>
              <w:tr2bl w:val="nil"/>
            </w:tcBorders>
            <w:noWrap/>
            <w:vAlign w:val="center"/>
          </w:tcPr>
          <w:p w14:paraId="648D9D8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启闭盖板，安装螺栓，挂防坠网，清理场地，井深≥1米。</w:t>
            </w:r>
          </w:p>
        </w:tc>
        <w:tc>
          <w:tcPr>
            <w:tcW w:w="795" w:type="dxa"/>
            <w:tcBorders>
              <w:tl2br w:val="nil"/>
              <w:tr2bl w:val="nil"/>
            </w:tcBorders>
            <w:noWrap/>
            <w:vAlign w:val="center"/>
          </w:tcPr>
          <w:p w14:paraId="46BBB0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025E714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70.01</w:t>
            </w:r>
          </w:p>
        </w:tc>
      </w:tr>
      <w:tr w14:paraId="13CC3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5444771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3150" w:type="dxa"/>
            <w:gridSpan w:val="2"/>
            <w:tcBorders>
              <w:tl2br w:val="nil"/>
              <w:tr2bl w:val="nil"/>
            </w:tcBorders>
            <w:noWrap/>
            <w:vAlign w:val="center"/>
          </w:tcPr>
          <w:p w14:paraId="69F2C5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调换400*550雨水口井盖</w:t>
            </w:r>
          </w:p>
        </w:tc>
        <w:tc>
          <w:tcPr>
            <w:tcW w:w="2985" w:type="dxa"/>
            <w:tcBorders>
              <w:tl2br w:val="nil"/>
              <w:tr2bl w:val="nil"/>
            </w:tcBorders>
            <w:noWrap/>
            <w:vAlign w:val="center"/>
          </w:tcPr>
          <w:p w14:paraId="5AB70FB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795" w:type="dxa"/>
            <w:tcBorders>
              <w:tl2br w:val="nil"/>
              <w:tr2bl w:val="nil"/>
            </w:tcBorders>
            <w:noWrap/>
            <w:vAlign w:val="center"/>
          </w:tcPr>
          <w:p w14:paraId="72B269D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411FA5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154.22</w:t>
            </w:r>
          </w:p>
        </w:tc>
      </w:tr>
      <w:tr w14:paraId="38800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44967A2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3150" w:type="dxa"/>
            <w:gridSpan w:val="2"/>
            <w:tcBorders>
              <w:tl2br w:val="nil"/>
              <w:tr2bl w:val="nil"/>
            </w:tcBorders>
            <w:noWrap/>
            <w:vAlign w:val="center"/>
          </w:tcPr>
          <w:p w14:paraId="15C0A95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调换400*550雨水口井盖座（含0.6m2路面拆除修复）</w:t>
            </w:r>
          </w:p>
        </w:tc>
        <w:tc>
          <w:tcPr>
            <w:tcW w:w="2985" w:type="dxa"/>
            <w:tcBorders>
              <w:tl2br w:val="nil"/>
              <w:tr2bl w:val="nil"/>
            </w:tcBorders>
            <w:noWrap/>
            <w:vAlign w:val="center"/>
          </w:tcPr>
          <w:p w14:paraId="3BAE3C8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795" w:type="dxa"/>
            <w:tcBorders>
              <w:tl2br w:val="nil"/>
              <w:tr2bl w:val="nil"/>
            </w:tcBorders>
            <w:noWrap/>
            <w:vAlign w:val="center"/>
          </w:tcPr>
          <w:p w14:paraId="3C48BE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268BD6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509.56</w:t>
            </w:r>
          </w:p>
        </w:tc>
      </w:tr>
      <w:tr w14:paraId="4DD32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4897EB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c>
          <w:tcPr>
            <w:tcW w:w="3150" w:type="dxa"/>
            <w:gridSpan w:val="2"/>
            <w:tcBorders>
              <w:tl2br w:val="nil"/>
              <w:tr2bl w:val="nil"/>
            </w:tcBorders>
            <w:noWrap/>
            <w:vAlign w:val="center"/>
          </w:tcPr>
          <w:p w14:paraId="24A720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调换300*400雨水口井盖</w:t>
            </w:r>
          </w:p>
        </w:tc>
        <w:tc>
          <w:tcPr>
            <w:tcW w:w="2985" w:type="dxa"/>
            <w:tcBorders>
              <w:tl2br w:val="nil"/>
              <w:tr2bl w:val="nil"/>
            </w:tcBorders>
            <w:noWrap/>
            <w:vAlign w:val="center"/>
          </w:tcPr>
          <w:p w14:paraId="4BFC335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启闭井盖，清除框体污垢，安装新盖板，场内运输，清理场地等。</w:t>
            </w:r>
          </w:p>
        </w:tc>
        <w:tc>
          <w:tcPr>
            <w:tcW w:w="795" w:type="dxa"/>
            <w:tcBorders>
              <w:tl2br w:val="nil"/>
              <w:tr2bl w:val="nil"/>
            </w:tcBorders>
            <w:noWrap/>
            <w:vAlign w:val="center"/>
          </w:tcPr>
          <w:p w14:paraId="2EEDEE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623D0E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143.71</w:t>
            </w:r>
          </w:p>
        </w:tc>
      </w:tr>
      <w:tr w14:paraId="7266B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1DBB51E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c>
          <w:tcPr>
            <w:tcW w:w="3150" w:type="dxa"/>
            <w:gridSpan w:val="2"/>
            <w:tcBorders>
              <w:tl2br w:val="nil"/>
              <w:tr2bl w:val="nil"/>
            </w:tcBorders>
            <w:noWrap/>
            <w:vAlign w:val="center"/>
          </w:tcPr>
          <w:p w14:paraId="7D982AD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调换300*400雨水口井盖座（含0.3m2路面拆除修复）</w:t>
            </w:r>
          </w:p>
        </w:tc>
        <w:tc>
          <w:tcPr>
            <w:tcW w:w="2985" w:type="dxa"/>
            <w:tcBorders>
              <w:tl2br w:val="nil"/>
              <w:tr2bl w:val="nil"/>
            </w:tcBorders>
            <w:noWrap/>
            <w:vAlign w:val="center"/>
          </w:tcPr>
          <w:p w14:paraId="2D6EB7F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启闭井盖，清除框体污垢，拆除旧井座，安装井座，路面拆除修复，场内运输，清理场地等。</w:t>
            </w:r>
          </w:p>
        </w:tc>
        <w:tc>
          <w:tcPr>
            <w:tcW w:w="795" w:type="dxa"/>
            <w:tcBorders>
              <w:tl2br w:val="nil"/>
              <w:tr2bl w:val="nil"/>
            </w:tcBorders>
            <w:noWrap/>
            <w:vAlign w:val="center"/>
          </w:tcPr>
          <w:p w14:paraId="7DC4D49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339965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341.06</w:t>
            </w:r>
          </w:p>
        </w:tc>
      </w:tr>
      <w:tr w14:paraId="71E03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4" w:type="dxa"/>
            <w:tcBorders>
              <w:tl2br w:val="nil"/>
              <w:tr2bl w:val="nil"/>
            </w:tcBorders>
            <w:noWrap/>
            <w:vAlign w:val="center"/>
          </w:tcPr>
          <w:p w14:paraId="21AB6C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3150" w:type="dxa"/>
            <w:gridSpan w:val="2"/>
            <w:tcBorders>
              <w:tl2br w:val="nil"/>
              <w:tr2bl w:val="nil"/>
            </w:tcBorders>
            <w:noWrap/>
            <w:vAlign w:val="center"/>
          </w:tcPr>
          <w:p w14:paraId="39C4D11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管道非开挖修复φ300</w:t>
            </w:r>
          </w:p>
        </w:tc>
        <w:tc>
          <w:tcPr>
            <w:tcW w:w="2985" w:type="dxa"/>
            <w:tcBorders>
              <w:tl2br w:val="nil"/>
              <w:tr2bl w:val="nil"/>
            </w:tcBorders>
            <w:noWrap/>
            <w:vAlign w:val="center"/>
          </w:tcPr>
          <w:p w14:paraId="696C03E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毒气检测，树脂渗透毡筒，毡筒缠绕于气囊上，在电视引导下到达修复地点，气囊充气加压，加热固化，气囊减压拉出管道，检测，清理现场等。</w:t>
            </w:r>
          </w:p>
        </w:tc>
        <w:tc>
          <w:tcPr>
            <w:tcW w:w="795" w:type="dxa"/>
            <w:tcBorders>
              <w:tl2br w:val="nil"/>
              <w:tr2bl w:val="nil"/>
            </w:tcBorders>
            <w:noWrap/>
            <w:vAlign w:val="center"/>
          </w:tcPr>
          <w:p w14:paraId="693E10C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处</w:t>
            </w:r>
          </w:p>
        </w:tc>
        <w:tc>
          <w:tcPr>
            <w:tcW w:w="1758" w:type="dxa"/>
            <w:tcBorders>
              <w:tl2br w:val="nil"/>
              <w:tr2bl w:val="nil"/>
            </w:tcBorders>
            <w:noWrap w:val="0"/>
            <w:vAlign w:val="center"/>
          </w:tcPr>
          <w:p w14:paraId="726942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2812.53</w:t>
            </w:r>
          </w:p>
        </w:tc>
      </w:tr>
      <w:tr w14:paraId="1AAA7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34" w:type="dxa"/>
            <w:tcBorders>
              <w:tl2br w:val="nil"/>
              <w:tr2bl w:val="nil"/>
            </w:tcBorders>
            <w:noWrap/>
            <w:vAlign w:val="center"/>
          </w:tcPr>
          <w:p w14:paraId="5DC1991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w:t>
            </w:r>
          </w:p>
        </w:tc>
        <w:tc>
          <w:tcPr>
            <w:tcW w:w="3150" w:type="dxa"/>
            <w:gridSpan w:val="2"/>
            <w:tcBorders>
              <w:tl2br w:val="nil"/>
              <w:tr2bl w:val="nil"/>
            </w:tcBorders>
            <w:noWrap/>
            <w:vAlign w:val="center"/>
          </w:tcPr>
          <w:p w14:paraId="26D5DE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铲斗式挖泥船</w:t>
            </w:r>
          </w:p>
        </w:tc>
        <w:tc>
          <w:tcPr>
            <w:tcW w:w="2985" w:type="dxa"/>
            <w:tcBorders>
              <w:tl2br w:val="nil"/>
              <w:tr2bl w:val="nil"/>
            </w:tcBorders>
            <w:noWrap/>
            <w:vAlign w:val="center"/>
          </w:tcPr>
          <w:p w14:paraId="2196AA5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7DB2E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58" w:type="dxa"/>
            <w:tcBorders>
              <w:tl2br w:val="nil"/>
              <w:tr2bl w:val="nil"/>
            </w:tcBorders>
            <w:noWrap w:val="0"/>
            <w:vAlign w:val="center"/>
          </w:tcPr>
          <w:p w14:paraId="13AB949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3000</w:t>
            </w:r>
          </w:p>
        </w:tc>
      </w:tr>
      <w:tr w14:paraId="64B04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534" w:type="dxa"/>
            <w:tcBorders>
              <w:tl2br w:val="nil"/>
              <w:tr2bl w:val="nil"/>
            </w:tcBorders>
            <w:noWrap/>
            <w:vAlign w:val="center"/>
          </w:tcPr>
          <w:p w14:paraId="024C96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c>
          <w:tcPr>
            <w:tcW w:w="3150" w:type="dxa"/>
            <w:gridSpan w:val="2"/>
            <w:tcBorders>
              <w:tl2br w:val="nil"/>
              <w:tr2bl w:val="nil"/>
            </w:tcBorders>
            <w:noWrap/>
            <w:vAlign w:val="center"/>
          </w:tcPr>
          <w:p w14:paraId="08F298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运输船</w:t>
            </w:r>
          </w:p>
        </w:tc>
        <w:tc>
          <w:tcPr>
            <w:tcW w:w="2985" w:type="dxa"/>
            <w:tcBorders>
              <w:tl2br w:val="nil"/>
              <w:tr2bl w:val="nil"/>
            </w:tcBorders>
            <w:noWrap/>
            <w:vAlign w:val="center"/>
          </w:tcPr>
          <w:p w14:paraId="5E03399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包含运输费、泥浆上岸费、泥浆处置费</w:t>
            </w:r>
          </w:p>
        </w:tc>
        <w:tc>
          <w:tcPr>
            <w:tcW w:w="795" w:type="dxa"/>
            <w:tcBorders>
              <w:tl2br w:val="nil"/>
              <w:tr2bl w:val="nil"/>
            </w:tcBorders>
            <w:noWrap/>
            <w:vAlign w:val="center"/>
          </w:tcPr>
          <w:p w14:paraId="58D80A9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船</w:t>
            </w:r>
          </w:p>
        </w:tc>
        <w:tc>
          <w:tcPr>
            <w:tcW w:w="1758" w:type="dxa"/>
            <w:tcBorders>
              <w:tl2br w:val="nil"/>
              <w:tr2bl w:val="nil"/>
            </w:tcBorders>
            <w:noWrap w:val="0"/>
            <w:vAlign w:val="center"/>
          </w:tcPr>
          <w:p w14:paraId="6DB7E2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1400</w:t>
            </w:r>
          </w:p>
        </w:tc>
      </w:tr>
      <w:tr w14:paraId="6F016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534" w:type="dxa"/>
            <w:tcBorders>
              <w:tl2br w:val="nil"/>
              <w:tr2bl w:val="nil"/>
            </w:tcBorders>
            <w:noWrap/>
            <w:vAlign w:val="center"/>
          </w:tcPr>
          <w:p w14:paraId="3828B7B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c>
          <w:tcPr>
            <w:tcW w:w="3150" w:type="dxa"/>
            <w:gridSpan w:val="2"/>
            <w:tcBorders>
              <w:tl2br w:val="nil"/>
              <w:tr2bl w:val="nil"/>
            </w:tcBorders>
            <w:noWrap/>
            <w:vAlign w:val="center"/>
          </w:tcPr>
          <w:p w14:paraId="0C9345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运输车</w:t>
            </w:r>
          </w:p>
        </w:tc>
        <w:tc>
          <w:tcPr>
            <w:tcW w:w="2985" w:type="dxa"/>
            <w:tcBorders>
              <w:tl2br w:val="nil"/>
              <w:tr2bl w:val="nil"/>
            </w:tcBorders>
            <w:noWrap/>
            <w:vAlign w:val="center"/>
          </w:tcPr>
          <w:p w14:paraId="556FBC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F5008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车</w:t>
            </w:r>
          </w:p>
        </w:tc>
        <w:tc>
          <w:tcPr>
            <w:tcW w:w="1758" w:type="dxa"/>
            <w:tcBorders>
              <w:tl2br w:val="nil"/>
              <w:tr2bl w:val="nil"/>
            </w:tcBorders>
            <w:noWrap w:val="0"/>
            <w:vAlign w:val="center"/>
          </w:tcPr>
          <w:p w14:paraId="06FFA6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700</w:t>
            </w:r>
          </w:p>
        </w:tc>
      </w:tr>
      <w:tr w14:paraId="43C7A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534" w:type="dxa"/>
            <w:tcBorders>
              <w:tl2br w:val="nil"/>
              <w:tr2bl w:val="nil"/>
            </w:tcBorders>
            <w:noWrap/>
            <w:vAlign w:val="center"/>
          </w:tcPr>
          <w:p w14:paraId="4D57156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c>
          <w:tcPr>
            <w:tcW w:w="3150" w:type="dxa"/>
            <w:gridSpan w:val="2"/>
            <w:tcBorders>
              <w:tl2br w:val="nil"/>
              <w:tr2bl w:val="nil"/>
            </w:tcBorders>
            <w:noWrap/>
            <w:vAlign w:val="center"/>
          </w:tcPr>
          <w:p w14:paraId="5FA72B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泥浆泵冲洗河道台班</w:t>
            </w:r>
          </w:p>
        </w:tc>
        <w:tc>
          <w:tcPr>
            <w:tcW w:w="2985" w:type="dxa"/>
            <w:tcBorders>
              <w:tl2br w:val="nil"/>
              <w:tr2bl w:val="nil"/>
            </w:tcBorders>
            <w:noWrap/>
            <w:vAlign w:val="center"/>
          </w:tcPr>
          <w:p w14:paraId="64FC5A6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技术工人工不少于三个、泥浆泵租赁费、高压泵租赁费等</w:t>
            </w:r>
          </w:p>
        </w:tc>
        <w:tc>
          <w:tcPr>
            <w:tcW w:w="795" w:type="dxa"/>
            <w:tcBorders>
              <w:tl2br w:val="nil"/>
              <w:tr2bl w:val="nil"/>
            </w:tcBorders>
            <w:noWrap/>
            <w:vAlign w:val="center"/>
          </w:tcPr>
          <w:p w14:paraId="7CEA163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58" w:type="dxa"/>
            <w:tcBorders>
              <w:tl2br w:val="nil"/>
              <w:tr2bl w:val="nil"/>
            </w:tcBorders>
            <w:noWrap w:val="0"/>
            <w:vAlign w:val="center"/>
          </w:tcPr>
          <w:p w14:paraId="04AEE95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3000</w:t>
            </w:r>
          </w:p>
        </w:tc>
      </w:tr>
      <w:tr w14:paraId="44EB9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534" w:type="dxa"/>
            <w:tcBorders>
              <w:tl2br w:val="nil"/>
              <w:tr2bl w:val="nil"/>
            </w:tcBorders>
            <w:noWrap/>
            <w:vAlign w:val="center"/>
          </w:tcPr>
          <w:p w14:paraId="234C468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w:t>
            </w:r>
          </w:p>
        </w:tc>
        <w:tc>
          <w:tcPr>
            <w:tcW w:w="3150" w:type="dxa"/>
            <w:gridSpan w:val="2"/>
            <w:tcBorders>
              <w:tl2br w:val="nil"/>
              <w:tr2bl w:val="nil"/>
            </w:tcBorders>
            <w:noWrap/>
            <w:vAlign w:val="center"/>
          </w:tcPr>
          <w:p w14:paraId="4F7646E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泥浆泵租赁费</w:t>
            </w:r>
          </w:p>
        </w:tc>
        <w:tc>
          <w:tcPr>
            <w:tcW w:w="2985" w:type="dxa"/>
            <w:tcBorders>
              <w:tl2br w:val="nil"/>
              <w:tr2bl w:val="nil"/>
            </w:tcBorders>
            <w:noWrap/>
            <w:vAlign w:val="center"/>
          </w:tcPr>
          <w:p w14:paraId="5A8D18F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48E59C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58" w:type="dxa"/>
            <w:tcBorders>
              <w:tl2br w:val="nil"/>
              <w:tr2bl w:val="nil"/>
            </w:tcBorders>
            <w:noWrap w:val="0"/>
            <w:vAlign w:val="center"/>
          </w:tcPr>
          <w:p w14:paraId="09CB943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700</w:t>
            </w:r>
          </w:p>
        </w:tc>
      </w:tr>
      <w:tr w14:paraId="622DA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534" w:type="dxa"/>
            <w:tcBorders>
              <w:tl2br w:val="nil"/>
              <w:tr2bl w:val="nil"/>
            </w:tcBorders>
            <w:noWrap/>
            <w:vAlign w:val="center"/>
          </w:tcPr>
          <w:p w14:paraId="4BE4AE4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w:t>
            </w:r>
          </w:p>
        </w:tc>
        <w:tc>
          <w:tcPr>
            <w:tcW w:w="3150" w:type="dxa"/>
            <w:gridSpan w:val="2"/>
            <w:tcBorders>
              <w:tl2br w:val="nil"/>
              <w:tr2bl w:val="nil"/>
            </w:tcBorders>
            <w:noWrap/>
            <w:vAlign w:val="center"/>
          </w:tcPr>
          <w:p w14:paraId="7B0E474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发电机50W</w:t>
            </w:r>
          </w:p>
        </w:tc>
        <w:tc>
          <w:tcPr>
            <w:tcW w:w="2985" w:type="dxa"/>
            <w:tcBorders>
              <w:tl2br w:val="nil"/>
              <w:tr2bl w:val="nil"/>
            </w:tcBorders>
            <w:noWrap/>
            <w:vAlign w:val="center"/>
          </w:tcPr>
          <w:p w14:paraId="0210ADA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7593A1B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58" w:type="dxa"/>
            <w:tcBorders>
              <w:tl2br w:val="nil"/>
              <w:tr2bl w:val="nil"/>
            </w:tcBorders>
            <w:noWrap w:val="0"/>
            <w:vAlign w:val="center"/>
          </w:tcPr>
          <w:p w14:paraId="2A682B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800</w:t>
            </w:r>
          </w:p>
        </w:tc>
      </w:tr>
      <w:tr w14:paraId="6AFFB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534" w:type="dxa"/>
            <w:tcBorders>
              <w:tl2br w:val="nil"/>
              <w:tr2bl w:val="nil"/>
            </w:tcBorders>
            <w:noWrap/>
            <w:vAlign w:val="center"/>
          </w:tcPr>
          <w:p w14:paraId="11A75F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c>
          <w:tcPr>
            <w:tcW w:w="3150" w:type="dxa"/>
            <w:gridSpan w:val="2"/>
            <w:tcBorders>
              <w:tl2br w:val="nil"/>
              <w:tr2bl w:val="nil"/>
            </w:tcBorders>
            <w:noWrap/>
            <w:vAlign w:val="center"/>
          </w:tcPr>
          <w:p w14:paraId="3E7C799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柴油</w:t>
            </w:r>
          </w:p>
        </w:tc>
        <w:tc>
          <w:tcPr>
            <w:tcW w:w="2985" w:type="dxa"/>
            <w:tcBorders>
              <w:tl2br w:val="nil"/>
              <w:tr2bl w:val="nil"/>
            </w:tcBorders>
            <w:noWrap/>
            <w:vAlign w:val="center"/>
          </w:tcPr>
          <w:p w14:paraId="3BA5AD3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10E3AB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kg</w:t>
            </w:r>
          </w:p>
        </w:tc>
        <w:tc>
          <w:tcPr>
            <w:tcW w:w="1758" w:type="dxa"/>
            <w:tcBorders>
              <w:tl2br w:val="nil"/>
              <w:tr2bl w:val="nil"/>
            </w:tcBorders>
            <w:noWrap w:val="0"/>
            <w:vAlign w:val="center"/>
          </w:tcPr>
          <w:p w14:paraId="27050F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8.65</w:t>
            </w:r>
          </w:p>
        </w:tc>
      </w:tr>
      <w:tr w14:paraId="69F7B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534" w:type="dxa"/>
            <w:tcBorders>
              <w:tl2br w:val="nil"/>
              <w:tr2bl w:val="nil"/>
            </w:tcBorders>
            <w:noWrap/>
            <w:vAlign w:val="center"/>
          </w:tcPr>
          <w:p w14:paraId="0E48C9C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w:t>
            </w:r>
          </w:p>
        </w:tc>
        <w:tc>
          <w:tcPr>
            <w:tcW w:w="3150" w:type="dxa"/>
            <w:gridSpan w:val="2"/>
            <w:tcBorders>
              <w:tl2br w:val="nil"/>
              <w:tr2bl w:val="nil"/>
            </w:tcBorders>
            <w:noWrap/>
            <w:vAlign w:val="center"/>
          </w:tcPr>
          <w:p w14:paraId="2F7939E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6寸污水泵</w:t>
            </w:r>
          </w:p>
        </w:tc>
        <w:tc>
          <w:tcPr>
            <w:tcW w:w="2985" w:type="dxa"/>
            <w:tcBorders>
              <w:tl2br w:val="nil"/>
              <w:tr2bl w:val="nil"/>
            </w:tcBorders>
            <w:noWrap/>
            <w:vAlign w:val="center"/>
          </w:tcPr>
          <w:p w14:paraId="306A3DA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B2C26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天</w:t>
            </w:r>
          </w:p>
        </w:tc>
        <w:tc>
          <w:tcPr>
            <w:tcW w:w="1758" w:type="dxa"/>
            <w:tcBorders>
              <w:tl2br w:val="nil"/>
              <w:tr2bl w:val="nil"/>
            </w:tcBorders>
            <w:noWrap w:val="0"/>
            <w:vAlign w:val="center"/>
          </w:tcPr>
          <w:p w14:paraId="08D07D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w:t>
            </w:r>
          </w:p>
        </w:tc>
      </w:tr>
      <w:tr w14:paraId="091B8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534" w:type="dxa"/>
            <w:tcBorders>
              <w:tl2br w:val="nil"/>
              <w:tr2bl w:val="nil"/>
            </w:tcBorders>
            <w:noWrap/>
            <w:vAlign w:val="center"/>
          </w:tcPr>
          <w:p w14:paraId="1ECABF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w:t>
            </w:r>
          </w:p>
        </w:tc>
        <w:tc>
          <w:tcPr>
            <w:tcW w:w="3150" w:type="dxa"/>
            <w:gridSpan w:val="2"/>
            <w:tcBorders>
              <w:tl2br w:val="nil"/>
              <w:tr2bl w:val="nil"/>
            </w:tcBorders>
            <w:noWrap/>
            <w:vAlign w:val="center"/>
          </w:tcPr>
          <w:p w14:paraId="650D8B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普工</w:t>
            </w:r>
          </w:p>
        </w:tc>
        <w:tc>
          <w:tcPr>
            <w:tcW w:w="2985" w:type="dxa"/>
            <w:tcBorders>
              <w:tl2br w:val="nil"/>
              <w:tr2bl w:val="nil"/>
            </w:tcBorders>
            <w:noWrap/>
            <w:vAlign w:val="center"/>
          </w:tcPr>
          <w:p w14:paraId="12C78CA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A93A8D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工日</w:t>
            </w:r>
          </w:p>
        </w:tc>
        <w:tc>
          <w:tcPr>
            <w:tcW w:w="1758" w:type="dxa"/>
            <w:tcBorders>
              <w:tl2br w:val="nil"/>
              <w:tr2bl w:val="nil"/>
            </w:tcBorders>
            <w:noWrap w:val="0"/>
            <w:vAlign w:val="center"/>
          </w:tcPr>
          <w:p w14:paraId="2E6FCF0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200.00</w:t>
            </w:r>
          </w:p>
        </w:tc>
      </w:tr>
      <w:tr w14:paraId="4F6DA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534" w:type="dxa"/>
            <w:tcBorders>
              <w:tl2br w:val="nil"/>
              <w:tr2bl w:val="nil"/>
            </w:tcBorders>
            <w:noWrap/>
            <w:vAlign w:val="center"/>
          </w:tcPr>
          <w:p w14:paraId="301651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w:t>
            </w:r>
          </w:p>
        </w:tc>
        <w:tc>
          <w:tcPr>
            <w:tcW w:w="3150" w:type="dxa"/>
            <w:gridSpan w:val="2"/>
            <w:tcBorders>
              <w:tl2br w:val="nil"/>
              <w:tr2bl w:val="nil"/>
            </w:tcBorders>
            <w:noWrap/>
            <w:vAlign w:val="center"/>
          </w:tcPr>
          <w:p w14:paraId="564DA3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技术工</w:t>
            </w:r>
          </w:p>
        </w:tc>
        <w:tc>
          <w:tcPr>
            <w:tcW w:w="2985" w:type="dxa"/>
            <w:tcBorders>
              <w:tl2br w:val="nil"/>
              <w:tr2bl w:val="nil"/>
            </w:tcBorders>
            <w:noWrap/>
            <w:vAlign w:val="center"/>
          </w:tcPr>
          <w:p w14:paraId="2249520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744346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工日</w:t>
            </w:r>
          </w:p>
        </w:tc>
        <w:tc>
          <w:tcPr>
            <w:tcW w:w="1758" w:type="dxa"/>
            <w:tcBorders>
              <w:tl2br w:val="nil"/>
              <w:tr2bl w:val="nil"/>
            </w:tcBorders>
            <w:noWrap w:val="0"/>
            <w:vAlign w:val="center"/>
          </w:tcPr>
          <w:p w14:paraId="1644B46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320.00</w:t>
            </w:r>
          </w:p>
        </w:tc>
      </w:tr>
      <w:tr w14:paraId="52CD8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1E6EF3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w:t>
            </w:r>
          </w:p>
        </w:tc>
        <w:tc>
          <w:tcPr>
            <w:tcW w:w="990" w:type="dxa"/>
            <w:vMerge w:val="restart"/>
            <w:tcBorders>
              <w:tl2br w:val="nil"/>
              <w:tr2bl w:val="nil"/>
            </w:tcBorders>
            <w:noWrap/>
            <w:vAlign w:val="center"/>
          </w:tcPr>
          <w:p w14:paraId="5718D8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箱涵清淤（宽度1.0米）</w:t>
            </w:r>
          </w:p>
        </w:tc>
        <w:tc>
          <w:tcPr>
            <w:tcW w:w="2160" w:type="dxa"/>
            <w:tcBorders>
              <w:tl2br w:val="nil"/>
              <w:tr2bl w:val="nil"/>
            </w:tcBorders>
            <w:noWrap/>
            <w:vAlign w:val="center"/>
          </w:tcPr>
          <w:p w14:paraId="2CF53B0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56A16EE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0575677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5D28E1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84.63</w:t>
            </w:r>
          </w:p>
        </w:tc>
      </w:tr>
      <w:tr w14:paraId="02636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68C5E8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DFC4C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C8E1A9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33FFCD6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E61E53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3E8C4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118.482</w:t>
            </w:r>
          </w:p>
        </w:tc>
      </w:tr>
      <w:tr w14:paraId="11B90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3C74B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6BC070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C513E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68D3C7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6623E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328A4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169.26</w:t>
            </w:r>
          </w:p>
        </w:tc>
      </w:tr>
      <w:tr w14:paraId="2FEB7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971BC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D986D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225B30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6862313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E2571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7E03EE6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236.964</w:t>
            </w:r>
          </w:p>
        </w:tc>
      </w:tr>
      <w:tr w14:paraId="057F9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265AFD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w:t>
            </w:r>
          </w:p>
        </w:tc>
        <w:tc>
          <w:tcPr>
            <w:tcW w:w="990" w:type="dxa"/>
            <w:vMerge w:val="restart"/>
            <w:tcBorders>
              <w:tl2br w:val="nil"/>
              <w:tr2bl w:val="nil"/>
            </w:tcBorders>
            <w:noWrap/>
            <w:vAlign w:val="center"/>
          </w:tcPr>
          <w:p w14:paraId="36E085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箱涵清淤（宽度1.1米）</w:t>
            </w:r>
          </w:p>
        </w:tc>
        <w:tc>
          <w:tcPr>
            <w:tcW w:w="2160" w:type="dxa"/>
            <w:tcBorders>
              <w:tl2br w:val="nil"/>
              <w:tr2bl w:val="nil"/>
            </w:tcBorders>
            <w:noWrap/>
            <w:vAlign w:val="center"/>
          </w:tcPr>
          <w:p w14:paraId="619BE71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462AFD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30339C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0EDB9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93.09664</w:t>
            </w:r>
          </w:p>
        </w:tc>
      </w:tr>
      <w:tr w14:paraId="3779C79B">
        <w:tblPrEx>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6FB422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A5A8C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0B92E1C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0C751BA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64B45A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242CAE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130.33384</w:t>
            </w:r>
          </w:p>
        </w:tc>
      </w:tr>
      <w:tr w14:paraId="0A76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68531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9AC98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2A661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5ED9DD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38DDE7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F29E0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186.186</w:t>
            </w:r>
          </w:p>
        </w:tc>
      </w:tr>
      <w:tr w14:paraId="70D6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89882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7948C0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1B40098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215929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6CC1CE6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244631D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260.6604</w:t>
            </w:r>
          </w:p>
        </w:tc>
      </w:tr>
      <w:tr w14:paraId="45016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2438D63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w:t>
            </w:r>
          </w:p>
        </w:tc>
        <w:tc>
          <w:tcPr>
            <w:tcW w:w="990" w:type="dxa"/>
            <w:vMerge w:val="restart"/>
            <w:tcBorders>
              <w:tl2br w:val="nil"/>
              <w:tr2bl w:val="nil"/>
            </w:tcBorders>
            <w:noWrap/>
            <w:vAlign w:val="center"/>
          </w:tcPr>
          <w:p w14:paraId="35427E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箱涵清淤（宽度1.2米）</w:t>
            </w:r>
          </w:p>
        </w:tc>
        <w:tc>
          <w:tcPr>
            <w:tcW w:w="2160" w:type="dxa"/>
            <w:tcBorders>
              <w:tl2br w:val="nil"/>
              <w:tr2bl w:val="nil"/>
            </w:tcBorders>
            <w:noWrap/>
            <w:vAlign w:val="center"/>
          </w:tcPr>
          <w:p w14:paraId="30F476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4290EFB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5FA6703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A8AA53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101.556</w:t>
            </w:r>
          </w:p>
        </w:tc>
      </w:tr>
      <w:tr w14:paraId="48BD2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14D37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239B8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55B3DF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17CCBE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76ADFF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00DD30A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142.1784</w:t>
            </w:r>
          </w:p>
        </w:tc>
      </w:tr>
      <w:tr w14:paraId="30C9A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44FBCB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6E974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173DF4E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1F3D505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7BCC6A4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7C1F24C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203.112</w:t>
            </w:r>
          </w:p>
        </w:tc>
      </w:tr>
      <w:tr w14:paraId="34AFE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6BF218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4396D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A2C58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71E82C1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690EA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5115B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284.3568</w:t>
            </w:r>
          </w:p>
        </w:tc>
      </w:tr>
      <w:tr w14:paraId="0DE20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84E17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CED1D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60628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49BB013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4FAE20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2C1B69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365.6016</w:t>
            </w:r>
          </w:p>
        </w:tc>
      </w:tr>
      <w:tr w14:paraId="57E4B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3B3A91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w:t>
            </w:r>
          </w:p>
        </w:tc>
        <w:tc>
          <w:tcPr>
            <w:tcW w:w="990" w:type="dxa"/>
            <w:vMerge w:val="restart"/>
            <w:tcBorders>
              <w:tl2br w:val="nil"/>
              <w:tr2bl w:val="nil"/>
            </w:tcBorders>
            <w:noWrap/>
            <w:vAlign w:val="center"/>
          </w:tcPr>
          <w:p w14:paraId="078E98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箱涵清淤（宽度1.3米）</w:t>
            </w:r>
          </w:p>
        </w:tc>
        <w:tc>
          <w:tcPr>
            <w:tcW w:w="2160" w:type="dxa"/>
            <w:tcBorders>
              <w:tl2br w:val="nil"/>
              <w:tr2bl w:val="nil"/>
            </w:tcBorders>
            <w:noWrap/>
            <w:vAlign w:val="center"/>
          </w:tcPr>
          <w:p w14:paraId="706FC4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13FF1F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1250115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138C2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110.02264</w:t>
            </w:r>
          </w:p>
        </w:tc>
      </w:tr>
      <w:tr w14:paraId="2BC86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677FE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5697D3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5827A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490086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A2693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28E51C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154.03024</w:t>
            </w:r>
          </w:p>
        </w:tc>
      </w:tr>
      <w:tr w14:paraId="1B35D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EA9AA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AFB91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1A727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11520F2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A0E1D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2095222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220.038</w:t>
            </w:r>
          </w:p>
        </w:tc>
      </w:tr>
      <w:tr w14:paraId="12EFA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148E3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A4DFE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931031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220B04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463CA6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F837A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308.0532</w:t>
            </w:r>
          </w:p>
        </w:tc>
      </w:tr>
      <w:tr w14:paraId="0336C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535DD5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CCA2F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691D73F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0059AA7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4FEDC1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019A19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396.0684</w:t>
            </w:r>
          </w:p>
        </w:tc>
      </w:tr>
      <w:tr w14:paraId="509B6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1EB70F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w:t>
            </w:r>
          </w:p>
        </w:tc>
        <w:tc>
          <w:tcPr>
            <w:tcW w:w="990" w:type="dxa"/>
            <w:vMerge w:val="restart"/>
            <w:tcBorders>
              <w:tl2br w:val="nil"/>
              <w:tr2bl w:val="nil"/>
            </w:tcBorders>
            <w:noWrap/>
            <w:vAlign w:val="center"/>
          </w:tcPr>
          <w:p w14:paraId="714E74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箱涵清淤（宽度1.4米）</w:t>
            </w:r>
          </w:p>
        </w:tc>
        <w:tc>
          <w:tcPr>
            <w:tcW w:w="2160" w:type="dxa"/>
            <w:tcBorders>
              <w:tl2br w:val="nil"/>
              <w:tr2bl w:val="nil"/>
            </w:tcBorders>
            <w:noWrap/>
            <w:vAlign w:val="center"/>
          </w:tcPr>
          <w:p w14:paraId="48D2999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2F89F95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13B62E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1E4C63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118.482</w:t>
            </w:r>
          </w:p>
        </w:tc>
      </w:tr>
      <w:tr w14:paraId="04D3A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CF3F0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47E87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FC60E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1CE167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12642C2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BA5159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165.8748</w:t>
            </w:r>
          </w:p>
        </w:tc>
      </w:tr>
      <w:tr w14:paraId="080A8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C60C5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4F1B8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119C43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4267832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75BD94B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54D715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236.964</w:t>
            </w:r>
          </w:p>
        </w:tc>
      </w:tr>
      <w:tr w14:paraId="452E6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54596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047A09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2BCA0D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4CD25A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9D27B1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2F06B9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331.7496</w:t>
            </w:r>
          </w:p>
        </w:tc>
      </w:tr>
      <w:tr w14:paraId="79467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C79088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6C5823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1717F3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170C44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861AE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049A69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426.5352</w:t>
            </w:r>
          </w:p>
        </w:tc>
      </w:tr>
      <w:tr w14:paraId="55C12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30C248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w:t>
            </w:r>
          </w:p>
        </w:tc>
        <w:tc>
          <w:tcPr>
            <w:tcW w:w="990" w:type="dxa"/>
            <w:vMerge w:val="restart"/>
            <w:tcBorders>
              <w:tl2br w:val="nil"/>
              <w:tr2bl w:val="nil"/>
            </w:tcBorders>
            <w:noWrap/>
            <w:vAlign w:val="center"/>
          </w:tcPr>
          <w:p w14:paraId="184E9EA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箱涵清淤（宽度1.5米）</w:t>
            </w:r>
          </w:p>
        </w:tc>
        <w:tc>
          <w:tcPr>
            <w:tcW w:w="2160" w:type="dxa"/>
            <w:tcBorders>
              <w:tl2br w:val="nil"/>
              <w:tr2bl w:val="nil"/>
            </w:tcBorders>
            <w:noWrap/>
            <w:vAlign w:val="center"/>
          </w:tcPr>
          <w:p w14:paraId="46654E3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60E1F75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6A6DF9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1BBFC78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126.945</w:t>
            </w:r>
          </w:p>
        </w:tc>
      </w:tr>
      <w:tr w14:paraId="0D407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8BCD0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626757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FF83F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393BF09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841483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59FF28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177.723</w:t>
            </w:r>
          </w:p>
        </w:tc>
      </w:tr>
      <w:tr w14:paraId="4DB98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6999D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6E78D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0022DA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3433B7C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3F702A7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21E475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253.89</w:t>
            </w:r>
          </w:p>
        </w:tc>
      </w:tr>
      <w:tr w14:paraId="1706B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285673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0FF916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5BA574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091E513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24E1EA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03DAD8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355.446</w:t>
            </w:r>
          </w:p>
        </w:tc>
      </w:tr>
      <w:tr w14:paraId="715CB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265B55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17346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ED531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314496F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441E0B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733555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457.002</w:t>
            </w:r>
          </w:p>
        </w:tc>
      </w:tr>
      <w:tr w14:paraId="57526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50BF78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w:t>
            </w:r>
          </w:p>
        </w:tc>
        <w:tc>
          <w:tcPr>
            <w:tcW w:w="990" w:type="dxa"/>
            <w:vMerge w:val="restart"/>
            <w:tcBorders>
              <w:tl2br w:val="nil"/>
              <w:tr2bl w:val="nil"/>
            </w:tcBorders>
            <w:noWrap/>
            <w:vAlign w:val="center"/>
          </w:tcPr>
          <w:p w14:paraId="148C7E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箱涵清淤（宽度1.6米）</w:t>
            </w:r>
          </w:p>
        </w:tc>
        <w:tc>
          <w:tcPr>
            <w:tcW w:w="2160" w:type="dxa"/>
            <w:tcBorders>
              <w:tl2br w:val="nil"/>
              <w:tr2bl w:val="nil"/>
            </w:tcBorders>
            <w:noWrap/>
            <w:vAlign w:val="center"/>
          </w:tcPr>
          <w:p w14:paraId="23BE138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14776B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705123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96A025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135.408</w:t>
            </w:r>
          </w:p>
        </w:tc>
      </w:tr>
      <w:tr w14:paraId="588F9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BFA69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59F54E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8FD9D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618981D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673DBD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392477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189.5712</w:t>
            </w:r>
          </w:p>
        </w:tc>
      </w:tr>
      <w:tr w14:paraId="07D6B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54F85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6767D3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95EA72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0BF737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3357E24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13626B6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270.816</w:t>
            </w:r>
          </w:p>
        </w:tc>
      </w:tr>
      <w:tr w14:paraId="38AAF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94D2B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706590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556AC9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1DC224A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3243418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F0199B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379.1424</w:t>
            </w:r>
          </w:p>
        </w:tc>
      </w:tr>
      <w:tr w14:paraId="7E24A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51622C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08AE2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1B76F7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2C69FC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6D31F5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84510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487.4688</w:t>
            </w:r>
          </w:p>
        </w:tc>
      </w:tr>
      <w:tr w14:paraId="7809A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69528E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w:t>
            </w:r>
          </w:p>
        </w:tc>
        <w:tc>
          <w:tcPr>
            <w:tcW w:w="990" w:type="dxa"/>
            <w:vMerge w:val="restart"/>
            <w:tcBorders>
              <w:tl2br w:val="nil"/>
              <w:tr2bl w:val="nil"/>
            </w:tcBorders>
            <w:noWrap/>
            <w:vAlign w:val="center"/>
          </w:tcPr>
          <w:p w14:paraId="79D416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箱涵清淤（宽度1.8米）</w:t>
            </w:r>
          </w:p>
        </w:tc>
        <w:tc>
          <w:tcPr>
            <w:tcW w:w="2160" w:type="dxa"/>
            <w:tcBorders>
              <w:tl2br w:val="nil"/>
              <w:tr2bl w:val="nil"/>
            </w:tcBorders>
            <w:noWrap/>
            <w:vAlign w:val="center"/>
          </w:tcPr>
          <w:p w14:paraId="52F3C8D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0DD5B1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73737B6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44F015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152.334</w:t>
            </w:r>
          </w:p>
        </w:tc>
      </w:tr>
      <w:tr w14:paraId="781E0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4AB87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53BF21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0A885B0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77E3B8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878F9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A25D0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213.2676</w:t>
            </w:r>
          </w:p>
        </w:tc>
      </w:tr>
      <w:tr w14:paraId="56AFD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8E0D6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BB05A3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65A104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0982D6E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CEF027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142BF1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304.668</w:t>
            </w:r>
          </w:p>
        </w:tc>
      </w:tr>
      <w:tr w14:paraId="281B0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845BC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6DFBA1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6CEB0F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513C386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687264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5A8A07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426.5352</w:t>
            </w:r>
          </w:p>
        </w:tc>
      </w:tr>
      <w:tr w14:paraId="11C5F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6508CC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95B7A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7B0C0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01F5321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6C33670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132922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548.4024</w:t>
            </w:r>
          </w:p>
        </w:tc>
      </w:tr>
      <w:tr w14:paraId="27430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6C6435C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w:t>
            </w:r>
          </w:p>
        </w:tc>
        <w:tc>
          <w:tcPr>
            <w:tcW w:w="990" w:type="dxa"/>
            <w:vMerge w:val="restart"/>
            <w:tcBorders>
              <w:tl2br w:val="nil"/>
              <w:tr2bl w:val="nil"/>
            </w:tcBorders>
            <w:noWrap/>
            <w:vAlign w:val="center"/>
          </w:tcPr>
          <w:p w14:paraId="751C60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箱涵清淤（宽度2.0米）</w:t>
            </w:r>
          </w:p>
        </w:tc>
        <w:tc>
          <w:tcPr>
            <w:tcW w:w="2160" w:type="dxa"/>
            <w:tcBorders>
              <w:tl2br w:val="nil"/>
              <w:tr2bl w:val="nil"/>
            </w:tcBorders>
            <w:noWrap/>
            <w:vAlign w:val="center"/>
          </w:tcPr>
          <w:p w14:paraId="23EBC1B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6AEA313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5306E53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3E936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169.26</w:t>
            </w:r>
          </w:p>
        </w:tc>
      </w:tr>
      <w:tr w14:paraId="36358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A398C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0FDD4D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7B321E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256AB6A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3BC1832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576B37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236.964</w:t>
            </w:r>
          </w:p>
        </w:tc>
      </w:tr>
      <w:tr w14:paraId="3AE65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3DBCB3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3D619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0ED32E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718D7D2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CCCBAC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897E60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338.52</w:t>
            </w:r>
          </w:p>
        </w:tc>
      </w:tr>
      <w:tr w14:paraId="02F5C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61E1B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6D4F4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9246A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5440BA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68EBE5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4DE8A3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473.928</w:t>
            </w:r>
          </w:p>
        </w:tc>
      </w:tr>
      <w:tr w14:paraId="591B9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4C110E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2DB57A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6FF297D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429B3FE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FEE001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0A12453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609.336</w:t>
            </w:r>
          </w:p>
        </w:tc>
      </w:tr>
      <w:tr w14:paraId="2E458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7BDD3DE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w:t>
            </w:r>
          </w:p>
        </w:tc>
        <w:tc>
          <w:tcPr>
            <w:tcW w:w="990" w:type="dxa"/>
            <w:vMerge w:val="restart"/>
            <w:tcBorders>
              <w:tl2br w:val="nil"/>
              <w:tr2bl w:val="nil"/>
            </w:tcBorders>
            <w:noWrap/>
            <w:vAlign w:val="center"/>
          </w:tcPr>
          <w:p w14:paraId="691E04C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雨、污水管（立管）安装</w:t>
            </w:r>
          </w:p>
        </w:tc>
        <w:tc>
          <w:tcPr>
            <w:tcW w:w="2160" w:type="dxa"/>
            <w:tcBorders>
              <w:tl2br w:val="nil"/>
              <w:tr2bl w:val="nil"/>
            </w:tcBorders>
            <w:noWrap/>
            <w:vAlign w:val="center"/>
          </w:tcPr>
          <w:p w14:paraId="45F064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DN50</w:t>
            </w:r>
          </w:p>
        </w:tc>
        <w:tc>
          <w:tcPr>
            <w:tcW w:w="2985" w:type="dxa"/>
            <w:vMerge w:val="restart"/>
            <w:tcBorders>
              <w:tl2br w:val="nil"/>
              <w:tr2bl w:val="nil"/>
            </w:tcBorders>
            <w:noWrap/>
            <w:vAlign w:val="center"/>
          </w:tcPr>
          <w:p w14:paraId="0E41A9C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UPVC排水管，粘接，管件安装，抱箍，立管安装措施费</w:t>
            </w:r>
          </w:p>
        </w:tc>
        <w:tc>
          <w:tcPr>
            <w:tcW w:w="795" w:type="dxa"/>
            <w:tcBorders>
              <w:tl2br w:val="nil"/>
              <w:tr2bl w:val="nil"/>
            </w:tcBorders>
            <w:noWrap/>
            <w:vAlign w:val="center"/>
          </w:tcPr>
          <w:p w14:paraId="6E3887A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AA113F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73.39</w:t>
            </w:r>
          </w:p>
        </w:tc>
      </w:tr>
      <w:tr w14:paraId="5A118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5031AB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8D186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1967B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DN75</w:t>
            </w:r>
          </w:p>
        </w:tc>
        <w:tc>
          <w:tcPr>
            <w:tcW w:w="2985" w:type="dxa"/>
            <w:vMerge w:val="continue"/>
            <w:tcBorders>
              <w:tl2br w:val="nil"/>
              <w:tr2bl w:val="nil"/>
            </w:tcBorders>
            <w:noWrap/>
            <w:vAlign w:val="center"/>
          </w:tcPr>
          <w:p w14:paraId="011A13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165335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751B4B3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83.36</w:t>
            </w:r>
          </w:p>
        </w:tc>
      </w:tr>
      <w:tr w14:paraId="106B2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2870B5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877B2A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9D838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DN110</w:t>
            </w:r>
          </w:p>
        </w:tc>
        <w:tc>
          <w:tcPr>
            <w:tcW w:w="2985" w:type="dxa"/>
            <w:vMerge w:val="continue"/>
            <w:tcBorders>
              <w:tl2br w:val="nil"/>
              <w:tr2bl w:val="nil"/>
            </w:tcBorders>
            <w:noWrap/>
            <w:vAlign w:val="center"/>
          </w:tcPr>
          <w:p w14:paraId="5C52E0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1DD63F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2BC3563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99.51</w:t>
            </w:r>
          </w:p>
        </w:tc>
      </w:tr>
      <w:tr w14:paraId="1E091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ABF193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DE20FE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0DF6076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DN160</w:t>
            </w:r>
          </w:p>
        </w:tc>
        <w:tc>
          <w:tcPr>
            <w:tcW w:w="2985" w:type="dxa"/>
            <w:vMerge w:val="continue"/>
            <w:tcBorders>
              <w:tl2br w:val="nil"/>
              <w:tr2bl w:val="nil"/>
            </w:tcBorders>
            <w:noWrap/>
            <w:vAlign w:val="center"/>
          </w:tcPr>
          <w:p w14:paraId="5587581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44A3CB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03D7EC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132.47</w:t>
            </w:r>
          </w:p>
        </w:tc>
      </w:tr>
      <w:tr w14:paraId="1006C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6EBAA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011066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583C893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DN160</w:t>
            </w:r>
          </w:p>
        </w:tc>
        <w:tc>
          <w:tcPr>
            <w:tcW w:w="2985" w:type="dxa"/>
            <w:vMerge w:val="continue"/>
            <w:tcBorders>
              <w:tl2br w:val="nil"/>
              <w:tr2bl w:val="nil"/>
            </w:tcBorders>
            <w:noWrap/>
            <w:vAlign w:val="center"/>
          </w:tcPr>
          <w:p w14:paraId="47FF99E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EBCF80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9E6BB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154.97</w:t>
            </w:r>
          </w:p>
        </w:tc>
      </w:tr>
      <w:tr w14:paraId="0AE82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tcBorders>
              <w:tl2br w:val="nil"/>
              <w:tr2bl w:val="nil"/>
            </w:tcBorders>
            <w:noWrap/>
            <w:vAlign w:val="center"/>
          </w:tcPr>
          <w:p w14:paraId="6F70809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w:t>
            </w:r>
          </w:p>
        </w:tc>
        <w:tc>
          <w:tcPr>
            <w:tcW w:w="3150" w:type="dxa"/>
            <w:gridSpan w:val="2"/>
            <w:tcBorders>
              <w:tl2br w:val="nil"/>
              <w:tr2bl w:val="nil"/>
            </w:tcBorders>
            <w:noWrap/>
            <w:vAlign w:val="center"/>
          </w:tcPr>
          <w:p w14:paraId="568594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金属支架制作、安装</w:t>
            </w:r>
          </w:p>
        </w:tc>
        <w:tc>
          <w:tcPr>
            <w:tcW w:w="2985" w:type="dxa"/>
            <w:tcBorders>
              <w:tl2br w:val="nil"/>
              <w:tr2bl w:val="nil"/>
            </w:tcBorders>
            <w:noWrap/>
            <w:vAlign w:val="center"/>
          </w:tcPr>
          <w:p w14:paraId="4AB371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热镀锌角钢、抱箍，螺栓包含在单价内</w:t>
            </w:r>
          </w:p>
        </w:tc>
        <w:tc>
          <w:tcPr>
            <w:tcW w:w="795" w:type="dxa"/>
            <w:tcBorders>
              <w:tl2br w:val="nil"/>
              <w:tr2bl w:val="nil"/>
            </w:tcBorders>
            <w:noWrap/>
            <w:vAlign w:val="center"/>
          </w:tcPr>
          <w:p w14:paraId="7527AB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kg</w:t>
            </w:r>
          </w:p>
        </w:tc>
        <w:tc>
          <w:tcPr>
            <w:tcW w:w="1758" w:type="dxa"/>
            <w:tcBorders>
              <w:tl2br w:val="nil"/>
              <w:tr2bl w:val="nil"/>
            </w:tcBorders>
            <w:noWrap w:val="0"/>
            <w:vAlign w:val="center"/>
          </w:tcPr>
          <w:p w14:paraId="13CC709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22.5</w:t>
            </w:r>
          </w:p>
        </w:tc>
      </w:tr>
      <w:tr w14:paraId="2522C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2" w:hRule="exact"/>
          <w:jc w:val="center"/>
        </w:trPr>
        <w:tc>
          <w:tcPr>
            <w:tcW w:w="534" w:type="dxa"/>
            <w:tcBorders>
              <w:tl2br w:val="nil"/>
              <w:tr2bl w:val="nil"/>
            </w:tcBorders>
            <w:noWrap/>
            <w:vAlign w:val="center"/>
          </w:tcPr>
          <w:p w14:paraId="7BC8FE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c>
          <w:tcPr>
            <w:tcW w:w="3150" w:type="dxa"/>
            <w:gridSpan w:val="2"/>
            <w:tcBorders>
              <w:tl2br w:val="nil"/>
              <w:tr2bl w:val="nil"/>
            </w:tcBorders>
            <w:noWrap/>
            <w:vAlign w:val="center"/>
          </w:tcPr>
          <w:p w14:paraId="737805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化粪池修复</w:t>
            </w:r>
          </w:p>
        </w:tc>
        <w:tc>
          <w:tcPr>
            <w:tcW w:w="2985" w:type="dxa"/>
            <w:tcBorders>
              <w:tl2br w:val="nil"/>
              <w:tr2bl w:val="nil"/>
            </w:tcBorders>
            <w:noWrap/>
            <w:vAlign w:val="center"/>
          </w:tcPr>
          <w:p w14:paraId="48892CC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化粪池修复，高度综合考虑，M10水泥砂浆混凝土实心砖1砖厚，20mm厚1:2水泥砂浆抹面，φ400钢纤维砼井盖座，地面拆除修复，人工开挖回填，余方弃置</w:t>
            </w:r>
          </w:p>
        </w:tc>
        <w:tc>
          <w:tcPr>
            <w:tcW w:w="795" w:type="dxa"/>
            <w:tcBorders>
              <w:tl2br w:val="nil"/>
              <w:tr2bl w:val="nil"/>
            </w:tcBorders>
            <w:noWrap/>
            <w:vAlign w:val="center"/>
          </w:tcPr>
          <w:p w14:paraId="7F9F9BD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座</w:t>
            </w:r>
          </w:p>
        </w:tc>
        <w:tc>
          <w:tcPr>
            <w:tcW w:w="1758" w:type="dxa"/>
            <w:tcBorders>
              <w:tl2br w:val="nil"/>
              <w:tr2bl w:val="nil"/>
            </w:tcBorders>
            <w:noWrap w:val="0"/>
            <w:vAlign w:val="center"/>
          </w:tcPr>
          <w:p w14:paraId="2B1DB9C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784.31</w:t>
            </w:r>
          </w:p>
        </w:tc>
      </w:tr>
      <w:tr w14:paraId="5BCCB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5778BD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w:t>
            </w:r>
          </w:p>
        </w:tc>
        <w:tc>
          <w:tcPr>
            <w:tcW w:w="990" w:type="dxa"/>
            <w:vMerge w:val="restart"/>
            <w:tcBorders>
              <w:tl2br w:val="nil"/>
              <w:tr2bl w:val="nil"/>
            </w:tcBorders>
            <w:noWrap/>
            <w:vAlign w:val="center"/>
          </w:tcPr>
          <w:p w14:paraId="27509A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圆管涵清淤（直径1.5米）</w:t>
            </w:r>
          </w:p>
        </w:tc>
        <w:tc>
          <w:tcPr>
            <w:tcW w:w="2160" w:type="dxa"/>
            <w:tcBorders>
              <w:tl2br w:val="nil"/>
              <w:tr2bl w:val="nil"/>
            </w:tcBorders>
            <w:noWrap/>
            <w:vAlign w:val="center"/>
          </w:tcPr>
          <w:p w14:paraId="299E9E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3E9AADE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69EDC6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420763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64.74</w:t>
            </w:r>
          </w:p>
        </w:tc>
      </w:tr>
      <w:tr w14:paraId="038A2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06DA80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7CB0CE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6114CB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07EF23B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2EA319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28B89D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99.52</w:t>
            </w:r>
          </w:p>
        </w:tc>
      </w:tr>
      <w:tr w14:paraId="7A0CF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5B8D07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CD4450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2E74A1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5AC1BB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09EF4F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8DEED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172.65</w:t>
            </w:r>
          </w:p>
        </w:tc>
      </w:tr>
      <w:tr w14:paraId="4663F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561B0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5740DC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45F09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6648AF8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37FD284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EEE03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280.80</w:t>
            </w:r>
          </w:p>
        </w:tc>
      </w:tr>
      <w:tr w14:paraId="333BE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4F8E2D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404372F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CEA27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303082B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4674C0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0B6779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329.04</w:t>
            </w:r>
          </w:p>
        </w:tc>
      </w:tr>
      <w:tr w14:paraId="201BC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restart"/>
            <w:tcBorders>
              <w:tl2br w:val="nil"/>
              <w:tr2bl w:val="nil"/>
            </w:tcBorders>
            <w:noWrap/>
            <w:vAlign w:val="center"/>
          </w:tcPr>
          <w:p w14:paraId="584FF0F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w:t>
            </w:r>
          </w:p>
        </w:tc>
        <w:tc>
          <w:tcPr>
            <w:tcW w:w="990" w:type="dxa"/>
            <w:vMerge w:val="restart"/>
            <w:tcBorders>
              <w:tl2br w:val="nil"/>
              <w:tr2bl w:val="nil"/>
            </w:tcBorders>
            <w:noWrap/>
            <w:vAlign w:val="center"/>
          </w:tcPr>
          <w:p w14:paraId="5B6E573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圆管涵清淤（直径1.8米）</w:t>
            </w:r>
          </w:p>
        </w:tc>
        <w:tc>
          <w:tcPr>
            <w:tcW w:w="2160" w:type="dxa"/>
            <w:tcBorders>
              <w:tl2br w:val="nil"/>
              <w:tr2bl w:val="nil"/>
            </w:tcBorders>
            <w:noWrap/>
            <w:vAlign w:val="center"/>
          </w:tcPr>
          <w:p w14:paraId="6B01C4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积淤厚度25CM及以下</w:t>
            </w:r>
          </w:p>
        </w:tc>
        <w:tc>
          <w:tcPr>
            <w:tcW w:w="2985" w:type="dxa"/>
            <w:vMerge w:val="restart"/>
            <w:tcBorders>
              <w:tl2br w:val="nil"/>
              <w:tr2bl w:val="nil"/>
            </w:tcBorders>
            <w:noWrap/>
            <w:vAlign w:val="center"/>
          </w:tcPr>
          <w:p w14:paraId="33AD2C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临时封堵、临时排水、疏通车高压冲洗、井中集中出泥、人工清掏、机械吸泥、毒气检测、人工钻入管道清泥、场内运输、清扫等</w:t>
            </w:r>
          </w:p>
        </w:tc>
        <w:tc>
          <w:tcPr>
            <w:tcW w:w="795" w:type="dxa"/>
            <w:tcBorders>
              <w:tl2br w:val="nil"/>
              <w:tr2bl w:val="nil"/>
            </w:tcBorders>
            <w:noWrap/>
            <w:vAlign w:val="center"/>
          </w:tcPr>
          <w:p w14:paraId="6C27AA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566AC6A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71.60</w:t>
            </w:r>
          </w:p>
        </w:tc>
      </w:tr>
      <w:tr w14:paraId="76D0F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10F49C4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5FC1109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00CB220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积淤厚度25CM以上40CM及以下</w:t>
            </w:r>
          </w:p>
        </w:tc>
        <w:tc>
          <w:tcPr>
            <w:tcW w:w="2985" w:type="dxa"/>
            <w:vMerge w:val="continue"/>
            <w:tcBorders>
              <w:tl2br w:val="nil"/>
              <w:tr2bl w:val="nil"/>
            </w:tcBorders>
            <w:noWrap/>
            <w:vAlign w:val="center"/>
          </w:tcPr>
          <w:p w14:paraId="0374BE1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62689B2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BF9964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106.63</w:t>
            </w:r>
          </w:p>
        </w:tc>
      </w:tr>
      <w:tr w14:paraId="5A510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52CD1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1274D1A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1CB4E93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积淤厚度40CM以上60CM及以下</w:t>
            </w:r>
          </w:p>
        </w:tc>
        <w:tc>
          <w:tcPr>
            <w:tcW w:w="2985" w:type="dxa"/>
            <w:vMerge w:val="continue"/>
            <w:tcBorders>
              <w:tl2br w:val="nil"/>
              <w:tr2bl w:val="nil"/>
            </w:tcBorders>
            <w:noWrap/>
            <w:vAlign w:val="center"/>
          </w:tcPr>
          <w:p w14:paraId="51797B5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58B8EC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9877B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194.99</w:t>
            </w:r>
          </w:p>
        </w:tc>
      </w:tr>
      <w:tr w14:paraId="14988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34FA29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3D62DBC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39ECB5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积淤厚度60CM以上80CM及以下</w:t>
            </w:r>
          </w:p>
        </w:tc>
        <w:tc>
          <w:tcPr>
            <w:tcW w:w="2985" w:type="dxa"/>
            <w:vMerge w:val="continue"/>
            <w:tcBorders>
              <w:tl2br w:val="nil"/>
              <w:tr2bl w:val="nil"/>
            </w:tcBorders>
            <w:noWrap/>
            <w:vAlign w:val="center"/>
          </w:tcPr>
          <w:p w14:paraId="5331085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1DEE3A4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61AAFC1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307.11</w:t>
            </w:r>
          </w:p>
        </w:tc>
      </w:tr>
      <w:tr w14:paraId="208DB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534" w:type="dxa"/>
            <w:vMerge w:val="continue"/>
            <w:tcBorders>
              <w:tl2br w:val="nil"/>
              <w:tr2bl w:val="nil"/>
            </w:tcBorders>
            <w:noWrap/>
            <w:vAlign w:val="center"/>
          </w:tcPr>
          <w:p w14:paraId="7145F3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90" w:type="dxa"/>
            <w:vMerge w:val="continue"/>
            <w:tcBorders>
              <w:tl2br w:val="nil"/>
              <w:tr2bl w:val="nil"/>
            </w:tcBorders>
            <w:noWrap/>
            <w:vAlign w:val="center"/>
          </w:tcPr>
          <w:p w14:paraId="6798C52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2160" w:type="dxa"/>
            <w:tcBorders>
              <w:tl2br w:val="nil"/>
              <w:tr2bl w:val="nil"/>
            </w:tcBorders>
            <w:noWrap/>
            <w:vAlign w:val="center"/>
          </w:tcPr>
          <w:p w14:paraId="4C20F3E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积淤厚度80CM以上100CM及以下</w:t>
            </w:r>
          </w:p>
        </w:tc>
        <w:tc>
          <w:tcPr>
            <w:tcW w:w="2985" w:type="dxa"/>
            <w:vMerge w:val="continue"/>
            <w:tcBorders>
              <w:tl2br w:val="nil"/>
              <w:tr2bl w:val="nil"/>
            </w:tcBorders>
            <w:noWrap/>
            <w:vAlign w:val="center"/>
          </w:tcPr>
          <w:p w14:paraId="3F014C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95" w:type="dxa"/>
            <w:tcBorders>
              <w:tl2br w:val="nil"/>
              <w:tr2bl w:val="nil"/>
            </w:tcBorders>
            <w:noWrap/>
            <w:vAlign w:val="center"/>
          </w:tcPr>
          <w:p w14:paraId="19B1748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米</w:t>
            </w:r>
          </w:p>
        </w:tc>
        <w:tc>
          <w:tcPr>
            <w:tcW w:w="1758" w:type="dxa"/>
            <w:tcBorders>
              <w:tl2br w:val="nil"/>
              <w:tr2bl w:val="nil"/>
            </w:tcBorders>
            <w:noWrap w:val="0"/>
            <w:vAlign w:val="center"/>
          </w:tcPr>
          <w:p w14:paraId="3106D34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430.50</w:t>
            </w:r>
          </w:p>
        </w:tc>
      </w:tr>
    </w:tbl>
    <w:p w14:paraId="05C20304">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三、费用结算</w:t>
      </w:r>
    </w:p>
    <w:p w14:paraId="0DF88A25">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exact"/>
        <w:ind w:firstLine="420" w:firstLineChars="200"/>
        <w:jc w:val="left"/>
        <w:rPr>
          <w:rFonts w:hint="eastAsia" w:ascii="宋体" w:hAnsi="宋体" w:eastAsia="宋体" w:cs="宋体"/>
          <w:color w:val="000000"/>
          <w:sz w:val="21"/>
          <w:szCs w:val="21"/>
          <w:highlight w:val="none"/>
          <w:u w:val="single"/>
        </w:rPr>
      </w:pPr>
      <w:r>
        <w:rPr>
          <w:rFonts w:hint="eastAsia" w:ascii="宋体" w:hAnsi="宋体" w:eastAsia="宋体" w:cs="宋体"/>
          <w:color w:val="000000"/>
          <w:kern w:val="0"/>
          <w:sz w:val="21"/>
          <w:szCs w:val="21"/>
          <w:highlight w:val="none"/>
        </w:rPr>
        <w:t>1</w:t>
      </w:r>
      <w:r>
        <w:rPr>
          <w:rFonts w:hint="eastAsia" w:ascii="宋体" w:hAnsi="宋体" w:eastAsia="宋体" w:cs="宋体"/>
          <w:color w:val="000000"/>
          <w:kern w:val="0"/>
          <w:sz w:val="21"/>
          <w:szCs w:val="21"/>
          <w:highlight w:val="none"/>
          <w:lang w:val="en-US" w:eastAsia="zh-CN"/>
        </w:rPr>
        <w:t>.</w:t>
      </w:r>
      <w:r>
        <w:rPr>
          <w:rFonts w:hint="eastAsia" w:ascii="宋体" w:hAnsi="宋体" w:eastAsia="宋体" w:cs="宋体"/>
          <w:b/>
          <w:bCs/>
          <w:color w:val="000000"/>
          <w:kern w:val="0"/>
          <w:sz w:val="21"/>
          <w:szCs w:val="21"/>
          <w:highlight w:val="none"/>
          <w:u w:val="none"/>
        </w:rPr>
        <w:t>本合同</w:t>
      </w:r>
      <w:r>
        <w:rPr>
          <w:rFonts w:hint="eastAsia" w:ascii="宋体" w:hAnsi="宋体" w:eastAsia="宋体" w:cs="宋体"/>
          <w:b/>
          <w:bCs/>
          <w:color w:val="000000"/>
          <w:sz w:val="21"/>
          <w:szCs w:val="21"/>
          <w:highlight w:val="none"/>
          <w:u w:val="none"/>
        </w:rPr>
        <w:t>结算率</w:t>
      </w:r>
      <w:r>
        <w:rPr>
          <w:rFonts w:hint="eastAsia" w:ascii="宋体" w:hAnsi="宋体" w:eastAsia="宋体" w:cs="宋体"/>
          <w:b/>
          <w:color w:val="000000"/>
          <w:sz w:val="21"/>
          <w:szCs w:val="21"/>
          <w:highlight w:val="none"/>
          <w:u w:val="none"/>
        </w:rPr>
        <w:t>：</w:t>
      </w:r>
      <w:r>
        <w:rPr>
          <w:rFonts w:hint="eastAsia" w:ascii="宋体" w:hAnsi="宋体" w:eastAsia="宋体" w:cs="宋体"/>
          <w:b/>
          <w:bCs/>
          <w:color w:val="000000"/>
          <w:sz w:val="21"/>
          <w:szCs w:val="21"/>
          <w:highlight w:val="none"/>
          <w:u w:val="single"/>
        </w:rPr>
        <w:t xml:space="preserve"> </w:t>
      </w:r>
      <w:r>
        <w:rPr>
          <w:rFonts w:hint="eastAsia" w:ascii="宋体" w:hAnsi="宋体" w:eastAsia="宋体" w:cs="宋体"/>
          <w:b/>
          <w:bCs/>
          <w:color w:val="000000"/>
          <w:sz w:val="21"/>
          <w:szCs w:val="21"/>
          <w:highlight w:val="none"/>
          <w:u w:val="single"/>
          <w:lang w:val="en-US" w:eastAsia="zh-CN"/>
        </w:rPr>
        <w:t xml:space="preserve">   </w:t>
      </w:r>
      <w:r>
        <w:rPr>
          <w:rFonts w:hint="eastAsia" w:ascii="宋体" w:hAnsi="宋体" w:eastAsia="宋体" w:cs="宋体"/>
          <w:b/>
          <w:bCs/>
          <w:color w:val="000000"/>
          <w:sz w:val="21"/>
          <w:szCs w:val="21"/>
          <w:highlight w:val="none"/>
          <w:u w:val="single"/>
        </w:rPr>
        <w:t xml:space="preserve">    </w:t>
      </w:r>
      <w:r>
        <w:rPr>
          <w:rFonts w:hint="eastAsia" w:ascii="宋体" w:hAnsi="宋体" w:eastAsia="宋体" w:cs="宋体"/>
          <w:b/>
          <w:bCs/>
          <w:color w:val="000000"/>
          <w:sz w:val="21"/>
          <w:szCs w:val="21"/>
          <w:highlight w:val="none"/>
        </w:rPr>
        <w:t>%。</w:t>
      </w:r>
    </w:p>
    <w:p w14:paraId="4EECF359">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rPr>
      </w:pPr>
      <w:r>
        <w:rPr>
          <w:rFonts w:hint="eastAsia" w:ascii="宋体" w:hAnsi="宋体" w:eastAsia="宋体" w:cs="宋体"/>
          <w:b w:val="0"/>
          <w:bCs w:val="0"/>
          <w:color w:val="000000"/>
          <w:sz w:val="21"/>
          <w:szCs w:val="21"/>
          <w:highlight w:val="none"/>
        </w:rPr>
        <w:t>2</w:t>
      </w:r>
      <w:r>
        <w:rPr>
          <w:rFonts w:hint="eastAsia" w:ascii="宋体" w:hAnsi="宋体" w:eastAsia="宋体" w:cs="宋体"/>
          <w:b w:val="0"/>
          <w:bCs w:val="0"/>
          <w:color w:val="000000"/>
          <w:sz w:val="21"/>
          <w:szCs w:val="21"/>
          <w:highlight w:val="none"/>
          <w:lang w:val="en-US" w:eastAsia="zh-CN"/>
        </w:rPr>
        <w:t>.</w:t>
      </w:r>
      <w:r>
        <w:rPr>
          <w:rFonts w:hint="eastAsia" w:ascii="宋体" w:hAnsi="宋体" w:eastAsia="宋体" w:cs="宋体"/>
          <w:b w:val="0"/>
          <w:bCs w:val="0"/>
          <w:color w:val="000000"/>
          <w:sz w:val="21"/>
          <w:szCs w:val="21"/>
          <w:highlight w:val="none"/>
        </w:rPr>
        <w:t>结算方式：</w:t>
      </w:r>
      <w:r>
        <w:rPr>
          <w:rFonts w:hint="eastAsia" w:ascii="宋体" w:hAnsi="宋体" w:eastAsia="宋体" w:cs="宋体"/>
          <w:b w:val="0"/>
          <w:bCs w:val="0"/>
          <w:color w:val="000000"/>
          <w:kern w:val="0"/>
          <w:sz w:val="21"/>
          <w:szCs w:val="21"/>
          <w:highlight w:val="none"/>
        </w:rPr>
        <w:t>招标人</w:t>
      </w:r>
      <w:r>
        <w:rPr>
          <w:rFonts w:hint="eastAsia" w:ascii="宋体" w:hAnsi="宋体" w:eastAsia="宋体" w:cs="宋体"/>
          <w:b w:val="0"/>
          <w:bCs w:val="0"/>
          <w:color w:val="000000"/>
          <w:kern w:val="0"/>
          <w:sz w:val="21"/>
          <w:szCs w:val="21"/>
          <w:highlight w:val="none"/>
          <w:lang w:eastAsia="zh-CN"/>
        </w:rPr>
        <w:t>提供的</w:t>
      </w:r>
      <w:r>
        <w:rPr>
          <w:rFonts w:hint="eastAsia" w:ascii="宋体" w:hAnsi="宋体" w:eastAsia="宋体" w:cs="宋体"/>
          <w:b w:val="0"/>
          <w:bCs w:val="0"/>
          <w:color w:val="000000"/>
          <w:kern w:val="0"/>
          <w:sz w:val="21"/>
          <w:szCs w:val="21"/>
          <w:highlight w:val="none"/>
        </w:rPr>
        <w:t>各个项目</w:t>
      </w:r>
      <w:r>
        <w:rPr>
          <w:rFonts w:hint="eastAsia" w:ascii="宋体" w:hAnsi="宋体" w:eastAsia="宋体" w:cs="宋体"/>
          <w:b w:val="0"/>
          <w:bCs w:val="0"/>
          <w:color w:val="000000"/>
          <w:kern w:val="0"/>
          <w:sz w:val="21"/>
          <w:szCs w:val="21"/>
          <w:highlight w:val="none"/>
          <w:lang w:eastAsia="zh-CN"/>
        </w:rPr>
        <w:t>预算价（</w:t>
      </w:r>
      <w:r>
        <w:rPr>
          <w:rFonts w:hint="eastAsia" w:ascii="宋体" w:hAnsi="宋体" w:eastAsia="宋体" w:cs="宋体"/>
          <w:b w:val="0"/>
          <w:bCs w:val="0"/>
          <w:color w:val="000000"/>
          <w:kern w:val="0"/>
          <w:sz w:val="21"/>
          <w:szCs w:val="21"/>
          <w:highlight w:val="none"/>
        </w:rPr>
        <w:t>全费用综合单价</w:t>
      </w:r>
      <w:r>
        <w:rPr>
          <w:rFonts w:hint="eastAsia" w:ascii="宋体" w:hAnsi="宋体" w:eastAsia="宋体" w:cs="宋体"/>
          <w:b w:val="0"/>
          <w:bCs w:val="0"/>
          <w:color w:val="000000"/>
          <w:kern w:val="0"/>
          <w:sz w:val="21"/>
          <w:szCs w:val="21"/>
          <w:highlight w:val="none"/>
          <w:lang w:eastAsia="zh-CN"/>
        </w:rPr>
        <w:t>）</w:t>
      </w:r>
      <w:r>
        <w:rPr>
          <w:rFonts w:hint="eastAsia" w:ascii="宋体" w:hAnsi="宋体" w:eastAsia="宋体" w:cs="宋体"/>
          <w:b w:val="0"/>
          <w:bCs w:val="0"/>
          <w:color w:val="000000"/>
          <w:kern w:val="0"/>
          <w:sz w:val="21"/>
          <w:szCs w:val="21"/>
          <w:highlight w:val="none"/>
        </w:rPr>
        <w:t>及</w:t>
      </w:r>
      <w:r>
        <w:rPr>
          <w:rFonts w:hint="eastAsia" w:ascii="宋体" w:hAnsi="宋体" w:eastAsia="宋体" w:cs="宋体"/>
          <w:b w:val="0"/>
          <w:bCs w:val="0"/>
          <w:color w:val="000000"/>
          <w:kern w:val="0"/>
          <w:sz w:val="21"/>
          <w:szCs w:val="21"/>
          <w:highlight w:val="none"/>
          <w:lang w:eastAsia="zh-CN"/>
        </w:rPr>
        <w:t>中标</w:t>
      </w:r>
      <w:r>
        <w:rPr>
          <w:rFonts w:hint="eastAsia" w:ascii="宋体" w:hAnsi="宋体" w:eastAsia="宋体" w:cs="宋体"/>
          <w:b w:val="0"/>
          <w:bCs w:val="0"/>
          <w:color w:val="000000"/>
          <w:kern w:val="0"/>
          <w:sz w:val="21"/>
          <w:szCs w:val="21"/>
          <w:highlight w:val="none"/>
        </w:rPr>
        <w:t>结算率一次性包定</w:t>
      </w:r>
      <w:r>
        <w:rPr>
          <w:rFonts w:hint="eastAsia" w:ascii="宋体" w:hAnsi="宋体" w:eastAsia="宋体" w:cs="宋体"/>
          <w:b w:val="0"/>
          <w:bCs w:val="0"/>
          <w:color w:val="000000"/>
          <w:kern w:val="0"/>
          <w:sz w:val="21"/>
          <w:szCs w:val="21"/>
          <w:highlight w:val="none"/>
          <w:lang w:eastAsia="zh-CN"/>
        </w:rPr>
        <w:t>；</w:t>
      </w:r>
      <w:r>
        <w:rPr>
          <w:rFonts w:hint="eastAsia" w:ascii="宋体" w:hAnsi="宋体" w:eastAsia="宋体" w:cs="宋体"/>
          <w:color w:val="auto"/>
          <w:sz w:val="21"/>
          <w:szCs w:val="21"/>
          <w:highlight w:val="none"/>
          <w:lang w:val="en-US" w:eastAsia="zh-CN"/>
        </w:rPr>
        <w:t>工程量凭承包人盖章提交申请，招标人签证确认，按实结算；实际结算价=相应</w:t>
      </w:r>
      <w:r>
        <w:rPr>
          <w:rFonts w:hint="eastAsia" w:ascii="宋体" w:hAnsi="宋体" w:eastAsia="宋体" w:cs="宋体"/>
          <w:b w:val="0"/>
          <w:bCs w:val="0"/>
          <w:color w:val="000000"/>
          <w:kern w:val="0"/>
          <w:sz w:val="21"/>
          <w:szCs w:val="21"/>
          <w:highlight w:val="none"/>
        </w:rPr>
        <w:t>全费用综合单价</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000000"/>
          <w:kern w:val="0"/>
          <w:sz w:val="21"/>
          <w:szCs w:val="21"/>
          <w:highlight w:val="none"/>
          <w:lang w:eastAsia="zh-CN"/>
        </w:rPr>
        <w:t>中标</w:t>
      </w:r>
      <w:r>
        <w:rPr>
          <w:rFonts w:hint="eastAsia" w:ascii="宋体" w:hAnsi="宋体" w:eastAsia="宋体" w:cs="宋体"/>
          <w:b w:val="0"/>
          <w:bCs w:val="0"/>
          <w:color w:val="000000"/>
          <w:kern w:val="0"/>
          <w:sz w:val="21"/>
          <w:szCs w:val="21"/>
          <w:highlight w:val="none"/>
        </w:rPr>
        <w:t>结算率</w:t>
      </w:r>
      <w:r>
        <w:rPr>
          <w:rFonts w:hint="eastAsia" w:ascii="宋体" w:hAnsi="宋体" w:eastAsia="宋体" w:cs="宋体"/>
          <w:color w:val="auto"/>
          <w:sz w:val="21"/>
          <w:szCs w:val="21"/>
          <w:highlight w:val="none"/>
          <w:lang w:val="en-US" w:eastAsia="zh-CN"/>
        </w:rPr>
        <w:t>×经业主确认实际完成工程量</w:t>
      </w:r>
      <w:r>
        <w:rPr>
          <w:rFonts w:hint="eastAsia" w:ascii="宋体" w:hAnsi="宋体" w:eastAsia="宋体" w:cs="宋体"/>
          <w:b w:val="0"/>
          <w:bCs w:val="0"/>
          <w:color w:val="000000"/>
          <w:kern w:val="0"/>
          <w:sz w:val="21"/>
          <w:szCs w:val="21"/>
          <w:highlight w:val="none"/>
        </w:rPr>
        <w:t>。</w:t>
      </w:r>
    </w:p>
    <w:p w14:paraId="204BDECF">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color w:val="000000"/>
          <w:sz w:val="21"/>
          <w:szCs w:val="21"/>
          <w:highlight w:val="none"/>
          <w:lang w:val="en-US" w:eastAsia="zh-CN"/>
        </w:rPr>
      </w:pPr>
      <w:r>
        <w:rPr>
          <w:rFonts w:hint="eastAsia" w:ascii="宋体" w:hAnsi="宋体" w:eastAsia="宋体" w:cs="宋体"/>
          <w:b w:val="0"/>
          <w:bCs/>
          <w:color w:val="000000"/>
          <w:sz w:val="21"/>
          <w:szCs w:val="21"/>
          <w:highlight w:val="none"/>
          <w:lang w:val="en-US" w:eastAsia="zh-CN"/>
        </w:rPr>
        <w:t>施工内容属于雨污管网日常养护和疏通项目还是应急项目的判定，以发包人确认为准。</w:t>
      </w:r>
    </w:p>
    <w:p w14:paraId="4D6DFC3E">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b w:val="0"/>
          <w:bCs w:val="0"/>
          <w:color w:val="000000"/>
          <w:kern w:val="0"/>
          <w:sz w:val="21"/>
          <w:szCs w:val="21"/>
          <w:highlight w:val="none"/>
          <w:lang w:val="en-US" w:eastAsia="zh-CN"/>
        </w:rPr>
        <w:t>3.</w:t>
      </w:r>
      <w:r>
        <w:rPr>
          <w:rFonts w:hint="eastAsia" w:ascii="宋体" w:hAnsi="宋体" w:eastAsia="宋体" w:cs="宋体"/>
          <w:color w:val="auto"/>
          <w:sz w:val="21"/>
          <w:szCs w:val="21"/>
          <w:highlight w:val="none"/>
          <w:lang w:val="zh-CN" w:eastAsia="zh-CN"/>
        </w:rPr>
        <w:t>投标报价为完成本项目服务及要求所包含的所有费用，投标报价包括日常巡视检查、管道维护、疏通和清淤、管道必要的封堵及拆除、雨水井、检查井、雨水口的淤泥清捞，河道应急处理、应急抢险、养护服务过程中应急突发事件、环保、交通、治安等可能发生的费用，还包括上述所需的技术服务费、人工费、一般材料费和机械费、措施费等，以及设施配套费、备品备件及物资费、办公场所使用费、专用车辆仪器工具使用费（含折旧费、油料费、保险费、人工费、租赁费等）、劳保和安全用品使用费、经营管理费、税费、利润、招标代理费等一切费用；政策性文件规定及合同包含的所有风险、责任等合同中明示或暗示的所有一般风险、责任和义务等一切由招标人支付的各项费用。报价凡未列入的，将被认为均已包含在报价中。招标人将不再支付任何费用。</w:t>
      </w:r>
    </w:p>
    <w:p w14:paraId="1E67FE18">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4.涉及管道需土方开挖修复的，优先按信息价计算，如遇无信息价的，则按市场询价进行结算。</w:t>
      </w:r>
    </w:p>
    <w:p w14:paraId="7434EB28">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淤泥和建筑垃圾外运由中标单位负责，运距按10公里一次性包死，结算时不再另行调整。费用按照《浙江省建设工程计价规则》（2018版）及浙江省有关补充规定、《浙江省市政工程预算定额》（2018版）进行计价。</w:t>
      </w:r>
    </w:p>
    <w:p w14:paraId="6DAA78F2">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本次招标所需的服务项目为业主方近期需求，若涉及其它服务项目的，中标人需配合招标人要求，相关价格可由中标人提交市场（优先参考污水零直排工程价格和蓬街镇小额零星工程结算方法），经招标人审核签证确认后作为结算依据。</w:t>
      </w:r>
    </w:p>
    <w:p w14:paraId="5F14CC95">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rPr>
      </w:pPr>
      <w:r>
        <w:rPr>
          <w:rFonts w:hint="eastAsia" w:ascii="宋体" w:hAnsi="宋体" w:eastAsia="宋体" w:cs="宋体"/>
          <w:b w:val="0"/>
          <w:bCs w:val="0"/>
          <w:color w:val="000000"/>
          <w:kern w:val="0"/>
          <w:sz w:val="21"/>
          <w:szCs w:val="21"/>
          <w:highlight w:val="none"/>
          <w:lang w:val="en-US" w:eastAsia="zh-CN"/>
        </w:rPr>
        <w:t>7.</w:t>
      </w:r>
      <w:r>
        <w:rPr>
          <w:rFonts w:hint="eastAsia" w:ascii="宋体" w:hAnsi="宋体" w:eastAsia="宋体" w:cs="宋体"/>
          <w:b w:val="0"/>
          <w:bCs w:val="0"/>
          <w:color w:val="000000"/>
          <w:kern w:val="0"/>
          <w:sz w:val="21"/>
          <w:szCs w:val="21"/>
          <w:highlight w:val="none"/>
        </w:rPr>
        <w:t>付款方式：</w:t>
      </w:r>
    </w:p>
    <w:p w14:paraId="4CAAAF3D">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（一）按季结算。养护费用每季度支付一次，于次月15日前支付上季度养护费。</w:t>
      </w:r>
    </w:p>
    <w:p w14:paraId="50E62B33">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（二）每季度支付金额：是指养护季度内的费用，在同一支付周期内双方因违约等产生的违约金、扣款及考核奖惩金，在次月结算时扣减或奖惩。</w:t>
      </w:r>
    </w:p>
    <w:p w14:paraId="1C62FC3E">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四、质量、安全与验收</w:t>
      </w:r>
    </w:p>
    <w:p w14:paraId="4711E6D7">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1.工程的质量目标是保证在工期内所承包的本项目范围内的</w:t>
      </w:r>
      <w:r>
        <w:rPr>
          <w:rFonts w:hint="eastAsia" w:ascii="宋体" w:hAnsi="宋体" w:eastAsia="宋体" w:cs="宋体"/>
          <w:color w:val="000000"/>
          <w:sz w:val="21"/>
          <w:szCs w:val="21"/>
          <w:highlight w:val="none"/>
          <w:lang w:val="en-US" w:eastAsia="zh-Hans"/>
        </w:rPr>
        <w:t>管道</w:t>
      </w:r>
      <w:r>
        <w:rPr>
          <w:rFonts w:hint="eastAsia" w:ascii="宋体" w:hAnsi="宋体" w:eastAsia="宋体" w:cs="宋体"/>
          <w:color w:val="000000"/>
          <w:sz w:val="21"/>
          <w:szCs w:val="21"/>
          <w:highlight w:val="none"/>
          <w:lang w:val="en-US" w:eastAsia="zh-CN"/>
        </w:rPr>
        <w:t>及河道</w:t>
      </w:r>
      <w:r>
        <w:rPr>
          <w:rFonts w:hint="eastAsia" w:ascii="宋体" w:hAnsi="宋体" w:eastAsia="宋体" w:cs="宋体"/>
          <w:b w:val="0"/>
          <w:bCs w:val="0"/>
          <w:color w:val="000000"/>
          <w:kern w:val="0"/>
          <w:sz w:val="21"/>
          <w:szCs w:val="21"/>
          <w:highlight w:val="none"/>
          <w:lang w:val="en-US" w:eastAsia="zh-CN"/>
        </w:rPr>
        <w:t xml:space="preserve">必须保证畅通，有堵塞、积淤现象需及时清理。 </w:t>
      </w:r>
    </w:p>
    <w:p w14:paraId="6572F847">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 xml:space="preserve">2.质量标准评定以国家或行业的质量检验评定标准为依据。因乙方原因工程质量达不到约定的质量标准，乙方承担违约责任。 </w:t>
      </w:r>
    </w:p>
    <w:p w14:paraId="6B0878EA">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 xml:space="preserve">3.管网疏通日常养护清理质量及验收标准：按 CJJ68-2007《城镇排水管渠与泵站维修技术规程》 、CJJ61-2003/J217-2003《城市地下管线探测技术规程》相关标准执行。 </w:t>
      </w:r>
    </w:p>
    <w:p w14:paraId="6091C27B">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 xml:space="preserve">4.项目工程竣工后，乙方须按国家工程竣工有关规定向甲方提供完整竣工资料。 </w:t>
      </w:r>
    </w:p>
    <w:p w14:paraId="3D8F2723">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5.项目验收由甲方会同有关专业技术部门（如需）共同验收。</w:t>
      </w:r>
    </w:p>
    <w:p w14:paraId="4576166B">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6.施工期间中标人须按相关国家规范要求遵守各项安全操作规程，防止发生各类事故。</w:t>
      </w:r>
    </w:p>
    <w:p w14:paraId="38BA8170">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7.道路上作业施工时需按有关部门要求做好安全防护和警示标志。施工期间发生的安全措施费，夜间施工增加费均由中标人负责。</w:t>
      </w:r>
    </w:p>
    <w:p w14:paraId="4479C039">
      <w:pPr>
        <w:keepNext w:val="0"/>
        <w:keepLines w:val="0"/>
        <w:pageBreakBefore w:val="0"/>
        <w:kinsoku/>
        <w:wordWrap/>
        <w:overflowPunct/>
        <w:topLinePunct w:val="0"/>
        <w:autoSpaceDE/>
        <w:autoSpaceDN/>
        <w:bidi w:val="0"/>
        <w:adjustRightInd/>
        <w:spacing w:line="360" w:lineRule="exact"/>
        <w:ind w:firstLine="420" w:firstLineChars="200"/>
        <w:rPr>
          <w:rFonts w:hint="eastAsia" w:ascii="宋体" w:hAnsi="宋体" w:eastAsia="宋体" w:cs="宋体"/>
          <w:b w:val="0"/>
          <w:bCs w:val="0"/>
          <w:color w:val="000000"/>
          <w:kern w:val="0"/>
          <w:sz w:val="21"/>
          <w:szCs w:val="21"/>
          <w:highlight w:val="none"/>
          <w:lang w:val="en-US" w:eastAsia="zh-CN"/>
        </w:rPr>
      </w:pPr>
      <w:r>
        <w:rPr>
          <w:rFonts w:hint="eastAsia" w:ascii="宋体" w:hAnsi="宋体" w:eastAsia="宋体" w:cs="宋体"/>
          <w:b w:val="0"/>
          <w:bCs w:val="0"/>
          <w:color w:val="000000"/>
          <w:kern w:val="0"/>
          <w:sz w:val="21"/>
          <w:szCs w:val="21"/>
          <w:highlight w:val="none"/>
          <w:lang w:val="en-US" w:eastAsia="zh-CN"/>
        </w:rPr>
        <w:t>8.项目完成过程中，中标人应加强安全管理，杜绝安全事故的发生。项目完成期间所引起的一切事故，其一切责任和后果由中标人自己承担。</w:t>
      </w:r>
    </w:p>
    <w:p w14:paraId="07413DF5">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exact"/>
        <w:jc w:val="left"/>
        <w:rPr>
          <w:rFonts w:hint="eastAsia" w:ascii="宋体" w:hAnsi="宋体" w:eastAsia="宋体" w:cs="宋体"/>
          <w:b/>
          <w:color w:val="000000"/>
          <w:kern w:val="0"/>
          <w:sz w:val="21"/>
          <w:szCs w:val="21"/>
          <w:highlight w:val="none"/>
        </w:rPr>
      </w:pPr>
      <w:r>
        <w:rPr>
          <w:rFonts w:hint="eastAsia" w:ascii="宋体" w:hAnsi="宋体" w:eastAsia="宋体" w:cs="宋体"/>
          <w:b/>
          <w:color w:val="000000"/>
          <w:sz w:val="21"/>
          <w:szCs w:val="21"/>
          <w:highlight w:val="none"/>
        </w:rPr>
        <w:t>五、</w:t>
      </w:r>
      <w:r>
        <w:rPr>
          <w:rFonts w:hint="eastAsia" w:ascii="宋体" w:hAnsi="宋体" w:eastAsia="宋体" w:cs="宋体"/>
          <w:b/>
          <w:color w:val="000000"/>
          <w:kern w:val="0"/>
          <w:sz w:val="21"/>
          <w:szCs w:val="21"/>
          <w:highlight w:val="none"/>
        </w:rPr>
        <w:t>履约保证金</w:t>
      </w:r>
    </w:p>
    <w:p w14:paraId="3DACB91C">
      <w:pPr>
        <w:pStyle w:val="113"/>
        <w:spacing w:before="0" w:after="0" w:line="360" w:lineRule="exact"/>
        <w:ind w:left="0" w:right="0" w:firstLine="420" w:firstLineChars="200"/>
        <w:jc w:val="both"/>
        <w:rPr>
          <w:rFonts w:hint="default" w:ascii="宋体" w:hAnsi="宋体" w:eastAsia="宋体" w:cs="宋体"/>
          <w:b w:val="0"/>
          <w:bCs w:val="0"/>
          <w:color w:val="000000"/>
          <w:kern w:val="0"/>
          <w:sz w:val="21"/>
          <w:szCs w:val="21"/>
          <w:highlight w:val="none"/>
          <w:lang w:val="en-US" w:eastAsia="zh-CN" w:bidi="ar-SA"/>
        </w:rPr>
      </w:pPr>
      <w:r>
        <w:rPr>
          <w:rFonts w:hint="eastAsia" w:ascii="宋体" w:hAnsi="宋体" w:eastAsia="宋体" w:cs="宋体"/>
          <w:b w:val="0"/>
          <w:bCs w:val="0"/>
          <w:color w:val="000000"/>
          <w:kern w:val="0"/>
          <w:sz w:val="21"/>
          <w:szCs w:val="21"/>
          <w:highlight w:val="none"/>
          <w:lang w:val="en-US" w:eastAsia="zh-CN" w:bidi="ar-SA"/>
        </w:rPr>
        <w:t>1.承包人提供履约担保的形式、金额及期限的：签订工程合同前提供履约保函，保函形式为银行保函、保险机构保证保险保单和融资担保公司保函，</w:t>
      </w:r>
      <w:r>
        <w:rPr>
          <w:rFonts w:hint="eastAsia" w:ascii="宋体" w:hAnsi="宋体" w:eastAsia="宋体" w:cs="宋体"/>
          <w:b w:val="0"/>
          <w:bCs w:val="0"/>
          <w:color w:val="000000"/>
          <w:kern w:val="0"/>
          <w:sz w:val="21"/>
          <w:szCs w:val="21"/>
          <w:highlight w:val="none"/>
          <w:u w:val="single"/>
          <w:lang w:val="en-US" w:eastAsia="zh-CN" w:bidi="ar-SA"/>
        </w:rPr>
        <w:t>金额为</w:t>
      </w:r>
      <w:r>
        <w:rPr>
          <w:rFonts w:hint="eastAsia" w:ascii="宋体" w:hAnsi="宋体" w:cs="宋体"/>
          <w:b w:val="0"/>
          <w:bCs w:val="0"/>
          <w:color w:val="000000"/>
          <w:kern w:val="0"/>
          <w:sz w:val="21"/>
          <w:szCs w:val="21"/>
          <w:highlight w:val="none"/>
          <w:u w:val="single"/>
          <w:lang w:val="en-US" w:eastAsia="zh-CN" w:bidi="ar-SA"/>
        </w:rPr>
        <w:t>合同金额的1%</w:t>
      </w:r>
      <w:r>
        <w:rPr>
          <w:rFonts w:hint="eastAsia" w:ascii="宋体" w:hAnsi="宋体" w:eastAsia="宋体" w:cs="宋体"/>
          <w:b w:val="0"/>
          <w:bCs w:val="0"/>
          <w:color w:val="000000"/>
          <w:kern w:val="0"/>
          <w:sz w:val="21"/>
          <w:szCs w:val="21"/>
          <w:highlight w:val="none"/>
          <w:lang w:val="en-US" w:eastAsia="zh-CN" w:bidi="ar-SA"/>
        </w:rPr>
        <w:t>；如不能办理担保采用现金的，承包人必须通过其基本账户转出的转帐、电汇或银行汇票方式解入发包人指定帐户。</w:t>
      </w:r>
    </w:p>
    <w:p w14:paraId="28A26068">
      <w:pPr>
        <w:pStyle w:val="113"/>
        <w:spacing w:before="0" w:after="0" w:line="360" w:lineRule="exact"/>
        <w:ind w:left="0" w:right="0" w:firstLine="420" w:firstLineChars="200"/>
        <w:jc w:val="both"/>
        <w:rPr>
          <w:rFonts w:hint="eastAsia" w:ascii="宋体" w:hAnsi="宋体" w:eastAsia="宋体" w:cs="宋体"/>
          <w:b w:val="0"/>
          <w:bCs w:val="0"/>
          <w:color w:val="000000"/>
          <w:kern w:val="0"/>
          <w:sz w:val="21"/>
          <w:szCs w:val="21"/>
          <w:highlight w:val="none"/>
          <w:lang w:val="en-US" w:eastAsia="zh-CN" w:bidi="ar-SA"/>
        </w:rPr>
      </w:pPr>
      <w:r>
        <w:rPr>
          <w:rFonts w:hint="eastAsia" w:ascii="宋体" w:hAnsi="宋体" w:eastAsia="宋体" w:cs="宋体"/>
          <w:b w:val="0"/>
          <w:bCs w:val="0"/>
          <w:color w:val="000000"/>
          <w:kern w:val="0"/>
          <w:sz w:val="21"/>
          <w:szCs w:val="21"/>
          <w:highlight w:val="none"/>
          <w:lang w:val="en-US" w:eastAsia="zh-CN" w:bidi="ar-SA"/>
        </w:rPr>
        <w:t>2.履约担保待获</w:t>
      </w:r>
      <w:r>
        <w:rPr>
          <w:rFonts w:hint="eastAsia" w:hAnsi="宋体" w:cs="宋体"/>
          <w:b w:val="0"/>
          <w:bCs/>
          <w:color w:val="000000"/>
          <w:sz w:val="21"/>
          <w:szCs w:val="21"/>
          <w:highlight w:val="none"/>
        </w:rPr>
        <w:t>整体项目</w:t>
      </w:r>
      <w:r>
        <w:rPr>
          <w:rFonts w:hint="eastAsia" w:ascii="宋体" w:hAnsi="宋体" w:eastAsia="宋体" w:cs="宋体"/>
          <w:b w:val="0"/>
          <w:bCs w:val="0"/>
          <w:color w:val="000000"/>
          <w:kern w:val="0"/>
          <w:sz w:val="21"/>
          <w:szCs w:val="21"/>
          <w:highlight w:val="none"/>
          <w:lang w:val="en-US" w:eastAsia="zh-CN" w:bidi="ar-SA"/>
        </w:rPr>
        <w:t>验收合格后，并按合同条款规定完全履约后，由承包人申请退还。收到承包人退还申请后，发包人应根据合同履约情况在10日内退还承包人全部或部分履约保证金。如承包人在施工过程中违背合同规定的，发包人有权扣除相应的履约担保，担保合同作为本合同附件；履约担保如为现金的不计息。</w:t>
      </w:r>
    </w:p>
    <w:p w14:paraId="397B4CBF">
      <w:pPr>
        <w:pStyle w:val="113"/>
        <w:spacing w:before="0" w:after="0" w:line="360" w:lineRule="exact"/>
        <w:ind w:left="0" w:right="0" w:firstLine="420" w:firstLineChars="200"/>
        <w:jc w:val="both"/>
        <w:rPr>
          <w:rFonts w:hint="eastAsia" w:ascii="宋体" w:hAnsi="宋体" w:eastAsia="宋体" w:cs="宋体"/>
          <w:b w:val="0"/>
          <w:bCs w:val="0"/>
          <w:color w:val="000000"/>
          <w:kern w:val="0"/>
          <w:sz w:val="21"/>
          <w:szCs w:val="21"/>
          <w:highlight w:val="none"/>
          <w:lang w:val="en-US" w:eastAsia="zh-CN" w:bidi="ar-SA"/>
        </w:rPr>
      </w:pPr>
      <w:r>
        <w:rPr>
          <w:rFonts w:hint="eastAsia" w:ascii="宋体" w:hAnsi="宋体" w:eastAsia="宋体" w:cs="宋体"/>
          <w:b w:val="0"/>
          <w:bCs w:val="0"/>
          <w:color w:val="000000"/>
          <w:kern w:val="0"/>
          <w:sz w:val="21"/>
          <w:szCs w:val="21"/>
          <w:highlight w:val="none"/>
          <w:lang w:val="en-US" w:eastAsia="zh-CN" w:bidi="ar-SA"/>
        </w:rPr>
        <w:t>3.承包人应保证履约担保在工程竣工验收前持续有效；非承包人原因导致的工期延长，承包人继续提供履约担保所增加的费用由发包人承担。</w:t>
      </w:r>
    </w:p>
    <w:p w14:paraId="0C97D4A1">
      <w:pPr>
        <w:pStyle w:val="18"/>
        <w:keepNext w:val="0"/>
        <w:keepLines w:val="0"/>
        <w:pageBreakBefore w:val="0"/>
        <w:kinsoku/>
        <w:wordWrap/>
        <w:overflowPunct/>
        <w:topLinePunct w:val="0"/>
        <w:autoSpaceDE/>
        <w:autoSpaceDN/>
        <w:bidi w:val="0"/>
        <w:adjustRightInd/>
        <w:snapToGrid w:val="0"/>
        <w:spacing w:line="360" w:lineRule="exact"/>
        <w:ind w:left="410" w:hanging="358" w:hangingChars="17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六、转包或分包</w:t>
      </w:r>
    </w:p>
    <w:p w14:paraId="4C20AA04">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1.本合同范围的货物，应由乙方直接供应，不得转让他人供应；</w:t>
      </w:r>
    </w:p>
    <w:p w14:paraId="71568A14">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2.除非得到甲方的书面同意，乙方不得将本合同范围的货物全部或部分分包给他人供应；</w:t>
      </w:r>
    </w:p>
    <w:p w14:paraId="5BFB315A">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3.如有转让和未经甲方同意的分包行为，甲方有权解除合同，</w:t>
      </w:r>
      <w:r>
        <w:rPr>
          <w:rFonts w:hint="eastAsia" w:ascii="宋体" w:hAnsi="宋体" w:eastAsia="宋体" w:cs="宋体"/>
          <w:color w:val="000000"/>
          <w:sz w:val="21"/>
          <w:szCs w:val="21"/>
          <w:highlight w:val="none"/>
          <w:lang w:eastAsia="zh-CN"/>
        </w:rPr>
        <w:t>扣除</w:t>
      </w:r>
      <w:r>
        <w:rPr>
          <w:rFonts w:hint="eastAsia" w:ascii="宋体" w:hAnsi="宋体" w:eastAsia="宋体" w:cs="宋体"/>
          <w:color w:val="000000"/>
          <w:sz w:val="21"/>
          <w:szCs w:val="21"/>
          <w:highlight w:val="none"/>
        </w:rPr>
        <w:t>履约保证金并追究乙方的违约责任。</w:t>
      </w:r>
    </w:p>
    <w:p w14:paraId="0A570A06">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exact"/>
        <w:jc w:val="left"/>
        <w:rPr>
          <w:rFonts w:hint="eastAsia" w:ascii="宋体" w:hAnsi="宋体" w:eastAsia="宋体" w:cs="宋体"/>
          <w:b/>
          <w:color w:val="000000"/>
          <w:kern w:val="0"/>
          <w:sz w:val="21"/>
          <w:szCs w:val="21"/>
          <w:highlight w:val="none"/>
        </w:rPr>
      </w:pPr>
      <w:r>
        <w:rPr>
          <w:rFonts w:hint="eastAsia" w:ascii="宋体" w:hAnsi="宋体" w:eastAsia="宋体" w:cs="宋体"/>
          <w:b/>
          <w:color w:val="000000"/>
          <w:sz w:val="21"/>
          <w:szCs w:val="21"/>
          <w:highlight w:val="none"/>
        </w:rPr>
        <w:t>七、</w:t>
      </w:r>
      <w:r>
        <w:rPr>
          <w:rFonts w:hint="eastAsia" w:ascii="宋体" w:hAnsi="宋体" w:eastAsia="宋体" w:cs="宋体"/>
          <w:b/>
          <w:color w:val="000000"/>
          <w:kern w:val="0"/>
          <w:sz w:val="21"/>
          <w:szCs w:val="21"/>
          <w:highlight w:val="none"/>
        </w:rPr>
        <w:t>合同的变更和终止</w:t>
      </w:r>
    </w:p>
    <w:p w14:paraId="1E79B6F2">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exact"/>
        <w:ind w:firstLine="420" w:firstLineChars="20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w:t>
      </w:r>
      <w:r>
        <w:rPr>
          <w:rFonts w:hint="eastAsia" w:ascii="宋体" w:hAnsi="宋体" w:eastAsia="宋体" w:cs="宋体"/>
          <w:color w:val="000000"/>
          <w:kern w:val="0"/>
          <w:sz w:val="21"/>
          <w:szCs w:val="21"/>
          <w:highlight w:val="none"/>
        </w:rPr>
        <w:t>本合同一经签订，甲乙双方不得擅自终止合同或对合同实质性条款进行变更。确有特殊情况的，须经</w:t>
      </w:r>
      <w:r>
        <w:rPr>
          <w:rFonts w:hint="eastAsia" w:ascii="宋体" w:hAnsi="宋体" w:eastAsia="宋体" w:cs="宋体"/>
          <w:color w:val="000000"/>
          <w:kern w:val="0"/>
          <w:sz w:val="21"/>
          <w:szCs w:val="21"/>
          <w:highlight w:val="none"/>
          <w:lang w:eastAsia="zh-CN"/>
        </w:rPr>
        <w:t>双方</w:t>
      </w:r>
      <w:r>
        <w:rPr>
          <w:rFonts w:hint="eastAsia" w:ascii="宋体" w:hAnsi="宋体" w:eastAsia="宋体" w:cs="宋体"/>
          <w:color w:val="000000"/>
          <w:kern w:val="0"/>
          <w:sz w:val="21"/>
          <w:szCs w:val="21"/>
          <w:highlight w:val="none"/>
        </w:rPr>
        <w:t>同意。</w:t>
      </w:r>
    </w:p>
    <w:p w14:paraId="3DC69FFC">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exact"/>
        <w:ind w:firstLine="420" w:firstLineChars="200"/>
        <w:jc w:val="left"/>
        <w:rPr>
          <w:rFonts w:hint="default"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2.如本项目运维工作后续由区级单位统一实施，则甲方有权终止本合同，并按当前已实施工程量进行结算。</w:t>
      </w:r>
    </w:p>
    <w:p w14:paraId="743DDD02">
      <w:pPr>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八、税费</w:t>
      </w:r>
    </w:p>
    <w:p w14:paraId="0C611A45">
      <w:pPr>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本合同执行中相关的一切税费均由乙方负担。</w:t>
      </w:r>
    </w:p>
    <w:p w14:paraId="464174B5">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b/>
          <w:color w:val="000000"/>
          <w:sz w:val="21"/>
          <w:szCs w:val="21"/>
          <w:highlight w:val="none"/>
        </w:rPr>
        <w:t>九、安全文明施工</w:t>
      </w:r>
    </w:p>
    <w:p w14:paraId="6F2C254E">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kern w:val="0"/>
          <w:sz w:val="21"/>
          <w:szCs w:val="21"/>
          <w:highlight w:val="none"/>
          <w:lang w:val="en-US" w:eastAsia="zh-CN" w:bidi="ar-SA"/>
        </w:rPr>
        <w:t>（1）乙方应遵循有关规定及行业规范，严格按照操作规程作业，并随时接受甲方或有关部门的监督检查和社会监督，施工及养护作业人员须配备必要的安全防护措施作业，消除事故隐患。</w:t>
      </w:r>
    </w:p>
    <w:p w14:paraId="7DBEABAC">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kern w:val="0"/>
          <w:sz w:val="21"/>
          <w:szCs w:val="21"/>
          <w:highlight w:val="none"/>
          <w:lang w:val="en-US" w:eastAsia="zh-CN" w:bidi="ar-SA"/>
        </w:rPr>
        <w:t>（2）由于乙方管理不善，引起政府职能部门处罚和限期整改，或安全措施不力造成事故的责任和因此产生的费用，由乙方承担。</w:t>
      </w:r>
    </w:p>
    <w:p w14:paraId="7EF8A6DB">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kern w:val="0"/>
          <w:sz w:val="21"/>
          <w:szCs w:val="21"/>
          <w:highlight w:val="none"/>
          <w:lang w:val="en-US" w:eastAsia="zh-CN" w:bidi="ar-SA"/>
        </w:rPr>
        <w:t>（3）如发生重大伤亡及其他安全事故，乙方应就有关规定立即上报有关部门并通知甲方，同时按政府有关部门要求处理，由事故责任方承担发生的费用。</w:t>
      </w:r>
    </w:p>
    <w:p w14:paraId="5FF58BCA">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en-US" w:eastAsia="zh-CN"/>
        </w:rPr>
        <w:t>十、其他要求</w:t>
      </w:r>
    </w:p>
    <w:p w14:paraId="5FC39A1E">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1.养护单位要具备完成清疏养护服务必须的设备和作业人员，以及充足的交通警示标志和施工作业围栏，一定数量的抽风机、气体检测仪器、通讯设备等必须的设备工具。</w:t>
      </w:r>
    </w:p>
    <w:p w14:paraId="29D08541">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在进行雨水井、检查井等清淤作业时，必须按规定实行安全维护，维护设施至少在来车方向需要警示牌1块、道路指向牌1块、警示桶2只，设立醒目标志，作业人员必须服装整齐，标志明显，操作流程规范，做好交通疏导，保证车辆行人安全，避免安全事故的发生，自觉接受管理部门、各级领导和社会群众监督。</w:t>
      </w:r>
    </w:p>
    <w:p w14:paraId="1FBDF54D">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3.清疏作业中产生的淤泥和垃圾及时清理，倾倒到合法消纳场所，不能影响现场周边环境，避免二次污染，由此引发的市民投诉或处罚，均由承包人自行承担责任和相关费用。</w:t>
      </w:r>
    </w:p>
    <w:p w14:paraId="6A4B55C5">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4.清淤作业完成以后完成的视频影像资料需交给招标人一份存档。</w:t>
      </w:r>
    </w:p>
    <w:p w14:paraId="320382FF">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Hans"/>
        </w:rPr>
      </w:pP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val="en-US" w:eastAsia="zh-Hans"/>
        </w:rPr>
        <w:t>养护作业中，如发生安全生产事故、交通安全事故，由养护单位承担全部责任，所产生的费用由养护单位全部承担；因养护单位管理不善或使用不当造成的损失由养护单位负责赔偿。</w:t>
      </w:r>
    </w:p>
    <w:p w14:paraId="6A2B18B4">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Hans"/>
        </w:rPr>
      </w:pPr>
      <w:r>
        <w:rPr>
          <w:rFonts w:hint="eastAsia" w:ascii="宋体" w:hAnsi="宋体" w:eastAsia="宋体" w:cs="宋体"/>
          <w:color w:val="000000"/>
          <w:sz w:val="21"/>
          <w:szCs w:val="21"/>
          <w:highlight w:val="none"/>
          <w:lang w:val="en-US" w:eastAsia="zh-CN"/>
        </w:rPr>
        <w:t>6.</w:t>
      </w:r>
      <w:r>
        <w:rPr>
          <w:rFonts w:hint="eastAsia" w:ascii="宋体" w:hAnsi="宋体" w:eastAsia="宋体" w:cs="宋体"/>
          <w:color w:val="000000"/>
          <w:sz w:val="21"/>
          <w:szCs w:val="21"/>
          <w:highlight w:val="none"/>
          <w:lang w:val="en-US" w:eastAsia="zh-Hans"/>
        </w:rPr>
        <w:t>养护范围内的投诉和新闻舆论批评，应在24小时内处理完毕并反馈信息。</w:t>
      </w:r>
    </w:p>
    <w:p w14:paraId="6BD4BA06">
      <w:pPr>
        <w:keepNext w:val="0"/>
        <w:keepLines w:val="0"/>
        <w:pageBreakBefore w:val="0"/>
        <w:widowControl w:val="0"/>
        <w:kinsoku/>
        <w:wordWrap/>
        <w:overflowPunct/>
        <w:topLinePunct w:val="0"/>
        <w:bidi w:val="0"/>
        <w:adjustRightInd w:val="0"/>
        <w:snapToGrid w:val="0"/>
        <w:spacing w:line="360" w:lineRule="exact"/>
        <w:ind w:firstLine="420" w:firstLineChars="200"/>
        <w:textAlignment w:val="auto"/>
        <w:rPr>
          <w:rFonts w:hint="eastAsia" w:ascii="宋体" w:hAnsi="宋体" w:eastAsia="宋体" w:cs="宋体"/>
          <w:color w:val="000000"/>
          <w:sz w:val="21"/>
          <w:szCs w:val="21"/>
          <w:highlight w:val="none"/>
          <w:lang w:val="en-US" w:eastAsia="zh-Hans"/>
        </w:rPr>
      </w:pPr>
      <w:r>
        <w:rPr>
          <w:rFonts w:hint="eastAsia" w:ascii="宋体" w:hAnsi="宋体" w:eastAsia="宋体" w:cs="宋体"/>
          <w:color w:val="000000"/>
          <w:sz w:val="21"/>
          <w:szCs w:val="21"/>
          <w:highlight w:val="none"/>
          <w:lang w:val="en-US" w:eastAsia="zh-CN"/>
        </w:rPr>
        <w:t>7.</w:t>
      </w:r>
      <w:r>
        <w:rPr>
          <w:rFonts w:hint="eastAsia" w:ascii="宋体" w:hAnsi="宋体" w:eastAsia="宋体" w:cs="宋体"/>
          <w:color w:val="000000"/>
          <w:sz w:val="21"/>
          <w:szCs w:val="21"/>
          <w:highlight w:val="none"/>
          <w:lang w:val="en-US" w:eastAsia="zh-Hans"/>
        </w:rPr>
        <w:t>养护作业专职人员要求配齐作业人员、管理人员及安全监管人员及潜水人员等，保障日常清淤疏通工作和应急抢险工作顺利完成。</w:t>
      </w:r>
    </w:p>
    <w:p w14:paraId="4E3DCBA5">
      <w:pPr>
        <w:keepNext w:val="0"/>
        <w:keepLines w:val="0"/>
        <w:pageBreakBefore w:val="0"/>
        <w:widowControl w:val="0"/>
        <w:kinsoku/>
        <w:wordWrap/>
        <w:overflowPunct/>
        <w:topLinePunct w:val="0"/>
        <w:bidi w:val="0"/>
        <w:spacing w:line="360" w:lineRule="exact"/>
        <w:ind w:left="0" w:right="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 xml:space="preserve">    8.</w:t>
      </w:r>
      <w:r>
        <w:rPr>
          <w:rFonts w:hint="eastAsia" w:ascii="宋体" w:hAnsi="宋体" w:eastAsia="宋体" w:cs="宋体"/>
          <w:color w:val="000000"/>
          <w:kern w:val="2"/>
          <w:sz w:val="21"/>
          <w:szCs w:val="21"/>
          <w:highlight w:val="none"/>
          <w:lang w:val="en-US" w:eastAsia="zh-Hans" w:bidi="ar-SA"/>
        </w:rPr>
        <w:t>中标人接</w:t>
      </w:r>
      <w:r>
        <w:rPr>
          <w:rFonts w:hint="eastAsia" w:ascii="宋体" w:hAnsi="宋体" w:eastAsia="宋体" w:cs="宋体"/>
          <w:color w:val="000000"/>
          <w:kern w:val="2"/>
          <w:sz w:val="21"/>
          <w:szCs w:val="21"/>
          <w:highlight w:val="none"/>
          <w:lang w:val="en-US" w:eastAsia="zh-CN" w:bidi="ar-SA"/>
        </w:rPr>
        <w:t>到招标</w:t>
      </w:r>
      <w:r>
        <w:rPr>
          <w:rFonts w:hint="eastAsia" w:ascii="宋体" w:hAnsi="宋体" w:eastAsia="宋体" w:cs="宋体"/>
          <w:color w:val="000000"/>
          <w:kern w:val="2"/>
          <w:sz w:val="21"/>
          <w:szCs w:val="21"/>
          <w:highlight w:val="none"/>
          <w:lang w:val="en-US" w:eastAsia="zh-Hans" w:bidi="ar-SA"/>
        </w:rPr>
        <w:t>人通知后三小时内作出回应，二天内予以解决，如不能按时提供服务，乙方须向甲方赔偿逾期费用1000元/天，从当季服务费用中予以扣除。本项目的免费质保期为三个月，质保期以最后一次考核通过后开始计</w:t>
      </w:r>
      <w:r>
        <w:rPr>
          <w:rFonts w:hint="eastAsia" w:ascii="宋体" w:hAnsi="宋体" w:eastAsia="宋体" w:cs="宋体"/>
          <w:color w:val="000000"/>
          <w:kern w:val="2"/>
          <w:sz w:val="21"/>
          <w:szCs w:val="21"/>
          <w:highlight w:val="none"/>
          <w:lang w:val="en-US" w:eastAsia="zh-CN" w:bidi="ar-SA"/>
        </w:rPr>
        <w:t>。</w:t>
      </w:r>
    </w:p>
    <w:p w14:paraId="65749AA8">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十</w:t>
      </w:r>
      <w:r>
        <w:rPr>
          <w:rFonts w:hint="eastAsia" w:ascii="宋体" w:hAnsi="宋体" w:eastAsia="宋体" w:cs="宋体"/>
          <w:b/>
          <w:color w:val="000000"/>
          <w:sz w:val="21"/>
          <w:szCs w:val="21"/>
          <w:highlight w:val="none"/>
          <w:lang w:eastAsia="zh-CN"/>
        </w:rPr>
        <w:t>一</w:t>
      </w:r>
      <w:r>
        <w:rPr>
          <w:rFonts w:hint="eastAsia" w:ascii="宋体" w:hAnsi="宋体" w:eastAsia="宋体" w:cs="宋体"/>
          <w:b/>
          <w:color w:val="000000"/>
          <w:sz w:val="21"/>
          <w:szCs w:val="21"/>
          <w:highlight w:val="none"/>
        </w:rPr>
        <w:t>、违约责任</w:t>
      </w:r>
    </w:p>
    <w:p w14:paraId="5AA5AC58">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乙方违反本合同约定的，甲方可根据乙方的违约情况，有权选：</w:t>
      </w:r>
    </w:p>
    <w:p w14:paraId="5D0AE873">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1）让乙方承担违约金</w:t>
      </w:r>
      <w:r>
        <w:rPr>
          <w:rFonts w:hint="eastAsia" w:ascii="宋体" w:hAnsi="宋体" w:eastAsia="宋体" w:cs="宋体"/>
          <w:color w:val="000000"/>
          <w:sz w:val="21"/>
          <w:szCs w:val="21"/>
          <w:highlight w:val="none"/>
          <w:lang w:eastAsia="zh-CN"/>
        </w:rPr>
        <w:t>；</w:t>
      </w:r>
    </w:p>
    <w:p w14:paraId="0024EF66">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2）终止合同</w:t>
      </w:r>
      <w:r>
        <w:rPr>
          <w:rFonts w:hint="eastAsia" w:ascii="宋体" w:hAnsi="宋体" w:eastAsia="宋体" w:cs="宋体"/>
          <w:color w:val="000000"/>
          <w:sz w:val="21"/>
          <w:szCs w:val="21"/>
          <w:highlight w:val="none"/>
          <w:lang w:eastAsia="zh-CN"/>
        </w:rPr>
        <w:t>；</w:t>
      </w:r>
    </w:p>
    <w:p w14:paraId="7A91E167">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3）取消其享有管理承包权的资格。</w:t>
      </w:r>
    </w:p>
    <w:p w14:paraId="2EED1C80">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因乙方的违约行为造成甲方损失的，乙方应承担全额赔偿责任。</w:t>
      </w:r>
    </w:p>
    <w:p w14:paraId="5D4E292D">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十</w:t>
      </w:r>
      <w:r>
        <w:rPr>
          <w:rFonts w:hint="eastAsia" w:ascii="宋体" w:hAnsi="宋体" w:eastAsia="宋体" w:cs="宋体"/>
          <w:b/>
          <w:color w:val="000000"/>
          <w:sz w:val="21"/>
          <w:szCs w:val="21"/>
          <w:highlight w:val="none"/>
          <w:lang w:eastAsia="zh-CN"/>
        </w:rPr>
        <w:t>二</w:t>
      </w:r>
      <w:r>
        <w:rPr>
          <w:rFonts w:hint="eastAsia" w:ascii="宋体" w:hAnsi="宋体" w:eastAsia="宋体" w:cs="宋体"/>
          <w:b/>
          <w:color w:val="000000"/>
          <w:sz w:val="21"/>
          <w:szCs w:val="21"/>
          <w:highlight w:val="none"/>
        </w:rPr>
        <w:t>、不可抗力事件处理</w:t>
      </w:r>
    </w:p>
    <w:p w14:paraId="3B009806">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1.在合同有效期内，任何一方因不可抗力事件导致不能履行合同，则合同履行期可延长，其延长期与不可抗力影响期相同。</w:t>
      </w:r>
    </w:p>
    <w:p w14:paraId="26E6E3D4">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2.不可抗力事件发生后，应立即通知对方，并寄送有关权威机构出具的证明。</w:t>
      </w:r>
    </w:p>
    <w:p w14:paraId="5A5D9E3E">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3.不可抗力事件延续120天以上，双方应通过友好协商，确定是否继续履行合同。</w:t>
      </w:r>
    </w:p>
    <w:p w14:paraId="01FB9997">
      <w:pPr>
        <w:pStyle w:val="18"/>
        <w:keepNext w:val="0"/>
        <w:keepLines w:val="0"/>
        <w:pageBreakBefore w:val="0"/>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十</w:t>
      </w:r>
      <w:r>
        <w:rPr>
          <w:rFonts w:hint="eastAsia" w:ascii="宋体" w:hAnsi="宋体" w:eastAsia="宋体" w:cs="宋体"/>
          <w:b/>
          <w:color w:val="000000"/>
          <w:sz w:val="21"/>
          <w:szCs w:val="21"/>
          <w:highlight w:val="none"/>
          <w:lang w:eastAsia="zh-CN"/>
        </w:rPr>
        <w:t>三</w:t>
      </w:r>
      <w:r>
        <w:rPr>
          <w:rFonts w:hint="eastAsia" w:ascii="宋体" w:hAnsi="宋体" w:eastAsia="宋体" w:cs="宋体"/>
          <w:b/>
          <w:color w:val="000000"/>
          <w:sz w:val="21"/>
          <w:szCs w:val="21"/>
          <w:highlight w:val="none"/>
        </w:rPr>
        <w:t>、解决争议的方法</w:t>
      </w:r>
    </w:p>
    <w:p w14:paraId="0DA434BB">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kern w:val="0"/>
          <w:sz w:val="21"/>
          <w:szCs w:val="21"/>
          <w:highlight w:val="none"/>
        </w:rPr>
        <w:t>如双方在履行合同时发生纠纷，应协商解决；协商不成时，可提请政府</w:t>
      </w:r>
      <w:r>
        <w:rPr>
          <w:rFonts w:hint="eastAsia" w:ascii="宋体" w:hAnsi="宋体" w:eastAsia="宋体" w:cs="宋体"/>
          <w:color w:val="000000"/>
          <w:kern w:val="0"/>
          <w:sz w:val="21"/>
          <w:szCs w:val="21"/>
          <w:highlight w:val="none"/>
          <w:lang w:eastAsia="zh-CN"/>
        </w:rPr>
        <w:t>相关</w:t>
      </w:r>
      <w:r>
        <w:rPr>
          <w:rFonts w:hint="eastAsia" w:ascii="宋体" w:hAnsi="宋体" w:eastAsia="宋体" w:cs="宋体"/>
          <w:color w:val="000000"/>
          <w:kern w:val="0"/>
          <w:sz w:val="21"/>
          <w:szCs w:val="21"/>
          <w:highlight w:val="none"/>
        </w:rPr>
        <w:t>部门调解；调解不成的通过以下</w:t>
      </w:r>
      <w:r>
        <w:rPr>
          <w:rFonts w:hint="eastAsia" w:ascii="宋体" w:hAnsi="宋体" w:eastAsia="宋体" w:cs="宋体"/>
          <w:color w:val="000000"/>
          <w:kern w:val="0"/>
          <w:sz w:val="21"/>
          <w:szCs w:val="21"/>
          <w:highlight w:val="none"/>
          <w:u w:val="single"/>
        </w:rPr>
        <w:t>（2）</w:t>
      </w:r>
      <w:r>
        <w:rPr>
          <w:rFonts w:hint="eastAsia" w:ascii="宋体" w:hAnsi="宋体" w:eastAsia="宋体" w:cs="宋体"/>
          <w:color w:val="000000"/>
          <w:kern w:val="0"/>
          <w:sz w:val="21"/>
          <w:szCs w:val="21"/>
          <w:highlight w:val="none"/>
        </w:rPr>
        <w:t>方式解决：</w:t>
      </w:r>
      <w:r>
        <w:rPr>
          <w:rFonts w:hint="eastAsia" w:ascii="宋体" w:hAnsi="宋体" w:eastAsia="宋体" w:cs="宋体"/>
          <w:color w:val="000000"/>
          <w:kern w:val="0"/>
          <w:sz w:val="21"/>
          <w:szCs w:val="21"/>
          <w:highlight w:val="none"/>
        </w:rPr>
        <w:br w:type="textWrapping"/>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（1）提交</w:t>
      </w:r>
      <w:r>
        <w:rPr>
          <w:rFonts w:hint="eastAsia" w:ascii="宋体" w:hAnsi="宋体" w:eastAsia="宋体" w:cs="宋体"/>
          <w:color w:val="000000"/>
          <w:sz w:val="21"/>
          <w:szCs w:val="21"/>
          <w:highlight w:val="none"/>
          <w:u w:val="single"/>
        </w:rPr>
        <w:t>台州</w:t>
      </w:r>
      <w:r>
        <w:rPr>
          <w:rFonts w:hint="eastAsia" w:ascii="宋体" w:hAnsi="宋体" w:eastAsia="宋体" w:cs="宋体"/>
          <w:color w:val="000000"/>
          <w:kern w:val="0"/>
          <w:sz w:val="21"/>
          <w:szCs w:val="21"/>
          <w:highlight w:val="none"/>
        </w:rPr>
        <w:t>仲裁委员会仲裁。</w:t>
      </w:r>
      <w:r>
        <w:rPr>
          <w:rFonts w:hint="eastAsia" w:ascii="宋体" w:hAnsi="宋体" w:eastAsia="宋体" w:cs="宋体"/>
          <w:color w:val="000000"/>
          <w:kern w:val="0"/>
          <w:sz w:val="21"/>
          <w:szCs w:val="21"/>
          <w:highlight w:val="none"/>
        </w:rPr>
        <w:br w:type="textWrapping"/>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（2）依法向</w:t>
      </w:r>
      <w:r>
        <w:rPr>
          <w:rFonts w:hint="eastAsia" w:ascii="宋体" w:hAnsi="宋体" w:eastAsia="宋体" w:cs="宋体"/>
          <w:color w:val="000000"/>
          <w:kern w:val="0"/>
          <w:sz w:val="21"/>
          <w:szCs w:val="21"/>
          <w:highlight w:val="none"/>
          <w:lang w:eastAsia="zh-CN"/>
        </w:rPr>
        <w:t>项目所在地</w:t>
      </w:r>
      <w:r>
        <w:rPr>
          <w:rFonts w:hint="eastAsia" w:ascii="宋体" w:hAnsi="宋体" w:eastAsia="宋体" w:cs="宋体"/>
          <w:color w:val="000000"/>
          <w:kern w:val="0"/>
          <w:sz w:val="21"/>
          <w:szCs w:val="21"/>
          <w:highlight w:val="none"/>
        </w:rPr>
        <w:t>人民法院提起诉讼。</w:t>
      </w:r>
    </w:p>
    <w:p w14:paraId="55464984">
      <w:pPr>
        <w:pStyle w:val="18"/>
        <w:keepNext w:val="0"/>
        <w:keepLines w:val="0"/>
        <w:pageBreakBefore w:val="0"/>
        <w:tabs>
          <w:tab w:val="left" w:pos="5790"/>
        </w:tabs>
        <w:kinsoku/>
        <w:wordWrap/>
        <w:overflowPunct/>
        <w:topLinePunct w:val="0"/>
        <w:autoSpaceDE/>
        <w:autoSpaceDN/>
        <w:bidi w:val="0"/>
        <w:adjustRightInd/>
        <w:snapToGrid w:val="0"/>
        <w:spacing w:line="360" w:lineRule="exac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十</w:t>
      </w:r>
      <w:r>
        <w:rPr>
          <w:rFonts w:hint="eastAsia" w:ascii="宋体" w:hAnsi="宋体" w:eastAsia="宋体" w:cs="宋体"/>
          <w:b/>
          <w:color w:val="000000"/>
          <w:sz w:val="21"/>
          <w:szCs w:val="21"/>
          <w:highlight w:val="none"/>
          <w:lang w:eastAsia="zh-CN"/>
        </w:rPr>
        <w:t>四</w:t>
      </w:r>
      <w:r>
        <w:rPr>
          <w:rFonts w:hint="eastAsia" w:ascii="宋体" w:hAnsi="宋体" w:eastAsia="宋体" w:cs="宋体"/>
          <w:b/>
          <w:color w:val="000000"/>
          <w:sz w:val="21"/>
          <w:szCs w:val="21"/>
          <w:highlight w:val="none"/>
        </w:rPr>
        <w:t>、合同生效及其它</w:t>
      </w:r>
      <w:r>
        <w:rPr>
          <w:rFonts w:hint="eastAsia" w:ascii="宋体" w:hAnsi="宋体" w:eastAsia="宋体" w:cs="宋体"/>
          <w:b/>
          <w:color w:val="000000"/>
          <w:sz w:val="21"/>
          <w:szCs w:val="21"/>
          <w:highlight w:val="none"/>
        </w:rPr>
        <w:tab/>
      </w:r>
    </w:p>
    <w:p w14:paraId="6C0CA20C">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w:t>
      </w:r>
      <w:r>
        <w:rPr>
          <w:rFonts w:hint="eastAsia" w:ascii="宋体" w:hAnsi="宋体" w:eastAsia="宋体" w:cs="宋体"/>
          <w:color w:val="auto"/>
          <w:sz w:val="21"/>
          <w:szCs w:val="21"/>
        </w:rPr>
        <w:t>双方约定本合同经双方</w:t>
      </w:r>
      <w:r>
        <w:rPr>
          <w:rFonts w:hint="eastAsia" w:ascii="宋体" w:hAnsi="宋体" w:eastAsia="宋体" w:cs="宋体"/>
          <w:b/>
          <w:color w:val="auto"/>
          <w:sz w:val="21"/>
          <w:szCs w:val="21"/>
          <w:u w:val="single"/>
        </w:rPr>
        <w:t>法定代表人或委托代理人（需开具法人委托书）签字（或盖章）并加盖公章（或合同专用章）</w:t>
      </w:r>
      <w:r>
        <w:rPr>
          <w:rFonts w:hint="eastAsia" w:ascii="宋体" w:hAnsi="宋体" w:eastAsia="宋体" w:cs="宋体"/>
          <w:b w:val="0"/>
          <w:bCs/>
          <w:color w:val="auto"/>
          <w:sz w:val="21"/>
          <w:szCs w:val="21"/>
          <w:u w:val="none"/>
        </w:rPr>
        <w:t>后生效</w:t>
      </w:r>
      <w:r>
        <w:rPr>
          <w:rFonts w:hint="eastAsia" w:ascii="宋体" w:hAnsi="宋体" w:eastAsia="宋体" w:cs="宋体"/>
          <w:color w:val="000000"/>
          <w:kern w:val="0"/>
          <w:sz w:val="21"/>
          <w:szCs w:val="21"/>
          <w:highlight w:val="none"/>
        </w:rPr>
        <w:t>。</w:t>
      </w:r>
    </w:p>
    <w:p w14:paraId="0D4C825D">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2.本合同未尽事宜，遵照《</w:t>
      </w:r>
      <w:r>
        <w:rPr>
          <w:rFonts w:hint="eastAsia" w:ascii="宋体" w:hAnsi="宋体" w:eastAsia="宋体" w:cs="宋体"/>
          <w:color w:val="000000"/>
          <w:kern w:val="0"/>
          <w:sz w:val="21"/>
          <w:szCs w:val="21"/>
          <w:highlight w:val="none"/>
          <w:lang w:eastAsia="zh-CN"/>
        </w:rPr>
        <w:t>民法典</w:t>
      </w:r>
      <w:r>
        <w:rPr>
          <w:rFonts w:hint="eastAsia" w:ascii="宋体" w:hAnsi="宋体" w:eastAsia="宋体" w:cs="宋体"/>
          <w:color w:val="000000"/>
          <w:kern w:val="0"/>
          <w:sz w:val="21"/>
          <w:szCs w:val="21"/>
          <w:highlight w:val="none"/>
        </w:rPr>
        <w:t>》有关条文执行。</w:t>
      </w:r>
    </w:p>
    <w:p w14:paraId="407B429F">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rPr>
        <w:t>3.</w:t>
      </w:r>
      <w:r>
        <w:rPr>
          <w:rFonts w:hint="eastAsia" w:ascii="宋体" w:hAnsi="宋体" w:eastAsia="宋体" w:cs="宋体"/>
          <w:color w:val="000000"/>
          <w:kern w:val="0"/>
          <w:sz w:val="21"/>
          <w:szCs w:val="21"/>
          <w:highlight w:val="none"/>
          <w:lang w:eastAsia="zh-CN"/>
        </w:rPr>
        <w:t>《考核办法》附后。</w:t>
      </w:r>
    </w:p>
    <w:p w14:paraId="26A88EC2">
      <w:pPr>
        <w:pStyle w:val="18"/>
        <w:keepNext w:val="0"/>
        <w:keepLines w:val="0"/>
        <w:pageBreakBefore w:val="0"/>
        <w:kinsoku/>
        <w:wordWrap/>
        <w:overflowPunct/>
        <w:topLinePunct w:val="0"/>
        <w:autoSpaceDE/>
        <w:autoSpaceDN/>
        <w:bidi w:val="0"/>
        <w:adjustRightInd/>
        <w:snapToGrid w:val="0"/>
        <w:spacing w:line="360" w:lineRule="exact"/>
        <w:ind w:firstLine="420" w:firstLineChars="200"/>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rPr>
        <w:t>本合同一式陆份。甲、乙双方各执</w:t>
      </w:r>
      <w:r>
        <w:rPr>
          <w:rFonts w:hint="eastAsia" w:ascii="宋体" w:hAnsi="宋体" w:eastAsia="宋体" w:cs="宋体"/>
          <w:color w:val="000000"/>
          <w:kern w:val="0"/>
          <w:sz w:val="21"/>
          <w:szCs w:val="21"/>
          <w:highlight w:val="none"/>
          <w:lang w:eastAsia="zh-CN"/>
        </w:rPr>
        <w:t>叁</w:t>
      </w:r>
      <w:r>
        <w:rPr>
          <w:rFonts w:hint="eastAsia" w:ascii="宋体" w:hAnsi="宋体" w:eastAsia="宋体" w:cs="宋体"/>
          <w:color w:val="000000"/>
          <w:kern w:val="0"/>
          <w:sz w:val="21"/>
          <w:szCs w:val="21"/>
          <w:highlight w:val="none"/>
        </w:rPr>
        <w:t>份。本项目未尽事宜以招标文件、投标文件及澄清文件等为准。</w:t>
      </w:r>
    </w:p>
    <w:tbl>
      <w:tblPr>
        <w:tblStyle w:val="31"/>
        <w:tblW w:w="934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4574"/>
        <w:gridCol w:w="4766"/>
      </w:tblGrid>
      <w:tr w14:paraId="175CA1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31" w:hRule="atLeast"/>
          <w:jc w:val="center"/>
        </w:trPr>
        <w:tc>
          <w:tcPr>
            <w:tcW w:w="4574" w:type="dxa"/>
            <w:tcBorders>
              <w:top w:val="single" w:color="auto" w:sz="2" w:space="0"/>
              <w:left w:val="single" w:color="auto" w:sz="2" w:space="0"/>
              <w:bottom w:val="single" w:color="auto" w:sz="2" w:space="0"/>
              <w:right w:val="single" w:color="auto" w:sz="4" w:space="0"/>
            </w:tcBorders>
            <w:noWrap/>
            <w:vAlign w:val="top"/>
          </w:tcPr>
          <w:p w14:paraId="3DEFC290">
            <w:pPr>
              <w:spacing w:line="360" w:lineRule="auto"/>
              <w:ind w:firstLine="420" w:firstLineChars="200"/>
              <w:rPr>
                <w:rFonts w:ascii="宋体" w:hAnsi="宋体" w:cs="宋体"/>
                <w:color w:val="auto"/>
                <w:sz w:val="21"/>
                <w:szCs w:val="21"/>
              </w:rPr>
            </w:pPr>
          </w:p>
          <w:p w14:paraId="62DE157B">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发包人： （</w:t>
            </w:r>
            <w:r>
              <w:rPr>
                <w:rFonts w:hint="eastAsia" w:ascii="宋体" w:hAnsi="宋体" w:cs="宋体"/>
                <w:color w:val="auto"/>
                <w:sz w:val="21"/>
                <w:szCs w:val="21"/>
                <w:lang w:eastAsia="zh-CN"/>
              </w:rPr>
              <w:t>公章或合同专用章</w:t>
            </w:r>
            <w:r>
              <w:rPr>
                <w:rFonts w:hint="eastAsia" w:ascii="宋体" w:hAnsi="宋体" w:cs="宋体"/>
                <w:color w:val="auto"/>
                <w:sz w:val="21"/>
                <w:szCs w:val="21"/>
              </w:rPr>
              <w:t>）</w:t>
            </w:r>
          </w:p>
          <w:p w14:paraId="11582742">
            <w:pPr>
              <w:spacing w:line="360" w:lineRule="auto"/>
              <w:ind w:firstLine="420" w:firstLineChars="200"/>
              <w:rPr>
                <w:rFonts w:ascii="宋体" w:hAnsi="宋体" w:cs="宋体"/>
                <w:color w:val="auto"/>
                <w:sz w:val="21"/>
                <w:szCs w:val="21"/>
              </w:rPr>
            </w:pPr>
          </w:p>
          <w:p w14:paraId="1ED8C44D">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法定代表人或其委托代理人：</w:t>
            </w:r>
          </w:p>
          <w:p w14:paraId="7DF81CEC">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（签字</w:t>
            </w:r>
            <w:r>
              <w:rPr>
                <w:rFonts w:hint="eastAsia" w:ascii="宋体" w:hAnsi="宋体" w:cs="宋体"/>
                <w:color w:val="auto"/>
                <w:sz w:val="21"/>
                <w:szCs w:val="21"/>
                <w:lang w:eastAsia="zh-CN"/>
              </w:rPr>
              <w:t>或盖章</w:t>
            </w:r>
            <w:r>
              <w:rPr>
                <w:rFonts w:hint="eastAsia" w:ascii="宋体" w:hAnsi="宋体" w:cs="宋体"/>
                <w:color w:val="auto"/>
                <w:sz w:val="21"/>
                <w:szCs w:val="21"/>
              </w:rPr>
              <w:t xml:space="preserve">） </w:t>
            </w:r>
          </w:p>
          <w:p w14:paraId="11355ADB">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统一社会信用代码：</w:t>
            </w:r>
            <w:r>
              <w:rPr>
                <w:rFonts w:hint="eastAsia" w:ascii="宋体" w:hAnsi="宋体" w:cs="宋体"/>
                <w:bCs/>
                <w:color w:val="auto"/>
                <w:sz w:val="21"/>
                <w:szCs w:val="21"/>
                <w:u w:val="single"/>
              </w:rPr>
              <w:t xml:space="preserve">              </w:t>
            </w:r>
            <w:r>
              <w:rPr>
                <w:rFonts w:hint="eastAsia" w:ascii="宋体" w:hAnsi="宋体" w:cs="宋体"/>
                <w:color w:val="auto"/>
                <w:sz w:val="21"/>
                <w:szCs w:val="21"/>
              </w:rPr>
              <w:t xml:space="preserve"> </w:t>
            </w:r>
          </w:p>
          <w:p w14:paraId="1F82DEBA">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地  址：</w:t>
            </w:r>
            <w:r>
              <w:rPr>
                <w:rFonts w:hint="eastAsia" w:ascii="宋体" w:hAnsi="宋体" w:cs="宋体"/>
                <w:bCs/>
                <w:color w:val="auto"/>
                <w:sz w:val="21"/>
                <w:szCs w:val="21"/>
                <w:u w:val="single"/>
              </w:rPr>
              <w:t xml:space="preserve">                     </w:t>
            </w:r>
          </w:p>
          <w:p w14:paraId="2ADA3C8D">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邮政编码：</w:t>
            </w:r>
            <w:r>
              <w:rPr>
                <w:rFonts w:hint="eastAsia" w:ascii="宋体" w:hAnsi="宋体" w:cs="宋体"/>
                <w:bCs/>
                <w:color w:val="auto"/>
                <w:sz w:val="21"/>
                <w:szCs w:val="21"/>
                <w:u w:val="single"/>
              </w:rPr>
              <w:t xml:space="preserve">                   </w:t>
            </w:r>
            <w:r>
              <w:rPr>
                <w:rFonts w:hint="eastAsia" w:ascii="宋体" w:hAnsi="宋体" w:cs="宋体"/>
                <w:color w:val="auto"/>
                <w:sz w:val="21"/>
                <w:szCs w:val="21"/>
              </w:rPr>
              <w:t xml:space="preserve"> </w:t>
            </w:r>
          </w:p>
          <w:p w14:paraId="59144863">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法定代表人：</w:t>
            </w:r>
            <w:r>
              <w:rPr>
                <w:rFonts w:hint="eastAsia" w:ascii="宋体" w:hAnsi="宋体" w:cs="宋体"/>
                <w:bCs/>
                <w:color w:val="auto"/>
                <w:sz w:val="21"/>
                <w:szCs w:val="21"/>
                <w:u w:val="single"/>
              </w:rPr>
              <w:t xml:space="preserve">                 </w:t>
            </w:r>
          </w:p>
          <w:p w14:paraId="542FE139">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委托代理人：</w:t>
            </w:r>
            <w:r>
              <w:rPr>
                <w:rFonts w:hint="eastAsia" w:ascii="宋体" w:hAnsi="宋体" w:cs="宋体"/>
                <w:bCs/>
                <w:color w:val="auto"/>
                <w:sz w:val="21"/>
                <w:szCs w:val="21"/>
                <w:u w:val="single"/>
              </w:rPr>
              <w:t xml:space="preserve">                 </w:t>
            </w:r>
            <w:r>
              <w:rPr>
                <w:rFonts w:hint="eastAsia" w:ascii="宋体" w:hAnsi="宋体" w:cs="宋体"/>
                <w:color w:val="auto"/>
                <w:sz w:val="21"/>
                <w:szCs w:val="21"/>
              </w:rPr>
              <w:t xml:space="preserve"> </w:t>
            </w:r>
          </w:p>
          <w:p w14:paraId="55B34DE8">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电  话：</w:t>
            </w:r>
            <w:r>
              <w:rPr>
                <w:rFonts w:hint="eastAsia" w:ascii="宋体" w:hAnsi="宋体" w:cs="宋体"/>
                <w:bCs/>
                <w:color w:val="auto"/>
                <w:sz w:val="21"/>
                <w:szCs w:val="21"/>
                <w:u w:val="single"/>
              </w:rPr>
              <w:t xml:space="preserve">                    </w:t>
            </w:r>
          </w:p>
          <w:p w14:paraId="2178B416">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传  真：</w:t>
            </w:r>
            <w:r>
              <w:rPr>
                <w:rFonts w:hint="eastAsia" w:ascii="宋体" w:hAnsi="宋体" w:cs="宋体"/>
                <w:bCs/>
                <w:color w:val="auto"/>
                <w:sz w:val="21"/>
                <w:szCs w:val="21"/>
                <w:u w:val="single"/>
              </w:rPr>
              <w:t xml:space="preserve">                    </w:t>
            </w:r>
          </w:p>
          <w:p w14:paraId="4370D919">
            <w:pPr>
              <w:spacing w:line="360" w:lineRule="auto"/>
              <w:ind w:firstLine="420" w:firstLineChars="200"/>
              <w:rPr>
                <w:rFonts w:ascii="宋体" w:hAnsi="宋体" w:cs="宋体"/>
                <w:color w:val="auto"/>
                <w:sz w:val="21"/>
                <w:szCs w:val="21"/>
                <w:u w:val="single"/>
              </w:rPr>
            </w:pPr>
            <w:r>
              <w:rPr>
                <w:rFonts w:hint="eastAsia" w:ascii="宋体" w:hAnsi="宋体" w:cs="宋体"/>
                <w:color w:val="auto"/>
                <w:sz w:val="21"/>
                <w:szCs w:val="21"/>
              </w:rPr>
              <w:t>电子信箱：</w:t>
            </w:r>
            <w:r>
              <w:rPr>
                <w:rFonts w:hint="eastAsia" w:ascii="宋体" w:hAnsi="宋体" w:cs="宋体"/>
                <w:color w:val="auto"/>
                <w:sz w:val="21"/>
                <w:szCs w:val="21"/>
                <w:u w:val="single"/>
              </w:rPr>
              <w:t xml:space="preserve">                   </w:t>
            </w:r>
          </w:p>
          <w:p w14:paraId="0EB88F14">
            <w:pPr>
              <w:spacing w:line="360" w:lineRule="auto"/>
              <w:ind w:firstLine="420" w:firstLineChars="200"/>
              <w:rPr>
                <w:rFonts w:ascii="宋体" w:hAnsi="宋体" w:cs="宋体"/>
                <w:color w:val="auto"/>
                <w:sz w:val="21"/>
                <w:szCs w:val="21"/>
                <w:u w:val="single"/>
              </w:rPr>
            </w:pPr>
            <w:r>
              <w:rPr>
                <w:rFonts w:hint="eastAsia" w:ascii="宋体" w:hAnsi="宋体" w:cs="宋体"/>
                <w:color w:val="auto"/>
                <w:sz w:val="21"/>
                <w:szCs w:val="21"/>
              </w:rPr>
              <w:t>开户银行：</w:t>
            </w:r>
            <w:r>
              <w:rPr>
                <w:rFonts w:hint="eastAsia" w:ascii="宋体" w:hAnsi="宋体" w:cs="宋体"/>
                <w:bCs/>
                <w:color w:val="auto"/>
                <w:sz w:val="21"/>
                <w:szCs w:val="21"/>
                <w:u w:val="single"/>
              </w:rPr>
              <w:t xml:space="preserve">                   </w:t>
            </w:r>
          </w:p>
          <w:p w14:paraId="381B3B5D">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账  号：</w:t>
            </w:r>
            <w:r>
              <w:rPr>
                <w:rFonts w:hint="eastAsia" w:ascii="宋体" w:hAnsi="宋体" w:cs="宋体"/>
                <w:bCs/>
                <w:color w:val="auto"/>
                <w:sz w:val="21"/>
                <w:szCs w:val="21"/>
                <w:u w:val="single"/>
              </w:rPr>
              <w:t xml:space="preserve">                     </w:t>
            </w:r>
          </w:p>
        </w:tc>
        <w:tc>
          <w:tcPr>
            <w:tcW w:w="4766" w:type="dxa"/>
            <w:tcBorders>
              <w:top w:val="single" w:color="auto" w:sz="2" w:space="0"/>
              <w:left w:val="single" w:color="auto" w:sz="4" w:space="0"/>
              <w:bottom w:val="single" w:color="auto" w:sz="2" w:space="0"/>
              <w:right w:val="single" w:color="auto" w:sz="2" w:space="0"/>
            </w:tcBorders>
            <w:noWrap/>
            <w:vAlign w:val="top"/>
          </w:tcPr>
          <w:p w14:paraId="6D3A1D28">
            <w:pPr>
              <w:spacing w:line="360" w:lineRule="auto"/>
              <w:ind w:firstLine="420" w:firstLineChars="200"/>
              <w:rPr>
                <w:rFonts w:ascii="宋体" w:hAnsi="宋体" w:cs="宋体"/>
                <w:color w:val="auto"/>
                <w:sz w:val="21"/>
                <w:szCs w:val="21"/>
              </w:rPr>
            </w:pPr>
          </w:p>
          <w:p w14:paraId="00141523">
            <w:pPr>
              <w:spacing w:line="360" w:lineRule="auto"/>
              <w:ind w:firstLine="420" w:firstLineChars="200"/>
              <w:rPr>
                <w:rFonts w:hint="eastAsia" w:ascii="宋体" w:hAnsi="宋体" w:cs="宋体"/>
                <w:color w:val="auto"/>
                <w:sz w:val="21"/>
                <w:szCs w:val="21"/>
                <w:lang w:eastAsia="zh-CN"/>
              </w:rPr>
            </w:pPr>
            <w:r>
              <w:rPr>
                <w:rFonts w:hint="eastAsia" w:ascii="宋体" w:hAnsi="宋体" w:cs="宋体"/>
                <w:color w:val="auto"/>
                <w:sz w:val="21"/>
                <w:szCs w:val="21"/>
              </w:rPr>
              <w:t>承包人： （公</w:t>
            </w:r>
            <w:r>
              <w:rPr>
                <w:rFonts w:hint="eastAsia" w:ascii="宋体" w:hAnsi="宋体" w:cs="宋体"/>
                <w:color w:val="auto"/>
                <w:sz w:val="21"/>
                <w:szCs w:val="21"/>
                <w:lang w:eastAsia="zh-CN"/>
              </w:rPr>
              <w:t>章或合同专用章）</w:t>
            </w:r>
          </w:p>
          <w:p w14:paraId="5702A1C9">
            <w:pPr>
              <w:spacing w:line="360" w:lineRule="auto"/>
              <w:ind w:firstLine="420" w:firstLineChars="200"/>
              <w:rPr>
                <w:rFonts w:ascii="宋体" w:hAnsi="宋体" w:cs="宋体"/>
                <w:color w:val="auto"/>
                <w:sz w:val="21"/>
                <w:szCs w:val="21"/>
              </w:rPr>
            </w:pPr>
          </w:p>
          <w:p w14:paraId="7BBBC402">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法定代表人或其委托代理人：</w:t>
            </w:r>
          </w:p>
          <w:p w14:paraId="1D695C60">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（签字</w:t>
            </w:r>
            <w:r>
              <w:rPr>
                <w:rFonts w:hint="eastAsia" w:ascii="宋体" w:hAnsi="宋体" w:cs="宋体"/>
                <w:color w:val="auto"/>
                <w:sz w:val="21"/>
                <w:szCs w:val="21"/>
                <w:lang w:eastAsia="zh-CN"/>
              </w:rPr>
              <w:t>或盖章</w:t>
            </w:r>
            <w:r>
              <w:rPr>
                <w:rFonts w:hint="eastAsia" w:ascii="宋体" w:hAnsi="宋体" w:cs="宋体"/>
                <w:color w:val="auto"/>
                <w:sz w:val="21"/>
                <w:szCs w:val="21"/>
              </w:rPr>
              <w:t xml:space="preserve">） </w:t>
            </w:r>
          </w:p>
          <w:p w14:paraId="60050CD7">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统一社会信用代码：</w:t>
            </w:r>
            <w:r>
              <w:rPr>
                <w:rFonts w:hint="eastAsia" w:ascii="宋体" w:hAnsi="宋体" w:cs="宋体"/>
                <w:bCs/>
                <w:color w:val="auto"/>
                <w:sz w:val="21"/>
                <w:szCs w:val="21"/>
                <w:u w:val="single"/>
              </w:rPr>
              <w:t xml:space="preserve">              </w:t>
            </w:r>
            <w:r>
              <w:rPr>
                <w:rFonts w:hint="eastAsia" w:ascii="宋体" w:hAnsi="宋体" w:cs="宋体"/>
                <w:color w:val="auto"/>
                <w:sz w:val="21"/>
                <w:szCs w:val="21"/>
              </w:rPr>
              <w:t xml:space="preserve"> </w:t>
            </w:r>
          </w:p>
          <w:p w14:paraId="70F08E64">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地  址：</w:t>
            </w:r>
            <w:r>
              <w:rPr>
                <w:rFonts w:hint="eastAsia" w:ascii="宋体" w:hAnsi="宋体" w:cs="宋体"/>
                <w:bCs/>
                <w:color w:val="auto"/>
                <w:sz w:val="21"/>
                <w:szCs w:val="21"/>
                <w:u w:val="single"/>
              </w:rPr>
              <w:t xml:space="preserve">                     </w:t>
            </w:r>
          </w:p>
          <w:p w14:paraId="3B540994">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邮政编码：</w:t>
            </w:r>
            <w:r>
              <w:rPr>
                <w:rFonts w:hint="eastAsia" w:ascii="宋体" w:hAnsi="宋体" w:cs="宋体"/>
                <w:bCs/>
                <w:color w:val="auto"/>
                <w:sz w:val="21"/>
                <w:szCs w:val="21"/>
                <w:u w:val="single"/>
              </w:rPr>
              <w:t xml:space="preserve">                  </w:t>
            </w:r>
            <w:r>
              <w:rPr>
                <w:rFonts w:hint="eastAsia" w:ascii="宋体" w:hAnsi="宋体" w:cs="宋体"/>
                <w:color w:val="auto"/>
                <w:sz w:val="21"/>
                <w:szCs w:val="21"/>
              </w:rPr>
              <w:t xml:space="preserve"> </w:t>
            </w:r>
          </w:p>
          <w:p w14:paraId="3A311B79">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法定代表人：</w:t>
            </w:r>
            <w:r>
              <w:rPr>
                <w:rFonts w:hint="eastAsia" w:ascii="宋体" w:hAnsi="宋体" w:cs="宋体"/>
                <w:bCs/>
                <w:color w:val="auto"/>
                <w:sz w:val="21"/>
                <w:szCs w:val="21"/>
                <w:u w:val="single"/>
              </w:rPr>
              <w:t xml:space="preserve">                 </w:t>
            </w:r>
          </w:p>
          <w:p w14:paraId="0B1141B7">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委托代理人：</w:t>
            </w:r>
            <w:r>
              <w:rPr>
                <w:rFonts w:hint="eastAsia" w:ascii="宋体" w:hAnsi="宋体" w:cs="宋体"/>
                <w:bCs/>
                <w:color w:val="auto"/>
                <w:sz w:val="21"/>
                <w:szCs w:val="21"/>
                <w:u w:val="single"/>
              </w:rPr>
              <w:t xml:space="preserve">                </w:t>
            </w:r>
            <w:r>
              <w:rPr>
                <w:rFonts w:hint="eastAsia" w:ascii="宋体" w:hAnsi="宋体" w:cs="宋体"/>
                <w:color w:val="auto"/>
                <w:sz w:val="21"/>
                <w:szCs w:val="21"/>
              </w:rPr>
              <w:t xml:space="preserve"> </w:t>
            </w:r>
          </w:p>
          <w:p w14:paraId="5DBCEF91">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电  话：</w:t>
            </w:r>
            <w:r>
              <w:rPr>
                <w:rFonts w:hint="eastAsia" w:ascii="宋体" w:hAnsi="宋体" w:cs="宋体"/>
                <w:bCs/>
                <w:color w:val="auto"/>
                <w:sz w:val="21"/>
                <w:szCs w:val="21"/>
                <w:u w:val="single"/>
              </w:rPr>
              <w:t xml:space="preserve">                   </w:t>
            </w:r>
          </w:p>
          <w:p w14:paraId="7F38C873">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传  真：</w:t>
            </w:r>
            <w:r>
              <w:rPr>
                <w:rFonts w:hint="eastAsia" w:ascii="宋体" w:hAnsi="宋体" w:cs="宋体"/>
                <w:bCs/>
                <w:color w:val="auto"/>
                <w:sz w:val="21"/>
                <w:szCs w:val="21"/>
                <w:u w:val="single"/>
              </w:rPr>
              <w:t xml:space="preserve">                    </w:t>
            </w:r>
          </w:p>
          <w:p w14:paraId="291514F2">
            <w:pPr>
              <w:spacing w:line="360" w:lineRule="auto"/>
              <w:ind w:firstLine="420" w:firstLineChars="200"/>
              <w:rPr>
                <w:rFonts w:ascii="宋体" w:hAnsi="宋体" w:cs="宋体"/>
                <w:color w:val="auto"/>
                <w:sz w:val="21"/>
                <w:szCs w:val="21"/>
                <w:u w:val="single"/>
              </w:rPr>
            </w:pPr>
            <w:r>
              <w:rPr>
                <w:rFonts w:hint="eastAsia" w:ascii="宋体" w:hAnsi="宋体" w:cs="宋体"/>
                <w:color w:val="auto"/>
                <w:sz w:val="21"/>
                <w:szCs w:val="21"/>
              </w:rPr>
              <w:t>电子信箱：</w:t>
            </w:r>
            <w:r>
              <w:rPr>
                <w:rFonts w:hint="eastAsia" w:ascii="宋体" w:hAnsi="宋体" w:cs="宋体"/>
                <w:color w:val="auto"/>
                <w:sz w:val="21"/>
                <w:szCs w:val="21"/>
                <w:u w:val="single"/>
              </w:rPr>
              <w:t xml:space="preserve">                 </w:t>
            </w:r>
          </w:p>
          <w:p w14:paraId="77C345C8">
            <w:pPr>
              <w:spacing w:line="360" w:lineRule="auto"/>
              <w:ind w:firstLine="420" w:firstLineChars="200"/>
              <w:rPr>
                <w:rFonts w:ascii="宋体" w:hAnsi="宋体" w:cs="宋体"/>
                <w:color w:val="auto"/>
                <w:sz w:val="21"/>
                <w:szCs w:val="21"/>
                <w:u w:val="single"/>
              </w:rPr>
            </w:pPr>
            <w:r>
              <w:rPr>
                <w:rFonts w:hint="eastAsia" w:ascii="宋体" w:hAnsi="宋体" w:cs="宋体"/>
                <w:color w:val="auto"/>
                <w:sz w:val="21"/>
                <w:szCs w:val="21"/>
              </w:rPr>
              <w:t>开户银行：</w:t>
            </w:r>
            <w:r>
              <w:rPr>
                <w:rFonts w:hint="eastAsia" w:ascii="宋体" w:hAnsi="宋体" w:cs="宋体"/>
                <w:bCs/>
                <w:color w:val="auto"/>
                <w:sz w:val="21"/>
                <w:szCs w:val="21"/>
                <w:u w:val="single"/>
              </w:rPr>
              <w:t xml:space="preserve">                   </w:t>
            </w:r>
          </w:p>
          <w:p w14:paraId="475475FB">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账  号：</w:t>
            </w:r>
            <w:r>
              <w:rPr>
                <w:rFonts w:hint="eastAsia" w:ascii="宋体" w:hAnsi="宋体" w:cs="宋体"/>
                <w:bCs/>
                <w:color w:val="auto"/>
                <w:sz w:val="21"/>
                <w:szCs w:val="21"/>
                <w:u w:val="single"/>
              </w:rPr>
              <w:t xml:space="preserve">                   </w:t>
            </w:r>
          </w:p>
        </w:tc>
      </w:tr>
    </w:tbl>
    <w:p w14:paraId="2A469B56">
      <w:pPr>
        <w:spacing w:line="360" w:lineRule="exact"/>
        <w:ind w:firstLine="420" w:firstLineChars="200"/>
        <w:rPr>
          <w:rFonts w:hint="eastAsia" w:hAnsi="宋体" w:cs="宋体"/>
          <w:b/>
        </w:rPr>
      </w:pPr>
      <w:r>
        <w:rPr>
          <w:rFonts w:hint="eastAsia" w:hAnsi="宋体" w:cs="宋体"/>
        </w:rPr>
        <w:br w:type="page"/>
      </w:r>
      <w:bookmarkEnd w:id="2"/>
      <w:r>
        <w:rPr>
          <w:rFonts w:hint="eastAsia" w:ascii="宋体" w:hAnsi="宋体" w:eastAsia="宋体" w:cs="宋体"/>
          <w:sz w:val="21"/>
          <w:szCs w:val="21"/>
        </w:rPr>
        <w:t>附件</w:t>
      </w:r>
      <w:r>
        <w:rPr>
          <w:rFonts w:hint="eastAsia" w:ascii="宋体" w:hAnsi="宋体" w:eastAsia="宋体" w:cs="宋体"/>
          <w:sz w:val="21"/>
          <w:szCs w:val="21"/>
          <w:lang w:val="en-US" w:eastAsia="zh-CN"/>
        </w:rPr>
        <w:t>1</w:t>
      </w:r>
      <w:r>
        <w:rPr>
          <w:rFonts w:hint="eastAsia" w:ascii="宋体" w:hAnsi="宋体" w:eastAsia="宋体" w:cs="宋体"/>
          <w:sz w:val="21"/>
          <w:szCs w:val="21"/>
        </w:rPr>
        <w:t>：</w:t>
      </w:r>
    </w:p>
    <w:bookmarkEnd w:id="3"/>
    <w:p w14:paraId="0B6F9700">
      <w:pPr>
        <w:keepNext w:val="0"/>
        <w:keepLines w:val="0"/>
        <w:pageBreakBefore w:val="0"/>
        <w:widowControl w:val="0"/>
        <w:kinsoku/>
        <w:wordWrap/>
        <w:overflowPunct/>
        <w:topLinePunct w:val="0"/>
        <w:bidi w:val="0"/>
        <w:spacing w:line="360" w:lineRule="exact"/>
        <w:jc w:val="center"/>
        <w:textAlignment w:val="auto"/>
        <w:rPr>
          <w:rFonts w:hint="eastAsia" w:ascii="宋体" w:hAnsi="宋体" w:eastAsia="宋体" w:cs="宋体"/>
          <w:b/>
          <w:bCs w:val="0"/>
          <w:color w:val="000000"/>
          <w:sz w:val="32"/>
          <w:szCs w:val="32"/>
          <w:highlight w:val="none"/>
          <w:lang w:val="en-US" w:eastAsia="zh-CN"/>
        </w:rPr>
      </w:pPr>
      <w:bookmarkStart w:id="5" w:name="_Toc394573948"/>
      <w:bookmarkStart w:id="6" w:name="_Toc283886261"/>
      <w:bookmarkStart w:id="7" w:name="_Toc282596316"/>
      <w:bookmarkStart w:id="8" w:name="_Toc283976552"/>
      <w:r>
        <w:rPr>
          <w:rFonts w:hint="eastAsia" w:ascii="宋体" w:hAnsi="宋体" w:eastAsia="宋体" w:cs="宋体"/>
          <w:b/>
          <w:bCs w:val="0"/>
          <w:color w:val="000000"/>
          <w:sz w:val="32"/>
          <w:szCs w:val="32"/>
          <w:highlight w:val="none"/>
          <w:lang w:val="en-US" w:eastAsia="zh-CN"/>
        </w:rPr>
        <w:t>考核办法</w:t>
      </w:r>
    </w:p>
    <w:p w14:paraId="3BB2CDBE">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1.考核内容</w:t>
      </w:r>
    </w:p>
    <w:p w14:paraId="7CFE0762">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1.1对季度计划内的排水管网的养护绩效；</w:t>
      </w:r>
    </w:p>
    <w:p w14:paraId="5EBA62F0">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1.2相关的台帐编报工作；</w:t>
      </w:r>
    </w:p>
    <w:p w14:paraId="562EE1FA">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1.3养护作业安全工作；</w:t>
      </w:r>
    </w:p>
    <w:p w14:paraId="6A71B4D4">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1.4配合完成指令性任务（主要包括防汛抗台、新建管道检查验收等） 及文明作业。</w:t>
      </w:r>
    </w:p>
    <w:p w14:paraId="3EFFD28E">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1.5接受区“污水零直排”管网智慧化监管系统监管，并完成相应交办的任务。</w:t>
      </w:r>
    </w:p>
    <w:p w14:paraId="7A522CC7">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2.考核办法</w:t>
      </w:r>
    </w:p>
    <w:p w14:paraId="3B776ED3">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2.1考核采用定期考核与不定期考核相结合的方式，定期考核、不定期考核分别占</w:t>
      </w:r>
      <w:r>
        <w:rPr>
          <w:rFonts w:hint="eastAsia" w:ascii="宋体" w:hAnsi="宋体" w:eastAsia="宋体" w:cs="宋体"/>
          <w:b/>
          <w:bCs/>
          <w:color w:val="000000"/>
          <w:sz w:val="21"/>
          <w:szCs w:val="21"/>
          <w:highlight w:val="none"/>
          <w:u w:val="single"/>
          <w:lang w:val="en-US" w:eastAsia="zh-CN"/>
        </w:rPr>
        <w:t>75% 、25%</w:t>
      </w:r>
      <w:r>
        <w:rPr>
          <w:rFonts w:hint="eastAsia" w:ascii="宋体" w:hAnsi="宋体" w:eastAsia="宋体" w:cs="宋体"/>
          <w:b w:val="0"/>
          <w:bCs w:val="0"/>
          <w:color w:val="000000"/>
          <w:sz w:val="21"/>
          <w:szCs w:val="21"/>
          <w:highlight w:val="none"/>
          <w:lang w:val="en-US" w:eastAsia="zh-CN"/>
        </w:rPr>
        <w:t>。</w:t>
      </w:r>
    </w:p>
    <w:p w14:paraId="46360F90">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2.2考核等级</w:t>
      </w:r>
    </w:p>
    <w:p w14:paraId="2C5BAC5A">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考核分为合格、不合格二个等级，满分100分，当月考核得分在85分以下的为不合格（不含85分），85分以上的为合格。</w:t>
      </w:r>
    </w:p>
    <w:p w14:paraId="5F56D229">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2.3定期考核</w:t>
      </w:r>
    </w:p>
    <w:p w14:paraId="33D94829">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定期考核每季度二次，分别在季度中和季度末，采取资料核查和现场检查相结合的方式。</w:t>
      </w:r>
    </w:p>
    <w:p w14:paraId="7F5B0A4E">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现场检查采用检查表法，考核范围为当月养护计划内的排水管道，每条道路检查点不少于2处，检查具体地点由考核人员确定；资料核查主要是对管网养护单位日常管理工作进行检查考核。</w:t>
      </w:r>
    </w:p>
    <w:p w14:paraId="03DDCCB2">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对于每次考核中发现的问题要求养护单位在下次定期考核前整改完毕，并在下次考核时检查整改情况。</w:t>
      </w:r>
    </w:p>
    <w:p w14:paraId="5C772E72">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2.4不定期考核</w:t>
      </w:r>
    </w:p>
    <w:p w14:paraId="3D0BD838">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不定期考核（即抽查）每季度不少于一次，具体路段在当季度养护计划和上季度检查中发现问题的路段中选定。</w:t>
      </w:r>
    </w:p>
    <w:p w14:paraId="56AE3202">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汛期进行的防汛专项检查，可纳入不定期考核的范畴。</w:t>
      </w:r>
    </w:p>
    <w:p w14:paraId="00F5537F">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3.养护考核</w:t>
      </w:r>
    </w:p>
    <w:p w14:paraId="0D9CF169">
      <w:pPr>
        <w:keepNext w:val="0"/>
        <w:keepLines w:val="0"/>
        <w:pageBreakBefore w:val="0"/>
        <w:widowControl w:val="0"/>
        <w:kinsoku/>
        <w:wordWrap/>
        <w:overflowPunct/>
        <w:topLinePunct w:val="0"/>
        <w:bidi w:val="0"/>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3.1设施状况</w:t>
      </w:r>
    </w:p>
    <w:p w14:paraId="56675B49">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3.1.1检查井</w:t>
      </w:r>
    </w:p>
    <w:p w14:paraId="7734F45C">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（1）井盖的缺失，每只扣5分。</w:t>
      </w:r>
    </w:p>
    <w:p w14:paraId="7C224C75">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（2）井盖破损，每只扣3分。</w:t>
      </w:r>
    </w:p>
    <w:p w14:paraId="73E80BF5">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（3）井座下沉量超限，每只扣2分。</w:t>
      </w:r>
    </w:p>
    <w:p w14:paraId="1673BD44">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（4）检查井浮渣积聚大于井截面2/3，每处扣2分。</w:t>
      </w:r>
    </w:p>
    <w:p w14:paraId="41DA3CE6">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（5）检查井内无安全网的，且不上报，每处扣3分。</w:t>
      </w:r>
    </w:p>
    <w:p w14:paraId="6B153624">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3.1.2 检查井的养护要求</w:t>
      </w:r>
    </w:p>
    <w:p w14:paraId="3DCFEE53">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 管道、检查井的最大积泥深度应符合下列表格要求，每处扣5分。</w:t>
      </w:r>
    </w:p>
    <w:p w14:paraId="36400DDE">
      <w:pPr>
        <w:keepNext w:val="0"/>
        <w:keepLines w:val="0"/>
        <w:pageBreakBefore w:val="0"/>
        <w:widowControl w:val="0"/>
        <w:kinsoku/>
        <w:wordWrap/>
        <w:overflowPunct/>
        <w:topLinePunct w:val="0"/>
        <w:bidi w:val="0"/>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（2） 雨天发现道路有明显积水的，每次发现一处扣5分；排水不畅的，每发现一处扣3分。</w:t>
      </w:r>
    </w:p>
    <w:p w14:paraId="75E891B8">
      <w:pPr>
        <w:keepNext w:val="0"/>
        <w:keepLines w:val="0"/>
        <w:pageBreakBefore w:val="0"/>
        <w:widowControl w:val="0"/>
        <w:kinsoku/>
        <w:wordWrap/>
        <w:overflowPunct/>
        <w:topLinePunct w:val="0"/>
        <w:bidi w:val="0"/>
        <w:spacing w:line="360" w:lineRule="exact"/>
        <w:ind w:firstLine="420" w:firstLineChars="200"/>
        <w:jc w:val="center"/>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管道、检查井和雨水口的允许积泥深度</w:t>
      </w:r>
    </w:p>
    <w:tbl>
      <w:tblPr>
        <w:tblStyle w:val="1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85"/>
        <w:gridCol w:w="2517"/>
        <w:gridCol w:w="3962"/>
      </w:tblGrid>
      <w:tr w14:paraId="4CDCE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0" w:hRule="atLeast"/>
          <w:jc w:val="center"/>
        </w:trPr>
        <w:tc>
          <w:tcPr>
            <w:tcW w:w="3702" w:type="dxa"/>
            <w:gridSpan w:val="2"/>
            <w:noWrap w:val="0"/>
            <w:vAlign w:val="center"/>
          </w:tcPr>
          <w:p w14:paraId="52AA6E8B">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设施类别</w:t>
            </w:r>
          </w:p>
        </w:tc>
        <w:tc>
          <w:tcPr>
            <w:tcW w:w="3962" w:type="dxa"/>
            <w:noWrap w:val="0"/>
            <w:vAlign w:val="center"/>
          </w:tcPr>
          <w:p w14:paraId="5BE8BEDB">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允许积泥深度</w:t>
            </w:r>
          </w:p>
        </w:tc>
      </w:tr>
      <w:tr w14:paraId="302BB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atLeast"/>
          <w:jc w:val="center"/>
        </w:trPr>
        <w:tc>
          <w:tcPr>
            <w:tcW w:w="3702" w:type="dxa"/>
            <w:gridSpan w:val="2"/>
            <w:vMerge w:val="restart"/>
            <w:noWrap w:val="0"/>
            <w:vAlign w:val="center"/>
          </w:tcPr>
          <w:p w14:paraId="2CF1F1E0">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管道</w:t>
            </w:r>
          </w:p>
        </w:tc>
        <w:tc>
          <w:tcPr>
            <w:tcW w:w="3962" w:type="dxa"/>
            <w:noWrap w:val="0"/>
            <w:vAlign w:val="center"/>
          </w:tcPr>
          <w:p w14:paraId="102F906F">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小型管  管径的 1/4</w:t>
            </w:r>
          </w:p>
        </w:tc>
      </w:tr>
      <w:tr w14:paraId="396C8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atLeast"/>
          <w:jc w:val="center"/>
        </w:trPr>
        <w:tc>
          <w:tcPr>
            <w:tcW w:w="3702" w:type="dxa"/>
            <w:gridSpan w:val="2"/>
            <w:vMerge w:val="continue"/>
            <w:noWrap w:val="0"/>
            <w:vAlign w:val="center"/>
          </w:tcPr>
          <w:p w14:paraId="7480A9A0">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tc>
        <w:tc>
          <w:tcPr>
            <w:tcW w:w="3962" w:type="dxa"/>
            <w:noWrap w:val="0"/>
            <w:vAlign w:val="center"/>
          </w:tcPr>
          <w:p w14:paraId="6A869E22">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大型管  管径的 1/5</w:t>
            </w:r>
          </w:p>
        </w:tc>
      </w:tr>
      <w:tr w14:paraId="6C1B1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7" w:hRule="atLeast"/>
          <w:jc w:val="center"/>
        </w:trPr>
        <w:tc>
          <w:tcPr>
            <w:tcW w:w="1185" w:type="dxa"/>
            <w:vMerge w:val="restart"/>
            <w:noWrap w:val="0"/>
            <w:vAlign w:val="center"/>
          </w:tcPr>
          <w:p w14:paraId="3B65023F">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p w14:paraId="7FF6488B">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p w14:paraId="5E0BBEBB">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检查井</w:t>
            </w:r>
          </w:p>
        </w:tc>
        <w:tc>
          <w:tcPr>
            <w:tcW w:w="2517" w:type="dxa"/>
            <w:noWrap w:val="0"/>
            <w:vAlign w:val="center"/>
          </w:tcPr>
          <w:p w14:paraId="364D0CB8">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落底井</w:t>
            </w:r>
          </w:p>
        </w:tc>
        <w:tc>
          <w:tcPr>
            <w:tcW w:w="3962" w:type="dxa"/>
            <w:noWrap w:val="0"/>
            <w:vAlign w:val="center"/>
          </w:tcPr>
          <w:p w14:paraId="1B8AA7F9">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管底以下 50mm</w:t>
            </w:r>
          </w:p>
        </w:tc>
      </w:tr>
      <w:tr w14:paraId="51BF2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1185" w:type="dxa"/>
            <w:vMerge w:val="continue"/>
            <w:noWrap w:val="0"/>
            <w:vAlign w:val="center"/>
          </w:tcPr>
          <w:p w14:paraId="463D6ED6">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tc>
        <w:tc>
          <w:tcPr>
            <w:tcW w:w="2517" w:type="dxa"/>
            <w:noWrap w:val="0"/>
            <w:vAlign w:val="center"/>
          </w:tcPr>
          <w:p w14:paraId="7640CD0C">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半落底</w:t>
            </w:r>
          </w:p>
        </w:tc>
        <w:tc>
          <w:tcPr>
            <w:tcW w:w="3962" w:type="dxa"/>
            <w:noWrap w:val="0"/>
            <w:vAlign w:val="center"/>
          </w:tcPr>
          <w:p w14:paraId="1279440A">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不超过管底</w:t>
            </w:r>
          </w:p>
        </w:tc>
      </w:tr>
      <w:tr w14:paraId="3D902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1185" w:type="dxa"/>
            <w:vMerge w:val="continue"/>
            <w:noWrap w:val="0"/>
            <w:vAlign w:val="center"/>
          </w:tcPr>
          <w:p w14:paraId="65B46DD9">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tc>
        <w:tc>
          <w:tcPr>
            <w:tcW w:w="2517" w:type="dxa"/>
            <w:vMerge w:val="restart"/>
            <w:noWrap w:val="0"/>
            <w:vAlign w:val="center"/>
          </w:tcPr>
          <w:p w14:paraId="04D1953E">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平底井</w:t>
            </w:r>
          </w:p>
        </w:tc>
        <w:tc>
          <w:tcPr>
            <w:tcW w:w="3962" w:type="dxa"/>
            <w:noWrap w:val="0"/>
            <w:vAlign w:val="center"/>
          </w:tcPr>
          <w:p w14:paraId="75FBCE3E">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小型管  管径的 1/4</w:t>
            </w:r>
          </w:p>
        </w:tc>
      </w:tr>
      <w:tr w14:paraId="35784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5" w:hRule="atLeast"/>
          <w:jc w:val="center"/>
        </w:trPr>
        <w:tc>
          <w:tcPr>
            <w:tcW w:w="1185" w:type="dxa"/>
            <w:vMerge w:val="continue"/>
            <w:noWrap w:val="0"/>
            <w:vAlign w:val="center"/>
          </w:tcPr>
          <w:p w14:paraId="5DD730AD">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tc>
        <w:tc>
          <w:tcPr>
            <w:tcW w:w="2517" w:type="dxa"/>
            <w:vMerge w:val="continue"/>
            <w:noWrap w:val="0"/>
            <w:vAlign w:val="center"/>
          </w:tcPr>
          <w:p w14:paraId="03095DF8">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tc>
        <w:tc>
          <w:tcPr>
            <w:tcW w:w="3962" w:type="dxa"/>
            <w:noWrap w:val="0"/>
            <w:vAlign w:val="center"/>
          </w:tcPr>
          <w:p w14:paraId="28A22B6F">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大型管  管径的 1/5</w:t>
            </w:r>
          </w:p>
        </w:tc>
      </w:tr>
      <w:tr w14:paraId="1D5CE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jc w:val="center"/>
        </w:trPr>
        <w:tc>
          <w:tcPr>
            <w:tcW w:w="1185" w:type="dxa"/>
            <w:vMerge w:val="restart"/>
            <w:noWrap w:val="0"/>
            <w:vAlign w:val="center"/>
          </w:tcPr>
          <w:p w14:paraId="179383C3">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雨水口</w:t>
            </w:r>
          </w:p>
        </w:tc>
        <w:tc>
          <w:tcPr>
            <w:tcW w:w="2517" w:type="dxa"/>
            <w:noWrap w:val="0"/>
            <w:vAlign w:val="center"/>
          </w:tcPr>
          <w:p w14:paraId="6EC725A0">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有沉泥槽</w:t>
            </w:r>
          </w:p>
        </w:tc>
        <w:tc>
          <w:tcPr>
            <w:tcW w:w="3962" w:type="dxa"/>
            <w:noWrap w:val="0"/>
            <w:vAlign w:val="center"/>
          </w:tcPr>
          <w:p w14:paraId="5AB010E3">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管底以下 50mm</w:t>
            </w:r>
          </w:p>
        </w:tc>
      </w:tr>
      <w:tr w14:paraId="6D441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9" w:hRule="atLeast"/>
          <w:jc w:val="center"/>
        </w:trPr>
        <w:tc>
          <w:tcPr>
            <w:tcW w:w="1185" w:type="dxa"/>
            <w:vMerge w:val="continue"/>
            <w:noWrap w:val="0"/>
            <w:vAlign w:val="center"/>
          </w:tcPr>
          <w:p w14:paraId="7CB16713">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p>
        </w:tc>
        <w:tc>
          <w:tcPr>
            <w:tcW w:w="2517" w:type="dxa"/>
            <w:noWrap w:val="0"/>
            <w:vAlign w:val="center"/>
          </w:tcPr>
          <w:p w14:paraId="40BA13B2">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无沉泥槽</w:t>
            </w:r>
          </w:p>
        </w:tc>
        <w:tc>
          <w:tcPr>
            <w:tcW w:w="3962" w:type="dxa"/>
            <w:noWrap w:val="0"/>
            <w:vAlign w:val="center"/>
          </w:tcPr>
          <w:p w14:paraId="172F17D0">
            <w:pPr>
              <w:keepNext w:val="0"/>
              <w:keepLines w:val="0"/>
              <w:pageBreakBefore w:val="0"/>
              <w:widowControl w:val="0"/>
              <w:kinsoku/>
              <w:wordWrap/>
              <w:overflowPunct/>
              <w:topLinePunct w:val="0"/>
              <w:bidi w:val="0"/>
              <w:spacing w:line="360" w:lineRule="exact"/>
              <w:ind w:firstLine="420" w:firstLineChars="200"/>
              <w:jc w:val="both"/>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管底以上 50mm</w:t>
            </w:r>
          </w:p>
        </w:tc>
      </w:tr>
    </w:tbl>
    <w:p w14:paraId="5BC3D7AC">
      <w:pPr>
        <w:keepNext w:val="0"/>
        <w:keepLines w:val="0"/>
        <w:pageBreakBefore w:val="0"/>
        <w:widowControl w:val="0"/>
        <w:kinsoku/>
        <w:wordWrap/>
        <w:overflowPunct/>
        <w:topLinePunct w:val="0"/>
        <w:bidi w:val="0"/>
        <w:snapToGrid/>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3.2养护应急能力</w:t>
      </w:r>
    </w:p>
    <w:p w14:paraId="4808BC8C">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3.2.1在接到因污水不畅引起的路面积水事件，应在半小时以内到达现场进行处理。发现到场时间超过半小时不足1小时的，每次扣2分；到场时间超过1小时的，每次扣5分。</w:t>
      </w:r>
    </w:p>
    <w:p w14:paraId="63D97583">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3.2.2井盖缺失（破损），应在现场专人看护或设立明显警示标志，并立即上报业主单位，否则每次扣5分。</w:t>
      </w:r>
    </w:p>
    <w:p w14:paraId="5F8AEF12">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3.2.3汛期，接到“防汛警报”后不能及时安排人员值班的，每次扣5分；接警后不能闻警而动的，每次扣5分。</w:t>
      </w:r>
    </w:p>
    <w:p w14:paraId="5A63DE49">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3.2.4接受临时性工作任务时，不能按质按时完成的，酌情扣1-5分。</w:t>
      </w:r>
    </w:p>
    <w:p w14:paraId="4D23B9A8">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3.2.5污泥市内运输应及时，运输途中保持道路清洁，运送不及时或影响周边道路卫生，每次视影响大小扣1-5分。</w:t>
      </w:r>
    </w:p>
    <w:p w14:paraId="352D23AF">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3.2.6各养护班组须确定专人负责处置“数字城管”应急（井盖缺损、污水冒溢、路面 积水等）事件，确保24小时电话畅通。未设专人的扣5分；联系不到专人的，每次扣4分。</w:t>
      </w:r>
    </w:p>
    <w:p w14:paraId="6A2DC0BD">
      <w:pPr>
        <w:keepNext w:val="0"/>
        <w:keepLines w:val="0"/>
        <w:pageBreakBefore w:val="0"/>
        <w:widowControl w:val="0"/>
        <w:kinsoku/>
        <w:wordWrap/>
        <w:overflowPunct/>
        <w:topLinePunct w:val="0"/>
        <w:bidi w:val="0"/>
        <w:snapToGrid/>
        <w:spacing w:line="360" w:lineRule="exact"/>
        <w:ind w:firstLine="422"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3.3 安全工作情况</w:t>
      </w:r>
    </w:p>
    <w:p w14:paraId="6A6B03F9">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3.3.1 作业现场</w:t>
      </w:r>
    </w:p>
    <w:p w14:paraId="2CED7839">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（1）养护现场周围设置明显警示标志或警示护栏。每次发现一处未设置警示标志扣3分。</w:t>
      </w:r>
    </w:p>
    <w:p w14:paraId="65F52151">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（2）在市区交通主干道作业时，应指派专人维护现场秩序。发现一次无人维护秩序扣3分。</w:t>
      </w:r>
    </w:p>
    <w:p w14:paraId="355A7AED">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3.3.2 管道养护操作人员装备及作业情况</w:t>
      </w:r>
    </w:p>
    <w:p w14:paraId="2F435D99">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（1）养护操作人员在作业时必须佩戴相应的劳动防护用品，如下井时应戴安全帽、胶 皮手套，穿防护服、防刺鞋和安全绳等，上路作业是须穿反光背心。每次发现养护操作人员在作业时未佩戴相应物件，每件扣2分。</w:t>
      </w:r>
    </w:p>
    <w:p w14:paraId="5AD865D3">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（2）下井作业前，应对井下空气含氧量和常见有害气体的浓度进行检测，只有在确认安全条件下，养护操作人员才能下井作业。每次发现未检测的扣5分。</w:t>
      </w:r>
    </w:p>
    <w:p w14:paraId="7BF5043F">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（3）养护操作人员下井作业时，井上应有专人监护。若进入管道，还应在井内增加监护人员作中间联络。监护人员擅离职守的，扣5分； 在下井作业未设监护人的，每次扣5分。</w:t>
      </w:r>
    </w:p>
    <w:p w14:paraId="3B27C2F8">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4）养护操作人员下井进行管道封堵或拆除封堵等作业，应先报告业主单位有关人员，经同意后才能实施，实施前应制订有专门的安全技术措施，并现场落实。未经报告或擅自实施的，每次扣10分；未制订安全技术措施或未现场落实的，每次扣5分。</w:t>
      </w:r>
    </w:p>
    <w:p w14:paraId="48B8B2D9">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3.3.3 安全教育与培训</w:t>
      </w:r>
    </w:p>
    <w:p w14:paraId="4C3A09D5">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每月应至少召开一次全体养护人员参加的安全生产会议，并有相应的台帐记录。发现 无作业台帐，每次扣5分； 作业台帐内容不全的，每次扣3分。</w:t>
      </w:r>
    </w:p>
    <w:p w14:paraId="23C4F757">
      <w:pPr>
        <w:keepNext w:val="0"/>
        <w:keepLines w:val="0"/>
        <w:pageBreakBefore w:val="0"/>
        <w:widowControl w:val="0"/>
        <w:kinsoku/>
        <w:wordWrap/>
        <w:overflowPunct/>
        <w:topLinePunct w:val="0"/>
        <w:bidi w:val="0"/>
        <w:snapToGrid/>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3.4 资料管理</w:t>
      </w:r>
    </w:p>
    <w:p w14:paraId="6C7BAA89">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3.4. 1 工作量核计</w:t>
      </w:r>
    </w:p>
    <w:p w14:paraId="129A2C43">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养护工作量： 管网养护单位须将排水管网及窨井养护的工作量以月报表形式上报业主单位，内容包括：保障涉水管道通畅（疏通养护） ，检查排水设施齐全，配合新管道验收检查，其它污水事件应急处置工作等。有局部零星维修（包括增井与排管）作业时， 应附有图示。</w:t>
      </w:r>
    </w:p>
    <w:p w14:paraId="38F5259D">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3.4.2 具体要求</w:t>
      </w:r>
    </w:p>
    <w:p w14:paraId="5703BE71">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（1）管网养护单位应派专人对管理范围内的涉水管道及窨井进行日常巡视及养护管理，并建立台帐，记录日常养护工作，无台帐扣3分。</w:t>
      </w:r>
    </w:p>
    <w:p w14:paraId="20BAE360">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（2）涉水管道疏通工程量： 管网养护单位须每月28日前，将当月管道疏通工程量以清单形式上报业主单位。未按时上报每次扣5分。</w:t>
      </w:r>
    </w:p>
    <w:p w14:paraId="48525B65">
      <w:pPr>
        <w:keepNext w:val="0"/>
        <w:keepLines w:val="0"/>
        <w:pageBreakBefore w:val="0"/>
        <w:widowControl w:val="0"/>
        <w:kinsoku/>
        <w:wordWrap/>
        <w:overflowPunct/>
        <w:topLinePunct w:val="0"/>
        <w:bidi w:val="0"/>
        <w:snapToGrid/>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3.5 其他</w:t>
      </w:r>
    </w:p>
    <w:p w14:paraId="4CC0BF2F">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3.5.1 管网养护单位对发现损坏城市污水设施的行为能及时制止并向业主单位汇报。发现后未及时制止和汇报的，每次扣3分。</w:t>
      </w:r>
    </w:p>
    <w:p w14:paraId="545E0986">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3.5.2 由于管网养护单位对污水管网及窨井养护不到位，被新闻媒体曝光的，经核实无误，每次扣5分。</w:t>
      </w:r>
    </w:p>
    <w:p w14:paraId="09A579CC">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3.5.3 管网养护单位必须按时发放工作人员工资及必要的劳保福利等待遇，处理好劳资纠纷。因内部管理原因造成不良后果或影响的，酌情扣1-5分。</w:t>
      </w:r>
    </w:p>
    <w:p w14:paraId="1ECA8FB7">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3.5.4 管网养护工作人员必须持有职业资格证书或上岗证方可上岗。如发现无证上岗的每1人扣5分。</w:t>
      </w:r>
    </w:p>
    <w:p w14:paraId="70AFD9F7">
      <w:pPr>
        <w:keepNext w:val="0"/>
        <w:keepLines w:val="0"/>
        <w:pageBreakBefore w:val="0"/>
        <w:widowControl w:val="0"/>
        <w:kinsoku/>
        <w:wordWrap/>
        <w:overflowPunct/>
        <w:topLinePunct w:val="0"/>
        <w:bidi w:val="0"/>
        <w:snapToGrid/>
        <w:spacing w:line="360" w:lineRule="exact"/>
        <w:ind w:firstLine="422" w:firstLineChars="20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3.6 奖惩办法</w:t>
      </w:r>
    </w:p>
    <w:p w14:paraId="02020465">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3.6.1季度考核中养护单位检查得分在85分以下的，计算检查得分与合格分的差值，按每分值2000元人民币从当季劳务费用中予以处罚。</w:t>
      </w:r>
    </w:p>
    <w:p w14:paraId="0244C07B">
      <w:pPr>
        <w:keepNext w:val="0"/>
        <w:keepLines w:val="0"/>
        <w:pageBreakBefore w:val="0"/>
        <w:widowControl w:val="0"/>
        <w:kinsoku/>
        <w:wordWrap/>
        <w:overflowPunct/>
        <w:topLinePunct w:val="0"/>
        <w:bidi w:val="0"/>
        <w:snapToGrid/>
        <w:spacing w:line="360" w:lineRule="exact"/>
        <w:ind w:firstLine="420" w:firstLineChars="200"/>
        <w:textAlignment w:val="auto"/>
        <w:rPr>
          <w:rFonts w:hint="eastAsia" w:ascii="宋体" w:hAnsi="宋体" w:eastAsia="宋体" w:cs="宋体"/>
          <w:b w:val="0"/>
          <w:bCs w:val="0"/>
          <w:color w:val="000000"/>
          <w:sz w:val="21"/>
          <w:szCs w:val="21"/>
          <w:highlight w:val="none"/>
          <w:lang w:val="en-US" w:eastAsia="zh-CN"/>
        </w:rPr>
      </w:pPr>
      <w:r>
        <w:rPr>
          <w:rFonts w:hint="eastAsia" w:ascii="宋体" w:hAnsi="宋体" w:eastAsia="宋体" w:cs="宋体"/>
          <w:b w:val="0"/>
          <w:bCs w:val="0"/>
          <w:color w:val="000000"/>
          <w:sz w:val="21"/>
          <w:szCs w:val="21"/>
          <w:highlight w:val="none"/>
          <w:lang w:val="en-US" w:eastAsia="zh-CN"/>
        </w:rPr>
        <w:t>3.6.2 连续两次季度考核检查得分在85分以下的，除执行上述扣除后，要求养护单位提出书面整改措施，并处以当月一半劳务费用的处罚，报业主单位备案。</w:t>
      </w:r>
    </w:p>
    <w:p w14:paraId="4669802B">
      <w:pPr>
        <w:pStyle w:val="116"/>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sz w:val="21"/>
          <w:szCs w:val="21"/>
          <w:highlight w:val="none"/>
        </w:rPr>
      </w:pPr>
      <w:r>
        <w:rPr>
          <w:rFonts w:hint="eastAsia" w:ascii="宋体" w:hAnsi="宋体" w:eastAsia="宋体" w:cs="宋体"/>
          <w:b w:val="0"/>
          <w:bCs w:val="0"/>
          <w:color w:val="000000"/>
          <w:sz w:val="21"/>
          <w:szCs w:val="21"/>
          <w:highlight w:val="none"/>
          <w:lang w:val="en-US" w:eastAsia="zh-CN"/>
        </w:rPr>
        <w:t>3.6.3 连续三次季度考核检查得分85分以下，或一年中累计6次以上（包括6次） 考核检查得分85分以下的，业主单位有权终止合同（不承担违约责任）。</w:t>
      </w:r>
    </w:p>
    <w:p w14:paraId="73DE33B2">
      <w:pPr>
        <w:pStyle w:val="112"/>
        <w:ind w:firstLine="560"/>
        <w:jc w:val="left"/>
        <w:rPr>
          <w:rFonts w:hint="eastAsia" w:ascii="宋体" w:hAnsi="宋体" w:eastAsia="宋体"/>
        </w:rPr>
      </w:pPr>
      <w:r>
        <w:rPr>
          <w:rFonts w:hint="eastAsia" w:ascii="宋体" w:hAnsi="宋体" w:eastAsia="宋体" w:cs="宋体"/>
          <w:sz w:val="21"/>
          <w:szCs w:val="21"/>
        </w:rPr>
        <w:br w:type="page"/>
      </w:r>
      <w:bookmarkStart w:id="9" w:name="_Toc15640"/>
      <w:bookmarkStart w:id="10" w:name="_Toc14591"/>
      <w:r>
        <w:rPr>
          <w:rFonts w:hint="eastAsia" w:ascii="宋体" w:hAnsi="宋体" w:eastAsia="宋体" w:cs="宋体"/>
          <w:sz w:val="21"/>
          <w:szCs w:val="21"/>
        </w:rPr>
        <w:t>附件</w:t>
      </w:r>
      <w:r>
        <w:rPr>
          <w:rFonts w:hint="eastAsia" w:ascii="宋体" w:hAnsi="宋体" w:eastAsia="宋体" w:cs="宋体"/>
          <w:sz w:val="21"/>
          <w:szCs w:val="21"/>
          <w:lang w:val="en-US" w:eastAsia="zh-CN"/>
        </w:rPr>
        <w:t>2</w:t>
      </w:r>
      <w:r>
        <w:rPr>
          <w:rFonts w:hint="eastAsia" w:ascii="宋体" w:hAnsi="宋体" w:eastAsia="宋体" w:cs="宋体"/>
          <w:sz w:val="21"/>
          <w:szCs w:val="21"/>
        </w:rPr>
        <w:t>：</w:t>
      </w:r>
      <w:bookmarkEnd w:id="9"/>
      <w:bookmarkEnd w:id="10"/>
      <w:r>
        <w:rPr>
          <w:rFonts w:hint="eastAsia" w:ascii="宋体" w:hAnsi="宋体" w:eastAsia="宋体"/>
        </w:rPr>
        <w:t xml:space="preserve">   </w:t>
      </w:r>
    </w:p>
    <w:p w14:paraId="10CBD7B6">
      <w:pPr>
        <w:pStyle w:val="112"/>
        <w:ind w:firstLine="560"/>
        <w:jc w:val="center"/>
        <w:rPr>
          <w:rFonts w:hint="eastAsia" w:ascii="宋体" w:hAnsi="宋体" w:eastAsia="宋体"/>
        </w:rPr>
      </w:pPr>
      <w:bookmarkStart w:id="11" w:name="_Toc19259"/>
      <w:r>
        <w:rPr>
          <w:rFonts w:hint="eastAsia" w:ascii="宋体" w:hAnsi="宋体" w:eastAsia="宋体"/>
        </w:rPr>
        <w:t>工程建设项目廉政责任书</w:t>
      </w:r>
      <w:bookmarkEnd w:id="5"/>
      <w:bookmarkEnd w:id="6"/>
      <w:bookmarkEnd w:id="7"/>
      <w:bookmarkEnd w:id="8"/>
      <w:bookmarkEnd w:id="11"/>
    </w:p>
    <w:p w14:paraId="561DFDE0">
      <w:pPr>
        <w:autoSpaceDE w:val="0"/>
        <w:autoSpaceDN w:val="0"/>
        <w:spacing w:line="360" w:lineRule="exact"/>
        <w:ind w:firstLine="482"/>
        <w:rPr>
          <w:rFonts w:hint="eastAsia" w:ascii="宋体" w:hAnsi="宋体" w:cs="宋体"/>
          <w:szCs w:val="21"/>
        </w:rPr>
      </w:pPr>
    </w:p>
    <w:p w14:paraId="673ACD49">
      <w:pPr>
        <w:autoSpaceDE w:val="0"/>
        <w:autoSpaceDN w:val="0"/>
        <w:spacing w:line="360" w:lineRule="exact"/>
        <w:ind w:firstLine="482"/>
        <w:rPr>
          <w:rFonts w:hint="eastAsia" w:ascii="宋体" w:hAnsi="宋体" w:eastAsia="宋体" w:cs="宋体"/>
          <w:szCs w:val="21"/>
          <w:u w:val="single"/>
          <w:lang w:eastAsia="zh-CN"/>
        </w:rPr>
      </w:pPr>
      <w:r>
        <w:rPr>
          <w:rFonts w:hint="eastAsia" w:ascii="宋体" w:hAnsi="宋体" w:cs="宋体"/>
          <w:szCs w:val="21"/>
        </w:rPr>
        <w:t>工程项目名称：</w:t>
      </w:r>
      <w:r>
        <w:rPr>
          <w:rFonts w:hint="eastAsia" w:ascii="宋体" w:hAnsi="宋体" w:cs="宋体"/>
          <w:u w:val="single"/>
          <w:lang w:eastAsia="zh-CN"/>
        </w:rPr>
        <w:t>路桥区蓬街镇2024年度雨污管网养护及河道应急处理项目</w:t>
      </w:r>
    </w:p>
    <w:p w14:paraId="22C510A0">
      <w:pPr>
        <w:autoSpaceDE w:val="0"/>
        <w:autoSpaceDN w:val="0"/>
        <w:spacing w:line="360" w:lineRule="exact"/>
        <w:ind w:firstLine="482"/>
        <w:rPr>
          <w:rFonts w:hint="eastAsia" w:ascii="宋体" w:hAnsi="宋体" w:eastAsia="宋体" w:cs="宋体"/>
          <w:bCs/>
          <w:szCs w:val="21"/>
          <w:u w:val="single"/>
          <w:lang w:eastAsia="zh-CN"/>
        </w:rPr>
      </w:pPr>
      <w:r>
        <w:rPr>
          <w:rFonts w:hint="eastAsia" w:ascii="宋体" w:hAnsi="宋体" w:cs="宋体"/>
          <w:szCs w:val="21"/>
        </w:rPr>
        <w:t>工程项目地址：</w:t>
      </w:r>
      <w:r>
        <w:rPr>
          <w:rFonts w:hint="eastAsia" w:ascii="宋体" w:hAnsi="宋体" w:cs="宋体"/>
          <w:bCs/>
          <w:szCs w:val="21"/>
          <w:u w:val="single"/>
          <w:lang w:eastAsia="zh-CN"/>
        </w:rPr>
        <w:t>路桥区蓬街镇</w:t>
      </w:r>
    </w:p>
    <w:p w14:paraId="44677CCA">
      <w:pPr>
        <w:autoSpaceDE w:val="0"/>
        <w:autoSpaceDN w:val="0"/>
        <w:spacing w:line="360" w:lineRule="exact"/>
        <w:ind w:firstLine="482"/>
        <w:rPr>
          <w:rFonts w:hint="eastAsia" w:ascii="宋体" w:hAnsi="宋体" w:eastAsia="宋体" w:cs="宋体"/>
          <w:szCs w:val="21"/>
          <w:lang w:eastAsia="zh-CN"/>
        </w:rPr>
      </w:pPr>
      <w:r>
        <w:rPr>
          <w:rFonts w:hint="eastAsia" w:ascii="宋体" w:hAnsi="宋体" w:cs="宋体"/>
          <w:szCs w:val="21"/>
        </w:rPr>
        <w:t>建设单位（甲方）：</w:t>
      </w:r>
      <w:r>
        <w:rPr>
          <w:rFonts w:hint="eastAsia" w:ascii="宋体" w:hAnsi="宋体" w:cs="宋体"/>
          <w:szCs w:val="21"/>
          <w:u w:val="single"/>
          <w:lang w:eastAsia="zh-CN"/>
        </w:rPr>
        <w:t>台州市路桥区蓬街镇人民政府</w:t>
      </w:r>
    </w:p>
    <w:p w14:paraId="53CE77EE">
      <w:pPr>
        <w:autoSpaceDE w:val="0"/>
        <w:autoSpaceDN w:val="0"/>
        <w:spacing w:line="360" w:lineRule="exact"/>
        <w:ind w:firstLine="482"/>
        <w:rPr>
          <w:rFonts w:hint="eastAsia" w:ascii="宋体" w:hAnsi="宋体" w:cs="宋体"/>
          <w:szCs w:val="21"/>
        </w:rPr>
      </w:pPr>
      <w:r>
        <w:rPr>
          <w:rFonts w:hint="eastAsia" w:ascii="宋体" w:hAnsi="宋体" w:cs="宋体"/>
          <w:szCs w:val="21"/>
        </w:rPr>
        <w:t>施工单位（乙方）：</w:t>
      </w:r>
      <w:r>
        <w:rPr>
          <w:rFonts w:hint="eastAsia" w:ascii="宋体" w:hAnsi="宋体" w:cs="宋体"/>
          <w:szCs w:val="21"/>
          <w:u w:val="single"/>
        </w:rPr>
        <w:t xml:space="preserve">                               </w:t>
      </w:r>
    </w:p>
    <w:p w14:paraId="2B34F82D">
      <w:pPr>
        <w:autoSpaceDE w:val="0"/>
        <w:autoSpaceDN w:val="0"/>
        <w:spacing w:line="360" w:lineRule="exact"/>
        <w:ind w:firstLine="482"/>
        <w:rPr>
          <w:rFonts w:hint="eastAsia" w:ascii="宋体" w:hAnsi="宋体" w:cs="宋体"/>
          <w:szCs w:val="21"/>
        </w:rPr>
      </w:pPr>
      <w:r>
        <w:rPr>
          <w:rFonts w:hint="eastAsia" w:ascii="宋体" w:hAnsi="宋体" w:cs="宋体"/>
          <w:szCs w:val="21"/>
        </w:rPr>
        <w:t>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14:paraId="018D4DC4">
      <w:pPr>
        <w:autoSpaceDE w:val="0"/>
        <w:autoSpaceDN w:val="0"/>
        <w:spacing w:line="360" w:lineRule="exact"/>
        <w:rPr>
          <w:rFonts w:hint="eastAsia" w:ascii="宋体" w:hAnsi="宋体" w:cs="宋体"/>
          <w:szCs w:val="21"/>
        </w:rPr>
      </w:pPr>
      <w:r>
        <w:rPr>
          <w:rFonts w:hint="eastAsia" w:ascii="宋体" w:hAnsi="宋体" w:cs="宋体"/>
          <w:szCs w:val="21"/>
        </w:rPr>
        <w:t>　　第一条 甲乙双方的责任</w:t>
      </w:r>
    </w:p>
    <w:p w14:paraId="475BE8CA">
      <w:pPr>
        <w:pStyle w:val="13"/>
        <w:spacing w:line="360" w:lineRule="exact"/>
        <w:jc w:val="left"/>
        <w:rPr>
          <w:rFonts w:hint="eastAsia" w:hAnsi="宋体" w:cs="宋体"/>
          <w:sz w:val="21"/>
          <w:szCs w:val="21"/>
        </w:rPr>
      </w:pPr>
      <w:r>
        <w:rPr>
          <w:rFonts w:hint="eastAsia" w:hAnsi="宋体" w:cs="宋体"/>
          <w:sz w:val="21"/>
          <w:szCs w:val="21"/>
        </w:rPr>
        <w:t>　　（一）应严格遵守国家关于市场准入、项目招标投标、工程建设、施工安装和市场活动等有关法律、法规，相关政策，以及廉政建设的各项规定。</w:t>
      </w:r>
    </w:p>
    <w:p w14:paraId="63572DAD">
      <w:pPr>
        <w:autoSpaceDE w:val="0"/>
        <w:autoSpaceDN w:val="0"/>
        <w:spacing w:line="360" w:lineRule="exact"/>
        <w:rPr>
          <w:rFonts w:hint="eastAsia" w:ascii="宋体" w:hAnsi="宋体" w:cs="宋体"/>
          <w:szCs w:val="21"/>
        </w:rPr>
      </w:pPr>
      <w:r>
        <w:rPr>
          <w:rFonts w:hint="eastAsia" w:ascii="宋体" w:hAnsi="宋体" w:cs="宋体"/>
          <w:szCs w:val="21"/>
        </w:rPr>
        <w:t>　　（二）严格执行建设工程项目承发包合同文件，自觉按合同办事。</w:t>
      </w:r>
    </w:p>
    <w:p w14:paraId="4D906F3E">
      <w:pPr>
        <w:pStyle w:val="13"/>
        <w:spacing w:line="360" w:lineRule="exact"/>
        <w:rPr>
          <w:rFonts w:hint="eastAsia" w:hAnsi="宋体" w:cs="宋体"/>
          <w:sz w:val="21"/>
          <w:szCs w:val="21"/>
        </w:rPr>
      </w:pPr>
      <w:r>
        <w:rPr>
          <w:rFonts w:hint="eastAsia" w:hAnsi="宋体" w:cs="宋体"/>
          <w:sz w:val="21"/>
          <w:szCs w:val="21"/>
        </w:rPr>
        <w:t>　　（三）业务活动必须坚持公开、公平、公正、诚信、透明的原则（除法律法规另有规定者外），不得为获取不正当的利益，损害国家、集体和对方利益，不得违反工程建设管理、施工安装的规章制度。</w:t>
      </w:r>
    </w:p>
    <w:p w14:paraId="6F2E76E6">
      <w:pPr>
        <w:pStyle w:val="13"/>
        <w:spacing w:line="360" w:lineRule="exact"/>
        <w:jc w:val="left"/>
        <w:rPr>
          <w:rFonts w:hint="eastAsia" w:hAnsi="宋体" w:cs="宋体"/>
          <w:sz w:val="21"/>
          <w:szCs w:val="21"/>
        </w:rPr>
      </w:pPr>
      <w:r>
        <w:rPr>
          <w:rFonts w:hint="eastAsia" w:hAnsi="宋体" w:cs="宋体"/>
          <w:sz w:val="21"/>
          <w:szCs w:val="21"/>
        </w:rPr>
        <w:t>　　（四）发现对方在业务活动中有违规、违纪、违法行为的，应及时提醒对方，情节严重的，应向其上级主管部门或纪检监察、司法等有关机关举报。</w:t>
      </w:r>
    </w:p>
    <w:p w14:paraId="76099924">
      <w:pPr>
        <w:autoSpaceDE w:val="0"/>
        <w:autoSpaceDN w:val="0"/>
        <w:spacing w:line="360" w:lineRule="exact"/>
        <w:rPr>
          <w:rFonts w:hint="eastAsia" w:ascii="宋体" w:hAnsi="宋体" w:cs="宋体"/>
          <w:szCs w:val="21"/>
        </w:rPr>
      </w:pPr>
      <w:r>
        <w:rPr>
          <w:rFonts w:hint="eastAsia" w:ascii="宋体" w:hAnsi="宋体" w:cs="宋体"/>
          <w:szCs w:val="21"/>
        </w:rPr>
        <w:t>　　第二条 甲方的责任</w:t>
      </w:r>
    </w:p>
    <w:p w14:paraId="28E65A51">
      <w:pPr>
        <w:autoSpaceDE w:val="0"/>
        <w:autoSpaceDN w:val="0"/>
        <w:spacing w:line="360" w:lineRule="exact"/>
        <w:rPr>
          <w:rFonts w:hint="eastAsia" w:ascii="宋体" w:hAnsi="宋体" w:cs="宋体"/>
          <w:szCs w:val="21"/>
        </w:rPr>
      </w:pPr>
      <w:r>
        <w:rPr>
          <w:rFonts w:hint="eastAsia" w:ascii="宋体" w:hAnsi="宋体" w:cs="宋体"/>
          <w:szCs w:val="21"/>
        </w:rPr>
        <w:t>　　甲方的领导和从事该建设工程项目的工作人员，在工程建设的事前、事中、事后应遵守以下规定：</w:t>
      </w:r>
    </w:p>
    <w:p w14:paraId="429B6825">
      <w:pPr>
        <w:autoSpaceDE w:val="0"/>
        <w:autoSpaceDN w:val="0"/>
        <w:spacing w:line="360" w:lineRule="exact"/>
        <w:rPr>
          <w:rFonts w:hint="eastAsia" w:ascii="宋体" w:hAnsi="宋体" w:cs="宋体"/>
          <w:szCs w:val="21"/>
        </w:rPr>
      </w:pPr>
      <w:r>
        <w:rPr>
          <w:rFonts w:hint="eastAsia" w:ascii="宋体" w:hAnsi="宋体" w:cs="宋体"/>
          <w:szCs w:val="21"/>
        </w:rPr>
        <w:t>　　（一）不准向乙方和相关单位索要或接受回扣、礼金、有价证券、贵重物品和好处费、感谢费等。</w:t>
      </w:r>
    </w:p>
    <w:p w14:paraId="1315CE2D">
      <w:pPr>
        <w:autoSpaceDE w:val="0"/>
        <w:autoSpaceDN w:val="0"/>
        <w:spacing w:line="360" w:lineRule="exact"/>
        <w:rPr>
          <w:rFonts w:hint="eastAsia" w:ascii="宋体" w:hAnsi="宋体" w:cs="宋体"/>
          <w:szCs w:val="21"/>
        </w:rPr>
      </w:pPr>
      <w:r>
        <w:rPr>
          <w:rFonts w:hint="eastAsia" w:ascii="宋体" w:hAnsi="宋体" w:cs="宋体"/>
          <w:szCs w:val="21"/>
        </w:rPr>
        <w:t>　　（二）不准在乙方和相关单位报销任何应由甲方或个人支付的费用。</w:t>
      </w:r>
    </w:p>
    <w:p w14:paraId="3B16F5AB">
      <w:pPr>
        <w:pStyle w:val="13"/>
        <w:spacing w:line="360" w:lineRule="exact"/>
        <w:jc w:val="left"/>
        <w:rPr>
          <w:rFonts w:hint="eastAsia" w:hAnsi="宋体" w:cs="宋体"/>
          <w:sz w:val="21"/>
          <w:szCs w:val="21"/>
        </w:rPr>
      </w:pPr>
      <w:r>
        <w:rPr>
          <w:rFonts w:hint="eastAsia" w:hAnsi="宋体" w:cs="宋体"/>
          <w:sz w:val="21"/>
          <w:szCs w:val="21"/>
        </w:rPr>
        <w:t>　　（三）不准要求、暗示和接受乙方和相关单位为个人装修住房、婚丧嫁娶、配偶子女的工作安排以及出国（境）、旅游等提供方便。</w:t>
      </w:r>
    </w:p>
    <w:p w14:paraId="18FBEF56">
      <w:pPr>
        <w:autoSpaceDE w:val="0"/>
        <w:autoSpaceDN w:val="0"/>
        <w:spacing w:line="360" w:lineRule="exact"/>
        <w:rPr>
          <w:rFonts w:hint="eastAsia" w:ascii="宋体" w:hAnsi="宋体" w:cs="宋体"/>
          <w:szCs w:val="21"/>
        </w:rPr>
      </w:pPr>
      <w:r>
        <w:rPr>
          <w:rFonts w:hint="eastAsia" w:ascii="宋体" w:hAnsi="宋体" w:cs="宋体"/>
          <w:szCs w:val="21"/>
        </w:rPr>
        <w:t>　　（四）不准参加有可能影响公正执行公务的乙方和相关单位的宴请和健身、娱乐等活动。</w:t>
      </w:r>
    </w:p>
    <w:p w14:paraId="5B14F6B0">
      <w:pPr>
        <w:pStyle w:val="13"/>
        <w:spacing w:line="360" w:lineRule="exact"/>
        <w:jc w:val="left"/>
        <w:rPr>
          <w:rFonts w:hint="eastAsia" w:hAnsi="宋体" w:cs="宋体"/>
          <w:sz w:val="21"/>
          <w:szCs w:val="21"/>
        </w:rPr>
      </w:pPr>
      <w:r>
        <w:rPr>
          <w:rFonts w:hint="eastAsia" w:hAnsi="宋体" w:cs="宋体"/>
          <w:sz w:val="21"/>
          <w:szCs w:val="21"/>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14:paraId="67778FF8">
      <w:pPr>
        <w:autoSpaceDE w:val="0"/>
        <w:autoSpaceDN w:val="0"/>
        <w:spacing w:line="360" w:lineRule="exact"/>
        <w:rPr>
          <w:rFonts w:hint="eastAsia" w:ascii="宋体" w:hAnsi="宋体" w:cs="宋体"/>
          <w:szCs w:val="21"/>
        </w:rPr>
      </w:pPr>
      <w:r>
        <w:rPr>
          <w:rFonts w:hint="eastAsia" w:ascii="宋体" w:hAnsi="宋体" w:cs="宋体"/>
          <w:szCs w:val="21"/>
        </w:rPr>
        <w:t>　　第三条 乙方的责任</w:t>
      </w:r>
    </w:p>
    <w:p w14:paraId="7E2731C5">
      <w:pPr>
        <w:pStyle w:val="13"/>
        <w:spacing w:line="360" w:lineRule="exact"/>
        <w:jc w:val="left"/>
        <w:rPr>
          <w:rFonts w:hint="eastAsia" w:hAnsi="宋体" w:cs="宋体"/>
          <w:sz w:val="21"/>
          <w:szCs w:val="21"/>
        </w:rPr>
      </w:pPr>
      <w:r>
        <w:rPr>
          <w:rFonts w:hint="eastAsia" w:hAnsi="宋体" w:cs="宋体"/>
          <w:sz w:val="21"/>
          <w:szCs w:val="21"/>
        </w:rPr>
        <w:t>　　应与甲方保持正常的业务交往，按照有关法律法规和程序开展业务工作，严格执行工程建设的有关方针、政策，尤其是有关建筑施工安装的强制性标准和规范，并遵守以下规定：</w:t>
      </w:r>
    </w:p>
    <w:p w14:paraId="76B2DECD">
      <w:pPr>
        <w:pStyle w:val="13"/>
        <w:spacing w:line="360" w:lineRule="exact"/>
        <w:jc w:val="left"/>
        <w:rPr>
          <w:rFonts w:hint="eastAsia" w:hAnsi="宋体" w:cs="宋体"/>
          <w:sz w:val="21"/>
          <w:szCs w:val="21"/>
        </w:rPr>
      </w:pPr>
      <w:r>
        <w:rPr>
          <w:rFonts w:hint="eastAsia" w:hAnsi="宋体" w:cs="宋体"/>
          <w:sz w:val="21"/>
          <w:szCs w:val="21"/>
        </w:rPr>
        <w:t>　　（一）不准以任何理由向甲方、相关单位及其工作人员索要、接受或赠送礼金、有价证券、贵重物品和回扣、好处费、感谢费等。</w:t>
      </w:r>
    </w:p>
    <w:p w14:paraId="2F81B54F">
      <w:pPr>
        <w:autoSpaceDE w:val="0"/>
        <w:autoSpaceDN w:val="0"/>
        <w:spacing w:line="360" w:lineRule="exact"/>
        <w:rPr>
          <w:rFonts w:hint="eastAsia" w:ascii="宋体" w:hAnsi="宋体" w:cs="宋体"/>
          <w:szCs w:val="21"/>
        </w:rPr>
      </w:pPr>
      <w:r>
        <w:rPr>
          <w:rFonts w:hint="eastAsia" w:ascii="宋体" w:hAnsi="宋体" w:cs="宋体"/>
          <w:szCs w:val="21"/>
        </w:rPr>
        <w:t>　　（二）不准以任何理由为甲方和相关单位报销应由对方或个人支付的费用。</w:t>
      </w:r>
    </w:p>
    <w:p w14:paraId="3367360C">
      <w:pPr>
        <w:pStyle w:val="13"/>
        <w:spacing w:line="360" w:lineRule="exact"/>
        <w:jc w:val="left"/>
        <w:rPr>
          <w:rFonts w:hint="eastAsia" w:hAnsi="宋体" w:cs="宋体"/>
          <w:sz w:val="21"/>
          <w:szCs w:val="21"/>
        </w:rPr>
      </w:pPr>
      <w:r>
        <w:rPr>
          <w:rFonts w:hint="eastAsia" w:hAnsi="宋体" w:cs="宋体"/>
          <w:sz w:val="21"/>
          <w:szCs w:val="21"/>
        </w:rPr>
        <w:t>　　（三）不准接受或暗示为甲方、相关单位或个人装修住房、婚丧嫁娶、配偶子女的工作安排以及出国（境）、旅游等提供方便。</w:t>
      </w:r>
    </w:p>
    <w:p w14:paraId="6F0309DB">
      <w:pPr>
        <w:pStyle w:val="13"/>
        <w:spacing w:line="360" w:lineRule="exact"/>
        <w:jc w:val="left"/>
        <w:rPr>
          <w:rFonts w:hint="eastAsia" w:hAnsi="宋体" w:cs="宋体"/>
          <w:sz w:val="21"/>
          <w:szCs w:val="21"/>
        </w:rPr>
      </w:pPr>
      <w:r>
        <w:rPr>
          <w:rFonts w:hint="eastAsia" w:hAnsi="宋体" w:cs="宋体"/>
          <w:sz w:val="21"/>
          <w:szCs w:val="21"/>
        </w:rPr>
        <w:t>　　（四）不准以任何理由为甲方、相关单位或个人组织有可能影响公正执行公务的宴请、健身、娱乐等活动。</w:t>
      </w:r>
    </w:p>
    <w:p w14:paraId="71A79C54">
      <w:pPr>
        <w:autoSpaceDE w:val="0"/>
        <w:autoSpaceDN w:val="0"/>
        <w:spacing w:line="360" w:lineRule="exact"/>
        <w:rPr>
          <w:rFonts w:hint="eastAsia" w:ascii="宋体" w:hAnsi="宋体" w:cs="宋体"/>
          <w:szCs w:val="21"/>
        </w:rPr>
      </w:pPr>
      <w:r>
        <w:rPr>
          <w:rFonts w:hint="eastAsia" w:ascii="宋体" w:hAnsi="宋体" w:cs="宋体"/>
          <w:szCs w:val="21"/>
        </w:rPr>
        <w:t>　　第四条 违约责任</w:t>
      </w:r>
    </w:p>
    <w:p w14:paraId="0E0CF057">
      <w:pPr>
        <w:pStyle w:val="13"/>
        <w:spacing w:line="360" w:lineRule="exact"/>
        <w:jc w:val="left"/>
        <w:rPr>
          <w:rFonts w:hint="eastAsia" w:hAnsi="宋体" w:cs="宋体"/>
          <w:sz w:val="21"/>
          <w:szCs w:val="21"/>
        </w:rPr>
      </w:pPr>
      <w:r>
        <w:rPr>
          <w:rFonts w:hint="eastAsia" w:hAnsi="宋体" w:cs="宋体"/>
          <w:sz w:val="21"/>
          <w:szCs w:val="21"/>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14:paraId="66D33513">
      <w:pPr>
        <w:pStyle w:val="13"/>
        <w:spacing w:line="360" w:lineRule="exact"/>
        <w:jc w:val="left"/>
        <w:rPr>
          <w:rFonts w:hint="eastAsia" w:hAnsi="宋体" w:cs="宋体"/>
          <w:sz w:val="21"/>
          <w:szCs w:val="21"/>
        </w:rPr>
      </w:pPr>
      <w:r>
        <w:rPr>
          <w:rFonts w:hint="eastAsia" w:hAnsi="宋体" w:cs="宋体"/>
          <w:sz w:val="21"/>
          <w:szCs w:val="21"/>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1185F249">
      <w:pPr>
        <w:autoSpaceDE w:val="0"/>
        <w:autoSpaceDN w:val="0"/>
        <w:spacing w:line="360" w:lineRule="exact"/>
        <w:rPr>
          <w:rFonts w:hint="eastAsia" w:ascii="宋体" w:hAnsi="宋体" w:cs="宋体"/>
          <w:szCs w:val="21"/>
        </w:rPr>
      </w:pPr>
      <w:r>
        <w:rPr>
          <w:rFonts w:hint="eastAsia" w:ascii="宋体" w:hAnsi="宋体" w:cs="宋体"/>
          <w:szCs w:val="21"/>
        </w:rPr>
        <w:t>　　第五条 本责任书作为工程施工合同的附件，与工程施工合同具有同等法律效力。经双方签署后立即生效。</w:t>
      </w:r>
    </w:p>
    <w:p w14:paraId="0A681D20">
      <w:pPr>
        <w:autoSpaceDE w:val="0"/>
        <w:autoSpaceDN w:val="0"/>
        <w:spacing w:line="360" w:lineRule="exact"/>
        <w:rPr>
          <w:rFonts w:hint="eastAsia" w:ascii="宋体" w:hAnsi="宋体" w:cs="宋体"/>
          <w:szCs w:val="21"/>
        </w:rPr>
      </w:pPr>
      <w:r>
        <w:rPr>
          <w:rFonts w:hint="eastAsia" w:ascii="宋体" w:hAnsi="宋体" w:cs="宋体"/>
          <w:szCs w:val="21"/>
        </w:rPr>
        <w:t>　　第六条 本责任书的有效期为双方签署之日起至该工程项目竣工验收合格时止。</w:t>
      </w:r>
    </w:p>
    <w:p w14:paraId="75D286B9">
      <w:pPr>
        <w:autoSpaceDE w:val="0"/>
        <w:autoSpaceDN w:val="0"/>
        <w:spacing w:line="360" w:lineRule="exact"/>
        <w:rPr>
          <w:rFonts w:hint="eastAsia" w:ascii="宋体" w:hAnsi="宋体" w:cs="宋体"/>
          <w:szCs w:val="21"/>
        </w:rPr>
      </w:pPr>
      <w:r>
        <w:rPr>
          <w:rFonts w:hint="eastAsia" w:ascii="宋体" w:hAnsi="宋体" w:cs="宋体"/>
          <w:szCs w:val="21"/>
        </w:rPr>
        <w:t xml:space="preserve">　　第七条 </w:t>
      </w:r>
      <w:r>
        <w:rPr>
          <w:rFonts w:hint="eastAsia"/>
          <w:szCs w:val="21"/>
        </w:rPr>
        <w:t>本责任书份数同合同份数</w:t>
      </w:r>
      <w:r>
        <w:rPr>
          <w:rFonts w:hint="eastAsia" w:ascii="宋体" w:hAnsi="宋体" w:cs="宋体"/>
          <w:szCs w:val="21"/>
        </w:rPr>
        <w:t>。</w:t>
      </w:r>
    </w:p>
    <w:p w14:paraId="3A96C868">
      <w:pPr>
        <w:autoSpaceDE w:val="0"/>
        <w:autoSpaceDN w:val="0"/>
        <w:spacing w:line="360" w:lineRule="exact"/>
        <w:ind w:firstLine="482"/>
        <w:rPr>
          <w:rFonts w:hint="eastAsia" w:ascii="宋体" w:hAnsi="宋体" w:cs="宋体"/>
          <w:szCs w:val="21"/>
        </w:rPr>
      </w:pPr>
    </w:p>
    <w:p w14:paraId="4FA94437">
      <w:pPr>
        <w:autoSpaceDE w:val="0"/>
        <w:autoSpaceDN w:val="0"/>
        <w:spacing w:line="360" w:lineRule="exact"/>
        <w:ind w:firstLine="482"/>
        <w:rPr>
          <w:rFonts w:hint="eastAsia" w:ascii="宋体" w:hAnsi="宋体" w:cs="宋体"/>
          <w:szCs w:val="21"/>
        </w:rPr>
      </w:pPr>
    </w:p>
    <w:p w14:paraId="7DE451AB">
      <w:pPr>
        <w:autoSpaceDE w:val="0"/>
        <w:autoSpaceDN w:val="0"/>
        <w:spacing w:line="360" w:lineRule="exact"/>
        <w:ind w:firstLine="482"/>
        <w:rPr>
          <w:rFonts w:hint="eastAsia" w:ascii="宋体" w:hAnsi="宋体" w:cs="宋体"/>
          <w:szCs w:val="21"/>
        </w:rPr>
      </w:pPr>
      <w:r>
        <w:rPr>
          <w:rFonts w:hint="eastAsia" w:ascii="宋体" w:hAnsi="宋体" w:cs="宋体"/>
          <w:szCs w:val="21"/>
        </w:rPr>
        <w:t>甲方单位：（盖章）　　　　　　　　                　　乙方单位：（盖章）</w:t>
      </w:r>
    </w:p>
    <w:p w14:paraId="29C18611">
      <w:pPr>
        <w:autoSpaceDE w:val="0"/>
        <w:autoSpaceDN w:val="0"/>
        <w:spacing w:line="360" w:lineRule="exact"/>
        <w:ind w:firstLine="482"/>
        <w:rPr>
          <w:rFonts w:hint="eastAsia" w:ascii="宋体" w:hAnsi="宋体" w:cs="宋体"/>
          <w:szCs w:val="21"/>
        </w:rPr>
      </w:pPr>
      <w:r>
        <w:rPr>
          <w:rFonts w:hint="eastAsia" w:ascii="宋体" w:hAnsi="宋体" w:cs="宋体"/>
          <w:szCs w:val="21"/>
        </w:rPr>
        <w:t>法定代表人：　　　　　　　　　               　　　　　法定代表人：</w:t>
      </w:r>
    </w:p>
    <w:p w14:paraId="0DC9B153">
      <w:pPr>
        <w:autoSpaceDE w:val="0"/>
        <w:autoSpaceDN w:val="0"/>
        <w:spacing w:line="360" w:lineRule="exact"/>
        <w:ind w:firstLine="482"/>
        <w:rPr>
          <w:rFonts w:hint="eastAsia" w:ascii="宋体" w:hAnsi="宋体" w:cs="宋体"/>
          <w:szCs w:val="21"/>
        </w:rPr>
      </w:pPr>
      <w:r>
        <w:rPr>
          <w:rFonts w:hint="eastAsia" w:ascii="宋体" w:hAnsi="宋体" w:cs="宋体"/>
          <w:szCs w:val="21"/>
        </w:rPr>
        <w:t>地址：　　　　　　　　　　　　　               　　　　地址：</w:t>
      </w:r>
    </w:p>
    <w:p w14:paraId="0BFC4EC3">
      <w:pPr>
        <w:autoSpaceDE w:val="0"/>
        <w:autoSpaceDN w:val="0"/>
        <w:spacing w:line="360" w:lineRule="exact"/>
        <w:ind w:firstLine="482"/>
        <w:rPr>
          <w:rFonts w:hint="eastAsia" w:ascii="宋体" w:hAnsi="宋体" w:cs="宋体"/>
          <w:szCs w:val="21"/>
        </w:rPr>
      </w:pPr>
      <w:r>
        <w:rPr>
          <w:rFonts w:hint="eastAsia" w:ascii="宋体" w:hAnsi="宋体" w:cs="宋体"/>
          <w:szCs w:val="21"/>
        </w:rPr>
        <w:t>电话：　　　　　　　　　　　　　　　               　　电话：</w:t>
      </w:r>
    </w:p>
    <w:p w14:paraId="37242E3F">
      <w:pPr>
        <w:autoSpaceDE w:val="0"/>
        <w:autoSpaceDN w:val="0"/>
        <w:spacing w:line="360" w:lineRule="exact"/>
        <w:ind w:firstLine="482"/>
        <w:rPr>
          <w:rFonts w:hint="eastAsia" w:ascii="宋体" w:hAnsi="宋体" w:cs="宋体"/>
          <w:szCs w:val="21"/>
        </w:rPr>
      </w:pPr>
      <w:r>
        <w:rPr>
          <w:rFonts w:hint="eastAsia" w:ascii="宋体" w:hAnsi="宋体" w:cs="宋体"/>
          <w:szCs w:val="21"/>
        </w:rPr>
        <w:t>年　月　日　　　　　　　　　　　　　               　　年　月　日</w:t>
      </w:r>
    </w:p>
    <w:p w14:paraId="25B0DC5A">
      <w:pPr>
        <w:spacing w:line="360" w:lineRule="auto"/>
        <w:ind w:firstLine="4920" w:firstLineChars="2050"/>
        <w:rPr>
          <w:rFonts w:ascii="宋体" w:hAnsi="宋体" w:cs="宋体"/>
          <w:color w:val="auto"/>
          <w:sz w:val="24"/>
          <w:highlight w:val="none"/>
        </w:rPr>
      </w:pPr>
    </w:p>
    <w:p w14:paraId="77FE69E7">
      <w:pPr>
        <w:rPr>
          <w:rFonts w:hint="eastAsia"/>
          <w:color w:val="auto"/>
          <w:highlight w:val="none"/>
        </w:rPr>
      </w:pPr>
      <w:r>
        <w:rPr>
          <w:rFonts w:hint="eastAsia" w:ascii="宋体" w:hAnsi="宋体" w:cs="宋体"/>
          <w:color w:val="auto"/>
          <w:szCs w:val="21"/>
          <w:highlight w:val="none"/>
        </w:rPr>
        <w:br w:type="page"/>
      </w:r>
    </w:p>
    <w:p w14:paraId="074FB90D">
      <w:pPr>
        <w:rPr>
          <w:rFonts w:hint="eastAsia"/>
          <w:color w:val="auto"/>
          <w:highlight w:val="none"/>
        </w:rPr>
      </w:pPr>
    </w:p>
    <w:p w14:paraId="319F6B29">
      <w:pPr>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第六章投标文件格式附件</w:t>
      </w:r>
    </w:p>
    <w:p w14:paraId="7B69EBBD">
      <w:pPr>
        <w:rPr>
          <w:rFonts w:ascii="宋体" w:hAnsi="宋体" w:cs="宋体"/>
          <w:b/>
          <w:color w:val="auto"/>
          <w:kern w:val="0"/>
          <w:sz w:val="28"/>
          <w:szCs w:val="28"/>
          <w:highlight w:val="none"/>
        </w:rPr>
      </w:pPr>
      <w:r>
        <w:rPr>
          <w:rFonts w:hint="eastAsia" w:ascii="宋体" w:hAnsi="宋体" w:cs="宋体"/>
          <w:b/>
          <w:bCs/>
          <w:color w:val="auto"/>
          <w:sz w:val="28"/>
          <w:szCs w:val="36"/>
          <w:highlight w:val="none"/>
        </w:rPr>
        <w:t>附件1　</w:t>
      </w:r>
      <w:r>
        <w:rPr>
          <w:rFonts w:hint="eastAsia" w:ascii="宋体" w:hAnsi="宋体" w:cs="宋体"/>
          <w:color w:val="auto"/>
          <w:sz w:val="30"/>
          <w:szCs w:val="30"/>
          <w:highlight w:val="none"/>
        </w:rPr>
        <w:t>　　</w:t>
      </w:r>
    </w:p>
    <w:p w14:paraId="7D13F8BD">
      <w:pPr>
        <w:spacing w:line="360" w:lineRule="auto"/>
        <w:rPr>
          <w:rFonts w:ascii="宋体" w:hAnsi="宋体" w:cs="宋体"/>
          <w:b/>
          <w:color w:val="auto"/>
          <w:sz w:val="30"/>
          <w:szCs w:val="30"/>
          <w:highlight w:val="none"/>
        </w:rPr>
      </w:pPr>
    </w:p>
    <w:p w14:paraId="215EE92A">
      <w:pPr>
        <w:spacing w:line="360" w:lineRule="auto"/>
        <w:jc w:val="center"/>
        <w:rPr>
          <w:rFonts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5E18F475">
      <w:pPr>
        <w:spacing w:line="360" w:lineRule="auto"/>
        <w:jc w:val="center"/>
        <w:rPr>
          <w:rFonts w:hint="eastAsia" w:ascii="宋体" w:hAnsi="宋体" w:eastAsia="宋体" w:cs="宋体"/>
          <w:color w:val="auto"/>
          <w:sz w:val="36"/>
          <w:szCs w:val="36"/>
          <w:highlight w:val="none"/>
          <w:lang w:eastAsia="zh-CN"/>
        </w:rPr>
      </w:pPr>
      <w:r>
        <w:rPr>
          <w:rFonts w:hint="eastAsia" w:ascii="宋体" w:hAnsi="宋体" w:cs="宋体"/>
          <w:color w:val="auto"/>
          <w:sz w:val="36"/>
          <w:szCs w:val="36"/>
          <w:highlight w:val="none"/>
        </w:rPr>
        <w:t>项目编号：</w:t>
      </w:r>
    </w:p>
    <w:p w14:paraId="6B53EB3D">
      <w:pPr>
        <w:autoSpaceDE w:val="0"/>
        <w:autoSpaceDN w:val="0"/>
        <w:adjustRightInd w:val="0"/>
        <w:spacing w:line="360" w:lineRule="auto"/>
        <w:jc w:val="center"/>
        <w:rPr>
          <w:rFonts w:ascii="宋体" w:hAnsi="宋体" w:cs="宋体"/>
          <w:color w:val="auto"/>
          <w:sz w:val="84"/>
          <w:szCs w:val="84"/>
          <w:highlight w:val="none"/>
          <w:lang w:val="zh-CN"/>
        </w:rPr>
      </w:pPr>
    </w:p>
    <w:p w14:paraId="000D99BC">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14:paraId="52F50427">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14:paraId="7F0538FA">
      <w:pPr>
        <w:autoSpaceDE w:val="0"/>
        <w:autoSpaceDN w:val="0"/>
        <w:adjustRightInd w:val="0"/>
        <w:spacing w:line="360" w:lineRule="auto"/>
        <w:jc w:val="center"/>
        <w:rPr>
          <w:rFonts w:ascii="宋体" w:hAnsi="宋体" w:cs="宋体"/>
          <w:color w:val="auto"/>
          <w:sz w:val="84"/>
          <w:szCs w:val="84"/>
          <w:highlight w:val="none"/>
        </w:rPr>
      </w:pPr>
      <w:r>
        <w:rPr>
          <w:rFonts w:hint="eastAsia" w:ascii="宋体" w:hAnsi="宋体" w:cs="宋体"/>
          <w:color w:val="auto"/>
          <w:sz w:val="84"/>
          <w:szCs w:val="84"/>
          <w:highlight w:val="none"/>
          <w:lang w:val="zh-CN"/>
        </w:rPr>
        <w:t>文</w:t>
      </w:r>
    </w:p>
    <w:p w14:paraId="75BF1203">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14:paraId="12B637C3">
      <w:pPr>
        <w:autoSpaceDE w:val="0"/>
        <w:autoSpaceDN w:val="0"/>
        <w:adjustRightInd w:val="0"/>
        <w:spacing w:line="360" w:lineRule="auto"/>
        <w:jc w:val="center"/>
        <w:rPr>
          <w:rFonts w:ascii="宋体" w:hAnsi="宋体" w:cs="宋体"/>
          <w:b/>
          <w:bCs/>
          <w:color w:val="auto"/>
          <w:spacing w:val="40"/>
          <w:sz w:val="28"/>
          <w:szCs w:val="28"/>
          <w:highlight w:val="none"/>
        </w:rPr>
      </w:pPr>
      <w:r>
        <w:rPr>
          <w:rFonts w:hint="eastAsia" w:ascii="宋体" w:hAnsi="宋体" w:cs="宋体"/>
          <w:b/>
          <w:bCs/>
          <w:color w:val="auto"/>
          <w:sz w:val="28"/>
          <w:szCs w:val="28"/>
          <w:highlight w:val="none"/>
          <w:lang w:val="zh-CN"/>
        </w:rPr>
        <w:t>（资格及商务技术文件</w:t>
      </w:r>
      <w:r>
        <w:rPr>
          <w:rFonts w:hint="eastAsia" w:ascii="宋体" w:hAnsi="宋体" w:cs="宋体"/>
          <w:b/>
          <w:bCs/>
          <w:color w:val="auto"/>
          <w:spacing w:val="40"/>
          <w:sz w:val="28"/>
          <w:szCs w:val="28"/>
          <w:highlight w:val="none"/>
        </w:rPr>
        <w:t>）</w:t>
      </w:r>
    </w:p>
    <w:p w14:paraId="4426FDE9">
      <w:pPr>
        <w:autoSpaceDE w:val="0"/>
        <w:autoSpaceDN w:val="0"/>
        <w:adjustRightInd w:val="0"/>
        <w:spacing w:line="360" w:lineRule="auto"/>
        <w:rPr>
          <w:rFonts w:ascii="宋体" w:hAnsi="宋体" w:cs="宋体"/>
          <w:color w:val="auto"/>
          <w:sz w:val="36"/>
          <w:szCs w:val="36"/>
          <w:highlight w:val="none"/>
        </w:rPr>
      </w:pPr>
    </w:p>
    <w:p w14:paraId="650450AC">
      <w:pP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投标人全称（公章）：</w:t>
      </w:r>
    </w:p>
    <w:p w14:paraId="1F46C697">
      <w:pP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地址：</w:t>
      </w:r>
    </w:p>
    <w:p w14:paraId="101557A9">
      <w:pP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时间：</w:t>
      </w:r>
    </w:p>
    <w:p w14:paraId="5ADC7E7E">
      <w:pPr>
        <w:spacing w:line="360" w:lineRule="auto"/>
        <w:rPr>
          <w:rFonts w:ascii="宋体" w:hAnsi="宋体" w:cs="宋体"/>
          <w:color w:val="auto"/>
          <w:sz w:val="24"/>
          <w:szCs w:val="32"/>
          <w:highlight w:val="none"/>
        </w:rPr>
      </w:pPr>
    </w:p>
    <w:p w14:paraId="135A6964">
      <w:pPr>
        <w:spacing w:line="360" w:lineRule="auto"/>
        <w:rPr>
          <w:rFonts w:ascii="宋体" w:hAnsi="宋体" w:cs="宋体"/>
          <w:color w:val="auto"/>
          <w:sz w:val="24"/>
          <w:szCs w:val="32"/>
          <w:highlight w:val="none"/>
        </w:rPr>
      </w:pPr>
    </w:p>
    <w:p w14:paraId="777FC4DD">
      <w:pPr>
        <w:spacing w:line="360" w:lineRule="auto"/>
        <w:jc w:val="center"/>
        <w:rPr>
          <w:rFonts w:ascii="宋体" w:hAnsi="宋体" w:cs="宋体"/>
          <w:b/>
          <w:bCs/>
          <w:color w:val="auto"/>
          <w:sz w:val="44"/>
          <w:szCs w:val="52"/>
          <w:highlight w:val="none"/>
        </w:rPr>
      </w:pPr>
      <w:r>
        <w:rPr>
          <w:rFonts w:hint="eastAsia" w:ascii="宋体" w:hAnsi="宋体" w:cs="宋体"/>
          <w:b/>
          <w:bCs/>
          <w:color w:val="auto"/>
          <w:sz w:val="44"/>
          <w:szCs w:val="52"/>
          <w:highlight w:val="none"/>
        </w:rPr>
        <w:t>资格及商务技术文件目录</w:t>
      </w:r>
    </w:p>
    <w:p w14:paraId="61F9A2F4">
      <w:pPr>
        <w:spacing w:line="360" w:lineRule="auto"/>
        <w:rPr>
          <w:rFonts w:ascii="宋体" w:hAnsi="宋体" w:cs="宋体"/>
          <w:color w:val="auto"/>
          <w:sz w:val="24"/>
          <w:szCs w:val="32"/>
          <w:highlight w:val="none"/>
        </w:rPr>
      </w:pPr>
    </w:p>
    <w:p w14:paraId="18E8E9C7">
      <w:pP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资格证明文件</w:t>
      </w:r>
    </w:p>
    <w:p w14:paraId="5D1F45B3">
      <w:pPr>
        <w:spacing w:line="360" w:lineRule="auto"/>
        <w:rPr>
          <w:rFonts w:ascii="宋体" w:hAnsi="宋体" w:cs="宋体"/>
          <w:color w:val="auto"/>
          <w:sz w:val="24"/>
          <w:szCs w:val="32"/>
          <w:highlight w:val="none"/>
        </w:rPr>
      </w:pPr>
    </w:p>
    <w:p w14:paraId="30FDAAD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（1）投标声明书；</w:t>
      </w:r>
    </w:p>
    <w:p w14:paraId="775AF8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（2）授权委托书（</w:t>
      </w:r>
      <w:r>
        <w:rPr>
          <w:rFonts w:hint="eastAsia" w:ascii="宋体" w:hAnsi="宋体" w:cs="宋体"/>
          <w:color w:val="auto"/>
          <w:sz w:val="24"/>
          <w:szCs w:val="32"/>
          <w:highlight w:val="none"/>
        </w:rPr>
        <w:t>法定代表人亲自办理投标事宜的，则无需提交</w:t>
      </w:r>
      <w:r>
        <w:rPr>
          <w:rFonts w:hint="eastAsia" w:ascii="宋体" w:hAnsi="宋体" w:cs="宋体"/>
          <w:color w:val="auto"/>
          <w:sz w:val="24"/>
          <w:highlight w:val="none"/>
        </w:rPr>
        <w:t>)；</w:t>
      </w:r>
    </w:p>
    <w:p w14:paraId="6CBF81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（3）法人或者其他组织、自然人的营业执照等证明文件；</w:t>
      </w:r>
    </w:p>
    <w:p w14:paraId="07F7CB8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（4）承诺函；</w:t>
      </w:r>
    </w:p>
    <w:p w14:paraId="57D1F9E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（5）提供采购公告中符合供应商特定条件的有效资质证书复印件（投标供应商特定条件中有要求的必须提供），以及需要说明的其他资料；</w:t>
      </w:r>
    </w:p>
    <w:p w14:paraId="66569C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（6）落实政府采购政策需满足资格要求声明函等[提供中小企业声明函（格式见附件）或残疾人福利性单位声明函（格式见附件）或监狱企业证明文件</w:t>
      </w:r>
    </w:p>
    <w:p w14:paraId="0E17AFE0">
      <w:pPr>
        <w:pStyle w:val="30"/>
        <w:rPr>
          <w:color w:val="auto"/>
          <w:highlight w:val="none"/>
        </w:rPr>
      </w:pPr>
    </w:p>
    <w:p w14:paraId="52A14301">
      <w:pPr>
        <w:spacing w:line="360" w:lineRule="auto"/>
        <w:rPr>
          <w:rFonts w:ascii="宋体" w:hAnsi="宋体" w:cs="宋体"/>
          <w:color w:val="auto"/>
          <w:sz w:val="24"/>
          <w:szCs w:val="32"/>
          <w:highlight w:val="none"/>
        </w:rPr>
      </w:pPr>
    </w:p>
    <w:p w14:paraId="1936FB44">
      <w:pPr>
        <w:spacing w:line="360" w:lineRule="auto"/>
        <w:rPr>
          <w:rFonts w:ascii="宋体" w:hAnsi="宋体" w:cs="宋体"/>
          <w:color w:val="auto"/>
          <w:sz w:val="24"/>
          <w:szCs w:val="32"/>
          <w:highlight w:val="none"/>
        </w:rPr>
      </w:pPr>
    </w:p>
    <w:p w14:paraId="7BB1D5C6">
      <w:pPr>
        <w:spacing w:line="360" w:lineRule="auto"/>
        <w:rPr>
          <w:rFonts w:ascii="宋体" w:hAnsi="宋体" w:cs="宋体"/>
          <w:color w:val="auto"/>
          <w:sz w:val="24"/>
          <w:szCs w:val="32"/>
          <w:highlight w:val="none"/>
        </w:rPr>
      </w:pPr>
    </w:p>
    <w:p w14:paraId="486F8DBB">
      <w:pPr>
        <w:spacing w:line="360" w:lineRule="auto"/>
        <w:rPr>
          <w:rFonts w:ascii="宋体" w:hAnsi="宋体" w:cs="宋体"/>
          <w:color w:val="auto"/>
          <w:sz w:val="24"/>
          <w:szCs w:val="32"/>
          <w:highlight w:val="none"/>
        </w:rPr>
      </w:pPr>
    </w:p>
    <w:p w14:paraId="599100C0">
      <w:pPr>
        <w:spacing w:line="360" w:lineRule="auto"/>
        <w:rPr>
          <w:rFonts w:ascii="宋体" w:hAnsi="宋体" w:cs="宋体"/>
          <w:color w:val="auto"/>
          <w:sz w:val="24"/>
          <w:szCs w:val="32"/>
          <w:highlight w:val="none"/>
        </w:rPr>
      </w:pPr>
    </w:p>
    <w:p w14:paraId="2C2C871D">
      <w:pPr>
        <w:spacing w:line="360" w:lineRule="auto"/>
        <w:rPr>
          <w:rFonts w:ascii="宋体" w:hAnsi="宋体" w:cs="宋体"/>
          <w:color w:val="auto"/>
          <w:sz w:val="24"/>
          <w:szCs w:val="32"/>
          <w:highlight w:val="none"/>
        </w:rPr>
      </w:pPr>
    </w:p>
    <w:p w14:paraId="7D17B184">
      <w:pPr>
        <w:spacing w:line="360" w:lineRule="auto"/>
        <w:rPr>
          <w:rFonts w:ascii="宋体" w:hAnsi="宋体" w:cs="宋体"/>
          <w:color w:val="auto"/>
          <w:sz w:val="24"/>
          <w:szCs w:val="32"/>
          <w:highlight w:val="none"/>
        </w:rPr>
      </w:pPr>
    </w:p>
    <w:p w14:paraId="3E4B4135">
      <w:pPr>
        <w:spacing w:line="360" w:lineRule="auto"/>
        <w:rPr>
          <w:rFonts w:ascii="宋体" w:hAnsi="宋体" w:cs="宋体"/>
          <w:color w:val="auto"/>
          <w:sz w:val="24"/>
          <w:szCs w:val="32"/>
          <w:highlight w:val="none"/>
        </w:rPr>
      </w:pPr>
    </w:p>
    <w:p w14:paraId="13B8F758">
      <w:pPr>
        <w:spacing w:line="360" w:lineRule="auto"/>
        <w:rPr>
          <w:rFonts w:ascii="宋体" w:hAnsi="宋体" w:cs="宋体"/>
          <w:color w:val="auto"/>
          <w:sz w:val="24"/>
          <w:szCs w:val="32"/>
          <w:highlight w:val="none"/>
        </w:rPr>
      </w:pPr>
    </w:p>
    <w:p w14:paraId="59D44B4D">
      <w:pPr>
        <w:spacing w:line="360" w:lineRule="auto"/>
        <w:rPr>
          <w:rFonts w:ascii="宋体" w:hAnsi="宋体" w:cs="宋体"/>
          <w:color w:val="auto"/>
          <w:sz w:val="24"/>
          <w:szCs w:val="32"/>
          <w:highlight w:val="none"/>
        </w:rPr>
      </w:pPr>
    </w:p>
    <w:p w14:paraId="17A636FB">
      <w:pPr>
        <w:spacing w:line="360" w:lineRule="auto"/>
        <w:rPr>
          <w:rFonts w:ascii="宋体" w:hAnsi="宋体" w:cs="宋体"/>
          <w:color w:val="auto"/>
          <w:sz w:val="24"/>
          <w:szCs w:val="32"/>
          <w:highlight w:val="none"/>
        </w:rPr>
      </w:pPr>
    </w:p>
    <w:p w14:paraId="2D6909EE">
      <w:pPr>
        <w:spacing w:line="360" w:lineRule="auto"/>
        <w:rPr>
          <w:rFonts w:ascii="宋体" w:hAnsi="宋体" w:cs="宋体"/>
          <w:color w:val="auto"/>
          <w:sz w:val="24"/>
          <w:szCs w:val="32"/>
          <w:highlight w:val="none"/>
        </w:rPr>
      </w:pPr>
    </w:p>
    <w:p w14:paraId="63F5D583">
      <w:pPr>
        <w:spacing w:line="360" w:lineRule="auto"/>
        <w:rPr>
          <w:rFonts w:ascii="宋体" w:hAnsi="宋体" w:cs="宋体"/>
          <w:color w:val="auto"/>
          <w:sz w:val="24"/>
          <w:szCs w:val="32"/>
          <w:highlight w:val="none"/>
        </w:rPr>
      </w:pPr>
    </w:p>
    <w:p w14:paraId="2E73736D">
      <w:pPr>
        <w:spacing w:line="360" w:lineRule="auto"/>
        <w:rPr>
          <w:rFonts w:ascii="宋体" w:hAnsi="宋体" w:cs="宋体"/>
          <w:color w:val="auto"/>
          <w:sz w:val="24"/>
          <w:szCs w:val="32"/>
          <w:highlight w:val="none"/>
        </w:rPr>
      </w:pPr>
    </w:p>
    <w:p w14:paraId="227A70D8">
      <w:pPr>
        <w:rPr>
          <w:rFonts w:ascii="宋体" w:hAnsi="宋体" w:cs="宋体"/>
          <w:color w:val="auto"/>
          <w:sz w:val="24"/>
          <w:szCs w:val="32"/>
          <w:highlight w:val="none"/>
        </w:rPr>
      </w:pPr>
      <w:r>
        <w:rPr>
          <w:rFonts w:ascii="宋体" w:hAnsi="宋体" w:cs="宋体"/>
          <w:color w:val="auto"/>
          <w:sz w:val="24"/>
          <w:szCs w:val="32"/>
          <w:highlight w:val="none"/>
        </w:rPr>
        <w:br w:type="page"/>
      </w:r>
    </w:p>
    <w:p w14:paraId="6C01515A">
      <w:pPr>
        <w:spacing w:line="360" w:lineRule="auto"/>
        <w:rPr>
          <w:rFonts w:ascii="宋体" w:hAnsi="宋体" w:cs="宋体"/>
          <w:b/>
          <w:color w:val="auto"/>
          <w:kern w:val="0"/>
          <w:sz w:val="32"/>
          <w:szCs w:val="32"/>
          <w:highlight w:val="none"/>
          <w:lang w:val="zh-CN"/>
        </w:rPr>
      </w:pPr>
      <w:r>
        <w:rPr>
          <w:rFonts w:hint="eastAsia" w:ascii="宋体" w:hAnsi="宋体" w:cs="宋体"/>
          <w:b/>
          <w:color w:val="auto"/>
          <w:sz w:val="28"/>
          <w:highlight w:val="none"/>
        </w:rPr>
        <w:t>附件2</w:t>
      </w:r>
      <w:r>
        <w:rPr>
          <w:rFonts w:hint="eastAsia" w:ascii="宋体" w:hAnsi="宋体" w:cs="宋体"/>
          <w:b/>
          <w:color w:val="auto"/>
          <w:sz w:val="28"/>
          <w:highlight w:val="none"/>
          <w:lang w:val="en-US" w:eastAsia="zh-CN"/>
        </w:rPr>
        <w:t xml:space="preserve">                    </w:t>
      </w:r>
      <w:r>
        <w:rPr>
          <w:rFonts w:hint="eastAsia" w:ascii="宋体" w:hAnsi="宋体" w:cs="宋体"/>
          <w:b/>
          <w:color w:val="auto"/>
          <w:kern w:val="0"/>
          <w:sz w:val="32"/>
          <w:szCs w:val="32"/>
          <w:highlight w:val="none"/>
          <w:lang w:val="zh-CN"/>
        </w:rPr>
        <w:t>投标声明书</w:t>
      </w:r>
    </w:p>
    <w:p w14:paraId="4AD1E3B0">
      <w:pPr>
        <w:spacing w:line="440" w:lineRule="exact"/>
        <w:rPr>
          <w:rFonts w:ascii="宋体" w:hAnsi="宋体" w:cs="宋体"/>
          <w:color w:val="auto"/>
          <w:sz w:val="24"/>
          <w:szCs w:val="32"/>
          <w:highlight w:val="none"/>
        </w:rPr>
      </w:pPr>
      <w:r>
        <w:rPr>
          <w:rFonts w:hint="eastAsia" w:ascii="宋体" w:hAnsi="宋体" w:cs="宋体"/>
          <w:color w:val="auto"/>
          <w:sz w:val="24"/>
          <w:szCs w:val="32"/>
          <w:highlight w:val="none"/>
          <w:u w:val="single"/>
          <w:lang w:eastAsia="zh-CN"/>
        </w:rPr>
        <w:t>台州市建设咨询有限公司</w:t>
      </w:r>
      <w:r>
        <w:rPr>
          <w:rFonts w:hint="eastAsia" w:ascii="宋体" w:hAnsi="宋体" w:cs="宋体"/>
          <w:color w:val="auto"/>
          <w:sz w:val="24"/>
          <w:szCs w:val="32"/>
          <w:highlight w:val="none"/>
        </w:rPr>
        <w:t>（采购代理机构名称）：</w:t>
      </w:r>
    </w:p>
    <w:p w14:paraId="20461AA4">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u w:val="single"/>
        </w:rPr>
        <w:t>（投标人名称）</w:t>
      </w:r>
      <w:r>
        <w:rPr>
          <w:rFonts w:hint="eastAsia" w:ascii="宋体" w:hAnsi="宋体" w:cs="宋体"/>
          <w:color w:val="auto"/>
          <w:sz w:val="24"/>
          <w:szCs w:val="32"/>
          <w:highlight w:val="none"/>
        </w:rPr>
        <w:t>系中华人民共和国合法企业，经营地址</w:t>
      </w:r>
      <w:r>
        <w:rPr>
          <w:rFonts w:hint="eastAsia" w:ascii="宋体" w:hAnsi="宋体" w:cs="宋体"/>
          <w:color w:val="auto"/>
          <w:sz w:val="24"/>
          <w:szCs w:val="32"/>
          <w:highlight w:val="none"/>
          <w:u w:val="single"/>
          <w:lang w:eastAsia="zh-CN"/>
        </w:rPr>
        <w:t>：</w:t>
      </w:r>
      <w:r>
        <w:rPr>
          <w:rFonts w:hint="eastAsia" w:ascii="宋体" w:hAnsi="宋体" w:cs="宋体"/>
          <w:color w:val="auto"/>
          <w:sz w:val="24"/>
          <w:szCs w:val="32"/>
          <w:highlight w:val="none"/>
          <w:u w:val="single"/>
          <w:lang w:val="en-US" w:eastAsia="zh-CN"/>
        </w:rPr>
        <w:t xml:space="preserve">      </w:t>
      </w:r>
      <w:r>
        <w:rPr>
          <w:rFonts w:hint="eastAsia" w:ascii="宋体" w:hAnsi="宋体" w:cs="宋体"/>
          <w:color w:val="auto"/>
          <w:sz w:val="24"/>
          <w:szCs w:val="32"/>
          <w:highlight w:val="none"/>
        </w:rPr>
        <w:t>。</w:t>
      </w:r>
    </w:p>
    <w:p w14:paraId="74105E8F">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我（</w:t>
      </w:r>
      <w:r>
        <w:rPr>
          <w:rFonts w:hint="eastAsia" w:ascii="宋体" w:hAnsi="宋体" w:cs="宋体"/>
          <w:color w:val="auto"/>
          <w:sz w:val="24"/>
          <w:szCs w:val="32"/>
          <w:highlight w:val="none"/>
          <w:u w:val="single"/>
        </w:rPr>
        <w:t>姓名</w:t>
      </w:r>
      <w:r>
        <w:rPr>
          <w:rFonts w:hint="eastAsia" w:ascii="宋体" w:hAnsi="宋体" w:cs="宋体"/>
          <w:color w:val="auto"/>
          <w:sz w:val="24"/>
          <w:szCs w:val="32"/>
          <w:highlight w:val="none"/>
        </w:rPr>
        <w:t>）系（</w:t>
      </w:r>
      <w:r>
        <w:rPr>
          <w:rFonts w:hint="eastAsia" w:ascii="宋体" w:hAnsi="宋体" w:cs="宋体"/>
          <w:color w:val="auto"/>
          <w:sz w:val="24"/>
          <w:szCs w:val="32"/>
          <w:highlight w:val="none"/>
          <w:u w:val="single"/>
        </w:rPr>
        <w:t>投标人名称</w:t>
      </w:r>
      <w:r>
        <w:rPr>
          <w:rFonts w:hint="eastAsia" w:ascii="宋体" w:hAnsi="宋体" w:cs="宋体"/>
          <w:color w:val="auto"/>
          <w:sz w:val="24"/>
          <w:szCs w:val="32"/>
          <w:highlight w:val="none"/>
        </w:rPr>
        <w:t>）的法定代表人，我公司自愿参加贵方组织的</w:t>
      </w:r>
      <w:r>
        <w:rPr>
          <w:rFonts w:hint="eastAsia" w:ascii="宋体" w:hAnsi="宋体" w:cs="宋体"/>
          <w:color w:val="auto"/>
          <w:sz w:val="24"/>
          <w:szCs w:val="32"/>
          <w:highlight w:val="none"/>
          <w:lang w:eastAsia="zh-CN"/>
        </w:rPr>
        <w:t>路桥区蓬街镇2025年度雨污管网养护及河道应急处理项目</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u w:val="single"/>
          <w:lang w:val="en-US" w:eastAsia="zh-CN"/>
        </w:rPr>
        <w:t xml:space="preserve">       </w:t>
      </w:r>
      <w:r>
        <w:rPr>
          <w:rFonts w:hint="eastAsia" w:ascii="宋体" w:hAnsi="宋体" w:cs="宋体"/>
          <w:color w:val="auto"/>
          <w:sz w:val="24"/>
          <w:szCs w:val="32"/>
          <w:highlight w:val="none"/>
        </w:rPr>
        <w:t>）的投标，为此，我公司就本次投标有关事项郑重声明如下：</w:t>
      </w:r>
    </w:p>
    <w:p w14:paraId="69ECD273">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78A08EE7">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我公司在参与投标前已详细审查了招标文件和所有相关资料，包括招标文件澄清或更正内容（如果有），我方完全明白并认为此招标文件没有倾向性，也没有存在排斥潜在投标人的内容，我方同意招标文件的相关条款，放弃对招标文件提出误解和质疑的一切权利。</w:t>
      </w:r>
    </w:p>
    <w:p w14:paraId="237B6DFF">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不是采购人的附属机构；在获知本项目采购信息后，与采购人聘请的为此项目提供咨询服务的公司及其附属机构没有任何联系。</w:t>
      </w:r>
    </w:p>
    <w:p w14:paraId="71C619C5">
      <w:pPr>
        <w:spacing w:line="440" w:lineRule="exact"/>
        <w:ind w:firstLine="480" w:firstLineChars="200"/>
        <w:rPr>
          <w:rFonts w:ascii="宋体" w:hAnsi="宋体" w:cs="宋体"/>
          <w:color w:val="auto"/>
          <w:sz w:val="24"/>
          <w:szCs w:val="32"/>
          <w:highlight w:val="none"/>
          <w:lang w:val="af-ZA"/>
        </w:rPr>
      </w:pPr>
      <w:r>
        <w:rPr>
          <w:rFonts w:hint="eastAsia" w:ascii="宋体" w:hAnsi="宋体" w:cs="宋体"/>
          <w:color w:val="auto"/>
          <w:sz w:val="24"/>
          <w:szCs w:val="32"/>
          <w:highlight w:val="none"/>
        </w:rPr>
        <w:t>4、我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保证，</w:t>
      </w:r>
      <w:r>
        <w:rPr>
          <w:rFonts w:hint="eastAsia" w:ascii="宋体" w:hAnsi="宋体" w:cs="宋体"/>
          <w:color w:val="auto"/>
          <w:sz w:val="24"/>
          <w:szCs w:val="32"/>
          <w:highlight w:val="none"/>
          <w:lang w:val="af-ZA"/>
        </w:rPr>
        <w:t>采购人在中华人民共和国境内使用</w:t>
      </w:r>
      <w:r>
        <w:rPr>
          <w:rFonts w:hint="eastAsia" w:ascii="宋体" w:hAnsi="宋体" w:cs="宋体"/>
          <w:color w:val="auto"/>
          <w:sz w:val="24"/>
          <w:szCs w:val="32"/>
          <w:highlight w:val="none"/>
        </w:rPr>
        <w:t>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764F559D">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af-ZA"/>
        </w:rPr>
        <w:t>5、我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lang w:val="af-ZA"/>
        </w:rPr>
        <w:t>严格履行政府采购合同，除在投标文件明确拒绝的之外，均接受招标文件中的全部条件，不降低合同约定的产品质量和服务，不擅自变更、中止、终止合同，或拒绝履行合同义务；</w:t>
      </w:r>
    </w:p>
    <w:p w14:paraId="3D3C6378">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6、以上事项如有虚假或隐瞒，我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愿意承担一切后果，并不再寻求任何旨在减轻或免除法律责任的辩解。</w:t>
      </w:r>
    </w:p>
    <w:p w14:paraId="178EC845">
      <w:pPr>
        <w:spacing w:line="440" w:lineRule="exact"/>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本单位若违反以上承诺，将无条件接受项目主管部门和有关监督管理部门的调查，并愿意承担取消中标资格、没收履约保证金及限制在本地区参与投标等一切法律责任。</w:t>
      </w:r>
    </w:p>
    <w:p w14:paraId="3FB177F0">
      <w:pPr>
        <w:spacing w:line="360" w:lineRule="auto"/>
        <w:ind w:firstLine="4560" w:firstLineChars="19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投标人名称(公章)：</w:t>
      </w:r>
    </w:p>
    <w:p w14:paraId="088D84AC">
      <w:pPr>
        <w:spacing w:line="360" w:lineRule="auto"/>
        <w:ind w:firstLine="4560" w:firstLineChars="19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法定代表人或授权委托人(签字</w:t>
      </w:r>
      <w:r>
        <w:rPr>
          <w:rFonts w:hint="eastAsia" w:ascii="宋体" w:hAnsi="宋体" w:cs="宋体"/>
          <w:color w:val="auto"/>
          <w:sz w:val="24"/>
          <w:szCs w:val="32"/>
          <w:highlight w:val="none"/>
          <w:lang w:val="en-US" w:eastAsia="zh-CN"/>
        </w:rPr>
        <w:t>或盖章</w:t>
      </w:r>
      <w:r>
        <w:rPr>
          <w:rFonts w:hint="eastAsia" w:ascii="宋体" w:hAnsi="宋体" w:cs="宋体"/>
          <w:color w:val="auto"/>
          <w:sz w:val="24"/>
          <w:szCs w:val="32"/>
          <w:highlight w:val="none"/>
          <w:lang w:val="zh-CN"/>
        </w:rPr>
        <w:t>)：</w:t>
      </w:r>
    </w:p>
    <w:p w14:paraId="66E7D223">
      <w:pPr>
        <w:spacing w:line="360" w:lineRule="auto"/>
        <w:ind w:firstLine="4560" w:firstLineChars="19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日期：</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lang w:val="zh-CN"/>
        </w:rPr>
        <w:t>年</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lang w:val="zh-CN"/>
        </w:rPr>
        <w:t>月</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lang w:val="zh-CN"/>
        </w:rPr>
        <w:t>日</w:t>
      </w:r>
    </w:p>
    <w:p w14:paraId="24F11F20">
      <w:pPr>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br w:type="page"/>
      </w:r>
    </w:p>
    <w:p w14:paraId="38876043">
      <w:pPr>
        <w:spacing w:line="360" w:lineRule="auto"/>
        <w:rPr>
          <w:rFonts w:hint="eastAsia" w:ascii="宋体" w:hAnsi="宋体" w:cs="宋体"/>
          <w:b/>
          <w:color w:val="auto"/>
          <w:sz w:val="28"/>
          <w:highlight w:val="none"/>
          <w:lang w:val="en-US" w:eastAsia="zh-CN"/>
        </w:rPr>
      </w:pPr>
      <w:r>
        <w:rPr>
          <w:rFonts w:hint="eastAsia" w:ascii="宋体" w:hAnsi="宋体" w:cs="宋体"/>
          <w:b/>
          <w:color w:val="auto"/>
          <w:sz w:val="28"/>
          <w:highlight w:val="none"/>
        </w:rPr>
        <w:t>附件3</w:t>
      </w:r>
      <w:r>
        <w:rPr>
          <w:rFonts w:hint="eastAsia" w:ascii="宋体" w:hAnsi="宋体" w:cs="宋体"/>
          <w:b/>
          <w:color w:val="auto"/>
          <w:sz w:val="28"/>
          <w:highlight w:val="none"/>
          <w:lang w:val="en-US" w:eastAsia="zh-CN"/>
        </w:rPr>
        <w:t xml:space="preserve">                         </w:t>
      </w:r>
    </w:p>
    <w:p w14:paraId="7768314D">
      <w:pPr>
        <w:spacing w:line="360" w:lineRule="auto"/>
        <w:jc w:val="center"/>
        <w:rPr>
          <w:rFonts w:ascii="宋体" w:hAnsi="宋体" w:cs="宋体"/>
          <w:b/>
          <w:color w:val="auto"/>
          <w:sz w:val="28"/>
          <w:highlight w:val="none"/>
        </w:rPr>
      </w:pPr>
      <w:r>
        <w:rPr>
          <w:rFonts w:hint="eastAsia" w:ascii="宋体" w:hAnsi="宋体" w:cs="宋体"/>
          <w:b/>
          <w:color w:val="auto"/>
          <w:sz w:val="28"/>
          <w:highlight w:val="none"/>
        </w:rPr>
        <w:t>授权委托书</w:t>
      </w:r>
    </w:p>
    <w:p w14:paraId="4149630B">
      <w:pPr>
        <w:spacing w:line="360" w:lineRule="auto"/>
        <w:jc w:val="left"/>
        <w:rPr>
          <w:rFonts w:ascii="宋体" w:hAnsi="宋体" w:cs="宋体"/>
          <w:color w:val="auto"/>
          <w:sz w:val="24"/>
          <w:szCs w:val="32"/>
          <w:highlight w:val="none"/>
        </w:rPr>
      </w:pPr>
      <w:r>
        <w:rPr>
          <w:rFonts w:hint="eastAsia" w:ascii="宋体" w:hAnsi="宋体" w:cs="宋体"/>
          <w:color w:val="auto"/>
          <w:sz w:val="24"/>
          <w:szCs w:val="32"/>
          <w:highlight w:val="none"/>
          <w:u w:val="single"/>
          <w:lang w:eastAsia="zh-CN"/>
        </w:rPr>
        <w:t>台州市建设咨询有限公司</w:t>
      </w:r>
      <w:r>
        <w:rPr>
          <w:rFonts w:hint="eastAsia" w:ascii="宋体" w:hAnsi="宋体" w:cs="宋体"/>
          <w:color w:val="auto"/>
          <w:sz w:val="24"/>
          <w:szCs w:val="32"/>
          <w:highlight w:val="none"/>
        </w:rPr>
        <w:t>（采购代理机构名称）：</w:t>
      </w:r>
    </w:p>
    <w:p w14:paraId="3538C16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u w:val="single"/>
        </w:rPr>
        <w:t>（投标人全称）</w:t>
      </w:r>
      <w:r>
        <w:rPr>
          <w:rFonts w:hint="eastAsia" w:ascii="宋体" w:hAnsi="宋体" w:cs="宋体"/>
          <w:color w:val="auto"/>
          <w:sz w:val="24"/>
          <w:szCs w:val="32"/>
          <w:highlight w:val="none"/>
        </w:rPr>
        <w:t>法定代表人（或营业执照中单位负责人）</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u w:val="single"/>
        </w:rPr>
        <w:t>（法定代表人或营业执照中单位负责人姓名）</w:t>
      </w:r>
      <w:r>
        <w:rPr>
          <w:rFonts w:hint="eastAsia" w:ascii="宋体" w:hAnsi="宋体" w:cs="宋体"/>
          <w:color w:val="auto"/>
          <w:sz w:val="24"/>
          <w:szCs w:val="32"/>
          <w:highlight w:val="none"/>
        </w:rPr>
        <w:t>授权</w:t>
      </w:r>
      <w:r>
        <w:rPr>
          <w:rFonts w:hint="eastAsia" w:ascii="宋体" w:hAnsi="宋体" w:cs="宋体"/>
          <w:color w:val="auto"/>
          <w:sz w:val="24"/>
          <w:szCs w:val="32"/>
          <w:highlight w:val="none"/>
          <w:u w:val="single"/>
        </w:rPr>
        <w:t>（授权委托代理人姓名）</w:t>
      </w:r>
      <w:r>
        <w:rPr>
          <w:rFonts w:hint="eastAsia" w:ascii="宋体" w:hAnsi="宋体" w:cs="宋体"/>
          <w:color w:val="auto"/>
          <w:sz w:val="24"/>
          <w:szCs w:val="32"/>
          <w:highlight w:val="none"/>
        </w:rPr>
        <w:t>为授权委托代理人，参加贵单位组织的采购活动，并代表我方全权办理针对上述项目的投标、开标、评标、签约等具体事务和签署相关文件。我方对授权委托代理人的签字事项负全部责任。</w:t>
      </w:r>
    </w:p>
    <w:p w14:paraId="6657010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在撤销授权的书面通知以前，本授权书一直有效。授权委托代理人在授权委托书有效期内签署的所有文件不因授权的撤销而失效。</w:t>
      </w:r>
    </w:p>
    <w:p w14:paraId="6FF34057">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授权委托代理人无转委托权，特此委托。</w:t>
      </w:r>
    </w:p>
    <w:p w14:paraId="568AE26F">
      <w:pPr>
        <w:spacing w:line="360" w:lineRule="auto"/>
        <w:ind w:firstLine="480" w:firstLineChars="200"/>
        <w:rPr>
          <w:rFonts w:ascii="宋体" w:hAnsi="宋体" w:cs="宋体"/>
          <w:color w:val="auto"/>
          <w:sz w:val="24"/>
          <w:szCs w:val="32"/>
          <w:highlight w:val="none"/>
        </w:rPr>
      </w:pPr>
    </w:p>
    <w:p w14:paraId="5BE49A0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法定代表人签字或盖章：</w:t>
      </w:r>
    </w:p>
    <w:p w14:paraId="21100259">
      <w:pPr>
        <w:spacing w:line="360" w:lineRule="auto"/>
        <w:ind w:firstLine="480" w:firstLineChars="200"/>
        <w:rPr>
          <w:rFonts w:ascii="宋体" w:hAnsi="宋体" w:cs="宋体"/>
          <w:color w:val="auto"/>
          <w:sz w:val="24"/>
          <w:szCs w:val="32"/>
          <w:highlight w:val="none"/>
        </w:rPr>
      </w:pPr>
    </w:p>
    <w:p w14:paraId="5BE9F46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投标人全称（公章）：</w:t>
      </w:r>
      <w:r>
        <w:rPr>
          <w:rFonts w:hint="eastAsia" w:ascii="宋体" w:hAnsi="宋体" w:cs="宋体"/>
          <w:color w:val="auto"/>
          <w:sz w:val="24"/>
          <w:szCs w:val="32"/>
          <w:highlight w:val="none"/>
          <w:lang w:val="zh-CN"/>
        </w:rPr>
        <w:t>日期：年月日</w:t>
      </w:r>
    </w:p>
    <w:p w14:paraId="5EB410CE">
      <w:pPr>
        <w:spacing w:line="360" w:lineRule="auto"/>
        <w:ind w:firstLine="480" w:firstLineChars="200"/>
        <w:rPr>
          <w:rFonts w:ascii="宋体" w:hAnsi="宋体" w:cs="宋体"/>
          <w:color w:val="auto"/>
          <w:sz w:val="24"/>
          <w:szCs w:val="32"/>
          <w:highlight w:val="none"/>
        </w:rPr>
      </w:pPr>
    </w:p>
    <w:p w14:paraId="421B79E7">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附：</w:t>
      </w:r>
    </w:p>
    <w:tbl>
      <w:tblPr>
        <w:tblStyle w:val="31"/>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6AB4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5FA0278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法定代表身份证复印件粘帖处</w:t>
            </w:r>
          </w:p>
        </w:tc>
      </w:tr>
    </w:tbl>
    <w:p w14:paraId="00666212">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法定代表人姓名：</w:t>
      </w:r>
    </w:p>
    <w:p w14:paraId="47133574">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传真：</w:t>
      </w:r>
    </w:p>
    <w:p w14:paraId="4596EC43">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手机：</w:t>
      </w:r>
    </w:p>
    <w:p w14:paraId="0B2F6095">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详细通讯地址：</w:t>
      </w:r>
    </w:p>
    <w:p w14:paraId="191E6316">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邮政编码：</w:t>
      </w:r>
    </w:p>
    <w:p w14:paraId="672917A0">
      <w:pPr>
        <w:spacing w:line="360" w:lineRule="auto"/>
        <w:rPr>
          <w:rFonts w:ascii="宋体" w:hAnsi="宋体" w:cs="宋体"/>
          <w:b/>
          <w:color w:val="auto"/>
          <w:sz w:val="24"/>
          <w:highlight w:val="none"/>
        </w:rPr>
      </w:pPr>
    </w:p>
    <w:tbl>
      <w:tblPr>
        <w:tblStyle w:val="31"/>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0B8B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30A548C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授权委托代理人身份证复印件粘帖处</w:t>
            </w:r>
          </w:p>
        </w:tc>
      </w:tr>
    </w:tbl>
    <w:p w14:paraId="2E1ADA9F">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授权委托代理人姓名：</w:t>
      </w:r>
    </w:p>
    <w:p w14:paraId="2453B3CF">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职务：</w:t>
      </w:r>
    </w:p>
    <w:p w14:paraId="122FBEDE">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传真：</w:t>
      </w:r>
    </w:p>
    <w:p w14:paraId="4613994E">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手机：</w:t>
      </w:r>
    </w:p>
    <w:p w14:paraId="72D36B6F">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详细通讯地址：</w:t>
      </w:r>
    </w:p>
    <w:p w14:paraId="52FA26A4">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邮政编码：</w:t>
      </w:r>
    </w:p>
    <w:p w14:paraId="3D3E630C">
      <w:pPr>
        <w:rPr>
          <w:rFonts w:ascii="宋体" w:hAnsi="宋体" w:cs="宋体"/>
          <w:b/>
          <w:color w:val="auto"/>
          <w:sz w:val="28"/>
          <w:highlight w:val="none"/>
        </w:rPr>
      </w:pPr>
      <w:r>
        <w:rPr>
          <w:rFonts w:ascii="宋体" w:hAnsi="宋体" w:cs="宋体"/>
          <w:color w:val="auto"/>
          <w:sz w:val="24"/>
          <w:szCs w:val="32"/>
          <w:highlight w:val="none"/>
        </w:rPr>
        <w:br w:type="page"/>
      </w:r>
      <w:r>
        <w:rPr>
          <w:rFonts w:hint="eastAsia" w:ascii="宋体" w:hAnsi="宋体" w:cs="宋体"/>
          <w:b/>
          <w:color w:val="auto"/>
          <w:sz w:val="28"/>
          <w:highlight w:val="none"/>
        </w:rPr>
        <w:t>附件4</w:t>
      </w:r>
    </w:p>
    <w:p w14:paraId="62C7DE2C">
      <w:pPr>
        <w:pStyle w:val="77"/>
        <w:jc w:val="center"/>
        <w:rPr>
          <w:rStyle w:val="104"/>
          <w:rFonts w:ascii="宋体" w:cs="宋体"/>
          <w:b/>
          <w:bCs/>
          <w:color w:val="auto"/>
          <w:sz w:val="28"/>
          <w:szCs w:val="28"/>
          <w:highlight w:val="none"/>
          <w:lang w:val="zh-TW" w:eastAsia="zh-TW"/>
        </w:rPr>
      </w:pPr>
      <w:r>
        <w:rPr>
          <w:rStyle w:val="104"/>
          <w:rFonts w:hint="eastAsia" w:ascii="宋体" w:hAnsi="宋体" w:cs="宋体"/>
          <w:b/>
          <w:bCs/>
          <w:color w:val="auto"/>
          <w:sz w:val="28"/>
          <w:szCs w:val="28"/>
          <w:highlight w:val="none"/>
          <w:lang w:val="zh-TW" w:eastAsia="zh-TW"/>
        </w:rPr>
        <w:t>中小企业声明函</w:t>
      </w:r>
      <w:r>
        <w:rPr>
          <w:rFonts w:hint="eastAsia" w:ascii="微软雅黑" w:hAnsi="微软雅黑" w:eastAsia="微软雅黑" w:cs="微软雅黑"/>
          <w:color w:val="auto"/>
          <w:sz w:val="28"/>
          <w:szCs w:val="28"/>
          <w:highlight w:val="none"/>
        </w:rPr>
        <w:t>（工程、服务）</w:t>
      </w:r>
    </w:p>
    <w:p w14:paraId="12175D5B">
      <w:pPr>
        <w:pStyle w:val="77"/>
        <w:jc w:val="left"/>
        <w:rPr>
          <w:rStyle w:val="104"/>
          <w:rFonts w:ascii="宋体" w:cs="宋体"/>
          <w:b/>
          <w:bCs/>
          <w:color w:val="auto"/>
          <w:sz w:val="24"/>
          <w:szCs w:val="24"/>
          <w:highlight w:val="none"/>
        </w:rPr>
      </w:pPr>
    </w:p>
    <w:p w14:paraId="3D2A3196">
      <w:pPr>
        <w:pStyle w:val="27"/>
        <w:spacing w:line="420" w:lineRule="atLeast"/>
        <w:rPr>
          <w:rFonts w:asciiTheme="minorEastAsia" w:hAnsiTheme="minorEastAsia" w:eastAsiaTheme="minorEastAsia" w:cstheme="minorEastAsia"/>
          <w:color w:val="auto"/>
          <w:highlight w:val="none"/>
        </w:rPr>
      </w:pPr>
      <w:r>
        <w:rPr>
          <w:rFonts w:hint="eastAsia" w:ascii="微软雅黑" w:hAnsi="微软雅黑" w:eastAsia="微软雅黑" w:cs="微软雅黑"/>
          <w:color w:val="auto"/>
          <w:highlight w:val="none"/>
        </w:rPr>
        <w:t>　</w:t>
      </w:r>
      <w:r>
        <w:rPr>
          <w:rFonts w:hint="eastAsia" w:ascii="微软雅黑" w:hAnsi="微软雅黑" w:eastAsia="微软雅黑" w:cs="微软雅黑"/>
          <w:color w:val="auto"/>
          <w:highlight w:val="none"/>
          <w:lang w:val="en-US" w:eastAsia="zh-CN"/>
        </w:rPr>
        <w:t xml:space="preserve">  </w:t>
      </w:r>
      <w:r>
        <w:rPr>
          <w:rFonts w:hint="eastAsia" w:asciiTheme="minorEastAsia" w:hAnsiTheme="minorEastAsia" w:eastAsiaTheme="minorEastAsia" w:cstheme="minorEastAsia"/>
          <w:color w:val="auto"/>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单位名称</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的</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项目名称</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FC56F39">
      <w:pPr>
        <w:pStyle w:val="27"/>
        <w:spacing w:line="420" w:lineRule="atLeas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1.</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标的名称</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，属于</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采购文件中明确的所属行业</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；承建（承接）企业为（</w:t>
      </w:r>
      <w:r>
        <w:rPr>
          <w:rStyle w:val="36"/>
          <w:rFonts w:hint="eastAsia" w:asciiTheme="minorEastAsia" w:hAnsiTheme="minorEastAsia" w:eastAsiaTheme="minorEastAsia" w:cstheme="minorEastAsia"/>
          <w:color w:val="auto"/>
          <w:highlight w:val="none"/>
        </w:rPr>
        <w:t>企业名称</w:t>
      </w:r>
      <w:r>
        <w:rPr>
          <w:rFonts w:hint="eastAsia" w:asciiTheme="minorEastAsia" w:hAnsiTheme="minorEastAsia" w:eastAsiaTheme="minorEastAsia" w:cstheme="minorEastAsia"/>
          <w:color w:val="auto"/>
          <w:highlight w:val="none"/>
        </w:rPr>
        <w:t>），从业人员</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 人，营业收入为</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万元，资产总额为</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 万元，属于（</w:t>
      </w:r>
      <w:r>
        <w:rPr>
          <w:rStyle w:val="36"/>
          <w:rFonts w:hint="eastAsia" w:asciiTheme="minorEastAsia" w:hAnsiTheme="minorEastAsia" w:eastAsiaTheme="minorEastAsia" w:cstheme="minorEastAsia"/>
          <w:color w:val="auto"/>
          <w:highlight w:val="none"/>
        </w:rPr>
        <w:t>中型企业、小型企业、微型企业</w:t>
      </w:r>
      <w:r>
        <w:rPr>
          <w:rFonts w:hint="eastAsia" w:asciiTheme="minorEastAsia" w:hAnsiTheme="minorEastAsia" w:eastAsiaTheme="minorEastAsia" w:cstheme="minorEastAsia"/>
          <w:color w:val="auto"/>
          <w:highlight w:val="none"/>
        </w:rPr>
        <w:t>）；</w:t>
      </w:r>
    </w:p>
    <w:p w14:paraId="33F3C3BD">
      <w:pPr>
        <w:pStyle w:val="27"/>
        <w:spacing w:line="420" w:lineRule="atLeas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2.</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标的名称</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，属于</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采购文件中明确的所属行业</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；承建（承接）企业为</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企业名称</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，从业人员</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人，营业收入为</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 万元，资产总额为</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万元，属于</w:t>
      </w:r>
      <w:r>
        <w:rPr>
          <w:rFonts w:hint="eastAsia" w:asciiTheme="minorEastAsia" w:hAnsiTheme="minorEastAsia" w:eastAsiaTheme="minorEastAsia" w:cstheme="minorEastAsia"/>
          <w:color w:val="auto"/>
          <w:highlight w:val="none"/>
          <w:u w:val="single"/>
        </w:rPr>
        <w:t>（</w:t>
      </w:r>
      <w:r>
        <w:rPr>
          <w:rStyle w:val="36"/>
          <w:rFonts w:hint="eastAsia" w:asciiTheme="minorEastAsia" w:hAnsiTheme="minorEastAsia" w:eastAsiaTheme="minorEastAsia" w:cstheme="minorEastAsia"/>
          <w:color w:val="auto"/>
          <w:highlight w:val="none"/>
          <w:u w:val="single"/>
        </w:rPr>
        <w:t>中型企业、小型企业、微型企业</w:t>
      </w:r>
      <w:r>
        <w:rPr>
          <w:rFonts w:hint="eastAsia" w:asciiTheme="minorEastAsia" w:hAnsiTheme="minorEastAsia" w:eastAsiaTheme="minorEastAsia" w:cstheme="minorEastAsia"/>
          <w:color w:val="auto"/>
          <w:highlight w:val="none"/>
          <w:u w:val="single"/>
        </w:rPr>
        <w:t>）</w:t>
      </w:r>
      <w:r>
        <w:rPr>
          <w:rFonts w:hint="eastAsia" w:asciiTheme="minorEastAsia" w:hAnsiTheme="minorEastAsia" w:eastAsiaTheme="minorEastAsia" w:cstheme="minorEastAsia"/>
          <w:color w:val="auto"/>
          <w:highlight w:val="none"/>
        </w:rPr>
        <w:t>；</w:t>
      </w:r>
    </w:p>
    <w:p w14:paraId="66CD089B">
      <w:pPr>
        <w:pStyle w:val="27"/>
        <w:spacing w:line="420" w:lineRule="atLeast"/>
        <w:ind w:firstLine="48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w:t>
      </w:r>
    </w:p>
    <w:p w14:paraId="1BAE54D1">
      <w:pPr>
        <w:pStyle w:val="27"/>
        <w:spacing w:line="420" w:lineRule="atLeas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以上企业，不属于大企业的分支机构，不存在控股股东为大企业的情形，也不存在与大企业的负责人为同一人的情形。</w:t>
      </w:r>
    </w:p>
    <w:p w14:paraId="075F06F8">
      <w:pPr>
        <w:pStyle w:val="27"/>
        <w:spacing w:line="420" w:lineRule="atLeas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本企业对上述声明内容的真实性负责。如有虚假，将依法承担相应责任。</w:t>
      </w:r>
    </w:p>
    <w:p w14:paraId="28F8F9B3">
      <w:pPr>
        <w:wordWrap w:val="0"/>
        <w:spacing w:line="360" w:lineRule="auto"/>
        <w:rPr>
          <w:rFonts w:ascii="宋体" w:hAnsi="宋体" w:cs="宋体"/>
          <w:color w:val="auto"/>
          <w:sz w:val="24"/>
          <w:highlight w:val="none"/>
        </w:rPr>
      </w:pPr>
    </w:p>
    <w:p w14:paraId="5E4499CD">
      <w:pPr>
        <w:wordWrap w:val="0"/>
        <w:spacing w:line="360" w:lineRule="auto"/>
        <w:ind w:firstLine="480" w:firstLineChars="200"/>
        <w:jc w:val="right"/>
        <w:rPr>
          <w:rFonts w:hint="eastAsia" w:ascii="宋体" w:hAnsi="宋体" w:eastAsia="宋体" w:cs="宋体"/>
          <w:color w:val="auto"/>
          <w:sz w:val="24"/>
          <w:highlight w:val="none"/>
          <w:lang w:eastAsia="zh-CN"/>
        </w:rPr>
      </w:pPr>
      <w:r>
        <w:rPr>
          <w:rFonts w:hint="eastAsia" w:ascii="宋体" w:hAnsi="宋体" w:cs="宋体"/>
          <w:color w:val="auto"/>
          <w:sz w:val="24"/>
          <w:highlight w:val="none"/>
        </w:rPr>
        <w:t>企业名称（盖章）：</w:t>
      </w:r>
    </w:p>
    <w:p w14:paraId="0320BA00">
      <w:pPr>
        <w:pStyle w:val="73"/>
        <w:spacing w:line="360" w:lineRule="auto"/>
        <w:ind w:left="4253" w:leftChars="2025" w:right="360"/>
        <w:jc w:val="right"/>
        <w:rPr>
          <w:rFonts w:ascii="宋体" w:hAnsi="宋体" w:cs="宋体"/>
          <w:color w:val="auto"/>
          <w:spacing w:val="6"/>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w:t>
      </w:r>
    </w:p>
    <w:p w14:paraId="5803909D">
      <w:pPr>
        <w:jc w:val="right"/>
        <w:rPr>
          <w:rFonts w:hint="eastAsia" w:ascii="宋体" w:hAnsi="宋体" w:eastAsia="宋体" w:cs="宋体"/>
          <w:color w:val="auto"/>
          <w:sz w:val="24"/>
          <w:highlight w:val="none"/>
          <w:lang w:eastAsia="zh-CN"/>
        </w:rPr>
      </w:pPr>
    </w:p>
    <w:p w14:paraId="785482A7">
      <w:pPr>
        <w:rPr>
          <w:rFonts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14:paraId="2A52E3AE">
      <w:pPr>
        <w:rPr>
          <w:rFonts w:ascii="宋体" w:hAnsi="宋体" w:cs="宋体"/>
          <w:b/>
          <w:color w:val="auto"/>
          <w:sz w:val="32"/>
          <w:szCs w:val="32"/>
          <w:highlight w:val="none"/>
          <w:lang w:val="en-GB"/>
        </w:rPr>
      </w:pPr>
      <w:r>
        <w:rPr>
          <w:rFonts w:hint="eastAsia" w:ascii="宋体" w:hAnsi="宋体" w:cs="宋体"/>
          <w:b/>
          <w:color w:val="auto"/>
          <w:sz w:val="32"/>
          <w:szCs w:val="32"/>
          <w:highlight w:val="none"/>
          <w:lang w:val="en-GB"/>
        </w:rPr>
        <w:br w:type="page"/>
      </w:r>
    </w:p>
    <w:p w14:paraId="56509F41">
      <w:pPr>
        <w:spacing w:line="360" w:lineRule="auto"/>
        <w:ind w:left="-2" w:hanging="2"/>
        <w:jc w:val="center"/>
        <w:rPr>
          <w:rFonts w:ascii="宋体" w:hAnsi="宋体" w:cs="宋体"/>
          <w:b/>
          <w:color w:val="auto"/>
          <w:sz w:val="32"/>
          <w:szCs w:val="32"/>
          <w:highlight w:val="none"/>
          <w:lang w:val="en-GB"/>
        </w:rPr>
      </w:pPr>
    </w:p>
    <w:p w14:paraId="5C586723">
      <w:pPr>
        <w:spacing w:line="360" w:lineRule="auto"/>
        <w:ind w:left="-2" w:hanging="2"/>
        <w:jc w:val="center"/>
        <w:rPr>
          <w:rFonts w:ascii="宋体" w:hAnsi="宋体" w:cs="宋体"/>
          <w:b/>
          <w:color w:val="auto"/>
          <w:sz w:val="32"/>
          <w:szCs w:val="32"/>
          <w:highlight w:val="none"/>
          <w:lang w:val="en-GB"/>
        </w:rPr>
      </w:pPr>
      <w:r>
        <w:rPr>
          <w:rFonts w:hint="eastAsia" w:ascii="宋体" w:hAnsi="宋体" w:cs="宋体"/>
          <w:b/>
          <w:color w:val="auto"/>
          <w:sz w:val="32"/>
          <w:szCs w:val="32"/>
          <w:highlight w:val="none"/>
          <w:lang w:val="en-GB"/>
        </w:rPr>
        <w:t>残疾人福利性单位声明函（</w:t>
      </w:r>
      <w:r>
        <w:rPr>
          <w:rFonts w:hint="eastAsia" w:ascii="宋体" w:hAnsi="宋体" w:cs="宋体"/>
          <w:b/>
          <w:color w:val="auto"/>
          <w:sz w:val="32"/>
          <w:szCs w:val="32"/>
          <w:highlight w:val="none"/>
        </w:rPr>
        <w:t>如有</w:t>
      </w:r>
      <w:r>
        <w:rPr>
          <w:rFonts w:hint="eastAsia" w:ascii="宋体" w:hAnsi="宋体" w:cs="宋体"/>
          <w:b/>
          <w:color w:val="auto"/>
          <w:sz w:val="32"/>
          <w:szCs w:val="32"/>
          <w:highlight w:val="none"/>
          <w:lang w:val="en-GB"/>
        </w:rPr>
        <w:t>）</w:t>
      </w:r>
    </w:p>
    <w:p w14:paraId="5FF408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民政部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51356A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07A17B9">
      <w:pPr>
        <w:spacing w:line="360" w:lineRule="auto"/>
        <w:ind w:firstLine="480" w:firstLineChars="200"/>
        <w:rPr>
          <w:rFonts w:ascii="宋体" w:hAnsi="宋体" w:cs="宋体"/>
          <w:color w:val="auto"/>
          <w:sz w:val="24"/>
          <w:highlight w:val="none"/>
        </w:rPr>
      </w:pPr>
    </w:p>
    <w:p w14:paraId="23BB1731">
      <w:pPr>
        <w:spacing w:line="360" w:lineRule="auto"/>
        <w:ind w:firstLine="2880" w:firstLineChars="1200"/>
        <w:rPr>
          <w:rFonts w:ascii="宋体" w:hAnsi="宋体" w:cs="宋体"/>
          <w:color w:val="auto"/>
          <w:sz w:val="24"/>
          <w:szCs w:val="32"/>
          <w:highlight w:val="none"/>
        </w:rPr>
      </w:pPr>
      <w:r>
        <w:rPr>
          <w:rFonts w:hint="eastAsia" w:ascii="宋体" w:hAnsi="宋体" w:cs="宋体"/>
          <w:color w:val="auto"/>
          <w:sz w:val="24"/>
          <w:szCs w:val="32"/>
          <w:highlight w:val="none"/>
        </w:rPr>
        <w:t>单位名称（单位公章）：</w:t>
      </w:r>
    </w:p>
    <w:p w14:paraId="470AFD27">
      <w:pPr>
        <w:pStyle w:val="73"/>
        <w:spacing w:line="360" w:lineRule="auto"/>
        <w:ind w:left="4253" w:leftChars="2025" w:right="360"/>
        <w:jc w:val="right"/>
        <w:rPr>
          <w:rFonts w:ascii="宋体" w:hAnsi="宋体" w:cs="宋体"/>
          <w:color w:val="auto"/>
          <w:spacing w:val="6"/>
          <w:sz w:val="24"/>
          <w:highlight w:val="none"/>
        </w:rPr>
      </w:pPr>
      <w:r>
        <w:rPr>
          <w:rFonts w:hint="eastAsia" w:ascii="宋体" w:hAnsi="宋体" w:cs="宋体"/>
          <w:color w:val="auto"/>
          <w:sz w:val="24"/>
          <w:szCs w:val="32"/>
          <w:highlight w:val="none"/>
        </w:rPr>
        <w:t>日期：</w:t>
      </w:r>
      <w:r>
        <w:rPr>
          <w:rFonts w:hint="eastAsia" w:ascii="宋体" w:hAnsi="宋体" w:cs="宋体"/>
          <w:color w:val="auto"/>
          <w:sz w:val="24"/>
          <w:highlight w:val="none"/>
        </w:rPr>
        <w:t>年月日</w:t>
      </w:r>
    </w:p>
    <w:p w14:paraId="463A4463">
      <w:pPr>
        <w:spacing w:line="360" w:lineRule="auto"/>
        <w:ind w:firstLine="480" w:firstLineChars="200"/>
        <w:rPr>
          <w:rFonts w:ascii="宋体" w:hAnsi="宋体" w:cs="宋体"/>
          <w:color w:val="auto"/>
          <w:sz w:val="24"/>
          <w:highlight w:val="none"/>
        </w:rPr>
      </w:pPr>
    </w:p>
    <w:p w14:paraId="078A0B2B">
      <w:pPr>
        <w:spacing w:line="360" w:lineRule="auto"/>
        <w:ind w:firstLine="480" w:firstLineChars="200"/>
        <w:rPr>
          <w:rFonts w:ascii="宋体" w:hAnsi="宋体" w:cs="宋体"/>
          <w:color w:val="auto"/>
          <w:sz w:val="24"/>
          <w:highlight w:val="none"/>
        </w:rPr>
      </w:pPr>
    </w:p>
    <w:p w14:paraId="7CA60DEC">
      <w:pPr>
        <w:spacing w:line="360" w:lineRule="auto"/>
        <w:ind w:firstLine="480" w:firstLineChars="200"/>
        <w:rPr>
          <w:rFonts w:ascii="宋体" w:hAnsi="宋体" w:cs="宋体"/>
          <w:color w:val="auto"/>
          <w:sz w:val="24"/>
          <w:highlight w:val="none"/>
        </w:rPr>
      </w:pPr>
    </w:p>
    <w:p w14:paraId="10B50629">
      <w:pPr>
        <w:spacing w:line="360" w:lineRule="auto"/>
        <w:ind w:firstLine="480" w:firstLineChars="200"/>
        <w:rPr>
          <w:rFonts w:ascii="宋体" w:hAnsi="宋体" w:cs="宋体"/>
          <w:color w:val="auto"/>
          <w:sz w:val="24"/>
          <w:highlight w:val="none"/>
        </w:rPr>
      </w:pPr>
    </w:p>
    <w:p w14:paraId="2702EE84">
      <w:pPr>
        <w:spacing w:line="360" w:lineRule="auto"/>
        <w:ind w:firstLine="480" w:firstLineChars="200"/>
        <w:rPr>
          <w:rFonts w:ascii="宋体" w:hAnsi="宋体" w:cs="宋体"/>
          <w:color w:val="auto"/>
          <w:sz w:val="24"/>
          <w:highlight w:val="none"/>
        </w:rPr>
      </w:pPr>
    </w:p>
    <w:p w14:paraId="55F86708">
      <w:pPr>
        <w:jc w:val="center"/>
        <w:rPr>
          <w:color w:val="auto"/>
          <w:highlight w:val="none"/>
        </w:rPr>
      </w:pPr>
      <w:r>
        <w:rPr>
          <w:color w:val="auto"/>
          <w:highlight w:val="none"/>
        </w:rPr>
        <w:br w:type="page"/>
      </w:r>
    </w:p>
    <w:p w14:paraId="1E06025A">
      <w:pPr>
        <w:rPr>
          <w:color w:val="auto"/>
          <w:highlight w:val="none"/>
        </w:rPr>
      </w:pPr>
      <w:r>
        <w:rPr>
          <w:rFonts w:hint="eastAsia" w:ascii="宋体" w:hAnsi="宋体" w:cs="宋体"/>
          <w:b/>
          <w:color w:val="auto"/>
          <w:sz w:val="28"/>
          <w:highlight w:val="none"/>
        </w:rPr>
        <w:t>附件5</w:t>
      </w:r>
    </w:p>
    <w:p w14:paraId="17923D2A">
      <w:pPr>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zh-CN"/>
        </w:rPr>
        <w:t>承诺函</w:t>
      </w:r>
    </w:p>
    <w:p w14:paraId="7606598C">
      <w:pPr>
        <w:spacing w:line="360" w:lineRule="auto"/>
        <w:rPr>
          <w:rFonts w:ascii="宋体" w:hAnsi="宋体" w:cs="宋体"/>
          <w:color w:val="auto"/>
          <w:sz w:val="24"/>
          <w:szCs w:val="32"/>
          <w:highlight w:val="none"/>
        </w:rPr>
      </w:pPr>
    </w:p>
    <w:p w14:paraId="76DC5905">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致：</w:t>
      </w:r>
      <w:r>
        <w:rPr>
          <w:rFonts w:hint="eastAsia" w:ascii="宋体" w:hAnsi="宋体" w:cs="宋体"/>
          <w:color w:val="auto"/>
          <w:sz w:val="24"/>
          <w:szCs w:val="32"/>
          <w:highlight w:val="none"/>
          <w:u w:val="single"/>
          <w:lang w:eastAsia="zh-CN"/>
        </w:rPr>
        <w:t>台州市建设咨询有限公司</w:t>
      </w:r>
      <w:r>
        <w:rPr>
          <w:rFonts w:hint="eastAsia" w:ascii="宋体" w:hAnsi="宋体" w:cs="宋体"/>
          <w:color w:val="auto"/>
          <w:sz w:val="24"/>
          <w:szCs w:val="32"/>
          <w:highlight w:val="none"/>
          <w:u w:val="single"/>
        </w:rPr>
        <w:t>：</w:t>
      </w:r>
    </w:p>
    <w:p w14:paraId="39C0413E">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我公司参加</w:t>
      </w:r>
      <w:r>
        <w:rPr>
          <w:rFonts w:hint="eastAsia" w:ascii="宋体" w:hAnsi="宋体" w:cs="宋体"/>
          <w:color w:val="auto"/>
          <w:sz w:val="24"/>
          <w:szCs w:val="32"/>
          <w:highlight w:val="none"/>
          <w:u w:val="single"/>
          <w:lang w:eastAsia="zh-CN"/>
        </w:rPr>
        <w:t>路桥区蓬街镇2025年度雨污管网养护及河道应急处理项目</w:t>
      </w:r>
      <w:r>
        <w:rPr>
          <w:rFonts w:hint="eastAsia" w:ascii="宋体" w:hAnsi="宋体" w:cs="宋体"/>
          <w:color w:val="auto"/>
          <w:sz w:val="24"/>
          <w:szCs w:val="32"/>
          <w:highlight w:val="none"/>
        </w:rPr>
        <w:t>的投标活动，作如下承诺：</w:t>
      </w:r>
    </w:p>
    <w:p w14:paraId="3C69201C">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1、我公司在参加本项目政府采购活动前，符合参与政府采购活动的资格条件，有依法缴纳税收（享受免税政策的则无欠税）和社会保障资金的良好记录，不存在税收缴纳、社会保障等方面的失信记录。</w:t>
      </w:r>
    </w:p>
    <w:p w14:paraId="534BAB49">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2、我公司在参加本项目政府采购活动前，没有处于被责令停产、财产被接管、冻结或破产状态，具有足够的流动资金，有能力履行合同；我公司具有良好的商业信誉和健全的财务会计制度。</w:t>
      </w:r>
    </w:p>
    <w:p w14:paraId="78A3CA7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我公司郑重承诺：到本项目投标截止时间为止，我公司未被“信用中国”（www.creditchina.gov.cn）、中国政府采购网（www.ccgp.gov.cn）列入失信被执行人名单、重大税收违法案件当事人名单、政府采购严重违法失信行为记录名单。</w:t>
      </w:r>
    </w:p>
    <w:p w14:paraId="327116F9">
      <w:pPr>
        <w:spacing w:line="360" w:lineRule="auto"/>
        <w:ind w:firstLine="424" w:firstLineChars="177"/>
        <w:rPr>
          <w:rFonts w:ascii="宋体" w:hAnsi="宋体"/>
          <w:color w:val="auto"/>
          <w:sz w:val="24"/>
          <w:highlight w:val="none"/>
        </w:rPr>
      </w:pPr>
      <w:r>
        <w:rPr>
          <w:rFonts w:hint="eastAsia" w:ascii="宋体" w:hAnsi="宋体" w:cs="宋体"/>
          <w:color w:val="auto"/>
          <w:sz w:val="24"/>
          <w:szCs w:val="32"/>
          <w:highlight w:val="none"/>
        </w:rPr>
        <w:t>4、</w:t>
      </w:r>
      <w:r>
        <w:rPr>
          <w:rFonts w:hint="eastAsia" w:ascii="宋体" w:hAnsi="宋体"/>
          <w:color w:val="auto"/>
          <w:sz w:val="24"/>
          <w:highlight w:val="none"/>
        </w:rPr>
        <w:t>如成交，我方将提供足够的设备和专业技术能力保证本合同履行。</w:t>
      </w:r>
    </w:p>
    <w:p w14:paraId="11F9B87B">
      <w:pPr>
        <w:pStyle w:val="14"/>
        <w:rPr>
          <w:color w:val="auto"/>
          <w:highlight w:val="none"/>
        </w:rPr>
      </w:pPr>
    </w:p>
    <w:p w14:paraId="04BC834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如违反以上承诺，本公司愿承担一切法律责任。</w:t>
      </w:r>
    </w:p>
    <w:p w14:paraId="46E4FC4F">
      <w:pPr>
        <w:spacing w:line="360" w:lineRule="auto"/>
        <w:rPr>
          <w:rFonts w:ascii="宋体" w:hAnsi="宋体" w:cs="宋体"/>
          <w:color w:val="auto"/>
          <w:sz w:val="24"/>
          <w:szCs w:val="32"/>
          <w:highlight w:val="none"/>
          <w:lang w:val="zh-CN"/>
        </w:rPr>
      </w:pPr>
    </w:p>
    <w:p w14:paraId="40557BE8">
      <w:pPr>
        <w:spacing w:line="360" w:lineRule="auto"/>
        <w:rPr>
          <w:rFonts w:ascii="宋体" w:hAnsi="宋体" w:cs="宋体"/>
          <w:color w:val="auto"/>
          <w:sz w:val="24"/>
          <w:szCs w:val="32"/>
          <w:highlight w:val="none"/>
          <w:lang w:val="zh-CN"/>
        </w:rPr>
      </w:pPr>
    </w:p>
    <w:p w14:paraId="5F640FC6">
      <w:pPr>
        <w:spacing w:line="360" w:lineRule="auto"/>
        <w:rPr>
          <w:rFonts w:ascii="宋体" w:hAnsi="宋体" w:cs="宋体"/>
          <w:color w:val="auto"/>
          <w:sz w:val="24"/>
          <w:szCs w:val="32"/>
          <w:highlight w:val="none"/>
          <w:lang w:val="zh-CN"/>
        </w:rPr>
      </w:pPr>
    </w:p>
    <w:p w14:paraId="615A7FF5">
      <w:pPr>
        <w:spacing w:line="360" w:lineRule="auto"/>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供应商名称（公章）：</w:t>
      </w:r>
    </w:p>
    <w:p w14:paraId="0AB99D7F">
      <w:pPr>
        <w:spacing w:line="360" w:lineRule="auto"/>
        <w:rPr>
          <w:rFonts w:ascii="宋体" w:hAnsi="宋体" w:cs="宋体"/>
          <w:color w:val="auto"/>
          <w:sz w:val="24"/>
          <w:szCs w:val="32"/>
          <w:highlight w:val="none"/>
        </w:rPr>
      </w:pPr>
    </w:p>
    <w:p w14:paraId="6210A7F2">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法定代表人（签字或盖章）或授权委托代理人（签字或盖章）：</w:t>
      </w:r>
    </w:p>
    <w:p w14:paraId="099C0525">
      <w:pPr>
        <w:spacing w:line="360" w:lineRule="auto"/>
        <w:rPr>
          <w:rFonts w:ascii="宋体" w:hAnsi="宋体" w:cs="宋体"/>
          <w:color w:val="auto"/>
          <w:sz w:val="24"/>
          <w:szCs w:val="32"/>
          <w:highlight w:val="none"/>
        </w:rPr>
      </w:pPr>
    </w:p>
    <w:p w14:paraId="325F4B8F">
      <w:pPr>
        <w:spacing w:line="360" w:lineRule="auto"/>
        <w:jc w:val="right"/>
        <w:rPr>
          <w:rFonts w:ascii="宋体" w:hAnsi="宋体" w:cs="宋体"/>
          <w:color w:val="auto"/>
          <w:sz w:val="24"/>
          <w:szCs w:val="32"/>
          <w:highlight w:val="none"/>
        </w:rPr>
      </w:pP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lang w:val="zh-CN"/>
        </w:rPr>
        <w:t>年</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lang w:val="zh-CN"/>
        </w:rPr>
        <w:t>月</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lang w:val="zh-CN"/>
        </w:rPr>
        <w:t>日</w:t>
      </w:r>
    </w:p>
    <w:p w14:paraId="3995BCB0">
      <w:pPr>
        <w:pStyle w:val="14"/>
        <w:rPr>
          <w:color w:val="auto"/>
          <w:highlight w:val="none"/>
        </w:rPr>
      </w:pPr>
    </w:p>
    <w:p w14:paraId="0A2E1641">
      <w:pPr>
        <w:rPr>
          <w:color w:val="auto"/>
          <w:highlight w:val="none"/>
        </w:rPr>
      </w:pPr>
    </w:p>
    <w:p w14:paraId="75721AC5">
      <w:pPr>
        <w:rPr>
          <w:color w:val="auto"/>
          <w:highlight w:val="none"/>
        </w:rPr>
      </w:pPr>
      <w:r>
        <w:rPr>
          <w:color w:val="auto"/>
          <w:highlight w:val="none"/>
        </w:rPr>
        <w:br w:type="page"/>
      </w:r>
    </w:p>
    <w:p w14:paraId="6B46C7C0">
      <w:pPr>
        <w:rPr>
          <w:color w:val="auto"/>
          <w:highlight w:val="none"/>
        </w:rPr>
      </w:pPr>
    </w:p>
    <w:p w14:paraId="75BA9743">
      <w:pPr>
        <w:spacing w:line="360" w:lineRule="auto"/>
        <w:jc w:val="center"/>
        <w:rPr>
          <w:rFonts w:ascii="宋体" w:hAnsi="宋体" w:cs="宋体"/>
          <w:b/>
          <w:bCs/>
          <w:color w:val="auto"/>
          <w:sz w:val="32"/>
          <w:szCs w:val="40"/>
          <w:highlight w:val="none"/>
        </w:rPr>
      </w:pPr>
      <w:r>
        <w:rPr>
          <w:rFonts w:hint="eastAsia" w:ascii="宋体" w:hAnsi="宋体" w:cs="宋体"/>
          <w:b/>
          <w:bCs/>
          <w:color w:val="auto"/>
          <w:sz w:val="32"/>
          <w:szCs w:val="40"/>
          <w:highlight w:val="none"/>
          <w:lang w:val="zh-CN"/>
        </w:rPr>
        <w:t>商务与技术</w:t>
      </w:r>
      <w:r>
        <w:rPr>
          <w:rFonts w:hint="eastAsia" w:ascii="宋体" w:hAnsi="宋体" w:cs="宋体"/>
          <w:b/>
          <w:bCs/>
          <w:color w:val="auto"/>
          <w:sz w:val="32"/>
          <w:szCs w:val="40"/>
          <w:highlight w:val="none"/>
        </w:rPr>
        <w:t>文件</w:t>
      </w:r>
    </w:p>
    <w:p w14:paraId="0B2223BF">
      <w:pPr>
        <w:rPr>
          <w:rFonts w:ascii="宋体" w:hAnsi="宋体" w:cs="宋体"/>
          <w:b/>
          <w:bCs/>
          <w:color w:val="auto"/>
          <w:sz w:val="30"/>
          <w:szCs w:val="30"/>
          <w:highlight w:val="none"/>
        </w:rPr>
      </w:pPr>
    </w:p>
    <w:p w14:paraId="7B2DA43A">
      <w:pPr>
        <w:rPr>
          <w:rFonts w:ascii="宋体" w:hAnsi="宋体" w:cs="宋体"/>
          <w:b/>
          <w:bCs/>
          <w:color w:val="auto"/>
          <w:sz w:val="24"/>
          <w:highlight w:val="none"/>
        </w:rPr>
      </w:pPr>
    </w:p>
    <w:p w14:paraId="700A3705">
      <w:pPr>
        <w:pStyle w:val="16"/>
        <w:rPr>
          <w:rFonts w:ascii="宋体" w:hAnsi="宋体" w:cs="宋体"/>
          <w:color w:val="auto"/>
          <w:sz w:val="24"/>
          <w:highlight w:val="none"/>
        </w:rPr>
      </w:pPr>
      <w:r>
        <w:rPr>
          <w:rFonts w:hint="eastAsia" w:ascii="宋体" w:hAnsi="宋体" w:cs="宋体"/>
          <w:color w:val="auto"/>
          <w:sz w:val="24"/>
          <w:highlight w:val="none"/>
        </w:rPr>
        <w:t>（1）评标索引（格式自拟）：</w:t>
      </w:r>
    </w:p>
    <w:p w14:paraId="3883B79A">
      <w:pPr>
        <w:pStyle w:val="16"/>
        <w:rPr>
          <w:rFonts w:ascii="宋体" w:hAnsi="宋体" w:cs="宋体"/>
          <w:color w:val="auto"/>
          <w:sz w:val="24"/>
          <w:highlight w:val="none"/>
        </w:rPr>
      </w:pPr>
      <w:r>
        <w:rPr>
          <w:rFonts w:hint="eastAsia" w:ascii="宋体" w:hAnsi="宋体" w:cs="宋体"/>
          <w:color w:val="auto"/>
          <w:sz w:val="24"/>
          <w:highlight w:val="none"/>
        </w:rPr>
        <w:t>（2）投标人基本情况表</w:t>
      </w:r>
    </w:p>
    <w:p w14:paraId="7FC92877">
      <w:pPr>
        <w:pStyle w:val="16"/>
        <w:rPr>
          <w:rFonts w:ascii="宋体" w:hAnsi="宋体" w:cs="宋体"/>
          <w:color w:val="auto"/>
          <w:sz w:val="24"/>
          <w:highlight w:val="none"/>
        </w:rPr>
      </w:pPr>
      <w:r>
        <w:rPr>
          <w:rFonts w:hint="eastAsia" w:ascii="宋体" w:hAnsi="宋体" w:cs="宋体"/>
          <w:color w:val="auto"/>
          <w:sz w:val="24"/>
          <w:highlight w:val="none"/>
        </w:rPr>
        <w:t>（3）项目实施人员一览表</w:t>
      </w:r>
    </w:p>
    <w:p w14:paraId="08C346DB">
      <w:pPr>
        <w:pStyle w:val="16"/>
        <w:rPr>
          <w:rFonts w:hint="eastAsia" w:ascii="宋体" w:hAnsi="宋体" w:eastAsia="宋体" w:cs="宋体"/>
          <w:color w:val="auto"/>
          <w:sz w:val="24"/>
          <w:highlight w:val="none"/>
          <w:lang w:eastAsia="zh-CN"/>
        </w:rPr>
      </w:pPr>
      <w:r>
        <w:rPr>
          <w:rFonts w:hint="eastAsia" w:ascii="宋体" w:hAnsi="宋体" w:cs="宋体"/>
          <w:color w:val="auto"/>
          <w:sz w:val="24"/>
          <w:highlight w:val="none"/>
        </w:rPr>
        <w:t>（4）技术需求响应表</w:t>
      </w:r>
    </w:p>
    <w:p w14:paraId="53F647B7">
      <w:pPr>
        <w:pStyle w:val="16"/>
        <w:rPr>
          <w:rFonts w:ascii="宋体" w:hAnsi="宋体" w:cs="宋体"/>
          <w:color w:val="auto"/>
          <w:sz w:val="24"/>
          <w:highlight w:val="none"/>
        </w:rPr>
      </w:pPr>
      <w:r>
        <w:rPr>
          <w:rFonts w:hint="eastAsia" w:ascii="宋体" w:hAnsi="宋体" w:cs="宋体"/>
          <w:color w:val="auto"/>
          <w:sz w:val="24"/>
          <w:highlight w:val="none"/>
        </w:rPr>
        <w:t>（5）商务需求响应表</w:t>
      </w:r>
    </w:p>
    <w:p w14:paraId="31ED85D0">
      <w:pPr>
        <w:pStyle w:val="16"/>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）项目负责人资格情况表</w:t>
      </w:r>
    </w:p>
    <w:p w14:paraId="1936A3A9">
      <w:pPr>
        <w:pStyle w:val="16"/>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）投标人按照评标办法中的评分内容分章节描述</w:t>
      </w:r>
    </w:p>
    <w:p w14:paraId="2826C8A3">
      <w:pPr>
        <w:pStyle w:val="16"/>
        <w:rPr>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）投标人自行提供的证明材料。</w:t>
      </w:r>
    </w:p>
    <w:p w14:paraId="571B57DE">
      <w:pPr>
        <w:rPr>
          <w:rFonts w:ascii="宋体" w:hAnsi="宋体" w:cs="宋体"/>
          <w:color w:val="auto"/>
          <w:sz w:val="24"/>
          <w:szCs w:val="32"/>
          <w:highlight w:val="none"/>
        </w:rPr>
      </w:pPr>
      <w:r>
        <w:rPr>
          <w:rFonts w:ascii="宋体" w:hAnsi="宋体" w:cs="宋体"/>
          <w:color w:val="auto"/>
          <w:sz w:val="24"/>
          <w:szCs w:val="32"/>
          <w:highlight w:val="none"/>
        </w:rPr>
        <w:br w:type="page"/>
      </w:r>
    </w:p>
    <w:p w14:paraId="5F3F3A42">
      <w:pPr>
        <w:rPr>
          <w:rFonts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6</w:t>
      </w:r>
    </w:p>
    <w:p w14:paraId="5C3EAE02">
      <w:pP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投标人基本情况表</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44EC8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vAlign w:val="center"/>
          </w:tcPr>
          <w:p w14:paraId="61964D74">
            <w:pPr>
              <w:pStyle w:val="66"/>
              <w:shd w:val="clear" w:color="auto" w:fill="FFFFFF"/>
              <w:spacing w:line="360" w:lineRule="auto"/>
              <w:jc w:val="both"/>
              <w:rPr>
                <w:bCs/>
                <w:color w:val="auto"/>
                <w:highlight w:val="none"/>
              </w:rPr>
            </w:pPr>
            <w:r>
              <w:rPr>
                <w:rFonts w:hint="eastAsia"/>
                <w:bCs/>
                <w:color w:val="auto"/>
                <w:spacing w:val="27"/>
                <w:highlight w:val="none"/>
              </w:rPr>
              <w:t>企业名称</w:t>
            </w:r>
          </w:p>
        </w:tc>
        <w:tc>
          <w:tcPr>
            <w:tcW w:w="3765" w:type="dxa"/>
            <w:gridSpan w:val="6"/>
            <w:vAlign w:val="center"/>
          </w:tcPr>
          <w:p w14:paraId="6628B4B3">
            <w:pPr>
              <w:pStyle w:val="66"/>
              <w:shd w:val="clear" w:color="auto" w:fill="FFFFFF"/>
              <w:spacing w:line="360" w:lineRule="auto"/>
              <w:jc w:val="both"/>
              <w:rPr>
                <w:bCs/>
                <w:color w:val="auto"/>
                <w:highlight w:val="none"/>
              </w:rPr>
            </w:pPr>
          </w:p>
        </w:tc>
        <w:tc>
          <w:tcPr>
            <w:tcW w:w="1560" w:type="dxa"/>
            <w:vAlign w:val="center"/>
          </w:tcPr>
          <w:p w14:paraId="69883840">
            <w:pPr>
              <w:pStyle w:val="66"/>
              <w:shd w:val="clear" w:color="auto" w:fill="FFFFFF"/>
              <w:spacing w:line="360" w:lineRule="auto"/>
              <w:jc w:val="center"/>
              <w:rPr>
                <w:bCs/>
                <w:color w:val="auto"/>
                <w:highlight w:val="none"/>
              </w:rPr>
            </w:pPr>
            <w:r>
              <w:rPr>
                <w:rFonts w:hint="eastAsia"/>
                <w:bCs/>
                <w:color w:val="auto"/>
                <w:spacing w:val="16"/>
                <w:highlight w:val="none"/>
              </w:rPr>
              <w:t>法人代表</w:t>
            </w:r>
          </w:p>
        </w:tc>
        <w:tc>
          <w:tcPr>
            <w:tcW w:w="2608" w:type="dxa"/>
            <w:gridSpan w:val="3"/>
            <w:vAlign w:val="center"/>
          </w:tcPr>
          <w:p w14:paraId="5AF0E7FA">
            <w:pPr>
              <w:pStyle w:val="66"/>
              <w:shd w:val="clear" w:color="auto" w:fill="FFFFFF"/>
              <w:spacing w:line="360" w:lineRule="auto"/>
              <w:jc w:val="both"/>
              <w:rPr>
                <w:bCs/>
                <w:color w:val="auto"/>
                <w:highlight w:val="none"/>
              </w:rPr>
            </w:pPr>
          </w:p>
        </w:tc>
      </w:tr>
      <w:tr w14:paraId="4B88C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vAlign w:val="center"/>
          </w:tcPr>
          <w:p w14:paraId="2C01FAD9">
            <w:pPr>
              <w:pStyle w:val="66"/>
              <w:shd w:val="clear" w:color="auto" w:fill="FFFFFF"/>
              <w:spacing w:line="360" w:lineRule="auto"/>
              <w:jc w:val="both"/>
              <w:rPr>
                <w:bCs/>
                <w:color w:val="auto"/>
                <w:spacing w:val="16"/>
                <w:highlight w:val="none"/>
              </w:rPr>
            </w:pPr>
            <w:r>
              <w:rPr>
                <w:rFonts w:hint="eastAsia"/>
                <w:bCs/>
                <w:color w:val="auto"/>
                <w:spacing w:val="27"/>
                <w:highlight w:val="none"/>
              </w:rPr>
              <w:t>地址</w:t>
            </w:r>
          </w:p>
        </w:tc>
        <w:tc>
          <w:tcPr>
            <w:tcW w:w="3765" w:type="dxa"/>
            <w:gridSpan w:val="6"/>
            <w:tcBorders>
              <w:bottom w:val="single" w:color="auto" w:sz="4" w:space="0"/>
            </w:tcBorders>
            <w:vAlign w:val="center"/>
          </w:tcPr>
          <w:p w14:paraId="43F47248">
            <w:pPr>
              <w:pStyle w:val="66"/>
              <w:shd w:val="clear" w:color="auto" w:fill="FFFFFF"/>
              <w:spacing w:line="360" w:lineRule="auto"/>
              <w:jc w:val="both"/>
              <w:rPr>
                <w:bCs/>
                <w:color w:val="auto"/>
                <w:spacing w:val="16"/>
                <w:highlight w:val="none"/>
              </w:rPr>
            </w:pPr>
          </w:p>
        </w:tc>
        <w:tc>
          <w:tcPr>
            <w:tcW w:w="1560" w:type="dxa"/>
            <w:vAlign w:val="center"/>
          </w:tcPr>
          <w:p w14:paraId="1B39DB73">
            <w:pPr>
              <w:pStyle w:val="66"/>
              <w:shd w:val="clear" w:color="auto" w:fill="FFFFFF"/>
              <w:spacing w:line="360" w:lineRule="auto"/>
              <w:jc w:val="center"/>
              <w:rPr>
                <w:bCs/>
                <w:color w:val="auto"/>
                <w:spacing w:val="16"/>
                <w:highlight w:val="none"/>
              </w:rPr>
            </w:pPr>
            <w:r>
              <w:rPr>
                <w:rFonts w:hint="eastAsia"/>
                <w:bCs/>
                <w:color w:val="auto"/>
                <w:spacing w:val="16"/>
                <w:highlight w:val="none"/>
              </w:rPr>
              <w:t>企业性质</w:t>
            </w:r>
          </w:p>
        </w:tc>
        <w:tc>
          <w:tcPr>
            <w:tcW w:w="2608" w:type="dxa"/>
            <w:gridSpan w:val="3"/>
            <w:vAlign w:val="center"/>
          </w:tcPr>
          <w:p w14:paraId="1420A904">
            <w:pPr>
              <w:pStyle w:val="66"/>
              <w:shd w:val="clear" w:color="auto" w:fill="FFFFFF"/>
              <w:spacing w:line="360" w:lineRule="auto"/>
              <w:jc w:val="both"/>
              <w:rPr>
                <w:bCs/>
                <w:color w:val="auto"/>
                <w:spacing w:val="16"/>
                <w:highlight w:val="none"/>
              </w:rPr>
            </w:pPr>
          </w:p>
        </w:tc>
      </w:tr>
      <w:tr w14:paraId="76F8E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tcBorders>
              <w:bottom w:val="single" w:color="auto" w:sz="4" w:space="0"/>
            </w:tcBorders>
            <w:vAlign w:val="center"/>
          </w:tcPr>
          <w:p w14:paraId="0086E4E8">
            <w:pPr>
              <w:pStyle w:val="66"/>
              <w:shd w:val="clear" w:color="auto" w:fill="FFFFFF"/>
              <w:spacing w:line="360" w:lineRule="auto"/>
              <w:jc w:val="both"/>
              <w:rPr>
                <w:bCs/>
                <w:color w:val="auto"/>
                <w:spacing w:val="16"/>
                <w:highlight w:val="none"/>
              </w:rPr>
            </w:pPr>
            <w:r>
              <w:rPr>
                <w:rFonts w:hint="eastAsia"/>
                <w:bCs/>
                <w:color w:val="auto"/>
                <w:spacing w:val="27"/>
                <w:highlight w:val="none"/>
              </w:rPr>
              <w:t>股东姓名</w:t>
            </w:r>
          </w:p>
        </w:tc>
        <w:tc>
          <w:tcPr>
            <w:tcW w:w="690" w:type="dxa"/>
            <w:tcBorders>
              <w:bottom w:val="single" w:color="auto" w:sz="4" w:space="0"/>
            </w:tcBorders>
            <w:vAlign w:val="center"/>
          </w:tcPr>
          <w:p w14:paraId="0170750D">
            <w:pPr>
              <w:pStyle w:val="66"/>
              <w:shd w:val="clear" w:color="auto" w:fill="FFFFFF"/>
              <w:spacing w:before="0" w:beforeAutospacing="0" w:after="0" w:afterAutospacing="0" w:line="360" w:lineRule="auto"/>
              <w:jc w:val="both"/>
              <w:rPr>
                <w:bCs/>
                <w:color w:val="auto"/>
                <w:spacing w:val="16"/>
                <w:highlight w:val="none"/>
              </w:rPr>
            </w:pPr>
          </w:p>
        </w:tc>
        <w:tc>
          <w:tcPr>
            <w:tcW w:w="960" w:type="dxa"/>
            <w:gridSpan w:val="2"/>
            <w:tcBorders>
              <w:bottom w:val="single" w:color="auto" w:sz="4" w:space="0"/>
            </w:tcBorders>
            <w:vAlign w:val="center"/>
          </w:tcPr>
          <w:p w14:paraId="69A487AE">
            <w:pPr>
              <w:pStyle w:val="66"/>
              <w:shd w:val="clear" w:color="auto" w:fill="FFFFFF"/>
              <w:spacing w:line="360" w:lineRule="auto"/>
              <w:jc w:val="both"/>
              <w:rPr>
                <w:bCs/>
                <w:color w:val="auto"/>
                <w:spacing w:val="16"/>
                <w:highlight w:val="none"/>
              </w:rPr>
            </w:pPr>
            <w:r>
              <w:rPr>
                <w:rFonts w:hint="eastAsia"/>
                <w:bCs/>
                <w:color w:val="auto"/>
                <w:spacing w:val="16"/>
                <w:highlight w:val="none"/>
              </w:rPr>
              <w:t>股权结构（%）</w:t>
            </w:r>
          </w:p>
        </w:tc>
        <w:tc>
          <w:tcPr>
            <w:tcW w:w="2115" w:type="dxa"/>
            <w:gridSpan w:val="3"/>
            <w:tcBorders>
              <w:bottom w:val="single" w:color="auto" w:sz="4" w:space="0"/>
            </w:tcBorders>
            <w:vAlign w:val="center"/>
          </w:tcPr>
          <w:p w14:paraId="34F0EC54">
            <w:pPr>
              <w:widowControl/>
              <w:spacing w:line="360" w:lineRule="auto"/>
              <w:rPr>
                <w:rFonts w:ascii="宋体" w:hAnsi="宋体" w:cs="宋体"/>
                <w:bCs/>
                <w:color w:val="auto"/>
                <w:spacing w:val="16"/>
                <w:kern w:val="0"/>
                <w:sz w:val="24"/>
                <w:highlight w:val="none"/>
              </w:rPr>
            </w:pPr>
          </w:p>
          <w:p w14:paraId="7C2ABC2E">
            <w:pPr>
              <w:pStyle w:val="66"/>
              <w:shd w:val="clear" w:color="auto" w:fill="FFFFFF"/>
              <w:spacing w:line="360" w:lineRule="auto"/>
              <w:jc w:val="both"/>
              <w:rPr>
                <w:bCs/>
                <w:color w:val="auto"/>
                <w:spacing w:val="16"/>
                <w:highlight w:val="none"/>
              </w:rPr>
            </w:pPr>
          </w:p>
        </w:tc>
        <w:tc>
          <w:tcPr>
            <w:tcW w:w="1560" w:type="dxa"/>
            <w:vAlign w:val="center"/>
          </w:tcPr>
          <w:p w14:paraId="7804E8A9">
            <w:pPr>
              <w:pStyle w:val="66"/>
              <w:shd w:val="clear" w:color="auto" w:fill="FFFFFF"/>
              <w:spacing w:line="360" w:lineRule="auto"/>
              <w:ind w:left="107"/>
              <w:jc w:val="center"/>
              <w:rPr>
                <w:bCs/>
                <w:color w:val="auto"/>
                <w:spacing w:val="16"/>
                <w:highlight w:val="none"/>
              </w:rPr>
            </w:pPr>
            <w:r>
              <w:rPr>
                <w:rFonts w:hint="eastAsia"/>
                <w:bCs/>
                <w:color w:val="auto"/>
                <w:spacing w:val="16"/>
                <w:highlight w:val="none"/>
              </w:rPr>
              <w:t>股东关系</w:t>
            </w:r>
          </w:p>
        </w:tc>
        <w:tc>
          <w:tcPr>
            <w:tcW w:w="2608" w:type="dxa"/>
            <w:gridSpan w:val="3"/>
            <w:vAlign w:val="center"/>
          </w:tcPr>
          <w:p w14:paraId="33382012">
            <w:pPr>
              <w:pStyle w:val="66"/>
              <w:shd w:val="clear" w:color="auto" w:fill="FFFFFF"/>
              <w:spacing w:line="360" w:lineRule="auto"/>
              <w:ind w:left="107"/>
              <w:jc w:val="both"/>
              <w:rPr>
                <w:bCs/>
                <w:color w:val="auto"/>
                <w:spacing w:val="16"/>
                <w:highlight w:val="none"/>
              </w:rPr>
            </w:pPr>
          </w:p>
        </w:tc>
      </w:tr>
      <w:tr w14:paraId="23ACD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vAlign w:val="center"/>
          </w:tcPr>
          <w:p w14:paraId="4622596B">
            <w:pPr>
              <w:pStyle w:val="66"/>
              <w:shd w:val="clear" w:color="auto" w:fill="FFFFFF"/>
              <w:spacing w:line="360" w:lineRule="auto"/>
              <w:jc w:val="both"/>
              <w:rPr>
                <w:bCs/>
                <w:color w:val="auto"/>
                <w:spacing w:val="16"/>
                <w:highlight w:val="none"/>
              </w:rPr>
            </w:pPr>
            <w:r>
              <w:rPr>
                <w:rFonts w:hint="eastAsia"/>
                <w:bCs/>
                <w:color w:val="auto"/>
                <w:spacing w:val="12"/>
                <w:highlight w:val="none"/>
              </w:rPr>
              <w:t>联系人</w:t>
            </w:r>
            <w:r>
              <w:rPr>
                <w:rFonts w:hint="eastAsia"/>
                <w:bCs/>
                <w:color w:val="auto"/>
                <w:spacing w:val="27"/>
                <w:highlight w:val="none"/>
              </w:rPr>
              <w:t>姓名</w:t>
            </w:r>
          </w:p>
        </w:tc>
        <w:tc>
          <w:tcPr>
            <w:tcW w:w="690" w:type="dxa"/>
            <w:vMerge w:val="restart"/>
            <w:tcBorders>
              <w:top w:val="nil"/>
            </w:tcBorders>
            <w:vAlign w:val="center"/>
          </w:tcPr>
          <w:p w14:paraId="35E8A861">
            <w:pPr>
              <w:pStyle w:val="66"/>
              <w:shd w:val="clear" w:color="auto" w:fill="FFFFFF"/>
              <w:spacing w:line="360" w:lineRule="auto"/>
              <w:jc w:val="both"/>
              <w:rPr>
                <w:bCs/>
                <w:color w:val="auto"/>
                <w:spacing w:val="16"/>
                <w:highlight w:val="none"/>
              </w:rPr>
            </w:pPr>
          </w:p>
        </w:tc>
        <w:tc>
          <w:tcPr>
            <w:tcW w:w="960" w:type="dxa"/>
            <w:gridSpan w:val="2"/>
            <w:tcBorders>
              <w:top w:val="nil"/>
              <w:bottom w:val="single" w:color="auto" w:sz="4" w:space="0"/>
            </w:tcBorders>
            <w:vAlign w:val="center"/>
          </w:tcPr>
          <w:p w14:paraId="3391506D">
            <w:pPr>
              <w:pStyle w:val="66"/>
              <w:shd w:val="clear" w:color="auto" w:fill="FFFFFF"/>
              <w:spacing w:line="360" w:lineRule="auto"/>
              <w:jc w:val="both"/>
              <w:rPr>
                <w:bCs/>
                <w:color w:val="auto"/>
                <w:spacing w:val="16"/>
                <w:highlight w:val="none"/>
              </w:rPr>
            </w:pPr>
            <w:r>
              <w:rPr>
                <w:rFonts w:hint="eastAsia"/>
                <w:bCs/>
                <w:color w:val="auto"/>
                <w:spacing w:val="16"/>
                <w:highlight w:val="none"/>
              </w:rPr>
              <w:t>固定电话</w:t>
            </w:r>
          </w:p>
        </w:tc>
        <w:tc>
          <w:tcPr>
            <w:tcW w:w="2115" w:type="dxa"/>
            <w:gridSpan w:val="3"/>
            <w:tcBorders>
              <w:top w:val="nil"/>
              <w:bottom w:val="single" w:color="auto" w:sz="4" w:space="0"/>
            </w:tcBorders>
            <w:vAlign w:val="center"/>
          </w:tcPr>
          <w:p w14:paraId="523B9243">
            <w:pPr>
              <w:widowControl/>
              <w:spacing w:line="360" w:lineRule="auto"/>
              <w:rPr>
                <w:rFonts w:ascii="宋体" w:hAnsi="宋体" w:cs="宋体"/>
                <w:bCs/>
                <w:color w:val="auto"/>
                <w:spacing w:val="16"/>
                <w:kern w:val="0"/>
                <w:sz w:val="24"/>
                <w:highlight w:val="none"/>
              </w:rPr>
            </w:pPr>
          </w:p>
          <w:p w14:paraId="48D4EA9A">
            <w:pPr>
              <w:pStyle w:val="66"/>
              <w:shd w:val="clear" w:color="auto" w:fill="FFFFFF"/>
              <w:spacing w:line="360" w:lineRule="auto"/>
              <w:jc w:val="both"/>
              <w:rPr>
                <w:bCs/>
                <w:color w:val="auto"/>
                <w:spacing w:val="16"/>
                <w:highlight w:val="none"/>
              </w:rPr>
            </w:pPr>
          </w:p>
        </w:tc>
        <w:tc>
          <w:tcPr>
            <w:tcW w:w="1560" w:type="dxa"/>
            <w:vMerge w:val="restart"/>
            <w:vAlign w:val="center"/>
          </w:tcPr>
          <w:p w14:paraId="0951C336">
            <w:pPr>
              <w:pStyle w:val="66"/>
              <w:shd w:val="clear" w:color="auto" w:fill="FFFFFF"/>
              <w:spacing w:before="0" w:beforeAutospacing="0" w:after="0" w:afterAutospacing="0" w:line="360" w:lineRule="auto"/>
              <w:jc w:val="center"/>
              <w:rPr>
                <w:bCs/>
                <w:color w:val="auto"/>
                <w:spacing w:val="16"/>
                <w:highlight w:val="none"/>
              </w:rPr>
            </w:pPr>
            <w:r>
              <w:rPr>
                <w:rFonts w:hint="eastAsia"/>
                <w:bCs/>
                <w:color w:val="auto"/>
                <w:spacing w:val="16"/>
                <w:highlight w:val="none"/>
              </w:rPr>
              <w:t>传真</w:t>
            </w:r>
          </w:p>
        </w:tc>
        <w:tc>
          <w:tcPr>
            <w:tcW w:w="2608" w:type="dxa"/>
            <w:gridSpan w:val="3"/>
            <w:vMerge w:val="restart"/>
            <w:vAlign w:val="center"/>
          </w:tcPr>
          <w:p w14:paraId="39FB0B78">
            <w:pPr>
              <w:pStyle w:val="66"/>
              <w:shd w:val="clear" w:color="auto" w:fill="FFFFFF"/>
              <w:spacing w:line="360" w:lineRule="auto"/>
              <w:jc w:val="both"/>
              <w:rPr>
                <w:bCs/>
                <w:color w:val="auto"/>
                <w:spacing w:val="16"/>
                <w:highlight w:val="none"/>
              </w:rPr>
            </w:pPr>
          </w:p>
        </w:tc>
      </w:tr>
      <w:tr w14:paraId="4B945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tcBorders>
              <w:bottom w:val="single" w:color="auto" w:sz="4" w:space="0"/>
            </w:tcBorders>
            <w:vAlign w:val="center"/>
          </w:tcPr>
          <w:p w14:paraId="014821BA">
            <w:pPr>
              <w:pStyle w:val="66"/>
              <w:shd w:val="clear" w:color="auto" w:fill="FFFFFF"/>
              <w:spacing w:line="360" w:lineRule="auto"/>
              <w:ind w:left="107"/>
              <w:jc w:val="both"/>
              <w:rPr>
                <w:bCs/>
                <w:color w:val="auto"/>
                <w:highlight w:val="none"/>
              </w:rPr>
            </w:pPr>
          </w:p>
        </w:tc>
        <w:tc>
          <w:tcPr>
            <w:tcW w:w="690" w:type="dxa"/>
            <w:vMerge w:val="continue"/>
            <w:tcBorders>
              <w:bottom w:val="single" w:color="auto" w:sz="4" w:space="0"/>
            </w:tcBorders>
            <w:vAlign w:val="center"/>
          </w:tcPr>
          <w:p w14:paraId="60338E0E">
            <w:pPr>
              <w:pStyle w:val="66"/>
              <w:shd w:val="clear" w:color="auto" w:fill="FFFFFF"/>
              <w:spacing w:line="360" w:lineRule="auto"/>
              <w:jc w:val="both"/>
              <w:rPr>
                <w:bCs/>
                <w:color w:val="auto"/>
                <w:spacing w:val="16"/>
                <w:highlight w:val="none"/>
              </w:rPr>
            </w:pPr>
          </w:p>
        </w:tc>
        <w:tc>
          <w:tcPr>
            <w:tcW w:w="960" w:type="dxa"/>
            <w:gridSpan w:val="2"/>
            <w:tcBorders>
              <w:bottom w:val="single" w:color="auto" w:sz="4" w:space="0"/>
            </w:tcBorders>
            <w:vAlign w:val="center"/>
          </w:tcPr>
          <w:p w14:paraId="51E643F1">
            <w:pPr>
              <w:pStyle w:val="66"/>
              <w:shd w:val="clear" w:color="auto" w:fill="FFFFFF"/>
              <w:spacing w:line="360" w:lineRule="auto"/>
              <w:jc w:val="both"/>
              <w:rPr>
                <w:bCs/>
                <w:color w:val="auto"/>
                <w:spacing w:val="16"/>
                <w:highlight w:val="none"/>
              </w:rPr>
            </w:pPr>
            <w:r>
              <w:rPr>
                <w:rFonts w:hint="eastAsia"/>
                <w:bCs/>
                <w:color w:val="auto"/>
                <w:spacing w:val="27"/>
                <w:highlight w:val="none"/>
              </w:rPr>
              <w:t>手机</w:t>
            </w:r>
          </w:p>
        </w:tc>
        <w:tc>
          <w:tcPr>
            <w:tcW w:w="2115" w:type="dxa"/>
            <w:gridSpan w:val="3"/>
            <w:tcBorders>
              <w:bottom w:val="single" w:color="auto" w:sz="4" w:space="0"/>
            </w:tcBorders>
            <w:vAlign w:val="center"/>
          </w:tcPr>
          <w:p w14:paraId="1F27773C">
            <w:pPr>
              <w:pStyle w:val="66"/>
              <w:shd w:val="clear" w:color="auto" w:fill="FFFFFF"/>
              <w:spacing w:line="360" w:lineRule="auto"/>
              <w:jc w:val="both"/>
              <w:rPr>
                <w:bCs/>
                <w:color w:val="auto"/>
                <w:spacing w:val="16"/>
                <w:highlight w:val="none"/>
              </w:rPr>
            </w:pPr>
          </w:p>
        </w:tc>
        <w:tc>
          <w:tcPr>
            <w:tcW w:w="1560" w:type="dxa"/>
            <w:vMerge w:val="continue"/>
            <w:vAlign w:val="center"/>
          </w:tcPr>
          <w:p w14:paraId="657110E4">
            <w:pPr>
              <w:pStyle w:val="66"/>
              <w:shd w:val="clear" w:color="auto" w:fill="FFFFFF"/>
              <w:spacing w:line="360" w:lineRule="auto"/>
              <w:jc w:val="center"/>
              <w:rPr>
                <w:bCs/>
                <w:color w:val="auto"/>
                <w:spacing w:val="16"/>
                <w:highlight w:val="none"/>
              </w:rPr>
            </w:pPr>
          </w:p>
        </w:tc>
        <w:tc>
          <w:tcPr>
            <w:tcW w:w="2608" w:type="dxa"/>
            <w:gridSpan w:val="3"/>
            <w:vMerge w:val="continue"/>
            <w:vAlign w:val="center"/>
          </w:tcPr>
          <w:p w14:paraId="38FC356B">
            <w:pPr>
              <w:pStyle w:val="66"/>
              <w:shd w:val="clear" w:color="auto" w:fill="FFFFFF"/>
              <w:spacing w:line="360" w:lineRule="auto"/>
              <w:jc w:val="both"/>
              <w:rPr>
                <w:bCs/>
                <w:color w:val="auto"/>
                <w:spacing w:val="16"/>
                <w:highlight w:val="none"/>
              </w:rPr>
            </w:pPr>
          </w:p>
        </w:tc>
      </w:tr>
      <w:tr w14:paraId="544E1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vAlign w:val="center"/>
          </w:tcPr>
          <w:p w14:paraId="06BB768A">
            <w:pPr>
              <w:pStyle w:val="66"/>
              <w:shd w:val="clear" w:color="auto" w:fill="FFFFFF"/>
              <w:spacing w:line="360" w:lineRule="auto"/>
              <w:ind w:left="107"/>
              <w:jc w:val="both"/>
              <w:rPr>
                <w:bCs/>
                <w:color w:val="auto"/>
                <w:highlight w:val="none"/>
              </w:rPr>
            </w:pPr>
            <w:r>
              <w:rPr>
                <w:rFonts w:hint="eastAsia"/>
                <w:bCs/>
                <w:color w:val="auto"/>
                <w:highlight w:val="none"/>
              </w:rPr>
              <w:t>1.</w:t>
            </w:r>
          </w:p>
          <w:p w14:paraId="7B18F284">
            <w:pPr>
              <w:pStyle w:val="66"/>
              <w:shd w:val="clear" w:color="auto" w:fill="FFFFFF"/>
              <w:spacing w:line="360" w:lineRule="auto"/>
              <w:ind w:left="107"/>
              <w:jc w:val="both"/>
              <w:rPr>
                <w:bCs/>
                <w:color w:val="auto"/>
                <w:highlight w:val="none"/>
              </w:rPr>
            </w:pPr>
            <w:r>
              <w:rPr>
                <w:rFonts w:hint="eastAsia"/>
                <w:bCs/>
                <w:color w:val="auto"/>
                <w:highlight w:val="none"/>
              </w:rPr>
              <w:t>企</w:t>
            </w:r>
          </w:p>
          <w:p w14:paraId="5CD18291">
            <w:pPr>
              <w:pStyle w:val="66"/>
              <w:shd w:val="clear" w:color="auto" w:fill="FFFFFF"/>
              <w:spacing w:line="360" w:lineRule="auto"/>
              <w:ind w:left="107"/>
              <w:jc w:val="both"/>
              <w:rPr>
                <w:bCs/>
                <w:color w:val="auto"/>
                <w:highlight w:val="none"/>
              </w:rPr>
            </w:pPr>
            <w:r>
              <w:rPr>
                <w:rFonts w:hint="eastAsia"/>
                <w:bCs/>
                <w:color w:val="auto"/>
                <w:highlight w:val="none"/>
              </w:rPr>
              <w:t>业</w:t>
            </w:r>
          </w:p>
          <w:p w14:paraId="5F7AD9DD">
            <w:pPr>
              <w:pStyle w:val="66"/>
              <w:shd w:val="clear" w:color="auto" w:fill="FFFFFF"/>
              <w:spacing w:line="360" w:lineRule="auto"/>
              <w:ind w:left="107"/>
              <w:jc w:val="both"/>
              <w:rPr>
                <w:bCs/>
                <w:color w:val="auto"/>
                <w:spacing w:val="27"/>
                <w:highlight w:val="none"/>
              </w:rPr>
            </w:pPr>
            <w:r>
              <w:rPr>
                <w:rFonts w:hint="eastAsia"/>
                <w:bCs/>
                <w:color w:val="auto"/>
                <w:spacing w:val="27"/>
                <w:highlight w:val="none"/>
              </w:rPr>
              <w:t>概</w:t>
            </w:r>
          </w:p>
          <w:p w14:paraId="09619DF8">
            <w:pPr>
              <w:pStyle w:val="66"/>
              <w:shd w:val="clear" w:color="auto" w:fill="FFFFFF"/>
              <w:spacing w:line="360" w:lineRule="auto"/>
              <w:ind w:left="107"/>
              <w:jc w:val="both"/>
              <w:rPr>
                <w:bCs/>
                <w:color w:val="auto"/>
                <w:highlight w:val="none"/>
              </w:rPr>
            </w:pPr>
            <w:r>
              <w:rPr>
                <w:rFonts w:hint="eastAsia"/>
                <w:bCs/>
                <w:color w:val="auto"/>
                <w:spacing w:val="27"/>
                <w:highlight w:val="none"/>
              </w:rPr>
              <w:t>况</w:t>
            </w:r>
          </w:p>
        </w:tc>
        <w:tc>
          <w:tcPr>
            <w:tcW w:w="690" w:type="dxa"/>
            <w:tcBorders>
              <w:top w:val="nil"/>
            </w:tcBorders>
            <w:vAlign w:val="center"/>
          </w:tcPr>
          <w:p w14:paraId="05CB7A4A">
            <w:pPr>
              <w:pStyle w:val="66"/>
              <w:shd w:val="clear" w:color="auto" w:fill="FFFFFF"/>
              <w:spacing w:line="360" w:lineRule="auto"/>
              <w:jc w:val="both"/>
              <w:rPr>
                <w:bCs/>
                <w:color w:val="auto"/>
                <w:spacing w:val="16"/>
                <w:highlight w:val="none"/>
              </w:rPr>
            </w:pPr>
            <w:r>
              <w:rPr>
                <w:rFonts w:hint="eastAsia"/>
                <w:bCs/>
                <w:color w:val="auto"/>
                <w:spacing w:val="16"/>
                <w:highlight w:val="none"/>
              </w:rPr>
              <w:t>职工人数</w:t>
            </w:r>
          </w:p>
        </w:tc>
        <w:tc>
          <w:tcPr>
            <w:tcW w:w="960" w:type="dxa"/>
            <w:gridSpan w:val="2"/>
            <w:tcBorders>
              <w:top w:val="nil"/>
            </w:tcBorders>
            <w:vAlign w:val="center"/>
          </w:tcPr>
          <w:p w14:paraId="4AD3C07B">
            <w:pPr>
              <w:pStyle w:val="66"/>
              <w:shd w:val="clear" w:color="auto" w:fill="FFFFFF"/>
              <w:spacing w:line="360" w:lineRule="auto"/>
              <w:jc w:val="both"/>
              <w:rPr>
                <w:bCs/>
                <w:color w:val="auto"/>
                <w:spacing w:val="16"/>
                <w:highlight w:val="none"/>
              </w:rPr>
            </w:pPr>
          </w:p>
        </w:tc>
        <w:tc>
          <w:tcPr>
            <w:tcW w:w="926" w:type="dxa"/>
            <w:tcBorders>
              <w:top w:val="nil"/>
            </w:tcBorders>
            <w:vAlign w:val="center"/>
          </w:tcPr>
          <w:p w14:paraId="4B3AD1B3">
            <w:pPr>
              <w:pStyle w:val="66"/>
              <w:shd w:val="clear" w:color="auto" w:fill="FFFFFF"/>
              <w:spacing w:before="0" w:beforeAutospacing="0" w:after="0" w:afterAutospacing="0" w:line="360" w:lineRule="auto"/>
              <w:jc w:val="both"/>
              <w:rPr>
                <w:bCs/>
                <w:color w:val="auto"/>
                <w:highlight w:val="none"/>
              </w:rPr>
            </w:pPr>
            <w:r>
              <w:rPr>
                <w:rFonts w:hint="eastAsia"/>
                <w:bCs/>
                <w:color w:val="auto"/>
                <w:spacing w:val="18"/>
                <w:highlight w:val="none"/>
              </w:rPr>
              <w:t>具备大专以</w:t>
            </w:r>
            <w:r>
              <w:rPr>
                <w:rFonts w:hint="eastAsia"/>
                <w:bCs/>
                <w:color w:val="auto"/>
                <w:spacing w:val="12"/>
                <w:highlight w:val="none"/>
              </w:rPr>
              <w:t>上学历人数</w:t>
            </w:r>
          </w:p>
        </w:tc>
        <w:tc>
          <w:tcPr>
            <w:tcW w:w="1189" w:type="dxa"/>
            <w:gridSpan w:val="2"/>
            <w:tcBorders>
              <w:top w:val="nil"/>
            </w:tcBorders>
            <w:vAlign w:val="center"/>
          </w:tcPr>
          <w:p w14:paraId="1B6C9C8B">
            <w:pPr>
              <w:widowControl/>
              <w:spacing w:line="360" w:lineRule="auto"/>
              <w:rPr>
                <w:rFonts w:ascii="宋体" w:hAnsi="宋体" w:cs="宋体"/>
                <w:bCs/>
                <w:color w:val="auto"/>
                <w:spacing w:val="16"/>
                <w:kern w:val="0"/>
                <w:sz w:val="24"/>
                <w:highlight w:val="none"/>
              </w:rPr>
            </w:pPr>
          </w:p>
          <w:p w14:paraId="78580F1E">
            <w:pPr>
              <w:widowControl/>
              <w:spacing w:line="360" w:lineRule="auto"/>
              <w:rPr>
                <w:rFonts w:ascii="宋体" w:hAnsi="宋体" w:cs="宋体"/>
                <w:bCs/>
                <w:color w:val="auto"/>
                <w:spacing w:val="16"/>
                <w:kern w:val="0"/>
                <w:sz w:val="24"/>
                <w:highlight w:val="none"/>
              </w:rPr>
            </w:pPr>
          </w:p>
          <w:p w14:paraId="04052BF3">
            <w:pPr>
              <w:pStyle w:val="66"/>
              <w:shd w:val="clear" w:color="auto" w:fill="FFFFFF"/>
              <w:spacing w:line="360" w:lineRule="auto"/>
              <w:jc w:val="both"/>
              <w:rPr>
                <w:bCs/>
                <w:color w:val="auto"/>
                <w:spacing w:val="16"/>
                <w:highlight w:val="none"/>
              </w:rPr>
            </w:pPr>
          </w:p>
        </w:tc>
        <w:tc>
          <w:tcPr>
            <w:tcW w:w="1560" w:type="dxa"/>
            <w:vAlign w:val="center"/>
          </w:tcPr>
          <w:p w14:paraId="165CB5EF">
            <w:pPr>
              <w:pStyle w:val="66"/>
              <w:shd w:val="clear" w:color="auto" w:fill="FFFFFF"/>
              <w:spacing w:line="360" w:lineRule="auto"/>
              <w:jc w:val="center"/>
              <w:rPr>
                <w:bCs/>
                <w:color w:val="auto"/>
                <w:spacing w:val="16"/>
                <w:highlight w:val="none"/>
              </w:rPr>
            </w:pPr>
            <w:r>
              <w:rPr>
                <w:rFonts w:hint="eastAsia"/>
                <w:bCs/>
                <w:color w:val="auto"/>
                <w:spacing w:val="65"/>
                <w:highlight w:val="none"/>
              </w:rPr>
              <w:t>国家授予技</w:t>
            </w:r>
            <w:r>
              <w:rPr>
                <w:rFonts w:hint="eastAsia"/>
                <w:bCs/>
                <w:color w:val="auto"/>
                <w:spacing w:val="12"/>
                <w:highlight w:val="none"/>
              </w:rPr>
              <w:t>术职称人数</w:t>
            </w:r>
          </w:p>
        </w:tc>
        <w:tc>
          <w:tcPr>
            <w:tcW w:w="2608" w:type="dxa"/>
            <w:gridSpan w:val="3"/>
            <w:vAlign w:val="center"/>
          </w:tcPr>
          <w:p w14:paraId="46F7122E">
            <w:pPr>
              <w:widowControl/>
              <w:spacing w:line="360" w:lineRule="auto"/>
              <w:rPr>
                <w:rFonts w:ascii="宋体" w:hAnsi="宋体" w:cs="宋体"/>
                <w:bCs/>
                <w:color w:val="auto"/>
                <w:spacing w:val="16"/>
                <w:kern w:val="0"/>
                <w:sz w:val="24"/>
                <w:highlight w:val="none"/>
              </w:rPr>
            </w:pPr>
          </w:p>
          <w:p w14:paraId="69041F5C">
            <w:pPr>
              <w:pStyle w:val="66"/>
              <w:shd w:val="clear" w:color="auto" w:fill="FFFFFF"/>
              <w:spacing w:line="360" w:lineRule="auto"/>
              <w:jc w:val="both"/>
              <w:rPr>
                <w:bCs/>
                <w:color w:val="auto"/>
                <w:spacing w:val="16"/>
                <w:highlight w:val="none"/>
              </w:rPr>
            </w:pPr>
          </w:p>
        </w:tc>
      </w:tr>
      <w:tr w14:paraId="35241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vAlign w:val="center"/>
          </w:tcPr>
          <w:p w14:paraId="33717697">
            <w:pPr>
              <w:pStyle w:val="66"/>
              <w:shd w:val="clear" w:color="auto" w:fill="FFFFFF"/>
              <w:spacing w:line="360" w:lineRule="auto"/>
              <w:ind w:left="107"/>
              <w:jc w:val="both"/>
              <w:rPr>
                <w:bCs/>
                <w:color w:val="auto"/>
                <w:highlight w:val="none"/>
              </w:rPr>
            </w:pPr>
          </w:p>
        </w:tc>
        <w:tc>
          <w:tcPr>
            <w:tcW w:w="690" w:type="dxa"/>
            <w:vAlign w:val="center"/>
          </w:tcPr>
          <w:p w14:paraId="6C916127">
            <w:pPr>
              <w:pStyle w:val="66"/>
              <w:shd w:val="clear" w:color="auto" w:fill="FFFFFF"/>
              <w:spacing w:line="360" w:lineRule="auto"/>
              <w:jc w:val="both"/>
              <w:rPr>
                <w:bCs/>
                <w:color w:val="auto"/>
                <w:highlight w:val="none"/>
              </w:rPr>
            </w:pPr>
            <w:r>
              <w:rPr>
                <w:rFonts w:hint="eastAsia"/>
                <w:bCs/>
                <w:color w:val="auto"/>
                <w:spacing w:val="16"/>
                <w:highlight w:val="none"/>
              </w:rPr>
              <w:t>占地面积</w:t>
            </w:r>
          </w:p>
        </w:tc>
        <w:tc>
          <w:tcPr>
            <w:tcW w:w="960" w:type="dxa"/>
            <w:gridSpan w:val="2"/>
            <w:vAlign w:val="center"/>
          </w:tcPr>
          <w:p w14:paraId="462FA153">
            <w:pPr>
              <w:pStyle w:val="66"/>
              <w:shd w:val="clear" w:color="auto" w:fill="FFFFFF"/>
              <w:spacing w:line="360" w:lineRule="auto"/>
              <w:jc w:val="both"/>
              <w:rPr>
                <w:bCs/>
                <w:color w:val="auto"/>
                <w:highlight w:val="none"/>
              </w:rPr>
            </w:pPr>
          </w:p>
        </w:tc>
        <w:tc>
          <w:tcPr>
            <w:tcW w:w="926" w:type="dxa"/>
            <w:vAlign w:val="center"/>
          </w:tcPr>
          <w:p w14:paraId="727441D1">
            <w:pPr>
              <w:pStyle w:val="66"/>
              <w:shd w:val="clear" w:color="auto" w:fill="FFFFFF"/>
              <w:spacing w:line="360" w:lineRule="auto"/>
              <w:jc w:val="both"/>
              <w:rPr>
                <w:bCs/>
                <w:color w:val="auto"/>
                <w:highlight w:val="none"/>
              </w:rPr>
            </w:pPr>
            <w:r>
              <w:rPr>
                <w:rFonts w:hint="eastAsia"/>
                <w:bCs/>
                <w:color w:val="auto"/>
                <w:spacing w:val="16"/>
                <w:highlight w:val="none"/>
              </w:rPr>
              <w:t>建筑面积</w:t>
            </w:r>
          </w:p>
        </w:tc>
        <w:tc>
          <w:tcPr>
            <w:tcW w:w="1189" w:type="dxa"/>
            <w:gridSpan w:val="2"/>
            <w:vAlign w:val="center"/>
          </w:tcPr>
          <w:p w14:paraId="738B7BCF">
            <w:pPr>
              <w:pStyle w:val="66"/>
              <w:shd w:val="clear" w:color="auto" w:fill="FFFFFF"/>
              <w:spacing w:line="360" w:lineRule="auto"/>
              <w:jc w:val="both"/>
              <w:rPr>
                <w:bCs/>
                <w:color w:val="auto"/>
                <w:highlight w:val="none"/>
              </w:rPr>
            </w:pPr>
            <w:r>
              <w:rPr>
                <w:rFonts w:hint="eastAsia"/>
                <w:bCs/>
                <w:color w:val="auto"/>
                <w:highlight w:val="none"/>
              </w:rPr>
              <w:t>平方米</w:t>
            </w:r>
          </w:p>
          <w:p w14:paraId="3FF304BD">
            <w:pPr>
              <w:pStyle w:val="66"/>
              <w:shd w:val="clear" w:color="auto" w:fill="FFFFFF"/>
              <w:spacing w:line="360" w:lineRule="auto"/>
              <w:jc w:val="both"/>
              <w:rPr>
                <w:bCs/>
                <w:color w:val="auto"/>
                <w:highlight w:val="none"/>
              </w:rPr>
            </w:pPr>
            <w:r>
              <w:rPr>
                <w:rFonts w:hint="eastAsia"/>
                <w:bCs/>
                <w:color w:val="auto"/>
                <w:spacing w:val="16"/>
                <w:highlight w:val="none"/>
              </w:rPr>
              <w:t>□自有□租赁</w:t>
            </w:r>
          </w:p>
        </w:tc>
        <w:tc>
          <w:tcPr>
            <w:tcW w:w="1560" w:type="dxa"/>
            <w:vAlign w:val="center"/>
          </w:tcPr>
          <w:p w14:paraId="18A53FA1">
            <w:pPr>
              <w:pStyle w:val="66"/>
              <w:shd w:val="clear" w:color="auto" w:fill="FFFFFF"/>
              <w:spacing w:line="360" w:lineRule="auto"/>
              <w:jc w:val="center"/>
              <w:rPr>
                <w:bCs/>
                <w:color w:val="auto"/>
                <w:highlight w:val="none"/>
              </w:rPr>
            </w:pPr>
            <w:r>
              <w:rPr>
                <w:rFonts w:hint="eastAsia"/>
                <w:bCs/>
                <w:color w:val="auto"/>
                <w:spacing w:val="16"/>
                <w:highlight w:val="none"/>
              </w:rPr>
              <w:t>生产经营场所及场所的设施与设备</w:t>
            </w:r>
          </w:p>
        </w:tc>
        <w:tc>
          <w:tcPr>
            <w:tcW w:w="2608" w:type="dxa"/>
            <w:gridSpan w:val="3"/>
            <w:vAlign w:val="center"/>
          </w:tcPr>
          <w:p w14:paraId="2B2EF857">
            <w:pPr>
              <w:pStyle w:val="66"/>
              <w:shd w:val="clear" w:color="auto" w:fill="FFFFFF"/>
              <w:spacing w:before="0" w:beforeAutospacing="0" w:after="0" w:afterAutospacing="0" w:line="360" w:lineRule="auto"/>
              <w:jc w:val="both"/>
              <w:rPr>
                <w:bCs/>
                <w:color w:val="auto"/>
                <w:spacing w:val="16"/>
                <w:highlight w:val="none"/>
              </w:rPr>
            </w:pPr>
          </w:p>
        </w:tc>
      </w:tr>
      <w:tr w14:paraId="69C57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vAlign w:val="center"/>
          </w:tcPr>
          <w:p w14:paraId="359FC46D">
            <w:pPr>
              <w:pStyle w:val="66"/>
              <w:shd w:val="clear" w:color="auto" w:fill="FFFFFF"/>
              <w:spacing w:line="360" w:lineRule="auto"/>
              <w:ind w:left="107"/>
              <w:jc w:val="both"/>
              <w:rPr>
                <w:bCs/>
                <w:color w:val="auto"/>
                <w:highlight w:val="none"/>
              </w:rPr>
            </w:pPr>
          </w:p>
        </w:tc>
        <w:tc>
          <w:tcPr>
            <w:tcW w:w="690" w:type="dxa"/>
            <w:vAlign w:val="center"/>
          </w:tcPr>
          <w:p w14:paraId="5E99160D">
            <w:pPr>
              <w:pStyle w:val="66"/>
              <w:shd w:val="clear" w:color="auto" w:fill="FFFFFF"/>
              <w:spacing w:line="360" w:lineRule="auto"/>
              <w:ind w:left="2"/>
              <w:jc w:val="both"/>
              <w:rPr>
                <w:bCs/>
                <w:color w:val="auto"/>
                <w:spacing w:val="16"/>
                <w:highlight w:val="none"/>
              </w:rPr>
            </w:pPr>
            <w:r>
              <w:rPr>
                <w:rFonts w:hint="eastAsia"/>
                <w:bCs/>
                <w:color w:val="auto"/>
                <w:spacing w:val="16"/>
                <w:highlight w:val="none"/>
              </w:rPr>
              <w:t>注册资金</w:t>
            </w:r>
          </w:p>
        </w:tc>
        <w:tc>
          <w:tcPr>
            <w:tcW w:w="960" w:type="dxa"/>
            <w:gridSpan w:val="2"/>
            <w:vAlign w:val="center"/>
          </w:tcPr>
          <w:p w14:paraId="2B2E8B65">
            <w:pPr>
              <w:pStyle w:val="66"/>
              <w:shd w:val="clear" w:color="auto" w:fill="FFFFFF"/>
              <w:spacing w:line="360" w:lineRule="auto"/>
              <w:ind w:left="2"/>
              <w:jc w:val="both"/>
              <w:rPr>
                <w:bCs/>
                <w:color w:val="auto"/>
                <w:highlight w:val="none"/>
              </w:rPr>
            </w:pPr>
          </w:p>
        </w:tc>
        <w:tc>
          <w:tcPr>
            <w:tcW w:w="926" w:type="dxa"/>
            <w:vAlign w:val="center"/>
          </w:tcPr>
          <w:p w14:paraId="15456485">
            <w:pPr>
              <w:pStyle w:val="66"/>
              <w:shd w:val="clear" w:color="auto" w:fill="FFFFFF"/>
              <w:spacing w:line="360" w:lineRule="auto"/>
              <w:ind w:left="107"/>
              <w:jc w:val="both"/>
              <w:rPr>
                <w:bCs/>
                <w:color w:val="auto"/>
                <w:highlight w:val="none"/>
              </w:rPr>
            </w:pPr>
            <w:r>
              <w:rPr>
                <w:rFonts w:hint="eastAsia"/>
                <w:bCs/>
                <w:color w:val="auto"/>
                <w:spacing w:val="16"/>
                <w:highlight w:val="none"/>
              </w:rPr>
              <w:t>注册发证</w:t>
            </w:r>
            <w:r>
              <w:rPr>
                <w:rFonts w:hint="eastAsia"/>
                <w:bCs/>
                <w:color w:val="auto"/>
                <w:spacing w:val="27"/>
                <w:highlight w:val="none"/>
              </w:rPr>
              <w:t>机关</w:t>
            </w:r>
          </w:p>
        </w:tc>
        <w:tc>
          <w:tcPr>
            <w:tcW w:w="2749" w:type="dxa"/>
            <w:gridSpan w:val="3"/>
            <w:vAlign w:val="center"/>
          </w:tcPr>
          <w:p w14:paraId="37083D18">
            <w:pPr>
              <w:widowControl/>
              <w:spacing w:line="360" w:lineRule="auto"/>
              <w:rPr>
                <w:rFonts w:ascii="宋体" w:hAnsi="宋体" w:cs="宋体"/>
                <w:bCs/>
                <w:color w:val="auto"/>
                <w:kern w:val="0"/>
                <w:sz w:val="24"/>
                <w:highlight w:val="none"/>
              </w:rPr>
            </w:pPr>
          </w:p>
          <w:p w14:paraId="66AC2BCA">
            <w:pPr>
              <w:pStyle w:val="66"/>
              <w:shd w:val="clear" w:color="auto" w:fill="FFFFFF"/>
              <w:spacing w:line="360" w:lineRule="auto"/>
              <w:ind w:left="107"/>
              <w:jc w:val="both"/>
              <w:rPr>
                <w:bCs/>
                <w:color w:val="auto"/>
                <w:highlight w:val="none"/>
              </w:rPr>
            </w:pPr>
          </w:p>
        </w:tc>
        <w:tc>
          <w:tcPr>
            <w:tcW w:w="1675" w:type="dxa"/>
            <w:gridSpan w:val="2"/>
            <w:vAlign w:val="center"/>
          </w:tcPr>
          <w:p w14:paraId="51A1D67C">
            <w:pPr>
              <w:pStyle w:val="66"/>
              <w:shd w:val="clear" w:color="auto" w:fill="FFFFFF"/>
              <w:spacing w:line="360" w:lineRule="auto"/>
              <w:ind w:left="107"/>
              <w:jc w:val="both"/>
              <w:rPr>
                <w:bCs/>
                <w:color w:val="auto"/>
                <w:highlight w:val="none"/>
              </w:rPr>
            </w:pPr>
            <w:r>
              <w:rPr>
                <w:rFonts w:hint="eastAsia"/>
                <w:bCs/>
                <w:color w:val="auto"/>
                <w:highlight w:val="none"/>
              </w:rPr>
              <w:t>公司成</w:t>
            </w:r>
            <w:r>
              <w:rPr>
                <w:rFonts w:hint="eastAsia"/>
                <w:bCs/>
                <w:color w:val="auto"/>
                <w:spacing w:val="12"/>
                <w:highlight w:val="none"/>
              </w:rPr>
              <w:t>立时间</w:t>
            </w:r>
          </w:p>
        </w:tc>
        <w:tc>
          <w:tcPr>
            <w:tcW w:w="933" w:type="dxa"/>
            <w:vAlign w:val="center"/>
          </w:tcPr>
          <w:p w14:paraId="0C0A8EEF">
            <w:pPr>
              <w:pStyle w:val="66"/>
              <w:shd w:val="clear" w:color="auto" w:fill="FFFFFF"/>
              <w:spacing w:line="360" w:lineRule="auto"/>
              <w:ind w:left="107"/>
              <w:jc w:val="both"/>
              <w:rPr>
                <w:bCs/>
                <w:color w:val="auto"/>
                <w:highlight w:val="none"/>
              </w:rPr>
            </w:pPr>
          </w:p>
        </w:tc>
      </w:tr>
      <w:tr w14:paraId="078B2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vAlign w:val="center"/>
          </w:tcPr>
          <w:p w14:paraId="3476DD8D">
            <w:pPr>
              <w:pStyle w:val="66"/>
              <w:shd w:val="clear" w:color="auto" w:fill="FFFFFF"/>
              <w:spacing w:line="360" w:lineRule="auto"/>
              <w:ind w:left="107"/>
              <w:jc w:val="both"/>
              <w:rPr>
                <w:bCs/>
                <w:color w:val="auto"/>
                <w:highlight w:val="none"/>
              </w:rPr>
            </w:pPr>
          </w:p>
        </w:tc>
        <w:tc>
          <w:tcPr>
            <w:tcW w:w="690" w:type="dxa"/>
            <w:vAlign w:val="center"/>
          </w:tcPr>
          <w:p w14:paraId="538B9915">
            <w:pPr>
              <w:pStyle w:val="66"/>
              <w:shd w:val="clear" w:color="auto" w:fill="FFFFFF"/>
              <w:spacing w:line="360" w:lineRule="auto"/>
              <w:ind w:left="2"/>
              <w:jc w:val="both"/>
              <w:rPr>
                <w:bCs/>
                <w:color w:val="auto"/>
                <w:highlight w:val="none"/>
              </w:rPr>
            </w:pPr>
            <w:r>
              <w:rPr>
                <w:rFonts w:hint="eastAsia"/>
                <w:bCs/>
                <w:color w:val="auto"/>
                <w:highlight w:val="none"/>
              </w:rPr>
              <w:t>核准经营范围</w:t>
            </w:r>
          </w:p>
        </w:tc>
        <w:tc>
          <w:tcPr>
            <w:tcW w:w="7243" w:type="dxa"/>
            <w:gridSpan w:val="9"/>
            <w:vAlign w:val="center"/>
          </w:tcPr>
          <w:p w14:paraId="36A6714A">
            <w:pPr>
              <w:pStyle w:val="66"/>
              <w:shd w:val="clear" w:color="auto" w:fill="FFFFFF"/>
              <w:spacing w:line="360" w:lineRule="auto"/>
              <w:ind w:left="107"/>
              <w:jc w:val="both"/>
              <w:rPr>
                <w:bCs/>
                <w:color w:val="auto"/>
                <w:highlight w:val="none"/>
              </w:rPr>
            </w:pPr>
          </w:p>
        </w:tc>
      </w:tr>
      <w:tr w14:paraId="0F79C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vAlign w:val="center"/>
          </w:tcPr>
          <w:p w14:paraId="1E6795A1">
            <w:pPr>
              <w:pStyle w:val="66"/>
              <w:shd w:val="clear" w:color="auto" w:fill="FFFFFF"/>
              <w:spacing w:line="360" w:lineRule="auto"/>
              <w:ind w:left="107"/>
              <w:jc w:val="both"/>
              <w:rPr>
                <w:bCs/>
                <w:color w:val="auto"/>
                <w:highlight w:val="none"/>
              </w:rPr>
            </w:pPr>
          </w:p>
        </w:tc>
        <w:tc>
          <w:tcPr>
            <w:tcW w:w="7933" w:type="dxa"/>
            <w:gridSpan w:val="10"/>
            <w:vAlign w:val="center"/>
          </w:tcPr>
          <w:p w14:paraId="48F4E38C">
            <w:pPr>
              <w:pStyle w:val="66"/>
              <w:shd w:val="clear" w:color="auto" w:fill="FFFFFF"/>
              <w:spacing w:line="360" w:lineRule="auto"/>
              <w:jc w:val="both"/>
              <w:rPr>
                <w:bCs/>
                <w:color w:val="auto"/>
                <w:spacing w:val="13"/>
                <w:highlight w:val="none"/>
              </w:rPr>
            </w:pPr>
            <w:r>
              <w:rPr>
                <w:rFonts w:hint="eastAsia"/>
                <w:bCs/>
                <w:color w:val="auto"/>
                <w:spacing w:val="13"/>
                <w:highlight w:val="none"/>
              </w:rPr>
              <w:t>发展历程及主要荣誉：</w:t>
            </w:r>
          </w:p>
        </w:tc>
      </w:tr>
      <w:tr w14:paraId="22626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vAlign w:val="center"/>
          </w:tcPr>
          <w:p w14:paraId="7DCB3DB6">
            <w:pPr>
              <w:pStyle w:val="66"/>
              <w:shd w:val="clear" w:color="auto" w:fill="FFFFFF"/>
              <w:spacing w:line="360" w:lineRule="auto"/>
              <w:ind w:left="107"/>
              <w:jc w:val="both"/>
              <w:rPr>
                <w:bCs/>
                <w:color w:val="auto"/>
                <w:highlight w:val="none"/>
              </w:rPr>
            </w:pPr>
            <w:r>
              <w:rPr>
                <w:rFonts w:hint="eastAsia"/>
                <w:bCs/>
                <w:color w:val="auto"/>
                <w:highlight w:val="none"/>
              </w:rPr>
              <w:t>2．</w:t>
            </w:r>
          </w:p>
          <w:p w14:paraId="6177A89D">
            <w:pPr>
              <w:pStyle w:val="66"/>
              <w:shd w:val="clear" w:color="auto" w:fill="FFFFFF"/>
              <w:spacing w:line="360" w:lineRule="auto"/>
              <w:ind w:left="107"/>
              <w:jc w:val="both"/>
              <w:rPr>
                <w:bCs/>
                <w:color w:val="auto"/>
                <w:spacing w:val="16"/>
                <w:highlight w:val="none"/>
              </w:rPr>
            </w:pPr>
            <w:r>
              <w:rPr>
                <w:rFonts w:hint="eastAsia"/>
                <w:bCs/>
                <w:color w:val="auto"/>
                <w:highlight w:val="none"/>
              </w:rPr>
              <w:t>企</w:t>
            </w:r>
            <w:r>
              <w:rPr>
                <w:rFonts w:hint="eastAsia"/>
                <w:bCs/>
                <w:color w:val="auto"/>
                <w:spacing w:val="12"/>
                <w:highlight w:val="none"/>
              </w:rPr>
              <w:t>业有关资质获证情况</w:t>
            </w:r>
          </w:p>
        </w:tc>
        <w:tc>
          <w:tcPr>
            <w:tcW w:w="1355" w:type="dxa"/>
            <w:gridSpan w:val="2"/>
            <w:vMerge w:val="restart"/>
            <w:vAlign w:val="center"/>
          </w:tcPr>
          <w:p w14:paraId="4A8E351B">
            <w:pPr>
              <w:pStyle w:val="66"/>
              <w:shd w:val="clear" w:color="auto" w:fill="FFFFFF"/>
              <w:spacing w:before="0" w:beforeAutospacing="0" w:after="0" w:afterAutospacing="0" w:line="360" w:lineRule="auto"/>
              <w:jc w:val="both"/>
              <w:rPr>
                <w:bCs/>
                <w:color w:val="auto"/>
                <w:spacing w:val="16"/>
                <w:highlight w:val="none"/>
              </w:rPr>
            </w:pPr>
            <w:r>
              <w:rPr>
                <w:rFonts w:hint="eastAsia"/>
                <w:bCs/>
                <w:color w:val="auto"/>
                <w:spacing w:val="12"/>
                <w:highlight w:val="none"/>
              </w:rPr>
              <w:t>产品生产许可证情况</w:t>
            </w:r>
            <w:r>
              <w:rPr>
                <w:rFonts w:hint="eastAsia"/>
                <w:bCs/>
                <w:color w:val="auto"/>
                <w:spacing w:val="41"/>
                <w:highlight w:val="none"/>
              </w:rPr>
              <w:t>（对需获得生产许可证的</w:t>
            </w:r>
            <w:r>
              <w:rPr>
                <w:rFonts w:hint="eastAsia"/>
                <w:bCs/>
                <w:color w:val="auto"/>
                <w:spacing w:val="11"/>
                <w:highlight w:val="none"/>
              </w:rPr>
              <w:t>产品要填写此栏）</w:t>
            </w:r>
          </w:p>
        </w:tc>
        <w:tc>
          <w:tcPr>
            <w:tcW w:w="1333" w:type="dxa"/>
            <w:gridSpan w:val="3"/>
            <w:vAlign w:val="center"/>
          </w:tcPr>
          <w:p w14:paraId="7614701D">
            <w:pPr>
              <w:pStyle w:val="66"/>
              <w:shd w:val="clear" w:color="auto" w:fill="FFFFFF"/>
              <w:spacing w:line="360" w:lineRule="auto"/>
              <w:ind w:right="-78" w:rightChars="-37"/>
              <w:jc w:val="both"/>
              <w:rPr>
                <w:bCs/>
                <w:color w:val="auto"/>
                <w:spacing w:val="16"/>
                <w:highlight w:val="none"/>
              </w:rPr>
            </w:pPr>
            <w:r>
              <w:rPr>
                <w:rFonts w:hint="eastAsia"/>
                <w:bCs/>
                <w:color w:val="auto"/>
                <w:spacing w:val="16"/>
                <w:highlight w:val="none"/>
              </w:rPr>
              <w:t>产品名称</w:t>
            </w:r>
          </w:p>
        </w:tc>
        <w:tc>
          <w:tcPr>
            <w:tcW w:w="1077" w:type="dxa"/>
            <w:vAlign w:val="center"/>
          </w:tcPr>
          <w:p w14:paraId="279E56ED">
            <w:pPr>
              <w:pStyle w:val="66"/>
              <w:shd w:val="clear" w:color="auto" w:fill="FFFFFF"/>
              <w:spacing w:before="0" w:beforeAutospacing="0" w:after="0" w:afterAutospacing="0" w:line="360" w:lineRule="auto"/>
              <w:jc w:val="both"/>
              <w:rPr>
                <w:bCs/>
                <w:color w:val="auto"/>
                <w:highlight w:val="none"/>
              </w:rPr>
            </w:pPr>
            <w:r>
              <w:rPr>
                <w:rFonts w:hint="eastAsia"/>
                <w:bCs/>
                <w:color w:val="auto"/>
                <w:spacing w:val="16"/>
                <w:highlight w:val="none"/>
              </w:rPr>
              <w:t>发证机关</w:t>
            </w:r>
          </w:p>
        </w:tc>
        <w:tc>
          <w:tcPr>
            <w:tcW w:w="1617" w:type="dxa"/>
            <w:gridSpan w:val="2"/>
            <w:vAlign w:val="center"/>
          </w:tcPr>
          <w:p w14:paraId="486007F3">
            <w:pPr>
              <w:pStyle w:val="66"/>
              <w:shd w:val="clear" w:color="auto" w:fill="FFFFFF"/>
              <w:spacing w:line="360" w:lineRule="auto"/>
              <w:jc w:val="both"/>
              <w:rPr>
                <w:bCs/>
                <w:color w:val="auto"/>
                <w:highlight w:val="none"/>
              </w:rPr>
            </w:pPr>
            <w:r>
              <w:rPr>
                <w:rFonts w:hint="eastAsia"/>
                <w:bCs/>
                <w:color w:val="auto"/>
                <w:spacing w:val="27"/>
                <w:highlight w:val="none"/>
              </w:rPr>
              <w:t>编号</w:t>
            </w:r>
          </w:p>
        </w:tc>
        <w:tc>
          <w:tcPr>
            <w:tcW w:w="1618" w:type="dxa"/>
            <w:vAlign w:val="center"/>
          </w:tcPr>
          <w:p w14:paraId="72FCFAC5">
            <w:pPr>
              <w:pStyle w:val="66"/>
              <w:shd w:val="clear" w:color="auto" w:fill="FFFFFF"/>
              <w:spacing w:line="360" w:lineRule="auto"/>
              <w:jc w:val="both"/>
              <w:rPr>
                <w:bCs/>
                <w:color w:val="auto"/>
                <w:highlight w:val="none"/>
              </w:rPr>
            </w:pPr>
            <w:r>
              <w:rPr>
                <w:rFonts w:hint="eastAsia"/>
                <w:bCs/>
                <w:color w:val="auto"/>
                <w:spacing w:val="16"/>
                <w:highlight w:val="none"/>
              </w:rPr>
              <w:t>发证时间</w:t>
            </w:r>
          </w:p>
        </w:tc>
        <w:tc>
          <w:tcPr>
            <w:tcW w:w="933" w:type="dxa"/>
            <w:vAlign w:val="center"/>
          </w:tcPr>
          <w:p w14:paraId="3DAAA031">
            <w:pPr>
              <w:pStyle w:val="66"/>
              <w:shd w:val="clear" w:color="auto" w:fill="FFFFFF"/>
              <w:spacing w:before="0" w:beforeAutospacing="0" w:after="0" w:afterAutospacing="0" w:line="360" w:lineRule="auto"/>
              <w:jc w:val="both"/>
              <w:rPr>
                <w:bCs/>
                <w:color w:val="auto"/>
                <w:highlight w:val="none"/>
              </w:rPr>
            </w:pPr>
            <w:r>
              <w:rPr>
                <w:rFonts w:hint="eastAsia"/>
                <w:bCs/>
                <w:color w:val="auto"/>
                <w:spacing w:val="27"/>
                <w:highlight w:val="none"/>
              </w:rPr>
              <w:t>期限</w:t>
            </w:r>
          </w:p>
        </w:tc>
      </w:tr>
      <w:tr w14:paraId="7008A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vAlign w:val="center"/>
          </w:tcPr>
          <w:p w14:paraId="4567C4D7">
            <w:pPr>
              <w:pStyle w:val="66"/>
              <w:shd w:val="clear" w:color="auto" w:fill="FFFFFF"/>
              <w:spacing w:line="360" w:lineRule="auto"/>
              <w:ind w:left="107"/>
              <w:jc w:val="both"/>
              <w:rPr>
                <w:bCs/>
                <w:color w:val="auto"/>
                <w:highlight w:val="none"/>
              </w:rPr>
            </w:pPr>
          </w:p>
        </w:tc>
        <w:tc>
          <w:tcPr>
            <w:tcW w:w="1355" w:type="dxa"/>
            <w:gridSpan w:val="2"/>
            <w:vMerge w:val="continue"/>
            <w:vAlign w:val="center"/>
          </w:tcPr>
          <w:p w14:paraId="48090AC5">
            <w:pPr>
              <w:pStyle w:val="66"/>
              <w:shd w:val="clear" w:color="auto" w:fill="FFFFFF"/>
              <w:spacing w:line="360" w:lineRule="auto"/>
              <w:jc w:val="both"/>
              <w:rPr>
                <w:bCs/>
                <w:color w:val="auto"/>
                <w:highlight w:val="none"/>
              </w:rPr>
            </w:pPr>
          </w:p>
        </w:tc>
        <w:tc>
          <w:tcPr>
            <w:tcW w:w="1333" w:type="dxa"/>
            <w:gridSpan w:val="3"/>
            <w:vAlign w:val="center"/>
          </w:tcPr>
          <w:p w14:paraId="6B025973">
            <w:pPr>
              <w:pStyle w:val="66"/>
              <w:shd w:val="clear" w:color="auto" w:fill="FFFFFF"/>
              <w:spacing w:line="360" w:lineRule="auto"/>
              <w:jc w:val="both"/>
              <w:rPr>
                <w:bCs/>
                <w:color w:val="auto"/>
                <w:highlight w:val="none"/>
              </w:rPr>
            </w:pPr>
          </w:p>
        </w:tc>
        <w:tc>
          <w:tcPr>
            <w:tcW w:w="1077" w:type="dxa"/>
            <w:vAlign w:val="center"/>
          </w:tcPr>
          <w:p w14:paraId="2D87B98F">
            <w:pPr>
              <w:pStyle w:val="66"/>
              <w:shd w:val="clear" w:color="auto" w:fill="FFFFFF"/>
              <w:spacing w:line="360" w:lineRule="auto"/>
              <w:jc w:val="both"/>
              <w:rPr>
                <w:bCs/>
                <w:color w:val="auto"/>
                <w:highlight w:val="none"/>
              </w:rPr>
            </w:pPr>
          </w:p>
        </w:tc>
        <w:tc>
          <w:tcPr>
            <w:tcW w:w="1617" w:type="dxa"/>
            <w:gridSpan w:val="2"/>
            <w:vAlign w:val="center"/>
          </w:tcPr>
          <w:p w14:paraId="3A9F785C">
            <w:pPr>
              <w:pStyle w:val="66"/>
              <w:shd w:val="clear" w:color="auto" w:fill="FFFFFF"/>
              <w:spacing w:line="360" w:lineRule="auto"/>
              <w:jc w:val="both"/>
              <w:rPr>
                <w:bCs/>
                <w:color w:val="auto"/>
                <w:highlight w:val="none"/>
              </w:rPr>
            </w:pPr>
          </w:p>
        </w:tc>
        <w:tc>
          <w:tcPr>
            <w:tcW w:w="2551" w:type="dxa"/>
            <w:gridSpan w:val="2"/>
            <w:vAlign w:val="center"/>
          </w:tcPr>
          <w:p w14:paraId="4D4640FB">
            <w:pPr>
              <w:pStyle w:val="66"/>
              <w:shd w:val="clear" w:color="auto" w:fill="FFFFFF"/>
              <w:spacing w:line="360" w:lineRule="auto"/>
              <w:jc w:val="both"/>
              <w:rPr>
                <w:bCs/>
                <w:color w:val="auto"/>
                <w:highlight w:val="none"/>
              </w:rPr>
            </w:pPr>
          </w:p>
        </w:tc>
      </w:tr>
      <w:tr w14:paraId="233AF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vAlign w:val="center"/>
          </w:tcPr>
          <w:p w14:paraId="07E66D37">
            <w:pPr>
              <w:pStyle w:val="66"/>
              <w:shd w:val="clear" w:color="auto" w:fill="FFFFFF"/>
              <w:spacing w:line="360" w:lineRule="auto"/>
              <w:ind w:left="107"/>
              <w:jc w:val="both"/>
              <w:rPr>
                <w:bCs/>
                <w:color w:val="auto"/>
                <w:spacing w:val="16"/>
                <w:highlight w:val="none"/>
              </w:rPr>
            </w:pPr>
          </w:p>
        </w:tc>
        <w:tc>
          <w:tcPr>
            <w:tcW w:w="1355" w:type="dxa"/>
            <w:gridSpan w:val="2"/>
            <w:vAlign w:val="center"/>
          </w:tcPr>
          <w:p w14:paraId="6095D57D">
            <w:pPr>
              <w:pStyle w:val="66"/>
              <w:shd w:val="clear" w:color="auto" w:fill="FFFFFF"/>
              <w:spacing w:before="0" w:beforeAutospacing="0" w:after="0" w:afterAutospacing="0" w:line="360" w:lineRule="auto"/>
              <w:ind w:right="-107" w:rightChars="-51"/>
              <w:jc w:val="both"/>
              <w:rPr>
                <w:bCs/>
                <w:color w:val="auto"/>
                <w:spacing w:val="41"/>
                <w:highlight w:val="none"/>
              </w:rPr>
            </w:pPr>
            <w:r>
              <w:rPr>
                <w:rFonts w:hint="eastAsia"/>
                <w:bCs/>
                <w:color w:val="auto"/>
                <w:spacing w:val="41"/>
                <w:highlight w:val="none"/>
              </w:rPr>
              <w:t>企业通过质量体系、环保</w:t>
            </w:r>
            <w:r>
              <w:rPr>
                <w:rFonts w:hint="eastAsia"/>
                <w:bCs/>
                <w:color w:val="auto"/>
                <w:spacing w:val="11"/>
                <w:highlight w:val="none"/>
              </w:rPr>
              <w:t>体系、计量等认证情况</w:t>
            </w:r>
          </w:p>
        </w:tc>
        <w:tc>
          <w:tcPr>
            <w:tcW w:w="6578" w:type="dxa"/>
            <w:gridSpan w:val="8"/>
            <w:vAlign w:val="center"/>
          </w:tcPr>
          <w:p w14:paraId="3DE18726">
            <w:pPr>
              <w:pStyle w:val="66"/>
              <w:shd w:val="clear" w:color="auto" w:fill="FFFFFF"/>
              <w:spacing w:line="360" w:lineRule="auto"/>
              <w:jc w:val="both"/>
              <w:rPr>
                <w:bCs/>
                <w:color w:val="auto"/>
                <w:spacing w:val="16"/>
                <w:highlight w:val="none"/>
              </w:rPr>
            </w:pPr>
          </w:p>
        </w:tc>
      </w:tr>
      <w:tr w14:paraId="23DB1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vAlign w:val="center"/>
          </w:tcPr>
          <w:p w14:paraId="4AC8D34E">
            <w:pPr>
              <w:pStyle w:val="66"/>
              <w:shd w:val="clear" w:color="auto" w:fill="FFFFFF"/>
              <w:spacing w:line="360" w:lineRule="auto"/>
              <w:ind w:left="107"/>
              <w:jc w:val="both"/>
              <w:rPr>
                <w:bCs/>
                <w:color w:val="auto"/>
                <w:spacing w:val="27"/>
                <w:highlight w:val="none"/>
              </w:rPr>
            </w:pPr>
          </w:p>
        </w:tc>
        <w:tc>
          <w:tcPr>
            <w:tcW w:w="1355" w:type="dxa"/>
            <w:gridSpan w:val="2"/>
            <w:vAlign w:val="center"/>
          </w:tcPr>
          <w:p w14:paraId="61EE9375">
            <w:pPr>
              <w:pStyle w:val="66"/>
              <w:shd w:val="clear" w:color="auto" w:fill="FFFFFF"/>
              <w:spacing w:line="360" w:lineRule="auto"/>
              <w:jc w:val="both"/>
              <w:rPr>
                <w:bCs/>
                <w:color w:val="auto"/>
                <w:spacing w:val="16"/>
                <w:highlight w:val="none"/>
              </w:rPr>
            </w:pPr>
            <w:r>
              <w:rPr>
                <w:rFonts w:hint="eastAsia"/>
                <w:bCs/>
                <w:color w:val="auto"/>
                <w:spacing w:val="10"/>
                <w:highlight w:val="none"/>
              </w:rPr>
              <w:t>企业获得专利情况</w:t>
            </w:r>
          </w:p>
        </w:tc>
        <w:tc>
          <w:tcPr>
            <w:tcW w:w="6578" w:type="dxa"/>
            <w:gridSpan w:val="8"/>
            <w:vAlign w:val="center"/>
          </w:tcPr>
          <w:p w14:paraId="6ED54830">
            <w:pPr>
              <w:pStyle w:val="66"/>
              <w:shd w:val="clear" w:color="auto" w:fill="FFFFFF"/>
              <w:spacing w:line="360" w:lineRule="auto"/>
              <w:jc w:val="both"/>
              <w:rPr>
                <w:bCs/>
                <w:color w:val="auto"/>
                <w:spacing w:val="16"/>
                <w:highlight w:val="none"/>
              </w:rPr>
            </w:pPr>
          </w:p>
        </w:tc>
      </w:tr>
    </w:tbl>
    <w:p w14:paraId="58B12E5A">
      <w:pPr>
        <w:spacing w:line="360" w:lineRule="auto"/>
        <w:rPr>
          <w:rFonts w:ascii="宋体" w:hAnsi="宋体" w:cs="宋体"/>
          <w:color w:val="auto"/>
          <w:sz w:val="24"/>
          <w:szCs w:val="32"/>
          <w:highlight w:val="none"/>
        </w:rPr>
      </w:pPr>
    </w:p>
    <w:p w14:paraId="0FD1BF31">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0C3D65C5">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1.姓名栏必须将所有股东都统计在内，若非股份公司此行（第三行）无需填写；</w:t>
      </w:r>
    </w:p>
    <w:p w14:paraId="4CBDF512">
      <w:pP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p>
    <w:p w14:paraId="7FB0F0A3">
      <w:pPr>
        <w:spacing w:line="480" w:lineRule="auto"/>
        <w:rPr>
          <w:rFonts w:hint="eastAsia" w:ascii="宋体" w:hAnsi="宋体" w:cs="宋体"/>
          <w:color w:val="auto"/>
          <w:sz w:val="24"/>
          <w:highlight w:val="none"/>
        </w:rPr>
      </w:pPr>
      <w:r>
        <w:rPr>
          <w:rFonts w:hint="eastAsia" w:ascii="宋体" w:hAnsi="宋体" w:cs="宋体"/>
          <w:color w:val="auto"/>
          <w:sz w:val="24"/>
          <w:highlight w:val="none"/>
          <w:lang w:eastAsia="zh-CN"/>
        </w:rPr>
        <w:t>法定代表人或其授权委托代理人</w:t>
      </w:r>
      <w:r>
        <w:rPr>
          <w:rFonts w:hint="eastAsia" w:ascii="宋体" w:hAnsi="宋体" w:cs="宋体"/>
          <w:color w:val="auto"/>
          <w:sz w:val="24"/>
          <w:highlight w:val="none"/>
        </w:rPr>
        <w:t>(签字或盖章)：</w:t>
      </w:r>
    </w:p>
    <w:p w14:paraId="1B3BA09E">
      <w:pPr>
        <w:spacing w:line="480" w:lineRule="auto"/>
        <w:rPr>
          <w:rFonts w:ascii="宋体" w:hAnsi="宋体" w:cs="宋体"/>
          <w:color w:val="auto"/>
          <w:sz w:val="24"/>
          <w:highlight w:val="none"/>
        </w:rPr>
      </w:pPr>
      <w:r>
        <w:rPr>
          <w:rFonts w:hint="eastAsia" w:ascii="宋体" w:hAnsi="宋体" w:cs="宋体"/>
          <w:color w:val="auto"/>
          <w:sz w:val="24"/>
          <w:highlight w:val="none"/>
        </w:rPr>
        <w:t>日期：</w:t>
      </w:r>
    </w:p>
    <w:p w14:paraId="4E3A85E2">
      <w:pPr>
        <w:spacing w:line="360" w:lineRule="auto"/>
        <w:rPr>
          <w:rFonts w:ascii="宋体" w:hAnsi="宋体" w:cs="宋体"/>
          <w:color w:val="auto"/>
          <w:sz w:val="24"/>
          <w:szCs w:val="32"/>
          <w:highlight w:val="none"/>
        </w:rPr>
      </w:pPr>
    </w:p>
    <w:p w14:paraId="749D36EF">
      <w:pPr>
        <w:pStyle w:val="14"/>
        <w:rPr>
          <w:color w:val="auto"/>
          <w:highlight w:val="none"/>
        </w:rPr>
      </w:pPr>
    </w:p>
    <w:p w14:paraId="1E4B9F32">
      <w:pPr>
        <w:jc w:val="left"/>
        <w:rPr>
          <w:rFonts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258D1D60">
      <w:pPr>
        <w:spacing w:line="360" w:lineRule="auto"/>
        <w:jc w:val="left"/>
        <w:rPr>
          <w:rFonts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7</w:t>
      </w:r>
    </w:p>
    <w:p w14:paraId="1DA0C028">
      <w:pP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项目实施人员一览表</w:t>
      </w:r>
    </w:p>
    <w:p w14:paraId="0F8928EB">
      <w:pP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rPr>
        <w:t>（主要从业人员及其技术资格）</w:t>
      </w:r>
    </w:p>
    <w:tbl>
      <w:tblPr>
        <w:tblStyle w:val="31"/>
        <w:tblpPr w:leftFromText="180" w:rightFromText="180" w:vertAnchor="text" w:horzAnchor="page" w:tblpX="1633" w:tblpY="568"/>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1"/>
        <w:gridCol w:w="543"/>
        <w:gridCol w:w="1004"/>
        <w:gridCol w:w="795"/>
        <w:gridCol w:w="1276"/>
        <w:gridCol w:w="1275"/>
        <w:gridCol w:w="1418"/>
        <w:gridCol w:w="2126"/>
      </w:tblGrid>
      <w:tr w14:paraId="1CA3A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2" w:hRule="atLeast"/>
        </w:trPr>
        <w:tc>
          <w:tcPr>
            <w:tcW w:w="461" w:type="dxa"/>
          </w:tcPr>
          <w:p w14:paraId="3B838AC0">
            <w:pPr>
              <w:pStyle w:val="84"/>
              <w:spacing w:before="156" w:line="364" w:lineRule="auto"/>
              <w:ind w:left="123" w:right="116"/>
              <w:rPr>
                <w:b/>
                <w:color w:val="auto"/>
                <w:highlight w:val="none"/>
              </w:rPr>
            </w:pPr>
            <w:r>
              <w:rPr>
                <w:b/>
                <w:color w:val="auto"/>
                <w:highlight w:val="none"/>
              </w:rPr>
              <w:t>序号</w:t>
            </w:r>
          </w:p>
        </w:tc>
        <w:tc>
          <w:tcPr>
            <w:tcW w:w="543" w:type="dxa"/>
          </w:tcPr>
          <w:p w14:paraId="793F1C5F">
            <w:pPr>
              <w:pStyle w:val="84"/>
              <w:spacing w:before="156" w:line="364" w:lineRule="auto"/>
              <w:ind w:left="166" w:right="155"/>
              <w:rPr>
                <w:b/>
                <w:color w:val="auto"/>
                <w:highlight w:val="none"/>
              </w:rPr>
            </w:pPr>
            <w:r>
              <w:rPr>
                <w:b/>
                <w:color w:val="auto"/>
                <w:highlight w:val="none"/>
              </w:rPr>
              <w:t>姓名</w:t>
            </w:r>
          </w:p>
        </w:tc>
        <w:tc>
          <w:tcPr>
            <w:tcW w:w="1004" w:type="dxa"/>
          </w:tcPr>
          <w:p w14:paraId="78CFD814">
            <w:pPr>
              <w:pStyle w:val="84"/>
              <w:spacing w:before="1"/>
              <w:rPr>
                <w:color w:val="auto"/>
                <w:sz w:val="28"/>
                <w:highlight w:val="none"/>
              </w:rPr>
            </w:pPr>
          </w:p>
          <w:p w14:paraId="602E0162">
            <w:pPr>
              <w:pStyle w:val="84"/>
              <w:spacing w:before="1"/>
              <w:ind w:left="290"/>
              <w:rPr>
                <w:b/>
                <w:color w:val="auto"/>
                <w:highlight w:val="none"/>
              </w:rPr>
            </w:pPr>
            <w:r>
              <w:rPr>
                <w:b/>
                <w:color w:val="auto"/>
                <w:highlight w:val="none"/>
              </w:rPr>
              <w:t>职务</w:t>
            </w:r>
          </w:p>
        </w:tc>
        <w:tc>
          <w:tcPr>
            <w:tcW w:w="795" w:type="dxa"/>
          </w:tcPr>
          <w:p w14:paraId="34C852E0">
            <w:pPr>
              <w:pStyle w:val="84"/>
              <w:spacing w:before="1"/>
              <w:rPr>
                <w:color w:val="auto"/>
                <w:sz w:val="28"/>
                <w:highlight w:val="none"/>
              </w:rPr>
            </w:pPr>
          </w:p>
          <w:p w14:paraId="00F8C361">
            <w:pPr>
              <w:pStyle w:val="84"/>
              <w:spacing w:before="1"/>
              <w:ind w:left="186"/>
              <w:rPr>
                <w:b/>
                <w:color w:val="auto"/>
                <w:highlight w:val="none"/>
              </w:rPr>
            </w:pPr>
            <w:r>
              <w:rPr>
                <w:b/>
                <w:color w:val="auto"/>
                <w:highlight w:val="none"/>
              </w:rPr>
              <w:t>职责</w:t>
            </w:r>
          </w:p>
        </w:tc>
        <w:tc>
          <w:tcPr>
            <w:tcW w:w="1276" w:type="dxa"/>
          </w:tcPr>
          <w:p w14:paraId="6E9329F8">
            <w:pPr>
              <w:pStyle w:val="84"/>
              <w:spacing w:before="156" w:line="364" w:lineRule="auto"/>
              <w:ind w:left="531" w:right="100" w:hanging="420"/>
              <w:rPr>
                <w:b/>
                <w:color w:val="auto"/>
                <w:highlight w:val="none"/>
              </w:rPr>
            </w:pPr>
            <w:r>
              <w:rPr>
                <w:b/>
                <w:color w:val="auto"/>
                <w:w w:val="95"/>
                <w:highlight w:val="none"/>
              </w:rPr>
              <w:t>专业技术资</w:t>
            </w:r>
            <w:r>
              <w:rPr>
                <w:b/>
                <w:color w:val="auto"/>
                <w:highlight w:val="none"/>
              </w:rPr>
              <w:t>格</w:t>
            </w:r>
          </w:p>
        </w:tc>
        <w:tc>
          <w:tcPr>
            <w:tcW w:w="1275" w:type="dxa"/>
          </w:tcPr>
          <w:p w14:paraId="1AC3B91D">
            <w:pPr>
              <w:pStyle w:val="84"/>
              <w:spacing w:before="1"/>
              <w:rPr>
                <w:color w:val="auto"/>
                <w:sz w:val="28"/>
                <w:highlight w:val="none"/>
              </w:rPr>
            </w:pPr>
          </w:p>
          <w:p w14:paraId="33281E7C">
            <w:pPr>
              <w:pStyle w:val="84"/>
              <w:spacing w:before="1"/>
              <w:ind w:left="215"/>
              <w:rPr>
                <w:b/>
                <w:color w:val="auto"/>
                <w:highlight w:val="none"/>
              </w:rPr>
            </w:pPr>
            <w:r>
              <w:rPr>
                <w:b/>
                <w:color w:val="auto"/>
                <w:highlight w:val="none"/>
              </w:rPr>
              <w:t>证书编号</w:t>
            </w:r>
          </w:p>
        </w:tc>
        <w:tc>
          <w:tcPr>
            <w:tcW w:w="1418" w:type="dxa"/>
          </w:tcPr>
          <w:p w14:paraId="610AA55F">
            <w:pPr>
              <w:pStyle w:val="84"/>
              <w:spacing w:before="156" w:line="364" w:lineRule="auto"/>
              <w:ind w:left="289" w:right="170" w:hanging="106"/>
              <w:rPr>
                <w:b/>
                <w:color w:val="auto"/>
                <w:highlight w:val="none"/>
              </w:rPr>
            </w:pPr>
            <w:r>
              <w:rPr>
                <w:b/>
                <w:color w:val="auto"/>
                <w:w w:val="95"/>
                <w:highlight w:val="none"/>
              </w:rPr>
              <w:t>参加本单位</w:t>
            </w:r>
            <w:r>
              <w:rPr>
                <w:b/>
                <w:color w:val="auto"/>
                <w:highlight w:val="none"/>
              </w:rPr>
              <w:t>工作时间</w:t>
            </w:r>
          </w:p>
        </w:tc>
        <w:tc>
          <w:tcPr>
            <w:tcW w:w="2126" w:type="dxa"/>
          </w:tcPr>
          <w:p w14:paraId="3E76FE9E">
            <w:pPr>
              <w:pStyle w:val="84"/>
              <w:spacing w:before="1"/>
              <w:rPr>
                <w:color w:val="auto"/>
                <w:sz w:val="28"/>
                <w:highlight w:val="none"/>
              </w:rPr>
            </w:pPr>
          </w:p>
          <w:p w14:paraId="39E5419A">
            <w:pPr>
              <w:pStyle w:val="84"/>
              <w:spacing w:before="1"/>
              <w:ind w:left="431"/>
              <w:rPr>
                <w:b/>
                <w:color w:val="auto"/>
                <w:highlight w:val="none"/>
              </w:rPr>
            </w:pPr>
            <w:r>
              <w:rPr>
                <w:b/>
                <w:color w:val="auto"/>
                <w:highlight w:val="none"/>
              </w:rPr>
              <w:t>劳动合同编号</w:t>
            </w:r>
          </w:p>
        </w:tc>
      </w:tr>
      <w:tr w14:paraId="6D05D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461" w:type="dxa"/>
          </w:tcPr>
          <w:p w14:paraId="688D7511">
            <w:pPr>
              <w:pStyle w:val="84"/>
              <w:rPr>
                <w:rFonts w:ascii="Times New Roman"/>
                <w:color w:val="auto"/>
                <w:sz w:val="20"/>
                <w:highlight w:val="none"/>
              </w:rPr>
            </w:pPr>
          </w:p>
        </w:tc>
        <w:tc>
          <w:tcPr>
            <w:tcW w:w="543" w:type="dxa"/>
          </w:tcPr>
          <w:p w14:paraId="3A86ED53">
            <w:pPr>
              <w:pStyle w:val="84"/>
              <w:rPr>
                <w:rFonts w:ascii="Times New Roman"/>
                <w:color w:val="auto"/>
                <w:sz w:val="20"/>
                <w:highlight w:val="none"/>
              </w:rPr>
            </w:pPr>
          </w:p>
        </w:tc>
        <w:tc>
          <w:tcPr>
            <w:tcW w:w="1004" w:type="dxa"/>
          </w:tcPr>
          <w:p w14:paraId="4FD4A680">
            <w:pPr>
              <w:pStyle w:val="84"/>
              <w:rPr>
                <w:rFonts w:ascii="Times New Roman"/>
                <w:color w:val="auto"/>
                <w:sz w:val="20"/>
                <w:highlight w:val="none"/>
              </w:rPr>
            </w:pPr>
          </w:p>
        </w:tc>
        <w:tc>
          <w:tcPr>
            <w:tcW w:w="795" w:type="dxa"/>
          </w:tcPr>
          <w:p w14:paraId="6C1A028F">
            <w:pPr>
              <w:pStyle w:val="84"/>
              <w:rPr>
                <w:rFonts w:ascii="Times New Roman"/>
                <w:color w:val="auto"/>
                <w:sz w:val="20"/>
                <w:highlight w:val="none"/>
              </w:rPr>
            </w:pPr>
          </w:p>
        </w:tc>
        <w:tc>
          <w:tcPr>
            <w:tcW w:w="1276" w:type="dxa"/>
          </w:tcPr>
          <w:p w14:paraId="5F9D787F">
            <w:pPr>
              <w:pStyle w:val="84"/>
              <w:rPr>
                <w:rFonts w:ascii="Times New Roman"/>
                <w:color w:val="auto"/>
                <w:sz w:val="20"/>
                <w:highlight w:val="none"/>
              </w:rPr>
            </w:pPr>
          </w:p>
        </w:tc>
        <w:tc>
          <w:tcPr>
            <w:tcW w:w="1275" w:type="dxa"/>
          </w:tcPr>
          <w:p w14:paraId="75513F21">
            <w:pPr>
              <w:pStyle w:val="84"/>
              <w:rPr>
                <w:rFonts w:ascii="Times New Roman"/>
                <w:color w:val="auto"/>
                <w:sz w:val="20"/>
                <w:highlight w:val="none"/>
              </w:rPr>
            </w:pPr>
          </w:p>
        </w:tc>
        <w:tc>
          <w:tcPr>
            <w:tcW w:w="1418" w:type="dxa"/>
          </w:tcPr>
          <w:p w14:paraId="7975F361">
            <w:pPr>
              <w:pStyle w:val="84"/>
              <w:rPr>
                <w:rFonts w:ascii="Times New Roman"/>
                <w:color w:val="auto"/>
                <w:sz w:val="20"/>
                <w:highlight w:val="none"/>
              </w:rPr>
            </w:pPr>
          </w:p>
        </w:tc>
        <w:tc>
          <w:tcPr>
            <w:tcW w:w="2126" w:type="dxa"/>
          </w:tcPr>
          <w:p w14:paraId="1667C08D">
            <w:pPr>
              <w:pStyle w:val="84"/>
              <w:rPr>
                <w:rFonts w:ascii="Times New Roman"/>
                <w:color w:val="auto"/>
                <w:sz w:val="20"/>
                <w:highlight w:val="none"/>
              </w:rPr>
            </w:pPr>
          </w:p>
        </w:tc>
      </w:tr>
      <w:tr w14:paraId="3999A4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461" w:type="dxa"/>
          </w:tcPr>
          <w:p w14:paraId="653F0035">
            <w:pPr>
              <w:pStyle w:val="84"/>
              <w:rPr>
                <w:rFonts w:ascii="Times New Roman"/>
                <w:color w:val="auto"/>
                <w:sz w:val="20"/>
                <w:highlight w:val="none"/>
              </w:rPr>
            </w:pPr>
          </w:p>
        </w:tc>
        <w:tc>
          <w:tcPr>
            <w:tcW w:w="543" w:type="dxa"/>
          </w:tcPr>
          <w:p w14:paraId="5DD0C510">
            <w:pPr>
              <w:pStyle w:val="84"/>
              <w:rPr>
                <w:rFonts w:ascii="Times New Roman"/>
                <w:color w:val="auto"/>
                <w:sz w:val="20"/>
                <w:highlight w:val="none"/>
              </w:rPr>
            </w:pPr>
          </w:p>
        </w:tc>
        <w:tc>
          <w:tcPr>
            <w:tcW w:w="1004" w:type="dxa"/>
          </w:tcPr>
          <w:p w14:paraId="6F2DF266">
            <w:pPr>
              <w:pStyle w:val="84"/>
              <w:rPr>
                <w:rFonts w:ascii="Times New Roman"/>
                <w:color w:val="auto"/>
                <w:sz w:val="20"/>
                <w:highlight w:val="none"/>
              </w:rPr>
            </w:pPr>
          </w:p>
        </w:tc>
        <w:tc>
          <w:tcPr>
            <w:tcW w:w="795" w:type="dxa"/>
          </w:tcPr>
          <w:p w14:paraId="1D44EDB8">
            <w:pPr>
              <w:pStyle w:val="84"/>
              <w:rPr>
                <w:rFonts w:ascii="Times New Roman"/>
                <w:color w:val="auto"/>
                <w:sz w:val="20"/>
                <w:highlight w:val="none"/>
              </w:rPr>
            </w:pPr>
          </w:p>
        </w:tc>
        <w:tc>
          <w:tcPr>
            <w:tcW w:w="1276" w:type="dxa"/>
          </w:tcPr>
          <w:p w14:paraId="395BD1C5">
            <w:pPr>
              <w:pStyle w:val="84"/>
              <w:rPr>
                <w:rFonts w:ascii="Times New Roman"/>
                <w:color w:val="auto"/>
                <w:sz w:val="20"/>
                <w:highlight w:val="none"/>
              </w:rPr>
            </w:pPr>
          </w:p>
        </w:tc>
        <w:tc>
          <w:tcPr>
            <w:tcW w:w="1275" w:type="dxa"/>
          </w:tcPr>
          <w:p w14:paraId="3F36DFC3">
            <w:pPr>
              <w:pStyle w:val="84"/>
              <w:rPr>
                <w:rFonts w:ascii="Times New Roman"/>
                <w:color w:val="auto"/>
                <w:sz w:val="20"/>
                <w:highlight w:val="none"/>
              </w:rPr>
            </w:pPr>
          </w:p>
        </w:tc>
        <w:tc>
          <w:tcPr>
            <w:tcW w:w="1418" w:type="dxa"/>
          </w:tcPr>
          <w:p w14:paraId="4BFED494">
            <w:pPr>
              <w:pStyle w:val="84"/>
              <w:rPr>
                <w:rFonts w:ascii="Times New Roman"/>
                <w:color w:val="auto"/>
                <w:sz w:val="20"/>
                <w:highlight w:val="none"/>
              </w:rPr>
            </w:pPr>
          </w:p>
        </w:tc>
        <w:tc>
          <w:tcPr>
            <w:tcW w:w="2126" w:type="dxa"/>
          </w:tcPr>
          <w:p w14:paraId="1EFCDED1">
            <w:pPr>
              <w:pStyle w:val="84"/>
              <w:rPr>
                <w:rFonts w:ascii="Times New Roman"/>
                <w:color w:val="auto"/>
                <w:sz w:val="20"/>
                <w:highlight w:val="none"/>
              </w:rPr>
            </w:pPr>
          </w:p>
        </w:tc>
      </w:tr>
      <w:tr w14:paraId="2ECD36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461" w:type="dxa"/>
          </w:tcPr>
          <w:p w14:paraId="578FD22D">
            <w:pPr>
              <w:pStyle w:val="84"/>
              <w:rPr>
                <w:rFonts w:ascii="Times New Roman"/>
                <w:color w:val="auto"/>
                <w:sz w:val="20"/>
                <w:highlight w:val="none"/>
              </w:rPr>
            </w:pPr>
          </w:p>
        </w:tc>
        <w:tc>
          <w:tcPr>
            <w:tcW w:w="543" w:type="dxa"/>
          </w:tcPr>
          <w:p w14:paraId="3553F10A">
            <w:pPr>
              <w:pStyle w:val="84"/>
              <w:rPr>
                <w:rFonts w:ascii="Times New Roman"/>
                <w:color w:val="auto"/>
                <w:sz w:val="20"/>
                <w:highlight w:val="none"/>
              </w:rPr>
            </w:pPr>
          </w:p>
        </w:tc>
        <w:tc>
          <w:tcPr>
            <w:tcW w:w="1004" w:type="dxa"/>
          </w:tcPr>
          <w:p w14:paraId="175C769A">
            <w:pPr>
              <w:pStyle w:val="84"/>
              <w:rPr>
                <w:rFonts w:ascii="Times New Roman"/>
                <w:color w:val="auto"/>
                <w:sz w:val="20"/>
                <w:highlight w:val="none"/>
              </w:rPr>
            </w:pPr>
          </w:p>
        </w:tc>
        <w:tc>
          <w:tcPr>
            <w:tcW w:w="795" w:type="dxa"/>
          </w:tcPr>
          <w:p w14:paraId="213935FE">
            <w:pPr>
              <w:pStyle w:val="84"/>
              <w:rPr>
                <w:rFonts w:ascii="Times New Roman"/>
                <w:color w:val="auto"/>
                <w:sz w:val="20"/>
                <w:highlight w:val="none"/>
              </w:rPr>
            </w:pPr>
          </w:p>
        </w:tc>
        <w:tc>
          <w:tcPr>
            <w:tcW w:w="1276" w:type="dxa"/>
          </w:tcPr>
          <w:p w14:paraId="6CD90A80">
            <w:pPr>
              <w:pStyle w:val="84"/>
              <w:rPr>
                <w:rFonts w:ascii="Times New Roman"/>
                <w:color w:val="auto"/>
                <w:sz w:val="20"/>
                <w:highlight w:val="none"/>
              </w:rPr>
            </w:pPr>
          </w:p>
        </w:tc>
        <w:tc>
          <w:tcPr>
            <w:tcW w:w="1275" w:type="dxa"/>
          </w:tcPr>
          <w:p w14:paraId="4E820D2C">
            <w:pPr>
              <w:pStyle w:val="84"/>
              <w:rPr>
                <w:rFonts w:ascii="Times New Roman"/>
                <w:color w:val="auto"/>
                <w:sz w:val="20"/>
                <w:highlight w:val="none"/>
              </w:rPr>
            </w:pPr>
          </w:p>
        </w:tc>
        <w:tc>
          <w:tcPr>
            <w:tcW w:w="1418" w:type="dxa"/>
          </w:tcPr>
          <w:p w14:paraId="3962BC60">
            <w:pPr>
              <w:pStyle w:val="84"/>
              <w:rPr>
                <w:rFonts w:ascii="Times New Roman"/>
                <w:color w:val="auto"/>
                <w:sz w:val="20"/>
                <w:highlight w:val="none"/>
              </w:rPr>
            </w:pPr>
          </w:p>
        </w:tc>
        <w:tc>
          <w:tcPr>
            <w:tcW w:w="2126" w:type="dxa"/>
          </w:tcPr>
          <w:p w14:paraId="1206CFCD">
            <w:pPr>
              <w:pStyle w:val="84"/>
              <w:rPr>
                <w:rFonts w:ascii="Times New Roman"/>
                <w:color w:val="auto"/>
                <w:sz w:val="20"/>
                <w:highlight w:val="none"/>
              </w:rPr>
            </w:pPr>
          </w:p>
        </w:tc>
      </w:tr>
      <w:tr w14:paraId="239BB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461" w:type="dxa"/>
          </w:tcPr>
          <w:p w14:paraId="44402F53">
            <w:pPr>
              <w:pStyle w:val="84"/>
              <w:rPr>
                <w:rFonts w:ascii="Times New Roman"/>
                <w:color w:val="auto"/>
                <w:sz w:val="20"/>
                <w:highlight w:val="none"/>
              </w:rPr>
            </w:pPr>
          </w:p>
        </w:tc>
        <w:tc>
          <w:tcPr>
            <w:tcW w:w="543" w:type="dxa"/>
          </w:tcPr>
          <w:p w14:paraId="78906ED3">
            <w:pPr>
              <w:pStyle w:val="84"/>
              <w:rPr>
                <w:rFonts w:ascii="Times New Roman"/>
                <w:color w:val="auto"/>
                <w:sz w:val="20"/>
                <w:highlight w:val="none"/>
              </w:rPr>
            </w:pPr>
          </w:p>
        </w:tc>
        <w:tc>
          <w:tcPr>
            <w:tcW w:w="1004" w:type="dxa"/>
          </w:tcPr>
          <w:p w14:paraId="564442F4">
            <w:pPr>
              <w:pStyle w:val="84"/>
              <w:rPr>
                <w:rFonts w:ascii="Times New Roman"/>
                <w:color w:val="auto"/>
                <w:sz w:val="20"/>
                <w:highlight w:val="none"/>
              </w:rPr>
            </w:pPr>
          </w:p>
        </w:tc>
        <w:tc>
          <w:tcPr>
            <w:tcW w:w="795" w:type="dxa"/>
          </w:tcPr>
          <w:p w14:paraId="36BEC224">
            <w:pPr>
              <w:pStyle w:val="84"/>
              <w:rPr>
                <w:rFonts w:ascii="Times New Roman"/>
                <w:color w:val="auto"/>
                <w:sz w:val="20"/>
                <w:highlight w:val="none"/>
              </w:rPr>
            </w:pPr>
          </w:p>
        </w:tc>
        <w:tc>
          <w:tcPr>
            <w:tcW w:w="1276" w:type="dxa"/>
          </w:tcPr>
          <w:p w14:paraId="0D0F4BF6">
            <w:pPr>
              <w:pStyle w:val="84"/>
              <w:rPr>
                <w:rFonts w:ascii="Times New Roman"/>
                <w:color w:val="auto"/>
                <w:sz w:val="20"/>
                <w:highlight w:val="none"/>
              </w:rPr>
            </w:pPr>
          </w:p>
        </w:tc>
        <w:tc>
          <w:tcPr>
            <w:tcW w:w="1275" w:type="dxa"/>
          </w:tcPr>
          <w:p w14:paraId="51B9AE1B">
            <w:pPr>
              <w:pStyle w:val="84"/>
              <w:rPr>
                <w:rFonts w:ascii="Times New Roman"/>
                <w:color w:val="auto"/>
                <w:sz w:val="20"/>
                <w:highlight w:val="none"/>
              </w:rPr>
            </w:pPr>
          </w:p>
        </w:tc>
        <w:tc>
          <w:tcPr>
            <w:tcW w:w="1418" w:type="dxa"/>
          </w:tcPr>
          <w:p w14:paraId="0D0E8035">
            <w:pPr>
              <w:pStyle w:val="84"/>
              <w:rPr>
                <w:rFonts w:ascii="Times New Roman"/>
                <w:color w:val="auto"/>
                <w:sz w:val="20"/>
                <w:highlight w:val="none"/>
              </w:rPr>
            </w:pPr>
          </w:p>
        </w:tc>
        <w:tc>
          <w:tcPr>
            <w:tcW w:w="2126" w:type="dxa"/>
          </w:tcPr>
          <w:p w14:paraId="6888C4E5">
            <w:pPr>
              <w:pStyle w:val="84"/>
              <w:rPr>
                <w:rFonts w:ascii="Times New Roman"/>
                <w:color w:val="auto"/>
                <w:sz w:val="20"/>
                <w:highlight w:val="none"/>
              </w:rPr>
            </w:pPr>
          </w:p>
        </w:tc>
      </w:tr>
      <w:tr w14:paraId="503091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461" w:type="dxa"/>
          </w:tcPr>
          <w:p w14:paraId="0C9C4C41">
            <w:pPr>
              <w:pStyle w:val="84"/>
              <w:rPr>
                <w:rFonts w:ascii="Times New Roman"/>
                <w:color w:val="auto"/>
                <w:sz w:val="20"/>
                <w:highlight w:val="none"/>
              </w:rPr>
            </w:pPr>
          </w:p>
        </w:tc>
        <w:tc>
          <w:tcPr>
            <w:tcW w:w="543" w:type="dxa"/>
          </w:tcPr>
          <w:p w14:paraId="2E651020">
            <w:pPr>
              <w:pStyle w:val="84"/>
              <w:rPr>
                <w:rFonts w:ascii="Times New Roman"/>
                <w:color w:val="auto"/>
                <w:sz w:val="20"/>
                <w:highlight w:val="none"/>
              </w:rPr>
            </w:pPr>
          </w:p>
        </w:tc>
        <w:tc>
          <w:tcPr>
            <w:tcW w:w="1004" w:type="dxa"/>
          </w:tcPr>
          <w:p w14:paraId="4E4BA6A9">
            <w:pPr>
              <w:pStyle w:val="84"/>
              <w:rPr>
                <w:rFonts w:ascii="Times New Roman"/>
                <w:color w:val="auto"/>
                <w:sz w:val="20"/>
                <w:highlight w:val="none"/>
              </w:rPr>
            </w:pPr>
          </w:p>
        </w:tc>
        <w:tc>
          <w:tcPr>
            <w:tcW w:w="795" w:type="dxa"/>
          </w:tcPr>
          <w:p w14:paraId="14AEFE66">
            <w:pPr>
              <w:pStyle w:val="84"/>
              <w:rPr>
                <w:rFonts w:ascii="Times New Roman"/>
                <w:color w:val="auto"/>
                <w:sz w:val="20"/>
                <w:highlight w:val="none"/>
              </w:rPr>
            </w:pPr>
          </w:p>
        </w:tc>
        <w:tc>
          <w:tcPr>
            <w:tcW w:w="1276" w:type="dxa"/>
          </w:tcPr>
          <w:p w14:paraId="0F79F7A6">
            <w:pPr>
              <w:pStyle w:val="84"/>
              <w:rPr>
                <w:rFonts w:ascii="Times New Roman"/>
                <w:color w:val="auto"/>
                <w:sz w:val="20"/>
                <w:highlight w:val="none"/>
              </w:rPr>
            </w:pPr>
          </w:p>
        </w:tc>
        <w:tc>
          <w:tcPr>
            <w:tcW w:w="1275" w:type="dxa"/>
          </w:tcPr>
          <w:p w14:paraId="5475FAF6">
            <w:pPr>
              <w:pStyle w:val="84"/>
              <w:rPr>
                <w:rFonts w:ascii="Times New Roman"/>
                <w:color w:val="auto"/>
                <w:sz w:val="20"/>
                <w:highlight w:val="none"/>
              </w:rPr>
            </w:pPr>
          </w:p>
        </w:tc>
        <w:tc>
          <w:tcPr>
            <w:tcW w:w="1418" w:type="dxa"/>
          </w:tcPr>
          <w:p w14:paraId="4E05A21C">
            <w:pPr>
              <w:pStyle w:val="84"/>
              <w:rPr>
                <w:rFonts w:ascii="Times New Roman"/>
                <w:color w:val="auto"/>
                <w:sz w:val="20"/>
                <w:highlight w:val="none"/>
              </w:rPr>
            </w:pPr>
          </w:p>
        </w:tc>
        <w:tc>
          <w:tcPr>
            <w:tcW w:w="2126" w:type="dxa"/>
          </w:tcPr>
          <w:p w14:paraId="470B97EE">
            <w:pPr>
              <w:pStyle w:val="84"/>
              <w:rPr>
                <w:rFonts w:ascii="Times New Roman"/>
                <w:color w:val="auto"/>
                <w:sz w:val="20"/>
                <w:highlight w:val="none"/>
              </w:rPr>
            </w:pPr>
          </w:p>
        </w:tc>
      </w:tr>
      <w:tr w14:paraId="0D79B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461" w:type="dxa"/>
          </w:tcPr>
          <w:p w14:paraId="5A2355F6">
            <w:pPr>
              <w:pStyle w:val="84"/>
              <w:rPr>
                <w:rFonts w:ascii="Times New Roman"/>
                <w:color w:val="auto"/>
                <w:sz w:val="20"/>
                <w:highlight w:val="none"/>
              </w:rPr>
            </w:pPr>
          </w:p>
        </w:tc>
        <w:tc>
          <w:tcPr>
            <w:tcW w:w="543" w:type="dxa"/>
          </w:tcPr>
          <w:p w14:paraId="4A8ABCA8">
            <w:pPr>
              <w:pStyle w:val="84"/>
              <w:rPr>
                <w:rFonts w:ascii="Times New Roman"/>
                <w:color w:val="auto"/>
                <w:sz w:val="20"/>
                <w:highlight w:val="none"/>
              </w:rPr>
            </w:pPr>
          </w:p>
        </w:tc>
        <w:tc>
          <w:tcPr>
            <w:tcW w:w="1004" w:type="dxa"/>
          </w:tcPr>
          <w:p w14:paraId="000ACF9D">
            <w:pPr>
              <w:pStyle w:val="84"/>
              <w:rPr>
                <w:rFonts w:ascii="Times New Roman"/>
                <w:color w:val="auto"/>
                <w:sz w:val="20"/>
                <w:highlight w:val="none"/>
              </w:rPr>
            </w:pPr>
          </w:p>
        </w:tc>
        <w:tc>
          <w:tcPr>
            <w:tcW w:w="795" w:type="dxa"/>
          </w:tcPr>
          <w:p w14:paraId="71334436">
            <w:pPr>
              <w:pStyle w:val="84"/>
              <w:rPr>
                <w:rFonts w:ascii="Times New Roman"/>
                <w:color w:val="auto"/>
                <w:sz w:val="20"/>
                <w:highlight w:val="none"/>
              </w:rPr>
            </w:pPr>
          </w:p>
        </w:tc>
        <w:tc>
          <w:tcPr>
            <w:tcW w:w="1276" w:type="dxa"/>
          </w:tcPr>
          <w:p w14:paraId="61452FCB">
            <w:pPr>
              <w:pStyle w:val="84"/>
              <w:rPr>
                <w:rFonts w:ascii="Times New Roman"/>
                <w:color w:val="auto"/>
                <w:sz w:val="20"/>
                <w:highlight w:val="none"/>
              </w:rPr>
            </w:pPr>
          </w:p>
        </w:tc>
        <w:tc>
          <w:tcPr>
            <w:tcW w:w="1275" w:type="dxa"/>
          </w:tcPr>
          <w:p w14:paraId="7CC6FB9A">
            <w:pPr>
              <w:pStyle w:val="84"/>
              <w:rPr>
                <w:rFonts w:ascii="Times New Roman"/>
                <w:color w:val="auto"/>
                <w:sz w:val="20"/>
                <w:highlight w:val="none"/>
              </w:rPr>
            </w:pPr>
          </w:p>
        </w:tc>
        <w:tc>
          <w:tcPr>
            <w:tcW w:w="1418" w:type="dxa"/>
          </w:tcPr>
          <w:p w14:paraId="75387397">
            <w:pPr>
              <w:pStyle w:val="84"/>
              <w:rPr>
                <w:rFonts w:ascii="Times New Roman"/>
                <w:color w:val="auto"/>
                <w:sz w:val="20"/>
                <w:highlight w:val="none"/>
              </w:rPr>
            </w:pPr>
          </w:p>
        </w:tc>
        <w:tc>
          <w:tcPr>
            <w:tcW w:w="2126" w:type="dxa"/>
          </w:tcPr>
          <w:p w14:paraId="56D60FF0">
            <w:pPr>
              <w:pStyle w:val="84"/>
              <w:rPr>
                <w:rFonts w:ascii="Times New Roman"/>
                <w:color w:val="auto"/>
                <w:sz w:val="20"/>
                <w:highlight w:val="none"/>
              </w:rPr>
            </w:pPr>
          </w:p>
        </w:tc>
      </w:tr>
      <w:tr w14:paraId="1D4FAA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461" w:type="dxa"/>
          </w:tcPr>
          <w:p w14:paraId="5A107FCC">
            <w:pPr>
              <w:pStyle w:val="84"/>
              <w:rPr>
                <w:rFonts w:ascii="Times New Roman"/>
                <w:color w:val="auto"/>
                <w:sz w:val="20"/>
                <w:highlight w:val="none"/>
              </w:rPr>
            </w:pPr>
          </w:p>
        </w:tc>
        <w:tc>
          <w:tcPr>
            <w:tcW w:w="543" w:type="dxa"/>
          </w:tcPr>
          <w:p w14:paraId="629389C9">
            <w:pPr>
              <w:pStyle w:val="84"/>
              <w:rPr>
                <w:rFonts w:ascii="Times New Roman"/>
                <w:color w:val="auto"/>
                <w:sz w:val="20"/>
                <w:highlight w:val="none"/>
              </w:rPr>
            </w:pPr>
          </w:p>
        </w:tc>
        <w:tc>
          <w:tcPr>
            <w:tcW w:w="1004" w:type="dxa"/>
          </w:tcPr>
          <w:p w14:paraId="74065315">
            <w:pPr>
              <w:pStyle w:val="84"/>
              <w:rPr>
                <w:rFonts w:ascii="Times New Roman"/>
                <w:color w:val="auto"/>
                <w:sz w:val="20"/>
                <w:highlight w:val="none"/>
              </w:rPr>
            </w:pPr>
          </w:p>
        </w:tc>
        <w:tc>
          <w:tcPr>
            <w:tcW w:w="795" w:type="dxa"/>
          </w:tcPr>
          <w:p w14:paraId="6D6F6ECF">
            <w:pPr>
              <w:pStyle w:val="84"/>
              <w:rPr>
                <w:rFonts w:ascii="Times New Roman"/>
                <w:color w:val="auto"/>
                <w:sz w:val="20"/>
                <w:highlight w:val="none"/>
              </w:rPr>
            </w:pPr>
          </w:p>
        </w:tc>
        <w:tc>
          <w:tcPr>
            <w:tcW w:w="1276" w:type="dxa"/>
          </w:tcPr>
          <w:p w14:paraId="4BD2109F">
            <w:pPr>
              <w:pStyle w:val="84"/>
              <w:rPr>
                <w:rFonts w:ascii="Times New Roman"/>
                <w:color w:val="auto"/>
                <w:sz w:val="20"/>
                <w:highlight w:val="none"/>
              </w:rPr>
            </w:pPr>
          </w:p>
        </w:tc>
        <w:tc>
          <w:tcPr>
            <w:tcW w:w="1275" w:type="dxa"/>
          </w:tcPr>
          <w:p w14:paraId="110E4D21">
            <w:pPr>
              <w:pStyle w:val="84"/>
              <w:rPr>
                <w:rFonts w:ascii="Times New Roman"/>
                <w:color w:val="auto"/>
                <w:sz w:val="20"/>
                <w:highlight w:val="none"/>
              </w:rPr>
            </w:pPr>
          </w:p>
        </w:tc>
        <w:tc>
          <w:tcPr>
            <w:tcW w:w="1418" w:type="dxa"/>
          </w:tcPr>
          <w:p w14:paraId="7382EB95">
            <w:pPr>
              <w:pStyle w:val="84"/>
              <w:rPr>
                <w:rFonts w:ascii="Times New Roman"/>
                <w:color w:val="auto"/>
                <w:sz w:val="20"/>
                <w:highlight w:val="none"/>
              </w:rPr>
            </w:pPr>
          </w:p>
        </w:tc>
        <w:tc>
          <w:tcPr>
            <w:tcW w:w="2126" w:type="dxa"/>
          </w:tcPr>
          <w:p w14:paraId="67B19265">
            <w:pPr>
              <w:pStyle w:val="84"/>
              <w:rPr>
                <w:rFonts w:ascii="Times New Roman"/>
                <w:color w:val="auto"/>
                <w:sz w:val="20"/>
                <w:highlight w:val="none"/>
              </w:rPr>
            </w:pPr>
          </w:p>
        </w:tc>
      </w:tr>
      <w:tr w14:paraId="4C0EE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461" w:type="dxa"/>
          </w:tcPr>
          <w:p w14:paraId="76C9A7E6">
            <w:pPr>
              <w:pStyle w:val="84"/>
              <w:rPr>
                <w:rFonts w:ascii="Times New Roman"/>
                <w:color w:val="auto"/>
                <w:sz w:val="20"/>
                <w:highlight w:val="none"/>
              </w:rPr>
            </w:pPr>
          </w:p>
        </w:tc>
        <w:tc>
          <w:tcPr>
            <w:tcW w:w="543" w:type="dxa"/>
          </w:tcPr>
          <w:p w14:paraId="580D1F51">
            <w:pPr>
              <w:pStyle w:val="84"/>
              <w:rPr>
                <w:rFonts w:ascii="Times New Roman"/>
                <w:color w:val="auto"/>
                <w:sz w:val="20"/>
                <w:highlight w:val="none"/>
              </w:rPr>
            </w:pPr>
          </w:p>
        </w:tc>
        <w:tc>
          <w:tcPr>
            <w:tcW w:w="1004" w:type="dxa"/>
          </w:tcPr>
          <w:p w14:paraId="5D3DB338">
            <w:pPr>
              <w:pStyle w:val="84"/>
              <w:rPr>
                <w:rFonts w:ascii="Times New Roman"/>
                <w:color w:val="auto"/>
                <w:sz w:val="20"/>
                <w:highlight w:val="none"/>
              </w:rPr>
            </w:pPr>
          </w:p>
        </w:tc>
        <w:tc>
          <w:tcPr>
            <w:tcW w:w="795" w:type="dxa"/>
          </w:tcPr>
          <w:p w14:paraId="6219CB32">
            <w:pPr>
              <w:pStyle w:val="84"/>
              <w:rPr>
                <w:rFonts w:ascii="Times New Roman"/>
                <w:color w:val="auto"/>
                <w:sz w:val="20"/>
                <w:highlight w:val="none"/>
              </w:rPr>
            </w:pPr>
          </w:p>
        </w:tc>
        <w:tc>
          <w:tcPr>
            <w:tcW w:w="1276" w:type="dxa"/>
          </w:tcPr>
          <w:p w14:paraId="05F6CEDA">
            <w:pPr>
              <w:pStyle w:val="84"/>
              <w:rPr>
                <w:rFonts w:ascii="Times New Roman"/>
                <w:color w:val="auto"/>
                <w:sz w:val="20"/>
                <w:highlight w:val="none"/>
              </w:rPr>
            </w:pPr>
          </w:p>
        </w:tc>
        <w:tc>
          <w:tcPr>
            <w:tcW w:w="1275" w:type="dxa"/>
          </w:tcPr>
          <w:p w14:paraId="25B81BE5">
            <w:pPr>
              <w:pStyle w:val="84"/>
              <w:rPr>
                <w:rFonts w:ascii="Times New Roman"/>
                <w:color w:val="auto"/>
                <w:sz w:val="20"/>
                <w:highlight w:val="none"/>
              </w:rPr>
            </w:pPr>
          </w:p>
        </w:tc>
        <w:tc>
          <w:tcPr>
            <w:tcW w:w="1418" w:type="dxa"/>
          </w:tcPr>
          <w:p w14:paraId="7E7E6029">
            <w:pPr>
              <w:pStyle w:val="84"/>
              <w:rPr>
                <w:rFonts w:ascii="Times New Roman"/>
                <w:color w:val="auto"/>
                <w:sz w:val="20"/>
                <w:highlight w:val="none"/>
              </w:rPr>
            </w:pPr>
          </w:p>
        </w:tc>
        <w:tc>
          <w:tcPr>
            <w:tcW w:w="2126" w:type="dxa"/>
          </w:tcPr>
          <w:p w14:paraId="764AF6A3">
            <w:pPr>
              <w:pStyle w:val="84"/>
              <w:rPr>
                <w:rFonts w:ascii="Times New Roman"/>
                <w:color w:val="auto"/>
                <w:sz w:val="20"/>
                <w:highlight w:val="none"/>
              </w:rPr>
            </w:pPr>
          </w:p>
        </w:tc>
      </w:tr>
    </w:tbl>
    <w:p w14:paraId="2782952D">
      <w:pPr>
        <w:pStyle w:val="14"/>
        <w:ind w:left="1200"/>
        <w:rPr>
          <w:color w:val="auto"/>
          <w:highlight w:val="none"/>
        </w:rPr>
      </w:pPr>
    </w:p>
    <w:p w14:paraId="023998EF">
      <w:pPr>
        <w:rPr>
          <w:rFonts w:ascii="宋体" w:hAnsi="宋体" w:cs="宋体"/>
          <w:color w:val="auto"/>
          <w:sz w:val="24"/>
          <w:szCs w:val="32"/>
          <w:highlight w:val="none"/>
        </w:rPr>
      </w:pPr>
    </w:p>
    <w:p w14:paraId="47F25DD2">
      <w:pPr>
        <w:rPr>
          <w:rFonts w:ascii="宋体" w:hAnsi="宋体" w:cs="宋体"/>
          <w:color w:val="auto"/>
          <w:sz w:val="24"/>
          <w:szCs w:val="32"/>
          <w:highlight w:val="none"/>
        </w:rPr>
      </w:pPr>
      <w:r>
        <w:rPr>
          <w:rFonts w:hint="eastAsia" w:ascii="宋体" w:hAnsi="宋体" w:cs="宋体"/>
          <w:color w:val="auto"/>
          <w:sz w:val="24"/>
          <w:szCs w:val="32"/>
          <w:highlight w:val="none"/>
        </w:rPr>
        <w:t>要求：</w:t>
      </w:r>
    </w:p>
    <w:p w14:paraId="7666DCDC">
      <w:pPr>
        <w:rPr>
          <w:rFonts w:ascii="宋体" w:hAnsi="宋体" w:cs="宋体"/>
          <w:color w:val="auto"/>
          <w:sz w:val="24"/>
          <w:szCs w:val="32"/>
          <w:highlight w:val="none"/>
        </w:rPr>
      </w:pPr>
      <w:r>
        <w:rPr>
          <w:rFonts w:hint="eastAsia" w:ascii="宋体" w:hAnsi="宋体" w:cs="宋体"/>
          <w:color w:val="auto"/>
          <w:sz w:val="24"/>
          <w:szCs w:val="32"/>
          <w:highlight w:val="none"/>
        </w:rPr>
        <w:t>1.在填写时，如本表格不适合投标单位的实际情况，可根据本表格式自行划表填写。</w:t>
      </w:r>
    </w:p>
    <w:p w14:paraId="27D02816">
      <w:pPr>
        <w:spacing w:line="360" w:lineRule="auto"/>
        <w:rPr>
          <w:rFonts w:ascii="宋体" w:hAnsi="宋体" w:cs="宋体"/>
          <w:color w:val="auto"/>
          <w:sz w:val="24"/>
          <w:highlight w:val="none"/>
        </w:rPr>
      </w:pPr>
    </w:p>
    <w:p w14:paraId="34F724AF">
      <w:pPr>
        <w:spacing w:line="360" w:lineRule="auto"/>
        <w:rPr>
          <w:rFonts w:ascii="宋体" w:hAnsi="宋体" w:cs="宋体"/>
          <w:color w:val="auto"/>
          <w:sz w:val="24"/>
          <w:highlight w:val="none"/>
        </w:rPr>
      </w:pPr>
    </w:p>
    <w:p w14:paraId="75318799">
      <w:pPr>
        <w:spacing w:line="360" w:lineRule="auto"/>
        <w:rPr>
          <w:rFonts w:ascii="宋体" w:hAnsi="宋体" w:cs="宋体"/>
          <w:color w:val="auto"/>
          <w:sz w:val="24"/>
          <w:highlight w:val="none"/>
        </w:rPr>
      </w:pPr>
      <w:r>
        <w:rPr>
          <w:rFonts w:hint="eastAsia" w:ascii="宋体" w:hAnsi="宋体" w:cs="宋体"/>
          <w:color w:val="auto"/>
          <w:sz w:val="24"/>
          <w:highlight w:val="none"/>
        </w:rPr>
        <w:t>投标人名称（盖章）：</w:t>
      </w:r>
    </w:p>
    <w:p w14:paraId="4C3B5DC1">
      <w:pPr>
        <w:spacing w:line="480" w:lineRule="auto"/>
        <w:rPr>
          <w:rFonts w:hint="eastAsia" w:ascii="宋体" w:hAnsi="宋体" w:cs="宋体"/>
          <w:color w:val="auto"/>
          <w:sz w:val="24"/>
          <w:highlight w:val="none"/>
        </w:rPr>
      </w:pPr>
      <w:r>
        <w:rPr>
          <w:rFonts w:hint="eastAsia" w:ascii="宋体" w:hAnsi="宋体" w:cs="宋体"/>
          <w:color w:val="auto"/>
          <w:sz w:val="24"/>
          <w:highlight w:val="none"/>
          <w:lang w:eastAsia="zh-CN"/>
        </w:rPr>
        <w:t>法定代表人或其授权委托代理人</w:t>
      </w:r>
      <w:r>
        <w:rPr>
          <w:rFonts w:hint="eastAsia" w:ascii="宋体" w:hAnsi="宋体" w:cs="宋体"/>
          <w:color w:val="auto"/>
          <w:sz w:val="24"/>
          <w:highlight w:val="none"/>
        </w:rPr>
        <w:t>(签字或盖章)：</w:t>
      </w:r>
    </w:p>
    <w:p w14:paraId="4172CEB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日期：</w:t>
      </w:r>
    </w:p>
    <w:p w14:paraId="121ED5C2">
      <w:pPr>
        <w:rPr>
          <w:rFonts w:ascii="宋体" w:hAnsi="宋体" w:cs="宋体"/>
          <w:color w:val="auto"/>
          <w:sz w:val="24"/>
          <w:highlight w:val="none"/>
          <w:u w:val="single"/>
        </w:rPr>
      </w:pPr>
      <w:r>
        <w:rPr>
          <w:rFonts w:hint="eastAsia" w:ascii="宋体" w:hAnsi="宋体" w:cs="宋体"/>
          <w:color w:val="auto"/>
          <w:sz w:val="24"/>
          <w:highlight w:val="none"/>
          <w:u w:val="single"/>
        </w:rPr>
        <w:br w:type="page"/>
      </w:r>
    </w:p>
    <w:p w14:paraId="1F8DF93E">
      <w:pPr>
        <w:spacing w:line="360" w:lineRule="auto"/>
        <w:rPr>
          <w:rFonts w:ascii="宋体" w:hAnsi="宋体" w:cs="宋体"/>
          <w:b/>
          <w:color w:val="auto"/>
          <w:sz w:val="28"/>
          <w:highlight w:val="none"/>
        </w:rPr>
      </w:pPr>
      <w:r>
        <w:rPr>
          <w:rFonts w:hint="eastAsia" w:ascii="宋体" w:hAnsi="宋体" w:cs="宋体"/>
          <w:b/>
          <w:color w:val="auto"/>
          <w:sz w:val="28"/>
          <w:highlight w:val="none"/>
        </w:rPr>
        <w:t>附件8</w:t>
      </w:r>
    </w:p>
    <w:p w14:paraId="02042459">
      <w:pPr>
        <w:spacing w:before="156" w:beforeLines="50" w:after="156" w:afterLines="50" w:line="360" w:lineRule="auto"/>
        <w:ind w:right="-1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项目负责人资格情况表</w:t>
      </w:r>
    </w:p>
    <w:p w14:paraId="0851C9A8">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采购项目：</w:t>
      </w:r>
      <w:r>
        <w:rPr>
          <w:rFonts w:hint="eastAsia" w:ascii="宋体" w:hAnsi="宋体" w:cs="宋体"/>
          <w:color w:val="auto"/>
          <w:sz w:val="24"/>
          <w:szCs w:val="32"/>
          <w:highlight w:val="none"/>
          <w:lang w:val="en-US" w:eastAsia="zh-CN"/>
        </w:rPr>
        <w:t xml:space="preserve">                                         </w:t>
      </w:r>
      <w:r>
        <w:rPr>
          <w:rFonts w:hint="eastAsia" w:ascii="宋体" w:hAnsi="宋体" w:cs="宋体"/>
          <w:color w:val="auto"/>
          <w:sz w:val="24"/>
          <w:szCs w:val="32"/>
          <w:highlight w:val="none"/>
        </w:rPr>
        <w:t>采购编号：</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10355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bottom w:val="single" w:color="auto" w:sz="4" w:space="0"/>
              <w:right w:val="single" w:color="auto" w:sz="4" w:space="0"/>
            </w:tcBorders>
            <w:vAlign w:val="center"/>
          </w:tcPr>
          <w:p w14:paraId="73AF2170">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14:paraId="73B2AAD0">
            <w:pPr>
              <w:jc w:val="center"/>
              <w:rPr>
                <w:rFonts w:ascii="宋体" w:hAnsi="宋体" w:cs="宋体"/>
                <w:b/>
                <w:bCs/>
                <w:color w:val="auto"/>
                <w:sz w:val="24"/>
                <w:highlight w:val="none"/>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14:paraId="7A333608">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近年来主要工作业绩</w:t>
            </w:r>
          </w:p>
        </w:tc>
      </w:tr>
      <w:tr w14:paraId="6905B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1231BC17">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14:paraId="7926D351">
            <w:pPr>
              <w:jc w:val="center"/>
              <w:rPr>
                <w:rFonts w:ascii="宋体" w:hAnsi="宋体" w:cs="宋体"/>
                <w:b/>
                <w:bCs/>
                <w:color w:val="auto"/>
                <w:sz w:val="24"/>
                <w:highlight w:val="none"/>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14:paraId="5CF9FEB3">
            <w:pPr>
              <w:jc w:val="center"/>
              <w:rPr>
                <w:rFonts w:ascii="宋体" w:hAnsi="宋体" w:cs="宋体"/>
                <w:b/>
                <w:bCs/>
                <w:color w:val="auto"/>
                <w:sz w:val="24"/>
                <w:highlight w:val="none"/>
                <w:lang w:val="zh-CN"/>
              </w:rPr>
            </w:pPr>
          </w:p>
        </w:tc>
      </w:tr>
      <w:tr w14:paraId="79756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0D8C01D3">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14:paraId="58AE5E66">
            <w:pPr>
              <w:jc w:val="center"/>
              <w:rPr>
                <w:rFonts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7FA559B">
            <w:pPr>
              <w:jc w:val="center"/>
              <w:rPr>
                <w:rFonts w:ascii="宋体" w:hAnsi="宋体" w:cs="宋体"/>
                <w:b/>
                <w:bCs/>
                <w:color w:val="auto"/>
                <w:sz w:val="24"/>
                <w:highlight w:val="none"/>
                <w:lang w:val="zh-CN"/>
              </w:rPr>
            </w:pPr>
          </w:p>
        </w:tc>
      </w:tr>
      <w:tr w14:paraId="699C4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7390FFC6">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14:paraId="55A3A4CD">
            <w:pPr>
              <w:jc w:val="center"/>
              <w:rPr>
                <w:rFonts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782024E4">
            <w:pPr>
              <w:jc w:val="center"/>
              <w:rPr>
                <w:rFonts w:ascii="宋体" w:hAnsi="宋体" w:cs="宋体"/>
                <w:b/>
                <w:bCs/>
                <w:color w:val="auto"/>
                <w:sz w:val="24"/>
                <w:highlight w:val="none"/>
                <w:lang w:val="zh-CN"/>
              </w:rPr>
            </w:pPr>
          </w:p>
        </w:tc>
      </w:tr>
      <w:tr w14:paraId="4B9C9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70937658">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14:paraId="2C045868">
            <w:pPr>
              <w:jc w:val="center"/>
              <w:rPr>
                <w:rFonts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CC932EE">
            <w:pPr>
              <w:jc w:val="center"/>
              <w:rPr>
                <w:rFonts w:ascii="宋体" w:hAnsi="宋体" w:cs="宋体"/>
                <w:b/>
                <w:bCs/>
                <w:color w:val="auto"/>
                <w:sz w:val="24"/>
                <w:highlight w:val="none"/>
                <w:lang w:val="zh-CN"/>
              </w:rPr>
            </w:pPr>
          </w:p>
        </w:tc>
      </w:tr>
      <w:tr w14:paraId="19935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0EAC1552">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14:paraId="76B5CF06">
            <w:pPr>
              <w:jc w:val="center"/>
              <w:rPr>
                <w:rFonts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43AEC9B7">
            <w:pPr>
              <w:jc w:val="center"/>
              <w:rPr>
                <w:rFonts w:ascii="宋体" w:hAnsi="宋体" w:cs="宋体"/>
                <w:b/>
                <w:bCs/>
                <w:color w:val="auto"/>
                <w:sz w:val="24"/>
                <w:highlight w:val="none"/>
                <w:lang w:val="zh-CN"/>
              </w:rPr>
            </w:pPr>
          </w:p>
        </w:tc>
      </w:tr>
      <w:tr w14:paraId="61851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25D86F29">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14:paraId="17D95E4B">
            <w:pPr>
              <w:jc w:val="center"/>
              <w:rPr>
                <w:rFonts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44412D8A">
            <w:pPr>
              <w:jc w:val="center"/>
              <w:rPr>
                <w:rFonts w:ascii="宋体" w:hAnsi="宋体" w:cs="宋体"/>
                <w:b/>
                <w:bCs/>
                <w:color w:val="auto"/>
                <w:sz w:val="24"/>
                <w:highlight w:val="none"/>
                <w:lang w:val="zh-CN"/>
              </w:rPr>
            </w:pPr>
          </w:p>
        </w:tc>
      </w:tr>
      <w:tr w14:paraId="16AC9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20B0D932">
            <w:pPr>
              <w:jc w:val="center"/>
              <w:rPr>
                <w:rFonts w:ascii="宋体" w:hAnsi="宋体" w:cs="宋体"/>
                <w:b/>
                <w:bCs/>
                <w:color w:val="auto"/>
                <w:sz w:val="24"/>
                <w:highlight w:val="none"/>
                <w:lang w:val="zh-CN"/>
              </w:rPr>
            </w:pPr>
            <w:r>
              <w:rPr>
                <w:rFonts w:hint="eastAsia" w:ascii="宋体" w:hAnsi="宋体" w:cs="宋体"/>
                <w:b/>
                <w:bCs/>
                <w:color w:val="auto"/>
                <w:sz w:val="24"/>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14:paraId="40585063">
            <w:pPr>
              <w:jc w:val="center"/>
              <w:rPr>
                <w:rFonts w:ascii="宋体" w:hAnsi="宋体" w:cs="宋体"/>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3433611E">
            <w:pPr>
              <w:jc w:val="center"/>
              <w:rPr>
                <w:rFonts w:ascii="宋体" w:hAnsi="宋体" w:cs="宋体"/>
                <w:b/>
                <w:bCs/>
                <w:color w:val="auto"/>
                <w:sz w:val="24"/>
                <w:highlight w:val="none"/>
                <w:lang w:val="zh-CN"/>
              </w:rPr>
            </w:pPr>
          </w:p>
        </w:tc>
      </w:tr>
      <w:tr w14:paraId="453AD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4" w:space="0"/>
              <w:left w:val="single" w:color="auto" w:sz="12" w:space="0"/>
              <w:bottom w:val="single" w:color="auto" w:sz="12" w:space="0"/>
              <w:right w:val="single" w:color="auto" w:sz="4" w:space="0"/>
            </w:tcBorders>
            <w:vAlign w:val="center"/>
          </w:tcPr>
          <w:p w14:paraId="331674D5">
            <w:pP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14:paraId="2F1B5733">
            <w:pPr>
              <w:jc w:val="center"/>
              <w:rPr>
                <w:rFonts w:ascii="宋体" w:hAnsi="宋体" w:cs="宋体"/>
                <w:b/>
                <w:bCs/>
                <w:color w:val="auto"/>
                <w:sz w:val="24"/>
                <w:highlight w:val="none"/>
                <w:lang w:val="zh-CN"/>
              </w:rPr>
            </w:pPr>
          </w:p>
        </w:tc>
      </w:tr>
    </w:tbl>
    <w:p w14:paraId="0B8A884F">
      <w:pPr>
        <w:spacing w:line="360" w:lineRule="auto"/>
        <w:rPr>
          <w:rFonts w:ascii="宋体" w:hAnsi="宋体" w:cs="宋体"/>
          <w:color w:val="auto"/>
          <w:sz w:val="24"/>
          <w:highlight w:val="none"/>
        </w:rPr>
      </w:pPr>
    </w:p>
    <w:p w14:paraId="404DB5A6">
      <w:pP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p>
    <w:p w14:paraId="6CD6CAAA">
      <w:pPr>
        <w:spacing w:line="480" w:lineRule="auto"/>
        <w:rPr>
          <w:rFonts w:hint="eastAsia" w:ascii="宋体" w:hAnsi="宋体" w:cs="宋体"/>
          <w:color w:val="auto"/>
          <w:sz w:val="24"/>
          <w:highlight w:val="none"/>
        </w:rPr>
      </w:pPr>
      <w:r>
        <w:rPr>
          <w:rFonts w:hint="eastAsia" w:ascii="宋体" w:hAnsi="宋体" w:cs="宋体"/>
          <w:color w:val="auto"/>
          <w:sz w:val="24"/>
          <w:highlight w:val="none"/>
          <w:lang w:eastAsia="zh-CN"/>
        </w:rPr>
        <w:t>法定代表人或其授权委托代理人</w:t>
      </w:r>
      <w:r>
        <w:rPr>
          <w:rFonts w:hint="eastAsia" w:ascii="宋体" w:hAnsi="宋体" w:cs="宋体"/>
          <w:color w:val="auto"/>
          <w:sz w:val="24"/>
          <w:highlight w:val="none"/>
        </w:rPr>
        <w:t>(签字或盖章)：</w:t>
      </w:r>
    </w:p>
    <w:p w14:paraId="41639F5A">
      <w:pPr>
        <w:spacing w:line="480" w:lineRule="auto"/>
        <w:rPr>
          <w:rFonts w:ascii="宋体" w:hAnsi="宋体" w:cs="宋体"/>
          <w:color w:val="auto"/>
          <w:sz w:val="24"/>
          <w:highlight w:val="none"/>
          <w:u w:val="single"/>
        </w:rPr>
      </w:pPr>
      <w:r>
        <w:rPr>
          <w:rFonts w:hint="eastAsia" w:ascii="宋体" w:hAnsi="宋体" w:cs="宋体"/>
          <w:color w:val="auto"/>
          <w:sz w:val="24"/>
          <w:highlight w:val="none"/>
        </w:rPr>
        <w:t>日期：</w:t>
      </w:r>
    </w:p>
    <w:p w14:paraId="245E8799">
      <w:pPr>
        <w:rPr>
          <w:rFonts w:ascii="宋体" w:hAnsi="宋体" w:cs="宋体"/>
          <w:color w:val="auto"/>
          <w:sz w:val="24"/>
          <w:highlight w:val="none"/>
          <w:u w:val="single"/>
        </w:rPr>
      </w:pPr>
      <w:r>
        <w:rPr>
          <w:rFonts w:hint="eastAsia" w:ascii="宋体" w:hAnsi="宋体" w:cs="宋体"/>
          <w:color w:val="auto"/>
          <w:sz w:val="24"/>
          <w:highlight w:val="none"/>
          <w:u w:val="single"/>
        </w:rPr>
        <w:br w:type="page"/>
      </w:r>
    </w:p>
    <w:p w14:paraId="0EA9BD3B">
      <w:pPr>
        <w:pStyle w:val="15"/>
        <w:rPr>
          <w:color w:val="auto"/>
          <w:highlight w:val="none"/>
        </w:rPr>
      </w:pPr>
    </w:p>
    <w:p w14:paraId="10409C3C">
      <w:pPr>
        <w:spacing w:line="360" w:lineRule="auto"/>
        <w:jc w:val="left"/>
        <w:rPr>
          <w:rFonts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9</w:t>
      </w:r>
    </w:p>
    <w:p w14:paraId="0DAE84E0">
      <w:pPr>
        <w:pStyle w:val="82"/>
        <w:spacing w:line="360" w:lineRule="auto"/>
        <w:jc w:val="center"/>
        <w:rPr>
          <w:rFonts w:hAnsi="宋体" w:eastAsia="宋体"/>
          <w:color w:val="auto"/>
          <w:sz w:val="32"/>
          <w:szCs w:val="32"/>
          <w:highlight w:val="none"/>
        </w:rPr>
      </w:pPr>
      <w:r>
        <w:rPr>
          <w:rFonts w:hint="eastAsia" w:hAnsi="宋体" w:eastAsia="宋体"/>
          <w:b/>
          <w:color w:val="auto"/>
          <w:sz w:val="32"/>
          <w:szCs w:val="32"/>
          <w:highlight w:val="none"/>
          <w:lang w:val="zh-CN"/>
        </w:rPr>
        <w:t>技术</w:t>
      </w:r>
      <w:r>
        <w:rPr>
          <w:rFonts w:hint="eastAsia" w:hAnsi="宋体" w:eastAsia="宋体"/>
          <w:b/>
          <w:color w:val="auto"/>
          <w:sz w:val="32"/>
          <w:szCs w:val="32"/>
          <w:highlight w:val="none"/>
        </w:rPr>
        <w:t>需求响应表</w:t>
      </w:r>
    </w:p>
    <w:tbl>
      <w:tblPr>
        <w:tblStyle w:val="31"/>
        <w:tblpPr w:leftFromText="180" w:rightFromText="180" w:vertAnchor="text" w:horzAnchor="page" w:tblpX="1870" w:tblpY="795"/>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2029"/>
        <w:gridCol w:w="1541"/>
        <w:gridCol w:w="1365"/>
        <w:gridCol w:w="2625"/>
      </w:tblGrid>
      <w:tr w14:paraId="251B95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5" w:hRule="atLeast"/>
        </w:trPr>
        <w:tc>
          <w:tcPr>
            <w:tcW w:w="735" w:type="dxa"/>
          </w:tcPr>
          <w:p w14:paraId="29396B41">
            <w:pPr>
              <w:pStyle w:val="84"/>
              <w:rPr>
                <w:b/>
                <w:color w:val="auto"/>
                <w:sz w:val="20"/>
                <w:highlight w:val="none"/>
              </w:rPr>
            </w:pPr>
          </w:p>
          <w:p w14:paraId="09FA23C9">
            <w:pPr>
              <w:pStyle w:val="84"/>
              <w:spacing w:before="141"/>
              <w:ind w:left="107"/>
              <w:rPr>
                <w:b/>
                <w:color w:val="auto"/>
                <w:highlight w:val="none"/>
              </w:rPr>
            </w:pPr>
            <w:r>
              <w:rPr>
                <w:b/>
                <w:color w:val="auto"/>
                <w:highlight w:val="none"/>
              </w:rPr>
              <w:t>序号</w:t>
            </w:r>
          </w:p>
        </w:tc>
        <w:tc>
          <w:tcPr>
            <w:tcW w:w="2029" w:type="dxa"/>
          </w:tcPr>
          <w:p w14:paraId="6A02AE94">
            <w:pPr>
              <w:pStyle w:val="84"/>
              <w:rPr>
                <w:b/>
                <w:color w:val="auto"/>
                <w:sz w:val="20"/>
                <w:highlight w:val="none"/>
              </w:rPr>
            </w:pPr>
          </w:p>
          <w:p w14:paraId="16FF7FD9">
            <w:pPr>
              <w:pStyle w:val="84"/>
              <w:spacing w:before="141"/>
              <w:ind w:left="107"/>
              <w:rPr>
                <w:b/>
                <w:color w:val="auto"/>
                <w:highlight w:val="none"/>
              </w:rPr>
            </w:pPr>
            <w:r>
              <w:rPr>
                <w:b/>
                <w:color w:val="auto"/>
                <w:highlight w:val="none"/>
              </w:rPr>
              <w:t>内容</w:t>
            </w:r>
          </w:p>
        </w:tc>
        <w:tc>
          <w:tcPr>
            <w:tcW w:w="1541" w:type="dxa"/>
          </w:tcPr>
          <w:p w14:paraId="450A45C9">
            <w:pPr>
              <w:pStyle w:val="84"/>
              <w:rPr>
                <w:b/>
                <w:color w:val="auto"/>
                <w:sz w:val="20"/>
                <w:highlight w:val="none"/>
              </w:rPr>
            </w:pPr>
          </w:p>
          <w:p w14:paraId="54802E27">
            <w:pPr>
              <w:pStyle w:val="84"/>
              <w:spacing w:before="141"/>
              <w:ind w:left="370"/>
              <w:rPr>
                <w:b/>
                <w:color w:val="auto"/>
                <w:highlight w:val="none"/>
              </w:rPr>
            </w:pPr>
            <w:r>
              <w:rPr>
                <w:b/>
                <w:color w:val="auto"/>
                <w:highlight w:val="none"/>
              </w:rPr>
              <w:t>招标需求</w:t>
            </w:r>
          </w:p>
        </w:tc>
        <w:tc>
          <w:tcPr>
            <w:tcW w:w="1365" w:type="dxa"/>
          </w:tcPr>
          <w:p w14:paraId="7F4B9FF2">
            <w:pPr>
              <w:pStyle w:val="84"/>
              <w:rPr>
                <w:b/>
                <w:color w:val="auto"/>
                <w:sz w:val="20"/>
                <w:highlight w:val="none"/>
              </w:rPr>
            </w:pPr>
          </w:p>
          <w:p w14:paraId="117425D6">
            <w:pPr>
              <w:pStyle w:val="84"/>
              <w:spacing w:before="141"/>
              <w:ind w:left="259"/>
              <w:rPr>
                <w:b/>
                <w:color w:val="auto"/>
                <w:highlight w:val="none"/>
              </w:rPr>
            </w:pPr>
            <w:r>
              <w:rPr>
                <w:b/>
                <w:color w:val="auto"/>
                <w:highlight w:val="none"/>
              </w:rPr>
              <w:t>是否响应</w:t>
            </w:r>
          </w:p>
        </w:tc>
        <w:tc>
          <w:tcPr>
            <w:tcW w:w="2625" w:type="dxa"/>
          </w:tcPr>
          <w:p w14:paraId="1BEBB758">
            <w:pPr>
              <w:pStyle w:val="84"/>
              <w:rPr>
                <w:b/>
                <w:color w:val="auto"/>
                <w:sz w:val="20"/>
                <w:highlight w:val="none"/>
              </w:rPr>
            </w:pPr>
          </w:p>
          <w:p w14:paraId="0743860A">
            <w:pPr>
              <w:pStyle w:val="84"/>
              <w:spacing w:before="141"/>
              <w:ind w:left="365"/>
              <w:rPr>
                <w:b/>
                <w:color w:val="auto"/>
                <w:highlight w:val="none"/>
              </w:rPr>
            </w:pPr>
            <w:r>
              <w:rPr>
                <w:b/>
                <w:color w:val="auto"/>
                <w:highlight w:val="none"/>
              </w:rPr>
              <w:t>投标人的承诺或说明</w:t>
            </w:r>
          </w:p>
        </w:tc>
      </w:tr>
      <w:tr w14:paraId="433863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735" w:type="dxa"/>
          </w:tcPr>
          <w:p w14:paraId="6E963429">
            <w:pPr>
              <w:pStyle w:val="84"/>
              <w:rPr>
                <w:rFonts w:ascii="Times New Roman"/>
                <w:color w:val="auto"/>
                <w:sz w:val="20"/>
                <w:highlight w:val="none"/>
              </w:rPr>
            </w:pPr>
          </w:p>
        </w:tc>
        <w:tc>
          <w:tcPr>
            <w:tcW w:w="2029" w:type="dxa"/>
          </w:tcPr>
          <w:p w14:paraId="10A503D7">
            <w:pPr>
              <w:pStyle w:val="84"/>
              <w:spacing w:before="133"/>
              <w:ind w:left="677" w:right="672"/>
              <w:jc w:val="center"/>
              <w:rPr>
                <w:color w:val="auto"/>
                <w:highlight w:val="none"/>
              </w:rPr>
            </w:pPr>
          </w:p>
        </w:tc>
        <w:tc>
          <w:tcPr>
            <w:tcW w:w="1541" w:type="dxa"/>
          </w:tcPr>
          <w:p w14:paraId="5EFED132">
            <w:pPr>
              <w:pStyle w:val="84"/>
              <w:rPr>
                <w:rFonts w:ascii="Times New Roman"/>
                <w:color w:val="auto"/>
                <w:sz w:val="20"/>
                <w:highlight w:val="none"/>
              </w:rPr>
            </w:pPr>
          </w:p>
        </w:tc>
        <w:tc>
          <w:tcPr>
            <w:tcW w:w="1365" w:type="dxa"/>
          </w:tcPr>
          <w:p w14:paraId="0899DD16">
            <w:pPr>
              <w:pStyle w:val="84"/>
              <w:rPr>
                <w:rFonts w:ascii="Times New Roman"/>
                <w:color w:val="auto"/>
                <w:sz w:val="20"/>
                <w:highlight w:val="none"/>
              </w:rPr>
            </w:pPr>
          </w:p>
        </w:tc>
        <w:tc>
          <w:tcPr>
            <w:tcW w:w="2625" w:type="dxa"/>
          </w:tcPr>
          <w:p w14:paraId="33DAD808">
            <w:pPr>
              <w:pStyle w:val="84"/>
              <w:rPr>
                <w:rFonts w:ascii="Times New Roman"/>
                <w:color w:val="auto"/>
                <w:sz w:val="20"/>
                <w:highlight w:val="none"/>
              </w:rPr>
            </w:pPr>
          </w:p>
        </w:tc>
      </w:tr>
      <w:tr w14:paraId="735BF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35" w:type="dxa"/>
          </w:tcPr>
          <w:p w14:paraId="2D9E16E6">
            <w:pPr>
              <w:pStyle w:val="84"/>
              <w:rPr>
                <w:rFonts w:ascii="Times New Roman"/>
                <w:color w:val="auto"/>
                <w:sz w:val="20"/>
                <w:highlight w:val="none"/>
              </w:rPr>
            </w:pPr>
          </w:p>
        </w:tc>
        <w:tc>
          <w:tcPr>
            <w:tcW w:w="2029" w:type="dxa"/>
          </w:tcPr>
          <w:p w14:paraId="3223C181">
            <w:pPr>
              <w:pStyle w:val="84"/>
              <w:spacing w:before="113"/>
              <w:ind w:left="677" w:right="672"/>
              <w:jc w:val="center"/>
              <w:rPr>
                <w:color w:val="auto"/>
                <w:highlight w:val="none"/>
              </w:rPr>
            </w:pPr>
          </w:p>
        </w:tc>
        <w:tc>
          <w:tcPr>
            <w:tcW w:w="1541" w:type="dxa"/>
          </w:tcPr>
          <w:p w14:paraId="1C0F8569">
            <w:pPr>
              <w:pStyle w:val="84"/>
              <w:rPr>
                <w:rFonts w:ascii="Times New Roman"/>
                <w:color w:val="auto"/>
                <w:sz w:val="20"/>
                <w:highlight w:val="none"/>
              </w:rPr>
            </w:pPr>
          </w:p>
        </w:tc>
        <w:tc>
          <w:tcPr>
            <w:tcW w:w="1365" w:type="dxa"/>
          </w:tcPr>
          <w:p w14:paraId="1370514D">
            <w:pPr>
              <w:pStyle w:val="84"/>
              <w:rPr>
                <w:rFonts w:ascii="Times New Roman"/>
                <w:color w:val="auto"/>
                <w:sz w:val="20"/>
                <w:highlight w:val="none"/>
              </w:rPr>
            </w:pPr>
          </w:p>
        </w:tc>
        <w:tc>
          <w:tcPr>
            <w:tcW w:w="2625" w:type="dxa"/>
          </w:tcPr>
          <w:p w14:paraId="45695E45">
            <w:pPr>
              <w:pStyle w:val="84"/>
              <w:rPr>
                <w:rFonts w:ascii="Times New Roman"/>
                <w:color w:val="auto"/>
                <w:sz w:val="20"/>
                <w:highlight w:val="none"/>
              </w:rPr>
            </w:pPr>
          </w:p>
        </w:tc>
      </w:tr>
      <w:tr w14:paraId="09C56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35" w:type="dxa"/>
          </w:tcPr>
          <w:p w14:paraId="2928AAB9">
            <w:pPr>
              <w:pStyle w:val="84"/>
              <w:rPr>
                <w:rFonts w:ascii="Times New Roman"/>
                <w:color w:val="auto"/>
                <w:sz w:val="20"/>
                <w:highlight w:val="none"/>
              </w:rPr>
            </w:pPr>
          </w:p>
        </w:tc>
        <w:tc>
          <w:tcPr>
            <w:tcW w:w="2029" w:type="dxa"/>
          </w:tcPr>
          <w:p w14:paraId="0FC01D57">
            <w:pPr>
              <w:pStyle w:val="84"/>
              <w:spacing w:before="115"/>
              <w:ind w:left="594"/>
              <w:rPr>
                <w:color w:val="auto"/>
                <w:highlight w:val="none"/>
              </w:rPr>
            </w:pPr>
          </w:p>
        </w:tc>
        <w:tc>
          <w:tcPr>
            <w:tcW w:w="1541" w:type="dxa"/>
          </w:tcPr>
          <w:p w14:paraId="1EC78195">
            <w:pPr>
              <w:pStyle w:val="84"/>
              <w:rPr>
                <w:rFonts w:ascii="Times New Roman"/>
                <w:color w:val="auto"/>
                <w:sz w:val="20"/>
                <w:highlight w:val="none"/>
              </w:rPr>
            </w:pPr>
          </w:p>
        </w:tc>
        <w:tc>
          <w:tcPr>
            <w:tcW w:w="1365" w:type="dxa"/>
          </w:tcPr>
          <w:p w14:paraId="2D6AE880">
            <w:pPr>
              <w:pStyle w:val="84"/>
              <w:rPr>
                <w:rFonts w:ascii="Times New Roman"/>
                <w:color w:val="auto"/>
                <w:sz w:val="20"/>
                <w:highlight w:val="none"/>
              </w:rPr>
            </w:pPr>
          </w:p>
        </w:tc>
        <w:tc>
          <w:tcPr>
            <w:tcW w:w="2625" w:type="dxa"/>
          </w:tcPr>
          <w:p w14:paraId="5C67AD43">
            <w:pPr>
              <w:pStyle w:val="84"/>
              <w:rPr>
                <w:rFonts w:ascii="Times New Roman"/>
                <w:color w:val="auto"/>
                <w:sz w:val="20"/>
                <w:highlight w:val="none"/>
              </w:rPr>
            </w:pPr>
          </w:p>
        </w:tc>
      </w:tr>
      <w:tr w14:paraId="2230B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35" w:type="dxa"/>
          </w:tcPr>
          <w:p w14:paraId="54A42911">
            <w:pPr>
              <w:pStyle w:val="84"/>
              <w:rPr>
                <w:rFonts w:ascii="Times New Roman"/>
                <w:color w:val="auto"/>
                <w:sz w:val="20"/>
                <w:highlight w:val="none"/>
              </w:rPr>
            </w:pPr>
          </w:p>
        </w:tc>
        <w:tc>
          <w:tcPr>
            <w:tcW w:w="2029" w:type="dxa"/>
          </w:tcPr>
          <w:p w14:paraId="72F28F62">
            <w:pPr>
              <w:pStyle w:val="84"/>
              <w:spacing w:before="113"/>
              <w:ind w:left="677" w:right="672"/>
              <w:jc w:val="center"/>
              <w:rPr>
                <w:color w:val="auto"/>
                <w:highlight w:val="none"/>
              </w:rPr>
            </w:pPr>
          </w:p>
        </w:tc>
        <w:tc>
          <w:tcPr>
            <w:tcW w:w="1541" w:type="dxa"/>
          </w:tcPr>
          <w:p w14:paraId="681714D6">
            <w:pPr>
              <w:pStyle w:val="84"/>
              <w:rPr>
                <w:rFonts w:ascii="Times New Roman"/>
                <w:color w:val="auto"/>
                <w:sz w:val="20"/>
                <w:highlight w:val="none"/>
              </w:rPr>
            </w:pPr>
          </w:p>
        </w:tc>
        <w:tc>
          <w:tcPr>
            <w:tcW w:w="1365" w:type="dxa"/>
          </w:tcPr>
          <w:p w14:paraId="0CF9A947">
            <w:pPr>
              <w:pStyle w:val="84"/>
              <w:rPr>
                <w:rFonts w:ascii="Times New Roman"/>
                <w:color w:val="auto"/>
                <w:sz w:val="20"/>
                <w:highlight w:val="none"/>
              </w:rPr>
            </w:pPr>
          </w:p>
        </w:tc>
        <w:tc>
          <w:tcPr>
            <w:tcW w:w="2625" w:type="dxa"/>
          </w:tcPr>
          <w:p w14:paraId="2D316374">
            <w:pPr>
              <w:pStyle w:val="84"/>
              <w:rPr>
                <w:rFonts w:ascii="Times New Roman"/>
                <w:color w:val="auto"/>
                <w:sz w:val="20"/>
                <w:highlight w:val="none"/>
              </w:rPr>
            </w:pPr>
          </w:p>
        </w:tc>
      </w:tr>
      <w:tr w14:paraId="168B2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735" w:type="dxa"/>
          </w:tcPr>
          <w:p w14:paraId="2E63E301">
            <w:pPr>
              <w:pStyle w:val="84"/>
              <w:rPr>
                <w:rFonts w:ascii="Times New Roman"/>
                <w:color w:val="auto"/>
                <w:sz w:val="20"/>
                <w:highlight w:val="none"/>
              </w:rPr>
            </w:pPr>
          </w:p>
        </w:tc>
        <w:tc>
          <w:tcPr>
            <w:tcW w:w="2029" w:type="dxa"/>
          </w:tcPr>
          <w:p w14:paraId="585758B9">
            <w:pPr>
              <w:pStyle w:val="84"/>
              <w:rPr>
                <w:rFonts w:ascii="Times New Roman"/>
                <w:color w:val="auto"/>
                <w:sz w:val="20"/>
                <w:highlight w:val="none"/>
              </w:rPr>
            </w:pPr>
          </w:p>
        </w:tc>
        <w:tc>
          <w:tcPr>
            <w:tcW w:w="1541" w:type="dxa"/>
          </w:tcPr>
          <w:p w14:paraId="148CCBAF">
            <w:pPr>
              <w:pStyle w:val="84"/>
              <w:rPr>
                <w:rFonts w:ascii="Times New Roman"/>
                <w:color w:val="auto"/>
                <w:sz w:val="20"/>
                <w:highlight w:val="none"/>
              </w:rPr>
            </w:pPr>
          </w:p>
        </w:tc>
        <w:tc>
          <w:tcPr>
            <w:tcW w:w="1365" w:type="dxa"/>
          </w:tcPr>
          <w:p w14:paraId="19D3B715">
            <w:pPr>
              <w:pStyle w:val="84"/>
              <w:rPr>
                <w:rFonts w:ascii="Times New Roman"/>
                <w:color w:val="auto"/>
                <w:sz w:val="20"/>
                <w:highlight w:val="none"/>
              </w:rPr>
            </w:pPr>
          </w:p>
        </w:tc>
        <w:tc>
          <w:tcPr>
            <w:tcW w:w="2625" w:type="dxa"/>
          </w:tcPr>
          <w:p w14:paraId="589169EA">
            <w:pPr>
              <w:pStyle w:val="84"/>
              <w:rPr>
                <w:rFonts w:ascii="Times New Roman"/>
                <w:color w:val="auto"/>
                <w:sz w:val="20"/>
                <w:highlight w:val="none"/>
              </w:rPr>
            </w:pPr>
          </w:p>
        </w:tc>
      </w:tr>
      <w:tr w14:paraId="4CD517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735" w:type="dxa"/>
          </w:tcPr>
          <w:p w14:paraId="3965467D">
            <w:pPr>
              <w:pStyle w:val="84"/>
              <w:rPr>
                <w:rFonts w:ascii="Times New Roman"/>
                <w:color w:val="auto"/>
                <w:sz w:val="20"/>
                <w:highlight w:val="none"/>
              </w:rPr>
            </w:pPr>
          </w:p>
        </w:tc>
        <w:tc>
          <w:tcPr>
            <w:tcW w:w="2029" w:type="dxa"/>
          </w:tcPr>
          <w:p w14:paraId="6557AEF6">
            <w:pPr>
              <w:pStyle w:val="84"/>
              <w:rPr>
                <w:rFonts w:ascii="Times New Roman"/>
                <w:color w:val="auto"/>
                <w:sz w:val="20"/>
                <w:highlight w:val="none"/>
              </w:rPr>
            </w:pPr>
          </w:p>
        </w:tc>
        <w:tc>
          <w:tcPr>
            <w:tcW w:w="1541" w:type="dxa"/>
          </w:tcPr>
          <w:p w14:paraId="5E07666C">
            <w:pPr>
              <w:pStyle w:val="84"/>
              <w:rPr>
                <w:rFonts w:ascii="Times New Roman"/>
                <w:color w:val="auto"/>
                <w:sz w:val="20"/>
                <w:highlight w:val="none"/>
              </w:rPr>
            </w:pPr>
          </w:p>
        </w:tc>
        <w:tc>
          <w:tcPr>
            <w:tcW w:w="1365" w:type="dxa"/>
          </w:tcPr>
          <w:p w14:paraId="0F2B096E">
            <w:pPr>
              <w:pStyle w:val="84"/>
              <w:rPr>
                <w:rFonts w:ascii="Times New Roman"/>
                <w:color w:val="auto"/>
                <w:sz w:val="20"/>
                <w:highlight w:val="none"/>
              </w:rPr>
            </w:pPr>
          </w:p>
        </w:tc>
        <w:tc>
          <w:tcPr>
            <w:tcW w:w="2625" w:type="dxa"/>
          </w:tcPr>
          <w:p w14:paraId="7D459186">
            <w:pPr>
              <w:pStyle w:val="84"/>
              <w:rPr>
                <w:rFonts w:ascii="Times New Roman"/>
                <w:color w:val="auto"/>
                <w:sz w:val="20"/>
                <w:highlight w:val="none"/>
              </w:rPr>
            </w:pPr>
          </w:p>
        </w:tc>
      </w:tr>
    </w:tbl>
    <w:p w14:paraId="78A69A9E">
      <w:pPr>
        <w:pStyle w:val="82"/>
        <w:spacing w:line="360" w:lineRule="auto"/>
        <w:jc w:val="center"/>
        <w:rPr>
          <w:rFonts w:hAnsi="宋体" w:eastAsia="宋体"/>
          <w:color w:val="auto"/>
          <w:sz w:val="32"/>
          <w:szCs w:val="32"/>
          <w:highlight w:val="none"/>
        </w:rPr>
      </w:pPr>
    </w:p>
    <w:p w14:paraId="5752760E">
      <w:pPr>
        <w:pStyle w:val="82"/>
        <w:spacing w:line="360" w:lineRule="auto"/>
        <w:jc w:val="center"/>
        <w:rPr>
          <w:rFonts w:hAnsi="宋体" w:eastAsia="宋体"/>
          <w:color w:val="auto"/>
          <w:sz w:val="32"/>
          <w:szCs w:val="32"/>
          <w:highlight w:val="none"/>
        </w:rPr>
      </w:pPr>
    </w:p>
    <w:p w14:paraId="0BC170C3">
      <w:pPr>
        <w:pStyle w:val="11"/>
        <w:overflowPunct w:val="0"/>
        <w:spacing w:line="360" w:lineRule="auto"/>
        <w:rPr>
          <w:rFonts w:ascii="宋体"/>
          <w:bCs/>
          <w:color w:val="auto"/>
          <w:szCs w:val="21"/>
          <w:highlight w:val="none"/>
        </w:rPr>
      </w:pPr>
      <w:r>
        <w:rPr>
          <w:rFonts w:hint="eastAsia" w:ascii="宋体"/>
          <w:bCs/>
          <w:color w:val="auto"/>
          <w:szCs w:val="21"/>
          <w:highlight w:val="none"/>
        </w:rPr>
        <w:t>注：如不填写，则视为完全响应。</w:t>
      </w:r>
    </w:p>
    <w:p w14:paraId="1D836B63">
      <w:pPr>
        <w:spacing w:line="480" w:lineRule="auto"/>
        <w:rPr>
          <w:rFonts w:ascii="宋体" w:hAnsi="宋体" w:cs="宋体"/>
          <w:color w:val="auto"/>
          <w:sz w:val="24"/>
          <w:highlight w:val="none"/>
        </w:rPr>
      </w:pPr>
    </w:p>
    <w:p w14:paraId="0160E233">
      <w:pP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p>
    <w:p w14:paraId="6F4C47D7">
      <w:pPr>
        <w:spacing w:line="480" w:lineRule="auto"/>
        <w:rPr>
          <w:rFonts w:hint="eastAsia" w:ascii="宋体" w:hAnsi="宋体" w:cs="宋体"/>
          <w:color w:val="auto"/>
          <w:sz w:val="24"/>
          <w:highlight w:val="none"/>
        </w:rPr>
      </w:pPr>
      <w:r>
        <w:rPr>
          <w:rFonts w:hint="eastAsia" w:ascii="宋体" w:hAnsi="宋体" w:cs="宋体"/>
          <w:color w:val="auto"/>
          <w:sz w:val="24"/>
          <w:highlight w:val="none"/>
          <w:lang w:eastAsia="zh-CN"/>
        </w:rPr>
        <w:t>法定代表人或其授权委托代理人</w:t>
      </w:r>
      <w:r>
        <w:rPr>
          <w:rFonts w:hint="eastAsia" w:ascii="宋体" w:hAnsi="宋体" w:cs="宋体"/>
          <w:color w:val="auto"/>
          <w:sz w:val="24"/>
          <w:highlight w:val="none"/>
        </w:rPr>
        <w:t>(签字或盖章)：</w:t>
      </w:r>
    </w:p>
    <w:p w14:paraId="54BD8B22">
      <w:pPr>
        <w:spacing w:line="480" w:lineRule="auto"/>
        <w:rPr>
          <w:rFonts w:ascii="宋体" w:hAnsi="宋体" w:cs="宋体"/>
          <w:color w:val="auto"/>
          <w:sz w:val="24"/>
          <w:highlight w:val="none"/>
        </w:rPr>
      </w:pPr>
      <w:r>
        <w:rPr>
          <w:rFonts w:hint="eastAsia" w:ascii="宋体" w:hAnsi="宋体" w:cs="宋体"/>
          <w:color w:val="auto"/>
          <w:sz w:val="24"/>
          <w:highlight w:val="none"/>
        </w:rPr>
        <w:t>日期：</w:t>
      </w:r>
    </w:p>
    <w:p w14:paraId="462BD22B">
      <w:pPr>
        <w:rPr>
          <w:rFonts w:ascii="宋体" w:hAnsi="宋体" w:cs="宋体"/>
          <w:color w:val="auto"/>
          <w:sz w:val="24"/>
          <w:highlight w:val="none"/>
        </w:rPr>
      </w:pPr>
      <w:r>
        <w:rPr>
          <w:rFonts w:ascii="宋体" w:hAnsi="宋体" w:cs="宋体"/>
          <w:color w:val="auto"/>
          <w:sz w:val="24"/>
          <w:highlight w:val="none"/>
        </w:rPr>
        <w:br w:type="page"/>
      </w:r>
    </w:p>
    <w:p w14:paraId="7488D3E8">
      <w:pPr>
        <w:spacing w:line="360" w:lineRule="auto"/>
        <w:jc w:val="left"/>
        <w:rPr>
          <w:rFonts w:ascii="宋体" w:hAnsi="宋体" w:cs="宋体"/>
          <w:b/>
          <w:bCs/>
          <w:color w:val="auto"/>
          <w:sz w:val="32"/>
          <w:szCs w:val="32"/>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10</w:t>
      </w:r>
    </w:p>
    <w:p w14:paraId="2F7B248B">
      <w:pPr>
        <w:pStyle w:val="18"/>
        <w:adjustRightInd w:val="0"/>
        <w:snapToGrid w:val="0"/>
        <w:spacing w:line="360" w:lineRule="auto"/>
        <w:jc w:val="center"/>
        <w:rPr>
          <w:rFonts w:hAnsi="宋体"/>
          <w:b/>
          <w:color w:val="auto"/>
          <w:sz w:val="32"/>
          <w:szCs w:val="32"/>
          <w:highlight w:val="none"/>
        </w:rPr>
      </w:pPr>
      <w:r>
        <w:rPr>
          <w:rFonts w:hint="eastAsia"/>
          <w:b/>
          <w:color w:val="auto"/>
          <w:sz w:val="32"/>
          <w:szCs w:val="32"/>
          <w:highlight w:val="none"/>
        </w:rPr>
        <w:t>商务需求响应表</w:t>
      </w:r>
    </w:p>
    <w:tbl>
      <w:tblPr>
        <w:tblStyle w:val="31"/>
        <w:tblpPr w:leftFromText="180" w:rightFromText="180" w:vertAnchor="text" w:horzAnchor="page" w:tblpX="1870" w:tblpY="795"/>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2029"/>
        <w:gridCol w:w="1541"/>
        <w:gridCol w:w="1365"/>
        <w:gridCol w:w="2625"/>
      </w:tblGrid>
      <w:tr w14:paraId="2DF06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5" w:hRule="atLeast"/>
        </w:trPr>
        <w:tc>
          <w:tcPr>
            <w:tcW w:w="735" w:type="dxa"/>
          </w:tcPr>
          <w:p w14:paraId="63415FE2">
            <w:pPr>
              <w:pStyle w:val="84"/>
              <w:rPr>
                <w:b/>
                <w:color w:val="auto"/>
                <w:sz w:val="20"/>
                <w:highlight w:val="none"/>
              </w:rPr>
            </w:pPr>
          </w:p>
          <w:p w14:paraId="06D2647B">
            <w:pPr>
              <w:pStyle w:val="84"/>
              <w:spacing w:before="141"/>
              <w:ind w:left="107"/>
              <w:rPr>
                <w:b/>
                <w:color w:val="auto"/>
                <w:highlight w:val="none"/>
              </w:rPr>
            </w:pPr>
            <w:r>
              <w:rPr>
                <w:b/>
                <w:color w:val="auto"/>
                <w:highlight w:val="none"/>
              </w:rPr>
              <w:t>序号</w:t>
            </w:r>
          </w:p>
        </w:tc>
        <w:tc>
          <w:tcPr>
            <w:tcW w:w="2029" w:type="dxa"/>
          </w:tcPr>
          <w:p w14:paraId="0B8D1981">
            <w:pPr>
              <w:pStyle w:val="84"/>
              <w:rPr>
                <w:b/>
                <w:color w:val="auto"/>
                <w:sz w:val="20"/>
                <w:highlight w:val="none"/>
              </w:rPr>
            </w:pPr>
          </w:p>
          <w:p w14:paraId="0500C12A">
            <w:pPr>
              <w:pStyle w:val="84"/>
              <w:spacing w:before="141"/>
              <w:ind w:left="107"/>
              <w:rPr>
                <w:b/>
                <w:color w:val="auto"/>
                <w:highlight w:val="none"/>
              </w:rPr>
            </w:pPr>
            <w:r>
              <w:rPr>
                <w:b/>
                <w:color w:val="auto"/>
                <w:highlight w:val="none"/>
              </w:rPr>
              <w:t>内容</w:t>
            </w:r>
          </w:p>
        </w:tc>
        <w:tc>
          <w:tcPr>
            <w:tcW w:w="1541" w:type="dxa"/>
          </w:tcPr>
          <w:p w14:paraId="4E22DED0">
            <w:pPr>
              <w:pStyle w:val="84"/>
              <w:rPr>
                <w:b/>
                <w:color w:val="auto"/>
                <w:sz w:val="20"/>
                <w:highlight w:val="none"/>
              </w:rPr>
            </w:pPr>
          </w:p>
          <w:p w14:paraId="071DBCE3">
            <w:pPr>
              <w:pStyle w:val="84"/>
              <w:spacing w:before="141"/>
              <w:ind w:left="370"/>
              <w:rPr>
                <w:b/>
                <w:color w:val="auto"/>
                <w:highlight w:val="none"/>
              </w:rPr>
            </w:pPr>
            <w:r>
              <w:rPr>
                <w:b/>
                <w:color w:val="auto"/>
                <w:highlight w:val="none"/>
              </w:rPr>
              <w:t>招标需求</w:t>
            </w:r>
          </w:p>
        </w:tc>
        <w:tc>
          <w:tcPr>
            <w:tcW w:w="1365" w:type="dxa"/>
          </w:tcPr>
          <w:p w14:paraId="50ED1641">
            <w:pPr>
              <w:pStyle w:val="84"/>
              <w:rPr>
                <w:b/>
                <w:color w:val="auto"/>
                <w:sz w:val="20"/>
                <w:highlight w:val="none"/>
              </w:rPr>
            </w:pPr>
          </w:p>
          <w:p w14:paraId="5EE58B1D">
            <w:pPr>
              <w:pStyle w:val="84"/>
              <w:spacing w:before="141"/>
              <w:ind w:left="259"/>
              <w:rPr>
                <w:b/>
                <w:color w:val="auto"/>
                <w:highlight w:val="none"/>
              </w:rPr>
            </w:pPr>
            <w:r>
              <w:rPr>
                <w:b/>
                <w:color w:val="auto"/>
                <w:highlight w:val="none"/>
              </w:rPr>
              <w:t>是否响应</w:t>
            </w:r>
          </w:p>
        </w:tc>
        <w:tc>
          <w:tcPr>
            <w:tcW w:w="2625" w:type="dxa"/>
          </w:tcPr>
          <w:p w14:paraId="1A2A3DFE">
            <w:pPr>
              <w:pStyle w:val="84"/>
              <w:rPr>
                <w:b/>
                <w:color w:val="auto"/>
                <w:sz w:val="20"/>
                <w:highlight w:val="none"/>
              </w:rPr>
            </w:pPr>
          </w:p>
          <w:p w14:paraId="5751DD75">
            <w:pPr>
              <w:pStyle w:val="84"/>
              <w:spacing w:before="141"/>
              <w:ind w:left="365"/>
              <w:rPr>
                <w:b/>
                <w:color w:val="auto"/>
                <w:highlight w:val="none"/>
              </w:rPr>
            </w:pPr>
            <w:r>
              <w:rPr>
                <w:b/>
                <w:color w:val="auto"/>
                <w:highlight w:val="none"/>
              </w:rPr>
              <w:t>投标人的承诺或说明</w:t>
            </w:r>
          </w:p>
        </w:tc>
      </w:tr>
      <w:tr w14:paraId="554FBC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735" w:type="dxa"/>
          </w:tcPr>
          <w:p w14:paraId="02B4C1A9">
            <w:pPr>
              <w:pStyle w:val="84"/>
              <w:rPr>
                <w:rFonts w:ascii="Times New Roman"/>
                <w:color w:val="auto"/>
                <w:sz w:val="20"/>
                <w:highlight w:val="none"/>
              </w:rPr>
            </w:pPr>
          </w:p>
        </w:tc>
        <w:tc>
          <w:tcPr>
            <w:tcW w:w="2029" w:type="dxa"/>
          </w:tcPr>
          <w:p w14:paraId="46A08C78">
            <w:pPr>
              <w:pStyle w:val="84"/>
              <w:spacing w:before="133"/>
              <w:ind w:left="677" w:right="672"/>
              <w:jc w:val="center"/>
              <w:rPr>
                <w:color w:val="auto"/>
                <w:highlight w:val="none"/>
              </w:rPr>
            </w:pPr>
          </w:p>
        </w:tc>
        <w:tc>
          <w:tcPr>
            <w:tcW w:w="1541" w:type="dxa"/>
          </w:tcPr>
          <w:p w14:paraId="5B9EE691">
            <w:pPr>
              <w:pStyle w:val="84"/>
              <w:rPr>
                <w:rFonts w:ascii="Times New Roman"/>
                <w:color w:val="auto"/>
                <w:sz w:val="20"/>
                <w:highlight w:val="none"/>
              </w:rPr>
            </w:pPr>
          </w:p>
        </w:tc>
        <w:tc>
          <w:tcPr>
            <w:tcW w:w="1365" w:type="dxa"/>
          </w:tcPr>
          <w:p w14:paraId="4EA4EB58">
            <w:pPr>
              <w:pStyle w:val="84"/>
              <w:rPr>
                <w:rFonts w:ascii="Times New Roman"/>
                <w:color w:val="auto"/>
                <w:sz w:val="20"/>
                <w:highlight w:val="none"/>
              </w:rPr>
            </w:pPr>
          </w:p>
        </w:tc>
        <w:tc>
          <w:tcPr>
            <w:tcW w:w="2625" w:type="dxa"/>
          </w:tcPr>
          <w:p w14:paraId="713C46D8">
            <w:pPr>
              <w:pStyle w:val="84"/>
              <w:rPr>
                <w:rFonts w:ascii="Times New Roman"/>
                <w:color w:val="auto"/>
                <w:sz w:val="20"/>
                <w:highlight w:val="none"/>
              </w:rPr>
            </w:pPr>
          </w:p>
        </w:tc>
      </w:tr>
      <w:tr w14:paraId="1540C2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35" w:type="dxa"/>
          </w:tcPr>
          <w:p w14:paraId="3282B8CA">
            <w:pPr>
              <w:pStyle w:val="84"/>
              <w:rPr>
                <w:rFonts w:ascii="Times New Roman"/>
                <w:color w:val="auto"/>
                <w:sz w:val="20"/>
                <w:highlight w:val="none"/>
              </w:rPr>
            </w:pPr>
          </w:p>
        </w:tc>
        <w:tc>
          <w:tcPr>
            <w:tcW w:w="2029" w:type="dxa"/>
          </w:tcPr>
          <w:p w14:paraId="7FC40AE6">
            <w:pPr>
              <w:pStyle w:val="84"/>
              <w:spacing w:before="113"/>
              <w:ind w:left="677" w:right="672"/>
              <w:jc w:val="center"/>
              <w:rPr>
                <w:color w:val="auto"/>
                <w:highlight w:val="none"/>
              </w:rPr>
            </w:pPr>
          </w:p>
        </w:tc>
        <w:tc>
          <w:tcPr>
            <w:tcW w:w="1541" w:type="dxa"/>
          </w:tcPr>
          <w:p w14:paraId="4D9FA350">
            <w:pPr>
              <w:pStyle w:val="84"/>
              <w:rPr>
                <w:rFonts w:ascii="Times New Roman"/>
                <w:color w:val="auto"/>
                <w:sz w:val="20"/>
                <w:highlight w:val="none"/>
              </w:rPr>
            </w:pPr>
          </w:p>
        </w:tc>
        <w:tc>
          <w:tcPr>
            <w:tcW w:w="1365" w:type="dxa"/>
          </w:tcPr>
          <w:p w14:paraId="5664F269">
            <w:pPr>
              <w:pStyle w:val="84"/>
              <w:rPr>
                <w:rFonts w:ascii="Times New Roman"/>
                <w:color w:val="auto"/>
                <w:sz w:val="20"/>
                <w:highlight w:val="none"/>
              </w:rPr>
            </w:pPr>
          </w:p>
        </w:tc>
        <w:tc>
          <w:tcPr>
            <w:tcW w:w="2625" w:type="dxa"/>
          </w:tcPr>
          <w:p w14:paraId="50F4D42B">
            <w:pPr>
              <w:pStyle w:val="84"/>
              <w:rPr>
                <w:rFonts w:ascii="Times New Roman"/>
                <w:color w:val="auto"/>
                <w:sz w:val="20"/>
                <w:highlight w:val="none"/>
              </w:rPr>
            </w:pPr>
          </w:p>
        </w:tc>
      </w:tr>
      <w:tr w14:paraId="14566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35" w:type="dxa"/>
          </w:tcPr>
          <w:p w14:paraId="50F88B62">
            <w:pPr>
              <w:pStyle w:val="84"/>
              <w:rPr>
                <w:rFonts w:ascii="Times New Roman"/>
                <w:color w:val="auto"/>
                <w:sz w:val="20"/>
                <w:highlight w:val="none"/>
              </w:rPr>
            </w:pPr>
          </w:p>
        </w:tc>
        <w:tc>
          <w:tcPr>
            <w:tcW w:w="2029" w:type="dxa"/>
          </w:tcPr>
          <w:p w14:paraId="0E760E01">
            <w:pPr>
              <w:pStyle w:val="84"/>
              <w:spacing w:before="115"/>
              <w:ind w:left="594"/>
              <w:rPr>
                <w:color w:val="auto"/>
                <w:highlight w:val="none"/>
              </w:rPr>
            </w:pPr>
          </w:p>
        </w:tc>
        <w:tc>
          <w:tcPr>
            <w:tcW w:w="1541" w:type="dxa"/>
          </w:tcPr>
          <w:p w14:paraId="1ADE4140">
            <w:pPr>
              <w:pStyle w:val="84"/>
              <w:rPr>
                <w:rFonts w:ascii="Times New Roman"/>
                <w:color w:val="auto"/>
                <w:sz w:val="20"/>
                <w:highlight w:val="none"/>
              </w:rPr>
            </w:pPr>
          </w:p>
        </w:tc>
        <w:tc>
          <w:tcPr>
            <w:tcW w:w="1365" w:type="dxa"/>
          </w:tcPr>
          <w:p w14:paraId="7803B089">
            <w:pPr>
              <w:pStyle w:val="84"/>
              <w:rPr>
                <w:rFonts w:ascii="Times New Roman"/>
                <w:color w:val="auto"/>
                <w:sz w:val="20"/>
                <w:highlight w:val="none"/>
              </w:rPr>
            </w:pPr>
          </w:p>
        </w:tc>
        <w:tc>
          <w:tcPr>
            <w:tcW w:w="2625" w:type="dxa"/>
          </w:tcPr>
          <w:p w14:paraId="004E20EC">
            <w:pPr>
              <w:pStyle w:val="84"/>
              <w:rPr>
                <w:rFonts w:ascii="Times New Roman"/>
                <w:color w:val="auto"/>
                <w:sz w:val="20"/>
                <w:highlight w:val="none"/>
              </w:rPr>
            </w:pPr>
          </w:p>
        </w:tc>
      </w:tr>
      <w:tr w14:paraId="1760C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35" w:type="dxa"/>
          </w:tcPr>
          <w:p w14:paraId="29429310">
            <w:pPr>
              <w:pStyle w:val="84"/>
              <w:rPr>
                <w:rFonts w:ascii="Times New Roman"/>
                <w:color w:val="auto"/>
                <w:sz w:val="20"/>
                <w:highlight w:val="none"/>
              </w:rPr>
            </w:pPr>
          </w:p>
        </w:tc>
        <w:tc>
          <w:tcPr>
            <w:tcW w:w="2029" w:type="dxa"/>
          </w:tcPr>
          <w:p w14:paraId="263CC7F3">
            <w:pPr>
              <w:pStyle w:val="84"/>
              <w:spacing w:before="113"/>
              <w:ind w:left="677" w:right="672"/>
              <w:jc w:val="center"/>
              <w:rPr>
                <w:color w:val="auto"/>
                <w:highlight w:val="none"/>
              </w:rPr>
            </w:pPr>
          </w:p>
        </w:tc>
        <w:tc>
          <w:tcPr>
            <w:tcW w:w="1541" w:type="dxa"/>
          </w:tcPr>
          <w:p w14:paraId="4B6613E2">
            <w:pPr>
              <w:pStyle w:val="84"/>
              <w:rPr>
                <w:rFonts w:ascii="Times New Roman"/>
                <w:color w:val="auto"/>
                <w:sz w:val="20"/>
                <w:highlight w:val="none"/>
              </w:rPr>
            </w:pPr>
          </w:p>
        </w:tc>
        <w:tc>
          <w:tcPr>
            <w:tcW w:w="1365" w:type="dxa"/>
          </w:tcPr>
          <w:p w14:paraId="4CA840B7">
            <w:pPr>
              <w:pStyle w:val="84"/>
              <w:rPr>
                <w:rFonts w:ascii="Times New Roman"/>
                <w:color w:val="auto"/>
                <w:sz w:val="20"/>
                <w:highlight w:val="none"/>
              </w:rPr>
            </w:pPr>
          </w:p>
        </w:tc>
        <w:tc>
          <w:tcPr>
            <w:tcW w:w="2625" w:type="dxa"/>
          </w:tcPr>
          <w:p w14:paraId="18AAB372">
            <w:pPr>
              <w:pStyle w:val="84"/>
              <w:rPr>
                <w:rFonts w:ascii="Times New Roman"/>
                <w:color w:val="auto"/>
                <w:sz w:val="20"/>
                <w:highlight w:val="none"/>
              </w:rPr>
            </w:pPr>
          </w:p>
        </w:tc>
      </w:tr>
      <w:tr w14:paraId="0CBB7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735" w:type="dxa"/>
          </w:tcPr>
          <w:p w14:paraId="2416556A">
            <w:pPr>
              <w:pStyle w:val="84"/>
              <w:rPr>
                <w:rFonts w:ascii="Times New Roman"/>
                <w:color w:val="auto"/>
                <w:sz w:val="20"/>
                <w:highlight w:val="none"/>
              </w:rPr>
            </w:pPr>
          </w:p>
        </w:tc>
        <w:tc>
          <w:tcPr>
            <w:tcW w:w="2029" w:type="dxa"/>
          </w:tcPr>
          <w:p w14:paraId="715B3F63">
            <w:pPr>
              <w:pStyle w:val="84"/>
              <w:rPr>
                <w:rFonts w:ascii="Times New Roman"/>
                <w:color w:val="auto"/>
                <w:sz w:val="20"/>
                <w:highlight w:val="none"/>
              </w:rPr>
            </w:pPr>
          </w:p>
        </w:tc>
        <w:tc>
          <w:tcPr>
            <w:tcW w:w="1541" w:type="dxa"/>
          </w:tcPr>
          <w:p w14:paraId="16D5D52C">
            <w:pPr>
              <w:pStyle w:val="84"/>
              <w:rPr>
                <w:rFonts w:ascii="Times New Roman"/>
                <w:color w:val="auto"/>
                <w:sz w:val="20"/>
                <w:highlight w:val="none"/>
              </w:rPr>
            </w:pPr>
          </w:p>
        </w:tc>
        <w:tc>
          <w:tcPr>
            <w:tcW w:w="1365" w:type="dxa"/>
          </w:tcPr>
          <w:p w14:paraId="003374EB">
            <w:pPr>
              <w:pStyle w:val="84"/>
              <w:rPr>
                <w:rFonts w:ascii="Times New Roman"/>
                <w:color w:val="auto"/>
                <w:sz w:val="20"/>
                <w:highlight w:val="none"/>
              </w:rPr>
            </w:pPr>
          </w:p>
        </w:tc>
        <w:tc>
          <w:tcPr>
            <w:tcW w:w="2625" w:type="dxa"/>
          </w:tcPr>
          <w:p w14:paraId="6F1D28C2">
            <w:pPr>
              <w:pStyle w:val="84"/>
              <w:rPr>
                <w:rFonts w:ascii="Times New Roman"/>
                <w:color w:val="auto"/>
                <w:sz w:val="20"/>
                <w:highlight w:val="none"/>
              </w:rPr>
            </w:pPr>
          </w:p>
        </w:tc>
      </w:tr>
      <w:tr w14:paraId="224C0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735" w:type="dxa"/>
          </w:tcPr>
          <w:p w14:paraId="33B4316B">
            <w:pPr>
              <w:pStyle w:val="84"/>
              <w:rPr>
                <w:rFonts w:ascii="Times New Roman"/>
                <w:color w:val="auto"/>
                <w:sz w:val="20"/>
                <w:highlight w:val="none"/>
              </w:rPr>
            </w:pPr>
          </w:p>
        </w:tc>
        <w:tc>
          <w:tcPr>
            <w:tcW w:w="2029" w:type="dxa"/>
          </w:tcPr>
          <w:p w14:paraId="316031DD">
            <w:pPr>
              <w:pStyle w:val="84"/>
              <w:rPr>
                <w:rFonts w:ascii="Times New Roman"/>
                <w:color w:val="auto"/>
                <w:sz w:val="20"/>
                <w:highlight w:val="none"/>
              </w:rPr>
            </w:pPr>
          </w:p>
        </w:tc>
        <w:tc>
          <w:tcPr>
            <w:tcW w:w="1541" w:type="dxa"/>
          </w:tcPr>
          <w:p w14:paraId="4C2F03A8">
            <w:pPr>
              <w:pStyle w:val="84"/>
              <w:rPr>
                <w:rFonts w:ascii="Times New Roman"/>
                <w:color w:val="auto"/>
                <w:sz w:val="20"/>
                <w:highlight w:val="none"/>
              </w:rPr>
            </w:pPr>
          </w:p>
        </w:tc>
        <w:tc>
          <w:tcPr>
            <w:tcW w:w="1365" w:type="dxa"/>
          </w:tcPr>
          <w:p w14:paraId="495E6FB2">
            <w:pPr>
              <w:pStyle w:val="84"/>
              <w:rPr>
                <w:rFonts w:ascii="Times New Roman"/>
                <w:color w:val="auto"/>
                <w:sz w:val="20"/>
                <w:highlight w:val="none"/>
              </w:rPr>
            </w:pPr>
          </w:p>
        </w:tc>
        <w:tc>
          <w:tcPr>
            <w:tcW w:w="2625" w:type="dxa"/>
          </w:tcPr>
          <w:p w14:paraId="26436CCD">
            <w:pPr>
              <w:pStyle w:val="84"/>
              <w:rPr>
                <w:rFonts w:ascii="Times New Roman"/>
                <w:color w:val="auto"/>
                <w:sz w:val="20"/>
                <w:highlight w:val="none"/>
              </w:rPr>
            </w:pPr>
          </w:p>
        </w:tc>
      </w:tr>
    </w:tbl>
    <w:p w14:paraId="3B99AB7F">
      <w:pPr>
        <w:pStyle w:val="11"/>
        <w:overflowPunct w:val="0"/>
        <w:spacing w:line="360" w:lineRule="auto"/>
        <w:rPr>
          <w:rFonts w:ascii="宋体"/>
          <w:bCs/>
          <w:color w:val="auto"/>
          <w:szCs w:val="21"/>
          <w:highlight w:val="none"/>
        </w:rPr>
      </w:pPr>
    </w:p>
    <w:p w14:paraId="21193A32">
      <w:pPr>
        <w:pStyle w:val="11"/>
        <w:overflowPunct w:val="0"/>
        <w:spacing w:line="360" w:lineRule="auto"/>
        <w:rPr>
          <w:rFonts w:ascii="宋体"/>
          <w:bCs/>
          <w:color w:val="auto"/>
          <w:szCs w:val="21"/>
          <w:highlight w:val="none"/>
        </w:rPr>
      </w:pPr>
    </w:p>
    <w:p w14:paraId="18F6C10B">
      <w:pPr>
        <w:pStyle w:val="11"/>
        <w:overflowPunct w:val="0"/>
        <w:spacing w:line="360" w:lineRule="auto"/>
        <w:rPr>
          <w:rFonts w:ascii="宋体"/>
          <w:bCs/>
          <w:color w:val="auto"/>
          <w:szCs w:val="21"/>
          <w:highlight w:val="none"/>
        </w:rPr>
      </w:pPr>
      <w:r>
        <w:rPr>
          <w:rFonts w:hint="eastAsia" w:ascii="宋体"/>
          <w:bCs/>
          <w:color w:val="auto"/>
          <w:szCs w:val="21"/>
          <w:highlight w:val="none"/>
        </w:rPr>
        <w:t>注：如不填写，则视为完全响应。</w:t>
      </w:r>
    </w:p>
    <w:p w14:paraId="78536DA1">
      <w:pPr>
        <w:spacing w:line="360" w:lineRule="auto"/>
        <w:rPr>
          <w:rFonts w:ascii="宋体" w:hAnsi="宋体" w:cs="宋体"/>
          <w:color w:val="auto"/>
          <w:sz w:val="24"/>
          <w:highlight w:val="none"/>
        </w:rPr>
      </w:pPr>
    </w:p>
    <w:p w14:paraId="4B1CD4B2">
      <w:pP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p>
    <w:p w14:paraId="2BE5AAA7">
      <w:pPr>
        <w:spacing w:line="480" w:lineRule="auto"/>
        <w:rPr>
          <w:rFonts w:hint="eastAsia" w:ascii="宋体" w:hAnsi="宋体" w:cs="宋体"/>
          <w:color w:val="auto"/>
          <w:sz w:val="24"/>
          <w:highlight w:val="none"/>
        </w:rPr>
      </w:pPr>
      <w:r>
        <w:rPr>
          <w:rFonts w:hint="eastAsia" w:ascii="宋体" w:hAnsi="宋体" w:cs="宋体"/>
          <w:color w:val="auto"/>
          <w:sz w:val="24"/>
          <w:highlight w:val="none"/>
          <w:lang w:eastAsia="zh-CN"/>
        </w:rPr>
        <w:t>法定代表人或其授权委托代理人</w:t>
      </w:r>
      <w:r>
        <w:rPr>
          <w:rFonts w:hint="eastAsia" w:ascii="宋体" w:hAnsi="宋体" w:cs="宋体"/>
          <w:color w:val="auto"/>
          <w:sz w:val="24"/>
          <w:highlight w:val="none"/>
        </w:rPr>
        <w:t>(签字或盖章)：</w:t>
      </w:r>
    </w:p>
    <w:p w14:paraId="156E64EC">
      <w:pPr>
        <w:spacing w:line="480" w:lineRule="auto"/>
        <w:rPr>
          <w:rFonts w:ascii="宋体" w:hAnsi="宋体" w:cs="宋体"/>
          <w:color w:val="auto"/>
          <w:sz w:val="24"/>
          <w:highlight w:val="none"/>
        </w:rPr>
      </w:pPr>
      <w:r>
        <w:rPr>
          <w:rFonts w:hint="eastAsia" w:ascii="宋体" w:hAnsi="宋体" w:cs="宋体"/>
          <w:color w:val="auto"/>
          <w:sz w:val="24"/>
          <w:highlight w:val="none"/>
        </w:rPr>
        <w:t>日期：</w:t>
      </w:r>
    </w:p>
    <w:p w14:paraId="7B515CDE">
      <w:pPr>
        <w:spacing w:line="360" w:lineRule="auto"/>
        <w:rPr>
          <w:rFonts w:ascii="宋体" w:hAnsi="宋体" w:cs="宋体"/>
          <w:color w:val="auto"/>
          <w:sz w:val="24"/>
          <w:highlight w:val="none"/>
        </w:rPr>
      </w:pPr>
    </w:p>
    <w:p w14:paraId="788566C8">
      <w:pPr>
        <w:rPr>
          <w:rFonts w:ascii="宋体" w:hAnsi="宋体" w:cs="宋体"/>
          <w:color w:val="auto"/>
          <w:sz w:val="24"/>
          <w:highlight w:val="none"/>
        </w:rPr>
      </w:pPr>
      <w:r>
        <w:rPr>
          <w:rFonts w:ascii="宋体" w:hAnsi="宋体" w:cs="宋体"/>
          <w:color w:val="auto"/>
          <w:sz w:val="24"/>
          <w:highlight w:val="none"/>
        </w:rPr>
        <w:br w:type="page"/>
      </w:r>
    </w:p>
    <w:p w14:paraId="18EA87E6">
      <w:pPr>
        <w:spacing w:line="360" w:lineRule="auto"/>
        <w:jc w:val="left"/>
        <w:rPr>
          <w:rFonts w:ascii="宋体" w:hAnsi="宋体" w:cs="宋体"/>
          <w:b/>
          <w:bCs/>
          <w:color w:val="auto"/>
          <w:sz w:val="28"/>
          <w:szCs w:val="36"/>
          <w:highlight w:val="none"/>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11</w:t>
      </w:r>
    </w:p>
    <w:p w14:paraId="72029B93">
      <w:pPr>
        <w:jc w:val="center"/>
        <w:rPr>
          <w:rFonts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171055C2">
      <w:pPr>
        <w:jc w:val="center"/>
        <w:rPr>
          <w:rFonts w:ascii="宋体" w:hAnsi="宋体" w:cs="宋体"/>
          <w:b/>
          <w:color w:val="auto"/>
          <w:spacing w:val="40"/>
          <w:sz w:val="84"/>
          <w:szCs w:val="84"/>
          <w:highlight w:val="none"/>
        </w:rPr>
      </w:pPr>
      <w:r>
        <w:rPr>
          <w:rFonts w:hint="eastAsia" w:ascii="宋体" w:hAnsi="宋体" w:cs="宋体"/>
          <w:color w:val="auto"/>
          <w:sz w:val="36"/>
          <w:szCs w:val="36"/>
          <w:highlight w:val="none"/>
        </w:rPr>
        <w:t>项目编号：</w:t>
      </w:r>
    </w:p>
    <w:p w14:paraId="03056C03">
      <w:pP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报</w:t>
      </w:r>
    </w:p>
    <w:p w14:paraId="2F734140">
      <w:pP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价</w:t>
      </w:r>
    </w:p>
    <w:p w14:paraId="431A6BE6">
      <w:pP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文</w:t>
      </w:r>
    </w:p>
    <w:p w14:paraId="67276256">
      <w:pP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件</w:t>
      </w:r>
    </w:p>
    <w:p w14:paraId="2E3C6839">
      <w:pPr>
        <w:jc w:val="center"/>
        <w:rPr>
          <w:rFonts w:ascii="宋体" w:hAnsi="宋体" w:cs="宋体"/>
          <w:color w:val="auto"/>
          <w:sz w:val="36"/>
          <w:szCs w:val="36"/>
          <w:highlight w:val="none"/>
        </w:rPr>
      </w:pPr>
    </w:p>
    <w:p w14:paraId="06C5A916">
      <w:pPr>
        <w:jc w:val="center"/>
        <w:rPr>
          <w:rFonts w:ascii="宋体" w:hAnsi="宋体" w:cs="宋体"/>
          <w:color w:val="auto"/>
          <w:sz w:val="36"/>
          <w:szCs w:val="36"/>
          <w:highlight w:val="none"/>
        </w:rPr>
      </w:pPr>
    </w:p>
    <w:p w14:paraId="64309D3E">
      <w:pPr>
        <w:spacing w:line="360" w:lineRule="auto"/>
        <w:ind w:right="532"/>
        <w:jc w:val="center"/>
        <w:rPr>
          <w:rFonts w:ascii="宋体" w:hAnsi="宋体" w:cs="宋体"/>
          <w:color w:val="auto"/>
          <w:sz w:val="36"/>
          <w:szCs w:val="36"/>
          <w:highlight w:val="none"/>
        </w:rPr>
      </w:pPr>
    </w:p>
    <w:p w14:paraId="0C40A489">
      <w:pPr>
        <w:rPr>
          <w:rFonts w:ascii="宋体" w:hAnsi="宋体" w:cs="宋体"/>
          <w:color w:val="auto"/>
          <w:sz w:val="36"/>
          <w:szCs w:val="36"/>
          <w:highlight w:val="none"/>
        </w:rPr>
      </w:pPr>
      <w:r>
        <w:rPr>
          <w:rFonts w:hint="eastAsia" w:ascii="宋体" w:hAnsi="宋体" w:cs="宋体"/>
          <w:color w:val="auto"/>
          <w:sz w:val="36"/>
          <w:szCs w:val="36"/>
          <w:highlight w:val="none"/>
        </w:rPr>
        <w:t>投标人全称（公章）：</w:t>
      </w:r>
    </w:p>
    <w:p w14:paraId="25C13820">
      <w:pPr>
        <w:rPr>
          <w:rFonts w:ascii="宋体" w:hAnsi="宋体" w:cs="宋体"/>
          <w:color w:val="auto"/>
          <w:sz w:val="36"/>
          <w:szCs w:val="36"/>
          <w:highlight w:val="none"/>
        </w:rPr>
      </w:pPr>
      <w:r>
        <w:rPr>
          <w:rFonts w:hint="eastAsia" w:ascii="宋体" w:hAnsi="宋体" w:cs="宋体"/>
          <w:color w:val="auto"/>
          <w:sz w:val="36"/>
          <w:szCs w:val="36"/>
          <w:highlight w:val="none"/>
        </w:rPr>
        <w:t>地址：</w:t>
      </w:r>
    </w:p>
    <w:p w14:paraId="07E2A542">
      <w:pPr>
        <w:rPr>
          <w:rFonts w:ascii="宋体" w:hAnsi="宋体" w:cs="宋体"/>
          <w:color w:val="auto"/>
          <w:sz w:val="36"/>
          <w:szCs w:val="36"/>
          <w:highlight w:val="none"/>
        </w:rPr>
      </w:pPr>
      <w:r>
        <w:rPr>
          <w:rFonts w:hint="eastAsia" w:ascii="宋体" w:hAnsi="宋体" w:cs="宋体"/>
          <w:color w:val="auto"/>
          <w:sz w:val="36"/>
          <w:szCs w:val="36"/>
          <w:highlight w:val="none"/>
        </w:rPr>
        <w:t>时间：</w:t>
      </w:r>
    </w:p>
    <w:p w14:paraId="14466826">
      <w:pPr>
        <w:spacing w:line="360" w:lineRule="auto"/>
        <w:rPr>
          <w:rFonts w:ascii="宋体" w:hAnsi="宋体" w:cs="宋体"/>
          <w:color w:val="auto"/>
          <w:sz w:val="24"/>
          <w:szCs w:val="32"/>
          <w:highlight w:val="none"/>
        </w:rPr>
      </w:pPr>
    </w:p>
    <w:p w14:paraId="4DF5A887">
      <w:pPr>
        <w:pStyle w:val="15"/>
        <w:rPr>
          <w:rFonts w:ascii="宋体" w:hAnsi="宋体" w:cs="宋体"/>
          <w:color w:val="auto"/>
          <w:sz w:val="24"/>
          <w:szCs w:val="32"/>
          <w:highlight w:val="none"/>
        </w:rPr>
      </w:pPr>
    </w:p>
    <w:p w14:paraId="730B7F81">
      <w:pPr>
        <w:pStyle w:val="15"/>
        <w:rPr>
          <w:rFonts w:ascii="宋体" w:hAnsi="宋体" w:cs="宋体"/>
          <w:color w:val="auto"/>
          <w:sz w:val="24"/>
          <w:szCs w:val="32"/>
          <w:highlight w:val="none"/>
        </w:rPr>
      </w:pPr>
    </w:p>
    <w:p w14:paraId="29608DDE">
      <w:pPr>
        <w:pStyle w:val="15"/>
        <w:rPr>
          <w:rFonts w:ascii="宋体" w:hAnsi="宋体" w:cs="宋体"/>
          <w:color w:val="auto"/>
          <w:sz w:val="24"/>
          <w:szCs w:val="32"/>
          <w:highlight w:val="none"/>
        </w:rPr>
      </w:pPr>
    </w:p>
    <w:p w14:paraId="2BF21923">
      <w:pPr>
        <w:pStyle w:val="24"/>
        <w:rPr>
          <w:color w:val="auto"/>
          <w:highlight w:val="none"/>
        </w:rPr>
      </w:pPr>
    </w:p>
    <w:p w14:paraId="386F7716">
      <w:pPr>
        <w:pStyle w:val="15"/>
        <w:rPr>
          <w:rFonts w:ascii="宋体" w:hAnsi="宋体" w:cs="宋体"/>
          <w:color w:val="auto"/>
          <w:sz w:val="24"/>
          <w:szCs w:val="32"/>
          <w:highlight w:val="none"/>
        </w:rPr>
      </w:pPr>
    </w:p>
    <w:p w14:paraId="1DEDF9A4">
      <w:pPr>
        <w:spacing w:line="360" w:lineRule="auto"/>
        <w:jc w:val="center"/>
        <w:rPr>
          <w:rFonts w:ascii="宋体" w:hAnsi="宋体" w:cs="宋体"/>
          <w:b/>
          <w:bCs/>
          <w:color w:val="auto"/>
          <w:sz w:val="32"/>
          <w:szCs w:val="40"/>
          <w:highlight w:val="none"/>
          <w:lang w:val="zh-CN"/>
        </w:rPr>
      </w:pPr>
    </w:p>
    <w:p w14:paraId="591311CC">
      <w:pP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报价文件目录</w:t>
      </w:r>
    </w:p>
    <w:p w14:paraId="48655784">
      <w:pPr>
        <w:spacing w:line="360" w:lineRule="auto"/>
        <w:rPr>
          <w:rFonts w:ascii="宋体" w:hAnsi="宋体" w:cs="宋体"/>
          <w:color w:val="auto"/>
          <w:sz w:val="24"/>
          <w:highlight w:val="none"/>
        </w:rPr>
      </w:pPr>
    </w:p>
    <w:p w14:paraId="1BC16F33">
      <w:pPr>
        <w:spacing w:line="360" w:lineRule="auto"/>
        <w:ind w:firstLine="560" w:firstLineChars="200"/>
        <w:jc w:val="left"/>
        <w:rPr>
          <w:rFonts w:ascii="宋体" w:hAnsi="宋体" w:cs="宋体"/>
          <w:color w:val="auto"/>
          <w:sz w:val="28"/>
          <w:szCs w:val="36"/>
          <w:highlight w:val="none"/>
        </w:rPr>
      </w:pPr>
      <w:r>
        <w:rPr>
          <w:rFonts w:hint="eastAsia" w:ascii="宋体" w:hAnsi="宋体" w:cs="宋体"/>
          <w:color w:val="auto"/>
          <w:sz w:val="28"/>
          <w:szCs w:val="36"/>
          <w:highlight w:val="none"/>
        </w:rPr>
        <w:t>1、开标一览表；</w:t>
      </w:r>
    </w:p>
    <w:p w14:paraId="667BFBDA">
      <w:pPr>
        <w:spacing w:line="360" w:lineRule="auto"/>
        <w:ind w:firstLine="560" w:firstLineChars="200"/>
        <w:jc w:val="left"/>
        <w:rPr>
          <w:rFonts w:ascii="宋体" w:hAnsi="宋体" w:cs="宋体"/>
          <w:color w:val="auto"/>
          <w:sz w:val="28"/>
          <w:szCs w:val="36"/>
          <w:highlight w:val="none"/>
        </w:rPr>
      </w:pPr>
      <w:r>
        <w:rPr>
          <w:rFonts w:hint="eastAsia" w:ascii="宋体" w:hAnsi="宋体" w:cs="宋体"/>
          <w:color w:val="auto"/>
          <w:sz w:val="28"/>
          <w:szCs w:val="36"/>
          <w:highlight w:val="none"/>
        </w:rPr>
        <w:t>2、针对报价投标人认为其他需要说明的；</w:t>
      </w:r>
    </w:p>
    <w:p w14:paraId="2361E23A">
      <w:pPr>
        <w:pStyle w:val="16"/>
        <w:rPr>
          <w:color w:val="auto"/>
          <w:highlight w:val="none"/>
        </w:rPr>
      </w:pPr>
    </w:p>
    <w:p w14:paraId="0F547CEF">
      <w:pPr>
        <w:pStyle w:val="4"/>
        <w:rPr>
          <w:color w:val="auto"/>
          <w:highlight w:val="none"/>
          <w:lang w:val="en-GB"/>
        </w:rPr>
      </w:pPr>
    </w:p>
    <w:p w14:paraId="3C05038C">
      <w:pPr>
        <w:spacing w:line="360" w:lineRule="auto"/>
        <w:ind w:firstLine="560" w:firstLineChars="200"/>
        <w:jc w:val="left"/>
        <w:rPr>
          <w:rFonts w:ascii="宋体" w:hAnsi="宋体" w:cs="宋体"/>
          <w:color w:val="auto"/>
          <w:sz w:val="28"/>
          <w:szCs w:val="36"/>
          <w:highlight w:val="none"/>
        </w:rPr>
      </w:pPr>
    </w:p>
    <w:p w14:paraId="24CEF2DA">
      <w:pPr>
        <w:spacing w:line="360" w:lineRule="auto"/>
        <w:jc w:val="left"/>
        <w:rPr>
          <w:rFonts w:ascii="宋体" w:hAnsi="宋体" w:cs="宋体"/>
          <w:color w:val="auto"/>
          <w:sz w:val="28"/>
          <w:szCs w:val="36"/>
          <w:highlight w:val="none"/>
        </w:rPr>
      </w:pPr>
    </w:p>
    <w:p w14:paraId="683B17E3">
      <w:pPr>
        <w:spacing w:line="360" w:lineRule="auto"/>
        <w:jc w:val="left"/>
        <w:rPr>
          <w:rFonts w:ascii="宋体" w:hAnsi="宋体" w:cs="宋体"/>
          <w:color w:val="auto"/>
          <w:sz w:val="28"/>
          <w:szCs w:val="36"/>
          <w:highlight w:val="none"/>
        </w:rPr>
      </w:pPr>
    </w:p>
    <w:p w14:paraId="7743458B">
      <w:pPr>
        <w:spacing w:line="360" w:lineRule="auto"/>
        <w:rPr>
          <w:rFonts w:ascii="宋体" w:hAnsi="宋体" w:cs="宋体"/>
          <w:color w:val="auto"/>
          <w:sz w:val="24"/>
          <w:szCs w:val="32"/>
          <w:highlight w:val="none"/>
        </w:rPr>
      </w:pPr>
    </w:p>
    <w:p w14:paraId="319ABA27">
      <w:pPr>
        <w:spacing w:line="360" w:lineRule="auto"/>
        <w:rPr>
          <w:rFonts w:ascii="宋体" w:hAnsi="宋体" w:cs="宋体"/>
          <w:color w:val="auto"/>
          <w:sz w:val="24"/>
          <w:szCs w:val="32"/>
          <w:highlight w:val="none"/>
        </w:rPr>
      </w:pPr>
    </w:p>
    <w:p w14:paraId="2870EAC5">
      <w:pPr>
        <w:spacing w:line="360" w:lineRule="auto"/>
        <w:rPr>
          <w:rFonts w:ascii="宋体" w:hAnsi="宋体" w:cs="宋体"/>
          <w:color w:val="auto"/>
          <w:sz w:val="24"/>
          <w:szCs w:val="32"/>
          <w:highlight w:val="none"/>
        </w:rPr>
      </w:pPr>
    </w:p>
    <w:p w14:paraId="3019BE42">
      <w:pPr>
        <w:spacing w:line="360" w:lineRule="auto"/>
        <w:rPr>
          <w:rFonts w:ascii="宋体" w:hAnsi="宋体" w:cs="宋体"/>
          <w:color w:val="auto"/>
          <w:sz w:val="24"/>
          <w:szCs w:val="32"/>
          <w:highlight w:val="none"/>
        </w:rPr>
      </w:pPr>
    </w:p>
    <w:p w14:paraId="45D47405">
      <w:pPr>
        <w:rPr>
          <w:rFonts w:ascii="宋体" w:hAnsi="宋体" w:cs="宋体"/>
          <w:color w:val="auto"/>
          <w:sz w:val="24"/>
          <w:szCs w:val="32"/>
          <w:highlight w:val="none"/>
        </w:rPr>
      </w:pPr>
      <w:r>
        <w:rPr>
          <w:rFonts w:ascii="宋体" w:hAnsi="宋体" w:cs="宋体"/>
          <w:color w:val="auto"/>
          <w:sz w:val="24"/>
          <w:szCs w:val="32"/>
          <w:highlight w:val="none"/>
        </w:rPr>
        <w:br w:type="page"/>
      </w:r>
    </w:p>
    <w:p w14:paraId="4916EB61">
      <w:pPr>
        <w:tabs>
          <w:tab w:val="left" w:pos="2460"/>
        </w:tabs>
        <w:spacing w:line="360" w:lineRule="auto"/>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附件1</w:t>
      </w:r>
      <w:r>
        <w:rPr>
          <w:rFonts w:hint="eastAsia" w:ascii="宋体" w:hAnsi="宋体" w:cs="宋体"/>
          <w:b/>
          <w:color w:val="auto"/>
          <w:sz w:val="28"/>
          <w:highlight w:val="none"/>
          <w:lang w:val="en-US" w:eastAsia="zh-CN"/>
        </w:rPr>
        <w:t>2</w:t>
      </w:r>
    </w:p>
    <w:p w14:paraId="2FB69C95">
      <w:pPr>
        <w:spacing w:line="360" w:lineRule="auto"/>
        <w:ind w:left="-2" w:hanging="2"/>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开标一览表</w:t>
      </w:r>
    </w:p>
    <w:p w14:paraId="2D2BFB4B">
      <w:pPr>
        <w:spacing w:line="360" w:lineRule="auto"/>
        <w:jc w:val="left"/>
        <w:rPr>
          <w:rFonts w:ascii="宋体" w:hAnsi="宋体" w:cs="宋体"/>
          <w:b/>
          <w:bCs/>
          <w:color w:val="auto"/>
          <w:sz w:val="24"/>
          <w:szCs w:val="32"/>
          <w:highlight w:val="none"/>
        </w:rPr>
      </w:pPr>
      <w:r>
        <w:rPr>
          <w:rFonts w:hint="eastAsia" w:ascii="宋体" w:hAnsi="宋体" w:cs="宋体"/>
          <w:b/>
          <w:bCs/>
          <w:color w:val="auto"/>
          <w:sz w:val="24"/>
          <w:szCs w:val="32"/>
          <w:highlight w:val="none"/>
        </w:rPr>
        <w:t>项目名称：</w:t>
      </w:r>
      <w:r>
        <w:rPr>
          <w:rFonts w:hint="eastAsia" w:ascii="宋体" w:hAnsi="宋体" w:cs="宋体"/>
          <w:color w:val="auto"/>
          <w:sz w:val="24"/>
          <w:szCs w:val="32"/>
          <w:highlight w:val="none"/>
        </w:rPr>
        <w:t>[货币单位：人民币/元]</w:t>
      </w:r>
    </w:p>
    <w:tbl>
      <w:tblPr>
        <w:tblStyle w:val="110"/>
        <w:tblW w:w="5034"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14"/>
        <w:gridCol w:w="2836"/>
        <w:gridCol w:w="1386"/>
        <w:gridCol w:w="1784"/>
        <w:gridCol w:w="2166"/>
      </w:tblGrid>
      <w:tr w14:paraId="406B80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3" w:hRule="atLeast"/>
          <w:jc w:val="center"/>
        </w:trPr>
        <w:tc>
          <w:tcPr>
            <w:tcW w:w="402" w:type="pct"/>
            <w:vAlign w:val="top"/>
          </w:tcPr>
          <w:p w14:paraId="64C2ACAE">
            <w:pPr>
              <w:keepNext w:val="0"/>
              <w:keepLines w:val="0"/>
              <w:pageBreakBefore w:val="0"/>
              <w:widowControl w:val="0"/>
              <w:kinsoku/>
              <w:wordWrap/>
              <w:overflowPunct/>
              <w:topLinePunct w:val="0"/>
              <w:autoSpaceDE/>
              <w:autoSpaceDN/>
              <w:bidi w:val="0"/>
              <w:adjustRightInd/>
              <w:snapToGrid/>
              <w:spacing w:line="240" w:lineRule="auto"/>
              <w:ind w:left="0" w:firstLine="241" w:firstLineChars="100"/>
              <w:jc w:val="center"/>
              <w:textAlignment w:val="auto"/>
              <w:rPr>
                <w:rFonts w:hint="eastAsia" w:ascii="宋体" w:hAnsi="宋体" w:cs="Times New Roman"/>
                <w:b/>
                <w:color w:val="auto"/>
                <w:sz w:val="24"/>
                <w:highlight w:val="none"/>
              </w:rPr>
            </w:pPr>
          </w:p>
          <w:p w14:paraId="67773FF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标段</w:t>
            </w:r>
          </w:p>
        </w:tc>
        <w:tc>
          <w:tcPr>
            <w:tcW w:w="1596" w:type="pct"/>
            <w:vAlign w:val="center"/>
          </w:tcPr>
          <w:p w14:paraId="79847176">
            <w:pPr>
              <w:keepNext w:val="0"/>
              <w:keepLines w:val="0"/>
              <w:pageBreakBefore w:val="0"/>
              <w:widowControl w:val="0"/>
              <w:kinsoku/>
              <w:wordWrap/>
              <w:overflowPunct/>
              <w:topLinePunct w:val="0"/>
              <w:autoSpaceDE/>
              <w:autoSpaceDN/>
              <w:bidi w:val="0"/>
              <w:adjustRightInd/>
              <w:snapToGrid/>
              <w:spacing w:line="240" w:lineRule="auto"/>
              <w:ind w:left="0" w:firstLine="241" w:firstLineChars="100"/>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内容名称</w:t>
            </w:r>
          </w:p>
        </w:tc>
        <w:tc>
          <w:tcPr>
            <w:tcW w:w="780" w:type="pct"/>
            <w:vAlign w:val="center"/>
          </w:tcPr>
          <w:p w14:paraId="44198999">
            <w:pPr>
              <w:keepNext w:val="0"/>
              <w:keepLines w:val="0"/>
              <w:pageBreakBefore w:val="0"/>
              <w:widowControl w:val="0"/>
              <w:kinsoku/>
              <w:wordWrap/>
              <w:overflowPunct/>
              <w:topLinePunct w:val="0"/>
              <w:autoSpaceDE/>
              <w:autoSpaceDN/>
              <w:bidi w:val="0"/>
              <w:adjustRightInd/>
              <w:snapToGrid/>
              <w:spacing w:line="240" w:lineRule="auto"/>
              <w:ind w:left="0" w:firstLine="241" w:firstLineChars="100"/>
              <w:jc w:val="both"/>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服务期</w:t>
            </w:r>
          </w:p>
        </w:tc>
        <w:tc>
          <w:tcPr>
            <w:tcW w:w="1004" w:type="pct"/>
            <w:vAlign w:val="center"/>
          </w:tcPr>
          <w:p w14:paraId="3770659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最高限价投标折扣率(%)</w:t>
            </w:r>
          </w:p>
        </w:tc>
        <w:tc>
          <w:tcPr>
            <w:tcW w:w="1216" w:type="pct"/>
            <w:vAlign w:val="center"/>
          </w:tcPr>
          <w:p w14:paraId="35F687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综合单价折扣率(%)</w:t>
            </w:r>
          </w:p>
        </w:tc>
      </w:tr>
      <w:tr w14:paraId="1A74F8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5" w:hRule="atLeast"/>
          <w:jc w:val="center"/>
        </w:trPr>
        <w:tc>
          <w:tcPr>
            <w:tcW w:w="402" w:type="pct"/>
            <w:vAlign w:val="center"/>
          </w:tcPr>
          <w:p w14:paraId="2EF1508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1</w:t>
            </w:r>
          </w:p>
        </w:tc>
        <w:tc>
          <w:tcPr>
            <w:tcW w:w="1596" w:type="pct"/>
            <w:vAlign w:val="center"/>
          </w:tcPr>
          <w:p w14:paraId="346A8B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lang w:eastAsia="zh-CN"/>
              </w:rPr>
              <w:t>路桥区蓬街镇2025年度雨污管网养护及河道应急处理项目</w:t>
            </w:r>
          </w:p>
        </w:tc>
        <w:tc>
          <w:tcPr>
            <w:tcW w:w="780" w:type="pct"/>
            <w:vAlign w:val="center"/>
          </w:tcPr>
          <w:p w14:paraId="316A594D">
            <w:pPr>
              <w:keepNext w:val="0"/>
              <w:keepLines w:val="0"/>
              <w:pageBreakBefore w:val="0"/>
              <w:widowControl w:val="0"/>
              <w:kinsoku/>
              <w:wordWrap/>
              <w:overflowPunct/>
              <w:topLinePunct w:val="0"/>
              <w:autoSpaceDE/>
              <w:autoSpaceDN/>
              <w:bidi w:val="0"/>
              <w:adjustRightInd/>
              <w:snapToGrid/>
              <w:spacing w:line="240" w:lineRule="auto"/>
              <w:ind w:left="0" w:firstLine="241" w:firstLineChars="100"/>
              <w:jc w:val="center"/>
              <w:textAlignment w:val="auto"/>
              <w:rPr>
                <w:rFonts w:hint="eastAsia" w:ascii="宋体" w:hAnsi="宋体" w:eastAsia="宋体" w:cs="Times New Roman"/>
                <w:b/>
                <w:color w:val="auto"/>
                <w:sz w:val="24"/>
                <w:highlight w:val="none"/>
                <w:lang w:eastAsia="zh-CN"/>
              </w:rPr>
            </w:pPr>
            <w:r>
              <w:rPr>
                <w:rFonts w:hint="eastAsia" w:ascii="宋体" w:hAnsi="宋体" w:cs="Times New Roman"/>
                <w:b/>
                <w:color w:val="auto"/>
                <w:sz w:val="24"/>
                <w:highlight w:val="none"/>
                <w:lang w:eastAsia="zh-CN"/>
              </w:rPr>
              <w:t>一年或累计合同额达</w:t>
            </w:r>
            <w:r>
              <w:rPr>
                <w:rFonts w:hint="eastAsia" w:ascii="宋体" w:hAnsi="宋体" w:cs="Times New Roman"/>
                <w:b/>
                <w:color w:val="auto"/>
                <w:sz w:val="24"/>
                <w:highlight w:val="none"/>
                <w:lang w:val="en-US" w:eastAsia="zh-CN"/>
              </w:rPr>
              <w:t>24</w:t>
            </w:r>
            <w:r>
              <w:rPr>
                <w:rFonts w:hint="eastAsia" w:ascii="宋体" w:hAnsi="宋体" w:cs="Times New Roman"/>
                <w:b/>
                <w:color w:val="auto"/>
                <w:sz w:val="24"/>
                <w:highlight w:val="none"/>
                <w:lang w:eastAsia="zh-CN"/>
              </w:rPr>
              <w:t>0万合同终止</w:t>
            </w:r>
          </w:p>
        </w:tc>
        <w:tc>
          <w:tcPr>
            <w:tcW w:w="1004" w:type="pct"/>
            <w:vAlign w:val="center"/>
          </w:tcPr>
          <w:p w14:paraId="5C56A3AD">
            <w:pPr>
              <w:keepNext w:val="0"/>
              <w:keepLines w:val="0"/>
              <w:pageBreakBefore w:val="0"/>
              <w:widowControl w:val="0"/>
              <w:kinsoku/>
              <w:wordWrap/>
              <w:overflowPunct/>
              <w:topLinePunct w:val="0"/>
              <w:autoSpaceDE/>
              <w:autoSpaceDN/>
              <w:bidi w:val="0"/>
              <w:adjustRightInd/>
              <w:snapToGrid/>
              <w:spacing w:line="240" w:lineRule="auto"/>
              <w:ind w:left="0" w:firstLine="241" w:firstLineChars="100"/>
              <w:jc w:val="center"/>
              <w:textAlignment w:val="auto"/>
              <w:rPr>
                <w:rFonts w:hint="eastAsia" w:ascii="宋体" w:hAnsi="宋体" w:cs="Times New Roman"/>
                <w:b/>
                <w:color w:val="auto"/>
                <w:sz w:val="24"/>
                <w:highlight w:val="none"/>
              </w:rPr>
            </w:pPr>
            <w:r>
              <w:rPr>
                <w:rFonts w:hint="eastAsia" w:ascii="宋体" w:hAnsi="宋体" w:cs="Times New Roman"/>
                <w:b/>
                <w:color w:val="auto"/>
                <w:sz w:val="24"/>
                <w:highlight w:val="none"/>
              </w:rPr>
              <w:t>100</w:t>
            </w:r>
          </w:p>
        </w:tc>
        <w:tc>
          <w:tcPr>
            <w:tcW w:w="1216" w:type="pct"/>
            <w:vAlign w:val="center"/>
          </w:tcPr>
          <w:p w14:paraId="166E88D8">
            <w:pPr>
              <w:keepNext w:val="0"/>
              <w:keepLines w:val="0"/>
              <w:pageBreakBefore w:val="0"/>
              <w:widowControl w:val="0"/>
              <w:kinsoku/>
              <w:wordWrap/>
              <w:overflowPunct/>
              <w:topLinePunct w:val="0"/>
              <w:autoSpaceDE/>
              <w:autoSpaceDN/>
              <w:bidi w:val="0"/>
              <w:adjustRightInd/>
              <w:snapToGrid/>
              <w:spacing w:line="240" w:lineRule="auto"/>
              <w:ind w:left="0" w:firstLine="241" w:firstLineChars="100"/>
              <w:jc w:val="center"/>
              <w:textAlignment w:val="auto"/>
              <w:rPr>
                <w:rFonts w:hint="eastAsia" w:ascii="宋体" w:hAnsi="宋体" w:cs="Times New Roman"/>
                <w:b/>
                <w:color w:val="auto"/>
                <w:sz w:val="24"/>
                <w:highlight w:val="none"/>
              </w:rPr>
            </w:pPr>
          </w:p>
        </w:tc>
      </w:tr>
      <w:tr w14:paraId="4E0013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jc w:val="center"/>
        </w:trPr>
        <w:tc>
          <w:tcPr>
            <w:tcW w:w="5000" w:type="pct"/>
            <w:gridSpan w:val="5"/>
            <w:vAlign w:val="top"/>
          </w:tcPr>
          <w:p w14:paraId="5EFA4173">
            <w:pPr>
              <w:keepNext w:val="0"/>
              <w:keepLines w:val="0"/>
              <w:pageBreakBefore w:val="0"/>
              <w:widowControl w:val="0"/>
              <w:kinsoku/>
              <w:wordWrap/>
              <w:overflowPunct/>
              <w:topLinePunct w:val="0"/>
              <w:autoSpaceDE/>
              <w:autoSpaceDN/>
              <w:bidi w:val="0"/>
              <w:adjustRightInd/>
              <w:snapToGrid/>
              <w:spacing w:line="240" w:lineRule="auto"/>
              <w:ind w:left="0" w:firstLine="236" w:firstLineChars="100"/>
              <w:jc w:val="center"/>
              <w:textAlignment w:val="auto"/>
              <w:rPr>
                <w:rFonts w:ascii="微软雅黑" w:hAnsi="微软雅黑" w:eastAsia="微软雅黑" w:cs="微软雅黑"/>
                <w:color w:val="auto"/>
                <w:sz w:val="20"/>
                <w:szCs w:val="20"/>
                <w:highlight w:val="none"/>
              </w:rPr>
            </w:pPr>
            <w:r>
              <w:rPr>
                <w:rFonts w:ascii="微软雅黑" w:hAnsi="微软雅黑" w:eastAsia="微软雅黑" w:cs="微软雅黑"/>
                <w:color w:val="auto"/>
                <w:spacing w:val="18"/>
                <w:sz w:val="20"/>
                <w:szCs w:val="20"/>
                <w:highlight w:val="none"/>
              </w:rPr>
              <w:t>在</w:t>
            </w:r>
            <w:r>
              <w:rPr>
                <w:rFonts w:ascii="微软雅黑" w:hAnsi="微软雅黑" w:eastAsia="微软雅黑" w:cs="微软雅黑"/>
                <w:color w:val="auto"/>
                <w:spacing w:val="12"/>
                <w:sz w:val="20"/>
                <w:szCs w:val="20"/>
                <w:highlight w:val="none"/>
              </w:rPr>
              <w:t>政</w:t>
            </w:r>
            <w:r>
              <w:rPr>
                <w:rFonts w:ascii="微软雅黑" w:hAnsi="微软雅黑" w:eastAsia="微软雅黑" w:cs="微软雅黑"/>
                <w:color w:val="auto"/>
                <w:spacing w:val="9"/>
                <w:sz w:val="20"/>
                <w:szCs w:val="20"/>
                <w:highlight w:val="none"/>
              </w:rPr>
              <w:t>采云系统的开标一览表中填写折扣率</w:t>
            </w:r>
          </w:p>
        </w:tc>
      </w:tr>
    </w:tbl>
    <w:p w14:paraId="7E5C27EC">
      <w:pPr>
        <w:spacing w:line="360" w:lineRule="auto"/>
        <w:ind w:firstLine="480" w:firstLineChars="200"/>
        <w:jc w:val="left"/>
        <w:rPr>
          <w:rFonts w:hint="eastAsia" w:ascii="宋体" w:hAnsi="宋体" w:cs="宋体"/>
          <w:color w:val="auto"/>
          <w:sz w:val="24"/>
          <w:szCs w:val="32"/>
          <w:highlight w:val="none"/>
        </w:rPr>
      </w:pPr>
    </w:p>
    <w:p w14:paraId="7015A80D">
      <w:pPr>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注：1.出现以下4种报价填下情况的为无效投标：</w:t>
      </w:r>
    </w:p>
    <w:p w14:paraId="03432275">
      <w:pPr>
        <w:spacing w:line="360" w:lineRule="auto"/>
        <w:ind w:firstLine="840" w:firstLineChars="4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1)本表中投标折扣率不填写的；</w:t>
      </w:r>
    </w:p>
    <w:p w14:paraId="1639559E">
      <w:pPr>
        <w:spacing w:line="360" w:lineRule="auto"/>
        <w:ind w:firstLine="840" w:firstLineChars="4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2)本表中投标折扣率所填大于相应最高限价投标折扣率的；</w:t>
      </w:r>
    </w:p>
    <w:p w14:paraId="5C36C1A3">
      <w:pPr>
        <w:spacing w:line="360" w:lineRule="auto"/>
        <w:ind w:firstLine="840" w:firstLineChars="4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3)本表中投标折扣率小于等于0；</w:t>
      </w:r>
    </w:p>
    <w:p w14:paraId="55A736A4">
      <w:pPr>
        <w:spacing w:line="360" w:lineRule="auto"/>
        <w:ind w:firstLine="840" w:firstLineChars="4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4)本表中投标折扣率填写不符合数字规范的。</w:t>
      </w:r>
    </w:p>
    <w:p w14:paraId="586C0D80">
      <w:pPr>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2.投标折扣率填写可保留两位小数，小数点后第三位四舍五入(如99.99%)。</w:t>
      </w:r>
    </w:p>
    <w:p w14:paraId="49711014">
      <w:pPr>
        <w:spacing w:line="360" w:lineRule="auto"/>
        <w:ind w:firstLine="422" w:firstLineChars="200"/>
        <w:jc w:val="left"/>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3.结算单价=综合单价*投标折扣率，合同总价=预算总价</w:t>
      </w:r>
      <w:r>
        <w:rPr>
          <w:rFonts w:hint="eastAsia" w:ascii="宋体" w:hAnsi="宋体" w:cs="宋体"/>
          <w:b/>
          <w:bCs/>
          <w:color w:val="auto"/>
          <w:sz w:val="21"/>
          <w:szCs w:val="21"/>
          <w:highlight w:val="none"/>
          <w:lang w:val="en-US" w:eastAsia="zh-CN"/>
        </w:rPr>
        <w:t>240万</w:t>
      </w:r>
      <w:r>
        <w:rPr>
          <w:rFonts w:hint="eastAsia" w:ascii="宋体" w:hAnsi="宋体" w:cs="宋体"/>
          <w:b/>
          <w:bCs/>
          <w:color w:val="auto"/>
          <w:sz w:val="21"/>
          <w:szCs w:val="21"/>
          <w:highlight w:val="none"/>
        </w:rPr>
        <w:t>元。</w:t>
      </w:r>
    </w:p>
    <w:p w14:paraId="6305697E">
      <w:pPr>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报价一经涂改，应在涂改处加盖单位公章，或者由法定代表人或全权代表签字或盖章，否则其响应无效。</w:t>
      </w:r>
    </w:p>
    <w:p w14:paraId="06642B9D">
      <w:pPr>
        <w:spacing w:line="360" w:lineRule="auto"/>
        <w:ind w:firstLine="480" w:firstLineChars="200"/>
        <w:jc w:val="left"/>
        <w:rPr>
          <w:rFonts w:ascii="宋体" w:hAnsi="宋体" w:cs="宋体"/>
          <w:color w:val="auto"/>
          <w:sz w:val="24"/>
          <w:szCs w:val="32"/>
          <w:highlight w:val="none"/>
        </w:rPr>
      </w:pPr>
    </w:p>
    <w:p w14:paraId="7654B0D9">
      <w:pPr>
        <w:spacing w:line="48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投标</w:t>
      </w:r>
      <w:r>
        <w:rPr>
          <w:rFonts w:hint="eastAsia" w:ascii="宋体" w:hAnsi="宋体" w:cs="宋体"/>
          <w:color w:val="auto"/>
          <w:sz w:val="24"/>
          <w:highlight w:val="none"/>
        </w:rPr>
        <w:t>供应商名称（盖章）：</w:t>
      </w:r>
    </w:p>
    <w:p w14:paraId="2AB2E776">
      <w:pPr>
        <w:spacing w:line="480" w:lineRule="auto"/>
        <w:rPr>
          <w:rFonts w:hint="eastAsia" w:ascii="宋体" w:hAnsi="宋体" w:cs="宋体"/>
          <w:color w:val="auto"/>
          <w:sz w:val="24"/>
          <w:highlight w:val="none"/>
        </w:rPr>
      </w:pPr>
      <w:r>
        <w:rPr>
          <w:rFonts w:hint="eastAsia" w:ascii="宋体" w:hAnsi="宋体" w:cs="宋体"/>
          <w:color w:val="auto"/>
          <w:sz w:val="24"/>
          <w:highlight w:val="none"/>
          <w:lang w:eastAsia="zh-CN"/>
        </w:rPr>
        <w:t>法定代表人或其授权委托代理人</w:t>
      </w:r>
      <w:r>
        <w:rPr>
          <w:rFonts w:hint="eastAsia" w:ascii="宋体" w:hAnsi="宋体" w:cs="宋体"/>
          <w:color w:val="auto"/>
          <w:sz w:val="24"/>
          <w:highlight w:val="none"/>
        </w:rPr>
        <w:t>(签字或盖章)：</w:t>
      </w:r>
    </w:p>
    <w:p w14:paraId="105F3EF9">
      <w:pPr>
        <w:spacing w:line="48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日期：</w:t>
      </w:r>
    </w:p>
    <w:p w14:paraId="7641712A">
      <w:pPr>
        <w:rPr>
          <w:rFonts w:ascii="宋体" w:hAnsi="宋体" w:cs="宋体"/>
          <w:color w:val="auto"/>
          <w:sz w:val="24"/>
          <w:szCs w:val="32"/>
          <w:highlight w:val="none"/>
        </w:rPr>
      </w:pPr>
    </w:p>
    <w:p w14:paraId="5E33D220">
      <w:pPr>
        <w:rPr>
          <w:rFonts w:ascii="宋体" w:hAnsi="宋体" w:cs="宋体"/>
          <w:color w:val="auto"/>
          <w:sz w:val="24"/>
          <w:szCs w:val="32"/>
          <w:highlight w:val="none"/>
        </w:rPr>
      </w:pPr>
      <w:r>
        <w:rPr>
          <w:rFonts w:ascii="宋体" w:hAnsi="宋体" w:cs="宋体"/>
          <w:color w:val="auto"/>
          <w:sz w:val="24"/>
          <w:szCs w:val="32"/>
          <w:highlight w:val="none"/>
        </w:rPr>
        <w:br w:type="page"/>
      </w:r>
    </w:p>
    <w:p w14:paraId="728B325E">
      <w:pPr>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附件1</w:t>
      </w:r>
      <w:r>
        <w:rPr>
          <w:rFonts w:hint="eastAsia" w:ascii="宋体" w:hAnsi="宋体" w:cs="宋体"/>
          <w:b/>
          <w:color w:val="auto"/>
          <w:sz w:val="28"/>
          <w:highlight w:val="none"/>
          <w:lang w:val="en-US" w:eastAsia="zh-CN"/>
        </w:rPr>
        <w:t>3</w:t>
      </w:r>
    </w:p>
    <w:p w14:paraId="79469AFE">
      <w:pPr>
        <w:pStyle w:val="30"/>
        <w:rPr>
          <w:color w:val="auto"/>
          <w:highlight w:val="none"/>
        </w:rPr>
      </w:pPr>
    </w:p>
    <w:p w14:paraId="36C3D955">
      <w:pPr>
        <w:pStyle w:val="89"/>
        <w:widowControl w:val="0"/>
        <w:snapToGrid w:val="0"/>
        <w:spacing w:line="480" w:lineRule="auto"/>
        <w:jc w:val="center"/>
        <w:rPr>
          <w:rFonts w:hint="default" w:ascii="黑体" w:hAnsi="黑体" w:eastAsia="黑体" w:cs="黑体"/>
          <w:color w:val="auto"/>
          <w:kern w:val="0"/>
          <w:sz w:val="18"/>
          <w:szCs w:val="11"/>
          <w:highlight w:val="none"/>
        </w:rPr>
      </w:pPr>
      <w:r>
        <w:rPr>
          <w:rFonts w:ascii="黑体" w:hAnsi="黑体" w:eastAsia="黑体" w:cs="黑体"/>
          <w:color w:val="auto"/>
          <w:sz w:val="28"/>
          <w:szCs w:val="28"/>
          <w:highlight w:val="none"/>
        </w:rPr>
        <w:t>政府采购活动现场确认声明书</w:t>
      </w:r>
    </w:p>
    <w:p w14:paraId="3E3AB9DA">
      <w:pPr>
        <w:pStyle w:val="89"/>
        <w:widowControl w:val="0"/>
        <w:snapToGrid w:val="0"/>
        <w:spacing w:line="420" w:lineRule="auto"/>
        <w:jc w:val="both"/>
        <w:rPr>
          <w:rFonts w:hint="default" w:ascii="黑体" w:hAnsi="黑体" w:eastAsia="黑体" w:cs="黑体"/>
          <w:b/>
          <w:color w:val="auto"/>
          <w:sz w:val="20"/>
          <w:szCs w:val="15"/>
          <w:highlight w:val="none"/>
        </w:rPr>
      </w:pPr>
      <w:r>
        <w:rPr>
          <w:rFonts w:ascii="黑体" w:hAnsi="黑体" w:eastAsia="黑体" w:cs="黑体"/>
          <w:color w:val="auto"/>
          <w:kern w:val="0"/>
          <w:sz w:val="20"/>
          <w:szCs w:val="15"/>
          <w:highlight w:val="none"/>
        </w:rPr>
        <w:t>（采购组织机构名称）：</w:t>
      </w:r>
    </w:p>
    <w:p w14:paraId="60B39C76">
      <w:pPr>
        <w:pStyle w:val="89"/>
        <w:widowControl w:val="0"/>
        <w:snapToGrid w:val="0"/>
        <w:spacing w:line="420" w:lineRule="auto"/>
        <w:ind w:firstLine="424" w:firstLineChars="200"/>
        <w:jc w:val="both"/>
        <w:rPr>
          <w:rFonts w:hint="eastAsia" w:ascii="黑体" w:hAnsi="黑体" w:eastAsia="黑体" w:cs="黑体"/>
          <w:color w:val="auto"/>
          <w:spacing w:val="6"/>
          <w:sz w:val="20"/>
          <w:szCs w:val="15"/>
          <w:highlight w:val="none"/>
          <w:lang w:eastAsia="zh-CN"/>
        </w:rPr>
      </w:pPr>
      <w:r>
        <w:rPr>
          <w:rFonts w:ascii="黑体" w:hAnsi="黑体" w:eastAsia="黑体" w:cs="黑体"/>
          <w:color w:val="auto"/>
          <w:spacing w:val="6"/>
          <w:sz w:val="20"/>
          <w:szCs w:val="15"/>
          <w:highlight w:val="none"/>
        </w:rPr>
        <w:t>本人经由</w:t>
      </w:r>
      <w:r>
        <w:rPr>
          <w:rFonts w:ascii="黑体" w:hAnsi="黑体" w:eastAsia="黑体" w:cs="黑体"/>
          <w:color w:val="auto"/>
          <w:spacing w:val="6"/>
          <w:sz w:val="20"/>
          <w:szCs w:val="15"/>
          <w:highlight w:val="none"/>
          <w:u w:val="single"/>
        </w:rPr>
        <w:t>（单位）</w:t>
      </w:r>
      <w:r>
        <w:rPr>
          <w:rFonts w:ascii="黑体" w:hAnsi="黑体" w:eastAsia="黑体" w:cs="黑体"/>
          <w:color w:val="auto"/>
          <w:spacing w:val="6"/>
          <w:sz w:val="20"/>
          <w:szCs w:val="15"/>
          <w:highlight w:val="none"/>
        </w:rPr>
        <w:t>负责人</w:t>
      </w:r>
      <w:r>
        <w:rPr>
          <w:rFonts w:ascii="黑体" w:hAnsi="黑体" w:eastAsia="黑体" w:cs="黑体"/>
          <w:color w:val="auto"/>
          <w:spacing w:val="6"/>
          <w:sz w:val="20"/>
          <w:szCs w:val="15"/>
          <w:highlight w:val="none"/>
          <w:u w:val="single"/>
        </w:rPr>
        <w:t>（姓名）</w:t>
      </w:r>
      <w:r>
        <w:rPr>
          <w:rFonts w:ascii="黑体" w:hAnsi="黑体" w:eastAsia="黑体" w:cs="黑体"/>
          <w:color w:val="auto"/>
          <w:spacing w:val="6"/>
          <w:sz w:val="20"/>
          <w:szCs w:val="15"/>
          <w:highlight w:val="none"/>
        </w:rPr>
        <w:t>合法授权参加</w:t>
      </w:r>
      <w:r>
        <w:rPr>
          <w:rFonts w:hint="eastAsia" w:ascii="黑体" w:hAnsi="黑体" w:eastAsia="黑体" w:cs="黑体"/>
          <w:color w:val="auto"/>
          <w:spacing w:val="6"/>
          <w:sz w:val="20"/>
          <w:szCs w:val="15"/>
          <w:highlight w:val="none"/>
          <w:u w:val="single"/>
          <w:lang w:eastAsia="zh-CN"/>
        </w:rPr>
        <w:t>路桥区蓬街镇2025年度雨污管网养护及河道应急处理项目</w:t>
      </w:r>
      <w:r>
        <w:rPr>
          <w:rFonts w:ascii="黑体" w:hAnsi="黑体" w:eastAsia="黑体" w:cs="黑体"/>
          <w:color w:val="auto"/>
          <w:spacing w:val="6"/>
          <w:sz w:val="20"/>
          <w:szCs w:val="15"/>
          <w:highlight w:val="none"/>
        </w:rPr>
        <w:t>项目采购</w:t>
      </w:r>
      <w:r>
        <w:rPr>
          <w:rFonts w:ascii="黑体" w:hAnsi="黑体" w:eastAsia="黑体" w:cs="黑体"/>
          <w:color w:val="auto"/>
          <w:spacing w:val="6"/>
          <w:sz w:val="20"/>
          <w:szCs w:val="15"/>
          <w:highlight w:val="none"/>
          <w:u w:val="single"/>
        </w:rPr>
        <w:t>（编号：</w:t>
      </w:r>
      <w:r>
        <w:rPr>
          <w:rFonts w:ascii="黑体" w:hAnsi="黑体" w:eastAsia="黑体" w:cs="黑体"/>
          <w:color w:val="auto"/>
          <w:spacing w:val="6"/>
          <w:sz w:val="20"/>
          <w:szCs w:val="15"/>
          <w:highlight w:val="none"/>
        </w:rPr>
        <w:t>）政府采购活动，经与本单位法人代表（负责人）联系确认，现就有关公平竞争事项郑重声明如下：</w:t>
      </w:r>
    </w:p>
    <w:p w14:paraId="11FCA333">
      <w:pPr>
        <w:pStyle w:val="90"/>
        <w:widowControl/>
        <w:numPr>
          <w:ilvl w:val="0"/>
          <w:numId w:val="9"/>
        </w:numPr>
        <w:snapToGrid w:val="0"/>
        <w:spacing w:line="420" w:lineRule="auto"/>
        <w:ind w:firstLine="378" w:firstLineChars="189"/>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本单位与采购人之间</w:t>
      </w:r>
      <w:r>
        <w:rPr>
          <w:rFonts w:ascii="黑体" w:hAnsi="黑体" w:eastAsia="黑体" w:cs="黑体"/>
          <w:color w:val="auto"/>
          <w:kern w:val="0"/>
          <w:sz w:val="20"/>
          <w:szCs w:val="15"/>
          <w:highlight w:val="none"/>
        </w:rPr>
        <w:sym w:font="Wingdings 2" w:char="00A3"/>
      </w:r>
      <w:r>
        <w:rPr>
          <w:rFonts w:ascii="黑体" w:hAnsi="黑体" w:eastAsia="黑体" w:cs="黑体"/>
          <w:color w:val="auto"/>
          <w:kern w:val="0"/>
          <w:sz w:val="20"/>
          <w:szCs w:val="15"/>
          <w:highlight w:val="none"/>
        </w:rPr>
        <w:t>不存在利害关系□存在下列利害关系：</w:t>
      </w:r>
    </w:p>
    <w:p w14:paraId="470E4B93">
      <w:pPr>
        <w:pStyle w:val="90"/>
        <w:widowControl/>
        <w:snapToGrid w:val="0"/>
        <w:spacing w:line="420" w:lineRule="auto"/>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A.投资关系B.行政隶属关系C.业务指导关系</w:t>
      </w:r>
    </w:p>
    <w:p w14:paraId="390401CB">
      <w:pPr>
        <w:pStyle w:val="90"/>
        <w:widowControl/>
        <w:snapToGrid w:val="0"/>
        <w:spacing w:line="420" w:lineRule="auto"/>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D.其他可能</w:t>
      </w:r>
      <w:r>
        <w:rPr>
          <w:rFonts w:ascii="黑体" w:hAnsi="黑体" w:eastAsia="黑体" w:cs="黑体"/>
          <w:color w:val="auto"/>
          <w:sz w:val="20"/>
          <w:szCs w:val="15"/>
          <w:highlight w:val="none"/>
        </w:rPr>
        <w:t>影响采购公正的</w:t>
      </w:r>
      <w:r>
        <w:rPr>
          <w:rFonts w:ascii="黑体" w:hAnsi="黑体" w:eastAsia="黑体" w:cs="黑体"/>
          <w:color w:val="auto"/>
          <w:kern w:val="0"/>
          <w:sz w:val="20"/>
          <w:szCs w:val="15"/>
          <w:highlight w:val="none"/>
        </w:rPr>
        <w:t>利害关系</w:t>
      </w:r>
      <w:r>
        <w:rPr>
          <w:rFonts w:ascii="黑体" w:hAnsi="黑体" w:eastAsia="黑体" w:cs="黑体"/>
          <w:color w:val="auto"/>
          <w:kern w:val="0"/>
          <w:sz w:val="20"/>
          <w:szCs w:val="15"/>
          <w:highlight w:val="none"/>
          <w:u w:val="single"/>
        </w:rPr>
        <w:t>（如有，请如实说明）</w:t>
      </w:r>
      <w:r>
        <w:rPr>
          <w:rFonts w:ascii="黑体" w:hAnsi="黑体" w:eastAsia="黑体" w:cs="黑体"/>
          <w:color w:val="auto"/>
          <w:kern w:val="0"/>
          <w:sz w:val="20"/>
          <w:szCs w:val="15"/>
          <w:highlight w:val="none"/>
        </w:rPr>
        <w:t>。</w:t>
      </w:r>
    </w:p>
    <w:p w14:paraId="0B806C79">
      <w:pPr>
        <w:pStyle w:val="90"/>
        <w:widowControl/>
        <w:snapToGrid w:val="0"/>
        <w:spacing w:line="420" w:lineRule="auto"/>
        <w:ind w:left="199" w:leftChars="95" w:firstLine="0" w:firstLineChars="0"/>
        <w:rPr>
          <w:rFonts w:hint="default" w:ascii="黑体" w:hAnsi="黑体" w:eastAsia="黑体" w:cs="黑体"/>
          <w:color w:val="auto"/>
          <w:kern w:val="0"/>
          <w:sz w:val="20"/>
          <w:szCs w:val="15"/>
          <w:highlight w:val="none"/>
        </w:rPr>
      </w:pPr>
      <w:r>
        <w:rPr>
          <w:rFonts w:ascii="黑体" w:hAnsi="黑体" w:eastAsia="黑体" w:cs="黑体"/>
          <w:color w:val="auto"/>
          <w:spacing w:val="6"/>
          <w:sz w:val="20"/>
          <w:szCs w:val="15"/>
          <w:highlight w:val="none"/>
        </w:rPr>
        <w:t>二、</w:t>
      </w:r>
      <w:r>
        <w:rPr>
          <w:rFonts w:ascii="黑体" w:hAnsi="黑体" w:eastAsia="黑体" w:cs="黑体"/>
          <w:color w:val="auto"/>
          <w:kern w:val="0"/>
          <w:sz w:val="20"/>
          <w:szCs w:val="15"/>
          <w:highlight w:val="none"/>
        </w:rPr>
        <w:t>现已清楚知道参加本项目采购活动的其他所有供应商名称，本单位□与其他所有供应商之间均不存在利害关系</w:t>
      </w:r>
      <w:r>
        <w:rPr>
          <w:rFonts w:ascii="黑体" w:hAnsi="黑体" w:eastAsia="黑体" w:cs="黑体"/>
          <w:color w:val="auto"/>
          <w:kern w:val="0"/>
          <w:sz w:val="20"/>
          <w:szCs w:val="15"/>
          <w:highlight w:val="none"/>
        </w:rPr>
        <w:sym w:font="Wingdings 2" w:char="00A3"/>
      </w:r>
      <w:r>
        <w:rPr>
          <w:rFonts w:ascii="黑体" w:hAnsi="黑体" w:eastAsia="黑体" w:cs="黑体"/>
          <w:color w:val="auto"/>
          <w:kern w:val="0"/>
          <w:sz w:val="20"/>
          <w:szCs w:val="15"/>
          <w:highlight w:val="none"/>
        </w:rPr>
        <w:t>与</w:t>
      </w:r>
      <w:r>
        <w:rPr>
          <w:rFonts w:ascii="黑体" w:hAnsi="黑体" w:eastAsia="黑体" w:cs="黑体"/>
          <w:color w:val="auto"/>
          <w:kern w:val="0"/>
          <w:sz w:val="20"/>
          <w:szCs w:val="15"/>
          <w:highlight w:val="none"/>
          <w:u w:val="single"/>
        </w:rPr>
        <w:t>（供应商名称）</w:t>
      </w:r>
      <w:r>
        <w:rPr>
          <w:rFonts w:ascii="黑体" w:hAnsi="黑体" w:eastAsia="黑体" w:cs="黑体"/>
          <w:color w:val="auto"/>
          <w:kern w:val="0"/>
          <w:sz w:val="20"/>
          <w:szCs w:val="15"/>
          <w:highlight w:val="none"/>
        </w:rPr>
        <w:t>之间存在下列利害关系：</w:t>
      </w:r>
    </w:p>
    <w:p w14:paraId="69D40DD5">
      <w:pPr>
        <w:pStyle w:val="89"/>
        <w:widowControl w:val="0"/>
        <w:snapToGrid w:val="0"/>
        <w:spacing w:line="420" w:lineRule="auto"/>
        <w:ind w:firstLine="200" w:firstLineChars="100"/>
        <w:jc w:val="both"/>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A.法定代表人或负责人或实际控制人是同一人</w:t>
      </w:r>
    </w:p>
    <w:p w14:paraId="2D0D498B">
      <w:pPr>
        <w:pStyle w:val="89"/>
        <w:widowControl w:val="0"/>
        <w:snapToGrid w:val="0"/>
        <w:spacing w:line="420" w:lineRule="auto"/>
        <w:ind w:firstLine="200" w:firstLineChars="100"/>
        <w:jc w:val="both"/>
        <w:rPr>
          <w:rFonts w:hint="default" w:ascii="黑体" w:hAnsi="黑体" w:eastAsia="黑体" w:cs="黑体"/>
          <w:color w:val="auto"/>
          <w:spacing w:val="6"/>
          <w:sz w:val="20"/>
          <w:szCs w:val="15"/>
          <w:highlight w:val="none"/>
        </w:rPr>
      </w:pPr>
      <w:r>
        <w:rPr>
          <w:rFonts w:ascii="黑体" w:hAnsi="黑体" w:eastAsia="黑体" w:cs="黑体"/>
          <w:color w:val="auto"/>
          <w:kern w:val="0"/>
          <w:sz w:val="20"/>
          <w:szCs w:val="15"/>
          <w:highlight w:val="none"/>
        </w:rPr>
        <w:t>B.法定代表人或负责人或实际控制人是夫妻关系</w:t>
      </w:r>
    </w:p>
    <w:p w14:paraId="4ACDA0F9">
      <w:pPr>
        <w:pStyle w:val="89"/>
        <w:widowControl w:val="0"/>
        <w:snapToGrid w:val="0"/>
        <w:spacing w:line="420" w:lineRule="auto"/>
        <w:ind w:firstLine="200" w:firstLineChars="100"/>
        <w:jc w:val="both"/>
        <w:rPr>
          <w:rFonts w:hint="default" w:ascii="黑体" w:hAnsi="黑体" w:eastAsia="黑体" w:cs="黑体"/>
          <w:color w:val="auto"/>
          <w:spacing w:val="6"/>
          <w:sz w:val="20"/>
          <w:szCs w:val="15"/>
          <w:highlight w:val="none"/>
        </w:rPr>
      </w:pPr>
      <w:r>
        <w:rPr>
          <w:rFonts w:ascii="黑体" w:hAnsi="黑体" w:eastAsia="黑体" w:cs="黑体"/>
          <w:color w:val="auto"/>
          <w:kern w:val="0"/>
          <w:sz w:val="20"/>
          <w:szCs w:val="15"/>
          <w:highlight w:val="none"/>
        </w:rPr>
        <w:t>C.法定代表人或负责人或实际控制人是直系血亲关系</w:t>
      </w:r>
    </w:p>
    <w:p w14:paraId="391C24E5">
      <w:pPr>
        <w:pStyle w:val="89"/>
        <w:widowControl w:val="0"/>
        <w:snapToGrid w:val="0"/>
        <w:spacing w:line="420" w:lineRule="auto"/>
        <w:ind w:firstLine="200" w:firstLineChars="100"/>
        <w:jc w:val="both"/>
        <w:rPr>
          <w:rFonts w:hint="default" w:ascii="黑体" w:hAnsi="黑体" w:eastAsia="黑体" w:cs="黑体"/>
          <w:color w:val="auto"/>
          <w:spacing w:val="6"/>
          <w:sz w:val="20"/>
          <w:szCs w:val="15"/>
          <w:highlight w:val="none"/>
        </w:rPr>
      </w:pPr>
      <w:r>
        <w:rPr>
          <w:rFonts w:ascii="黑体" w:hAnsi="黑体" w:eastAsia="黑体" w:cs="黑体"/>
          <w:color w:val="auto"/>
          <w:kern w:val="0"/>
          <w:sz w:val="20"/>
          <w:szCs w:val="15"/>
          <w:highlight w:val="none"/>
        </w:rPr>
        <w:t>D.法定代表人或负责人或实际控制人存在三代以内旁系血亲关系</w:t>
      </w:r>
    </w:p>
    <w:p w14:paraId="6CBA39E0">
      <w:pPr>
        <w:pStyle w:val="89"/>
        <w:widowControl w:val="0"/>
        <w:snapToGrid w:val="0"/>
        <w:spacing w:line="420" w:lineRule="auto"/>
        <w:ind w:firstLine="200" w:firstLineChars="100"/>
        <w:jc w:val="both"/>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E.法定代表人或负责人或实际控制人存在近姻亲关系</w:t>
      </w:r>
    </w:p>
    <w:p w14:paraId="406C0621">
      <w:pPr>
        <w:pStyle w:val="89"/>
        <w:widowControl w:val="0"/>
        <w:snapToGrid w:val="0"/>
        <w:spacing w:line="420" w:lineRule="auto"/>
        <w:ind w:firstLine="200" w:firstLineChars="100"/>
        <w:jc w:val="both"/>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F.法定代表人或负责人或实际控制人存在股份控制或实际控制关系</w:t>
      </w:r>
    </w:p>
    <w:p w14:paraId="32577414">
      <w:pPr>
        <w:pStyle w:val="89"/>
        <w:widowControl w:val="0"/>
        <w:snapToGrid w:val="0"/>
        <w:spacing w:line="420" w:lineRule="auto"/>
        <w:ind w:firstLine="200" w:firstLineChars="100"/>
        <w:jc w:val="both"/>
        <w:outlineLvl w:val="0"/>
        <w:rPr>
          <w:rFonts w:hint="default" w:ascii="黑体" w:hAnsi="黑体" w:eastAsia="黑体" w:cs="黑体"/>
          <w:color w:val="auto"/>
          <w:kern w:val="0"/>
          <w:sz w:val="20"/>
          <w:szCs w:val="15"/>
          <w:highlight w:val="none"/>
        </w:rPr>
      </w:pPr>
      <w:r>
        <w:rPr>
          <w:rFonts w:ascii="黑体" w:hAnsi="黑体" w:eastAsia="黑体" w:cs="黑体"/>
          <w:color w:val="auto"/>
          <w:kern w:val="0"/>
          <w:sz w:val="20"/>
          <w:szCs w:val="15"/>
          <w:highlight w:val="none"/>
        </w:rPr>
        <w:t>G.存在共同直接或间接投资设立子公司、联营企业和合营企业情况</w:t>
      </w:r>
    </w:p>
    <w:p w14:paraId="22F67072">
      <w:pPr>
        <w:pStyle w:val="89"/>
        <w:widowControl w:val="0"/>
        <w:snapToGrid w:val="0"/>
        <w:spacing w:line="420" w:lineRule="auto"/>
        <w:ind w:firstLine="200" w:firstLineChars="100"/>
        <w:jc w:val="both"/>
        <w:rPr>
          <w:rFonts w:hint="default" w:ascii="黑体" w:hAnsi="黑体" w:eastAsia="黑体" w:cs="黑体"/>
          <w:color w:val="auto"/>
          <w:sz w:val="20"/>
          <w:szCs w:val="15"/>
          <w:highlight w:val="none"/>
        </w:rPr>
      </w:pPr>
      <w:r>
        <w:rPr>
          <w:rFonts w:ascii="黑体" w:hAnsi="黑体" w:eastAsia="黑体" w:cs="黑体"/>
          <w:color w:val="auto"/>
          <w:kern w:val="0"/>
          <w:sz w:val="20"/>
          <w:szCs w:val="15"/>
          <w:highlight w:val="none"/>
        </w:rPr>
        <w:t>H.存在分级代理或代销关系、同一生产制造商关系、</w:t>
      </w:r>
      <w:r>
        <w:rPr>
          <w:rFonts w:ascii="黑体" w:hAnsi="黑体" w:eastAsia="黑体" w:cs="黑体"/>
          <w:color w:val="auto"/>
          <w:sz w:val="20"/>
          <w:szCs w:val="15"/>
          <w:highlight w:val="none"/>
        </w:rPr>
        <w:t>管理关系、重要业务（占主营业务收入50%以上）或重要财务往来关系（如融资）等其他实质性控制关系</w:t>
      </w:r>
    </w:p>
    <w:p w14:paraId="67F6F044">
      <w:pPr>
        <w:pStyle w:val="89"/>
        <w:widowControl w:val="0"/>
        <w:snapToGrid w:val="0"/>
        <w:spacing w:line="420" w:lineRule="auto"/>
        <w:ind w:firstLine="200" w:firstLineChars="100"/>
        <w:jc w:val="both"/>
        <w:rPr>
          <w:rFonts w:hint="default" w:ascii="黑体" w:hAnsi="黑体" w:eastAsia="黑体" w:cs="黑体"/>
          <w:color w:val="auto"/>
          <w:spacing w:val="6"/>
          <w:sz w:val="20"/>
          <w:szCs w:val="15"/>
          <w:highlight w:val="none"/>
        </w:rPr>
      </w:pPr>
      <w:r>
        <w:rPr>
          <w:rFonts w:ascii="黑体" w:hAnsi="黑体" w:eastAsia="黑体" w:cs="黑体"/>
          <w:color w:val="auto"/>
          <w:sz w:val="20"/>
          <w:szCs w:val="15"/>
          <w:highlight w:val="none"/>
        </w:rPr>
        <w:t>I</w:t>
      </w:r>
      <w:r>
        <w:rPr>
          <w:rFonts w:ascii="黑体" w:hAnsi="黑体" w:eastAsia="黑体" w:cs="黑体"/>
          <w:color w:val="auto"/>
          <w:kern w:val="0"/>
          <w:sz w:val="20"/>
          <w:szCs w:val="15"/>
          <w:highlight w:val="none"/>
        </w:rPr>
        <w:t>.</w:t>
      </w:r>
      <w:r>
        <w:rPr>
          <w:rFonts w:ascii="黑体" w:hAnsi="黑体" w:eastAsia="黑体" w:cs="黑体"/>
          <w:color w:val="auto"/>
          <w:sz w:val="20"/>
          <w:szCs w:val="15"/>
          <w:highlight w:val="none"/>
        </w:rPr>
        <w:t>其他利害关系情况</w:t>
      </w:r>
      <w:r>
        <w:rPr>
          <w:rFonts w:ascii="黑体" w:hAnsi="黑体" w:eastAsia="黑体" w:cs="黑体"/>
          <w:color w:val="auto"/>
          <w:kern w:val="0"/>
          <w:sz w:val="20"/>
          <w:szCs w:val="15"/>
          <w:highlight w:val="none"/>
        </w:rPr>
        <w:t>。</w:t>
      </w:r>
    </w:p>
    <w:p w14:paraId="2C56D19F">
      <w:pPr>
        <w:pStyle w:val="90"/>
        <w:widowControl/>
        <w:numPr>
          <w:ilvl w:val="0"/>
          <w:numId w:val="10"/>
        </w:numPr>
        <w:snapToGrid w:val="0"/>
        <w:spacing w:line="420" w:lineRule="auto"/>
        <w:ind w:firstLine="378" w:firstLineChars="189"/>
        <w:rPr>
          <w:rFonts w:hint="default" w:ascii="黑体" w:hAnsi="黑体" w:eastAsia="黑体" w:cs="黑体"/>
          <w:color w:val="auto"/>
          <w:kern w:val="0"/>
          <w:sz w:val="20"/>
          <w:szCs w:val="15"/>
          <w:highlight w:val="none"/>
        </w:rPr>
      </w:pPr>
      <w:r>
        <w:rPr>
          <w:rFonts w:ascii="黑体" w:hAnsi="黑体" w:eastAsia="黑体" w:cs="黑体"/>
          <w:color w:val="auto"/>
          <w:sz w:val="20"/>
          <w:szCs w:val="15"/>
          <w:highlight w:val="none"/>
        </w:rPr>
        <w:t>现已清楚知道并</w:t>
      </w:r>
      <w:r>
        <w:rPr>
          <w:rFonts w:ascii="黑体" w:hAnsi="黑体" w:eastAsia="黑体" w:cs="黑体"/>
          <w:color w:val="auto"/>
          <w:kern w:val="0"/>
          <w:sz w:val="20"/>
          <w:szCs w:val="15"/>
          <w:highlight w:val="none"/>
        </w:rPr>
        <w:t>严格遵守政府采购法律法规和现场纪律。</w:t>
      </w:r>
    </w:p>
    <w:p w14:paraId="252DEC83">
      <w:pPr>
        <w:pStyle w:val="90"/>
        <w:widowControl/>
        <w:numPr>
          <w:ilvl w:val="0"/>
          <w:numId w:val="10"/>
        </w:numPr>
        <w:snapToGrid w:val="0"/>
        <w:spacing w:line="420" w:lineRule="auto"/>
        <w:ind w:firstLine="378" w:firstLineChars="189"/>
        <w:jc w:val="left"/>
        <w:rPr>
          <w:rFonts w:hint="default" w:ascii="黑体" w:hAnsi="黑体" w:eastAsia="黑体" w:cs="黑体"/>
          <w:color w:val="auto"/>
          <w:sz w:val="20"/>
          <w:szCs w:val="15"/>
          <w:highlight w:val="none"/>
        </w:rPr>
      </w:pPr>
      <w:r>
        <w:rPr>
          <w:rFonts w:ascii="黑体" w:hAnsi="黑体" w:eastAsia="黑体" w:cs="黑体"/>
          <w:color w:val="auto"/>
          <w:kern w:val="0"/>
          <w:sz w:val="20"/>
          <w:szCs w:val="15"/>
          <w:highlight w:val="none"/>
        </w:rPr>
        <w:t>我发现供应商之间存在或可能存在上述第二条第项利害关系</w:t>
      </w:r>
      <w:r>
        <w:rPr>
          <w:rFonts w:ascii="黑体" w:hAnsi="黑体" w:eastAsia="黑体" w:cs="黑体"/>
          <w:color w:val="auto"/>
          <w:sz w:val="20"/>
          <w:szCs w:val="15"/>
          <w:highlight w:val="none"/>
        </w:rPr>
        <w:t>（供应商代表签名）</w:t>
      </w:r>
    </w:p>
    <w:p w14:paraId="5863492B">
      <w:pPr>
        <w:pStyle w:val="14"/>
        <w:jc w:val="right"/>
        <w:rPr>
          <w:color w:val="auto"/>
          <w:highlight w:val="none"/>
        </w:rPr>
      </w:pPr>
      <w:r>
        <w:rPr>
          <w:rFonts w:hint="eastAsia" w:ascii="黑体" w:hAnsi="黑体" w:eastAsia="黑体" w:cs="黑体"/>
          <w:color w:val="auto"/>
          <w:sz w:val="20"/>
          <w:szCs w:val="15"/>
          <w:highlight w:val="none"/>
        </w:rPr>
        <w:t>年</w:t>
      </w:r>
      <w:r>
        <w:rPr>
          <w:rFonts w:hint="eastAsia" w:ascii="黑体" w:hAnsi="黑体" w:eastAsia="黑体" w:cs="黑体"/>
          <w:color w:val="auto"/>
          <w:sz w:val="20"/>
          <w:szCs w:val="15"/>
          <w:highlight w:val="none"/>
          <w:lang w:val="en-US" w:eastAsia="zh-CN"/>
        </w:rPr>
        <w:t xml:space="preserve">   </w:t>
      </w:r>
      <w:r>
        <w:rPr>
          <w:rFonts w:hint="eastAsia" w:ascii="黑体" w:hAnsi="黑体" w:eastAsia="黑体" w:cs="黑体"/>
          <w:color w:val="auto"/>
          <w:sz w:val="20"/>
          <w:szCs w:val="15"/>
          <w:highlight w:val="none"/>
        </w:rPr>
        <w:t>月</w:t>
      </w:r>
      <w:r>
        <w:rPr>
          <w:rFonts w:hint="eastAsia" w:ascii="黑体" w:hAnsi="黑体" w:eastAsia="黑体" w:cs="黑体"/>
          <w:color w:val="auto"/>
          <w:sz w:val="20"/>
          <w:szCs w:val="15"/>
          <w:highlight w:val="none"/>
          <w:lang w:val="en-US" w:eastAsia="zh-CN"/>
        </w:rPr>
        <w:t xml:space="preserve">  </w:t>
      </w:r>
      <w:r>
        <w:rPr>
          <w:rFonts w:hint="eastAsia" w:ascii="黑体" w:hAnsi="黑体" w:eastAsia="黑体" w:cs="黑体"/>
          <w:color w:val="auto"/>
          <w:sz w:val="20"/>
          <w:szCs w:val="15"/>
          <w:highlight w:val="none"/>
        </w:rPr>
        <w:t>日</w:t>
      </w:r>
    </w:p>
    <w:p w14:paraId="27BCA5C8">
      <w:pPr>
        <w:spacing w:line="360" w:lineRule="auto"/>
        <w:ind w:firstLine="480" w:firstLineChars="200"/>
        <w:rPr>
          <w:rFonts w:ascii="宋体" w:hAnsi="宋体" w:cs="宋体"/>
          <w:color w:val="auto"/>
          <w:sz w:val="24"/>
          <w:highlight w:val="none"/>
        </w:rPr>
      </w:pPr>
    </w:p>
    <w:p w14:paraId="086A6F2F">
      <w:pPr>
        <w:spacing w:line="360" w:lineRule="auto"/>
        <w:ind w:firstLine="480" w:firstLineChars="200"/>
        <w:rPr>
          <w:rFonts w:ascii="宋体" w:hAnsi="宋体" w:cs="宋体"/>
          <w:color w:val="auto"/>
          <w:sz w:val="24"/>
        </w:rPr>
      </w:pPr>
      <w:r>
        <w:rPr>
          <w:rFonts w:hint="eastAsia" w:ascii="宋体" w:hAnsi="宋体" w:cs="宋体"/>
          <w:color w:val="auto"/>
          <w:sz w:val="24"/>
        </w:rPr>
        <w:t>(参加本项目采购活动的供应商须填写“政府采购活动现场确认声明书”，并在开标后30分钟内将扫描件发送至代理机构邮箱61353540@qq.com)</w:t>
      </w:r>
    </w:p>
    <w:p w14:paraId="5E329FED">
      <w:pPr>
        <w:spacing w:line="360" w:lineRule="auto"/>
        <w:ind w:firstLine="480" w:firstLineChars="200"/>
        <w:rPr>
          <w:rFonts w:ascii="宋体" w:hAnsi="宋体" w:cs="宋体"/>
          <w:color w:val="auto"/>
          <w:sz w:val="24"/>
        </w:rPr>
      </w:pPr>
    </w:p>
    <w:sectPr>
      <w:headerReference r:id="rId7" w:type="default"/>
      <w:footerReference r:id="rId8" w:type="default"/>
      <w:pgSz w:w="11906" w:h="16838"/>
      <w:pgMar w:top="1240" w:right="1486" w:bottom="1440" w:left="16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源淏窪极潠极2.">
    <w:altName w:val="Microsoft JhengHei"/>
    <w:panose1 w:val="00000000000000000000"/>
    <w:charset w:val="88"/>
    <w:family w:val="swiss"/>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Wingdings 2">
    <w:altName w:val="Wingdings"/>
    <w:panose1 w:val="05020102010507070707"/>
    <w:charset w:val="02"/>
    <w:family w:val="roman"/>
    <w:pitch w:val="default"/>
    <w:sig w:usb0="00000000" w:usb1="00000000" w:usb2="00000000" w:usb3="00000000" w:csb0="80000000" w:csb1="00000000"/>
  </w:font>
  <w:font w:name="新宋体">
    <w:panose1 w:val="02010609030101010101"/>
    <w:charset w:val="86"/>
    <w:family w:val="modern"/>
    <w:pitch w:val="default"/>
    <w:sig w:usb0="00000283" w:usb1="288F0000" w:usb2="00000006" w:usb3="00000000" w:csb0="00040001"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972DA">
    <w:pPr>
      <w:pStyle w:val="21"/>
      <w:framePr w:wrap="around" w:vAnchor="text" w:hAnchor="margin" w:xAlign="center" w:y="1"/>
      <w:rPr>
        <w:rStyle w:val="35"/>
      </w:rPr>
    </w:pPr>
    <w:r>
      <w:fldChar w:fldCharType="begin"/>
    </w:r>
    <w:r>
      <w:rPr>
        <w:rStyle w:val="35"/>
      </w:rPr>
      <w:instrText xml:space="preserve">PAGE  </w:instrText>
    </w:r>
    <w:r>
      <w:fldChar w:fldCharType="end"/>
    </w:r>
  </w:p>
  <w:p w14:paraId="4F85571F">
    <w:pPr>
      <w:pStyle w:val="2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D874D">
    <w:pPr>
      <w:pStyle w:val="2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25AFF3">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B25AFF3">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58D7C">
    <w:pPr>
      <w:pStyle w:val="2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Style w:val="35"/>
                            </w:rPr>
                            <w:id w:val="-1781565429"/>
                          </w:sdtPr>
                          <w:sdtEndPr>
                            <w:rPr>
                              <w:rStyle w:val="35"/>
                            </w:rPr>
                          </w:sdtEndPr>
                          <w:sdtContent>
                            <w:p w14:paraId="5894AE18">
                              <w:pPr>
                                <w:pStyle w:val="21"/>
                                <w:rPr>
                                  <w:rStyle w:val="35"/>
                                </w:rPr>
                              </w:pPr>
                              <w:r>
                                <w:rPr>
                                  <w:rStyle w:val="35"/>
                                </w:rPr>
                                <w:fldChar w:fldCharType="begin"/>
                              </w:r>
                              <w:r>
                                <w:rPr>
                                  <w:rStyle w:val="35"/>
                                </w:rPr>
                                <w:instrText xml:space="preserve"> PAGE </w:instrText>
                              </w:r>
                              <w:r>
                                <w:rPr>
                                  <w:rStyle w:val="35"/>
                                </w:rPr>
                                <w:fldChar w:fldCharType="separate"/>
                              </w:r>
                              <w:r>
                                <w:rPr>
                                  <w:rStyle w:val="35"/>
                                </w:rPr>
                                <w:t>57</w:t>
                              </w:r>
                              <w:r>
                                <w:rPr>
                                  <w:rStyle w:val="35"/>
                                </w:rPr>
                                <w:fldChar w:fldCharType="end"/>
                              </w:r>
                            </w:p>
                          </w:sdtContent>
                        </w:sdt>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sdt>
                    <w:sdtPr>
                      <w:rPr>
                        <w:rStyle w:val="35"/>
                      </w:rPr>
                      <w:id w:val="-1781565429"/>
                    </w:sdtPr>
                    <w:sdtEndPr>
                      <w:rPr>
                        <w:rStyle w:val="35"/>
                      </w:rPr>
                    </w:sdtEndPr>
                    <w:sdtContent>
                      <w:p w14:paraId="5894AE18">
                        <w:pPr>
                          <w:pStyle w:val="21"/>
                          <w:rPr>
                            <w:rStyle w:val="35"/>
                          </w:rPr>
                        </w:pPr>
                        <w:r>
                          <w:rPr>
                            <w:rStyle w:val="35"/>
                          </w:rPr>
                          <w:fldChar w:fldCharType="begin"/>
                        </w:r>
                        <w:r>
                          <w:rPr>
                            <w:rStyle w:val="35"/>
                          </w:rPr>
                          <w:instrText xml:space="preserve"> PAGE </w:instrText>
                        </w:r>
                        <w:r>
                          <w:rPr>
                            <w:rStyle w:val="35"/>
                          </w:rPr>
                          <w:fldChar w:fldCharType="separate"/>
                        </w:r>
                        <w:r>
                          <w:rPr>
                            <w:rStyle w:val="35"/>
                          </w:rPr>
                          <w:t>57</w:t>
                        </w:r>
                        <w:r>
                          <w:rPr>
                            <w:rStyle w:val="35"/>
                          </w:rPr>
                          <w:fldChar w:fldCharType="end"/>
                        </w:r>
                      </w:p>
                    </w:sdtContent>
                  </w:sdt>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C2E4E">
    <w:pPr>
      <w:pStyle w:val="2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9F684">
    <w:pPr>
      <w:pStyle w:val="23"/>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B4C74">
    <w:pPr>
      <w:pStyle w:val="23"/>
      <w:pBdr>
        <w:bottom w:val="none" w:color="auto" w:sz="0" w:space="0"/>
      </w:pBdr>
      <w:ind w:right="90"/>
      <w:jc w:val="right"/>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08CF31"/>
    <w:multiLevelType w:val="singleLevel"/>
    <w:tmpl w:val="8A08CF31"/>
    <w:lvl w:ilvl="0" w:tentative="0">
      <w:start w:val="13"/>
      <w:numFmt w:val="decimal"/>
      <w:suff w:val="nothing"/>
      <w:lvlText w:val="%1、"/>
      <w:lvlJc w:val="left"/>
    </w:lvl>
  </w:abstractNum>
  <w:abstractNum w:abstractNumId="1">
    <w:nsid w:val="D6FB1D56"/>
    <w:multiLevelType w:val="singleLevel"/>
    <w:tmpl w:val="D6FB1D56"/>
    <w:lvl w:ilvl="0" w:tentative="0">
      <w:start w:val="1"/>
      <w:numFmt w:val="chineseCounting"/>
      <w:suff w:val="nothing"/>
      <w:lvlText w:val="%1、"/>
      <w:lvlJc w:val="left"/>
      <w:rPr>
        <w:rFonts w:hint="eastAsia"/>
      </w:rPr>
    </w:lvl>
  </w:abstractNum>
  <w:abstractNum w:abstractNumId="2">
    <w:nsid w:val="E5C6651E"/>
    <w:multiLevelType w:val="singleLevel"/>
    <w:tmpl w:val="E5C6651E"/>
    <w:lvl w:ilvl="0" w:tentative="0">
      <w:start w:val="2"/>
      <w:numFmt w:val="chineseCounting"/>
      <w:suff w:val="nothing"/>
      <w:lvlText w:val="%1、"/>
      <w:lvlJc w:val="left"/>
      <w:rPr>
        <w:rFonts w:hint="eastAsia"/>
      </w:rPr>
    </w:lvl>
  </w:abstractNum>
  <w:abstractNum w:abstractNumId="3">
    <w:nsid w:val="00000001"/>
    <w:multiLevelType w:val="singleLevel"/>
    <w:tmpl w:val="00000001"/>
    <w:lvl w:ilvl="0" w:tentative="0">
      <w:start w:val="1"/>
      <w:numFmt w:val="decimal"/>
      <w:pStyle w:val="10"/>
      <w:lvlText w:val="%1."/>
      <w:lvlJc w:val="left"/>
      <w:pPr>
        <w:tabs>
          <w:tab w:val="left" w:pos="360"/>
        </w:tabs>
        <w:ind w:left="360" w:hanging="360"/>
      </w:pPr>
      <w:rPr>
        <w:rFonts w:cs="Times New Roman"/>
      </w:rPr>
    </w:lvl>
  </w:abstractNum>
  <w:abstractNum w:abstractNumId="4">
    <w:nsid w:val="1B1A61AA"/>
    <w:multiLevelType w:val="multilevel"/>
    <w:tmpl w:val="1B1A61AA"/>
    <w:lvl w:ilvl="0" w:tentative="0">
      <w:start w:val="1"/>
      <w:numFmt w:val="decimal"/>
      <w:lvlText w:val="%1"/>
      <w:lvlJc w:val="left"/>
      <w:pPr>
        <w:ind w:left="420" w:hanging="420"/>
      </w:pPr>
      <w:rPr>
        <w:rFonts w:hint="eastAsia"/>
        <w:b w:val="0"/>
        <w:i w:val="0"/>
        <w:sz w:val="36"/>
      </w:rPr>
    </w:lvl>
    <w:lvl w:ilvl="1" w:tentative="0">
      <w:start w:val="1"/>
      <w:numFmt w:val="decimal"/>
      <w:isLgl/>
      <w:suff w:val="space"/>
      <w:lvlText w:val="%1.%2"/>
      <w:lvlJc w:val="left"/>
      <w:pPr>
        <w:ind w:left="992" w:hanging="992"/>
      </w:pPr>
      <w:rPr>
        <w:rFonts w:hint="default" w:ascii="Times New Roman" w:hAnsi="Times New Roman" w:eastAsia="黑体"/>
        <w:b w:val="0"/>
        <w:i w:val="0"/>
        <w:sz w:val="32"/>
      </w:rPr>
    </w:lvl>
    <w:lvl w:ilvl="2" w:tentative="0">
      <w:start w:val="1"/>
      <w:numFmt w:val="decimal"/>
      <w:isLgl/>
      <w:suff w:val="space"/>
      <w:lvlText w:val="%1.%2.%3"/>
      <w:lvlJc w:val="left"/>
      <w:rPr>
        <w:rFonts w:hint="eastAsia" w:ascii="Times New Roman" w:hAnsi="Times New Roman"/>
        <w:b w:val="0"/>
        <w:i w:val="0"/>
        <w:iCs w:val="0"/>
        <w:caps w:val="0"/>
        <w:smallCaps w:val="0"/>
        <w:strike w:val="0"/>
        <w:dstrike w:val="0"/>
        <w:vanish w:val="0"/>
        <w:color w:val="000000"/>
        <w:spacing w:val="0"/>
        <w:position w:val="0"/>
        <w:u w:val="none"/>
        <w:vertAlign w:val="baseline"/>
      </w:rPr>
    </w:lvl>
    <w:lvl w:ilvl="3" w:tentative="0">
      <w:start w:val="1"/>
      <w:numFmt w:val="decimal"/>
      <w:isLgl/>
      <w:suff w:val="space"/>
      <w:lvlText w:val="%1.%2.%3.%4"/>
      <w:lvlJc w:val="left"/>
      <w:pPr>
        <w:ind w:left="1984" w:hanging="1984"/>
      </w:pPr>
      <w:rPr>
        <w:rFonts w:hint="default" w:ascii="Times New Roman" w:hAnsi="Times New Roman" w:eastAsia="黑体"/>
        <w:b w:val="0"/>
        <w:i w:val="0"/>
        <w:sz w:val="28"/>
        <w:szCs w:val="28"/>
      </w:rPr>
    </w:lvl>
    <w:lvl w:ilvl="4" w:tentative="0">
      <w:start w:val="1"/>
      <w:numFmt w:val="decimal"/>
      <w:pStyle w:val="94"/>
      <w:lvlText w:val="（%5）"/>
      <w:lvlJc w:val="left"/>
      <w:rPr>
        <w:rFonts w:ascii="Times New Roman" w:hAnsi="Times New Roman"/>
        <w:b w:val="0"/>
        <w:bCs w:val="0"/>
        <w:i w:val="0"/>
        <w:iCs w:val="0"/>
        <w:caps w:val="0"/>
        <w:smallCaps w:val="0"/>
        <w:strike w:val="0"/>
        <w:dstrike w:val="0"/>
        <w:vanish w:val="0"/>
        <w:color w:val="000000"/>
        <w:spacing w:val="0"/>
        <w:position w:val="0"/>
        <w:u w:val="none"/>
        <w:vertAlign w:val="baseline"/>
      </w:rPr>
    </w:lvl>
    <w:lvl w:ilvl="5" w:tentative="0">
      <w:start w:val="1"/>
      <w:numFmt w:val="decimal"/>
      <w:lvlRestart w:val="1"/>
      <w:isLgl/>
      <w:suff w:val="space"/>
      <w:lvlText w:val="图%1-%6"/>
      <w:lvlJc w:val="left"/>
      <w:rPr>
        <w:rFonts w:hint="eastAsia"/>
        <w:b w:val="0"/>
        <w:bCs w:val="0"/>
        <w:i w:val="0"/>
        <w:iCs w:val="0"/>
        <w:caps w:val="0"/>
        <w:smallCaps w:val="0"/>
        <w:strike w:val="0"/>
        <w:dstrike w:val="0"/>
        <w:vanish w:val="0"/>
        <w:color w:val="000000"/>
        <w:spacing w:val="0"/>
        <w:position w:val="0"/>
        <w:u w:val="none"/>
        <w:vertAlign w:val="baseline"/>
      </w:rPr>
    </w:lvl>
    <w:lvl w:ilvl="6" w:tentative="0">
      <w:start w:val="1"/>
      <w:numFmt w:val="decimal"/>
      <w:lvlRestart w:val="1"/>
      <w:isLgl/>
      <w:suff w:val="space"/>
      <w:lvlText w:val="表%1-%7"/>
      <w:lvlJc w:val="left"/>
      <w:pPr>
        <w:ind w:left="3827" w:hanging="1276"/>
      </w:pPr>
      <w:rPr>
        <w:rFonts w:hint="default" w:ascii="Times New Roman" w:hAnsi="Times New Roman" w:eastAsia="黑体"/>
        <w:b w:val="0"/>
        <w:i w:val="0"/>
        <w:sz w:val="24"/>
        <w:szCs w:val="24"/>
        <w:lang w:val="en-US"/>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625E924F"/>
    <w:multiLevelType w:val="singleLevel"/>
    <w:tmpl w:val="625E924F"/>
    <w:lvl w:ilvl="0" w:tentative="0">
      <w:start w:val="2"/>
      <w:numFmt w:val="decimal"/>
      <w:suff w:val="nothing"/>
      <w:lvlText w:val="%1、"/>
      <w:lvlJc w:val="left"/>
    </w:lvl>
  </w:abstractNum>
  <w:abstractNum w:abstractNumId="8">
    <w:nsid w:val="70A228AE"/>
    <w:multiLevelType w:val="singleLevel"/>
    <w:tmpl w:val="70A228AE"/>
    <w:lvl w:ilvl="0" w:tentative="0">
      <w:start w:val="1"/>
      <w:numFmt w:val="chineseCounting"/>
      <w:suff w:val="nothing"/>
      <w:lvlText w:val="（%1）"/>
      <w:lvlJc w:val="left"/>
      <w:rPr>
        <w:rFonts w:hint="eastAsia"/>
      </w:rPr>
    </w:lvl>
  </w:abstractNum>
  <w:abstractNum w:abstractNumId="9">
    <w:nsid w:val="79189F0A"/>
    <w:multiLevelType w:val="singleLevel"/>
    <w:tmpl w:val="79189F0A"/>
    <w:lvl w:ilvl="0" w:tentative="0">
      <w:start w:val="5"/>
      <w:numFmt w:val="decimal"/>
      <w:suff w:val="nothing"/>
      <w:lvlText w:val="%1、"/>
      <w:lvlJc w:val="left"/>
    </w:lvl>
  </w:abstractNum>
  <w:num w:numId="1">
    <w:abstractNumId w:val="3"/>
  </w:num>
  <w:num w:numId="2">
    <w:abstractNumId w:val="4"/>
  </w:num>
  <w:num w:numId="3">
    <w:abstractNumId w:val="1"/>
  </w:num>
  <w:num w:numId="4">
    <w:abstractNumId w:val="9"/>
  </w:num>
  <w:num w:numId="5">
    <w:abstractNumId w:val="7"/>
  </w:num>
  <w:num w:numId="6">
    <w:abstractNumId w:val="0"/>
  </w:num>
  <w:num w:numId="7">
    <w:abstractNumId w:val="8"/>
  </w:num>
  <w:num w:numId="8">
    <w:abstractNumId w:val="2"/>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xZTMyZWU5MmE5M2I3ODlmYzg0ZGQ0OGVlOGQ2NmMifQ=="/>
  </w:docVars>
  <w:rsids>
    <w:rsidRoot w:val="00172A27"/>
    <w:rsid w:val="0000021E"/>
    <w:rsid w:val="00002725"/>
    <w:rsid w:val="00004E14"/>
    <w:rsid w:val="00011925"/>
    <w:rsid w:val="00016260"/>
    <w:rsid w:val="00016352"/>
    <w:rsid w:val="00020300"/>
    <w:rsid w:val="0002035B"/>
    <w:rsid w:val="00022EAA"/>
    <w:rsid w:val="00023E05"/>
    <w:rsid w:val="00024425"/>
    <w:rsid w:val="000247FB"/>
    <w:rsid w:val="00027893"/>
    <w:rsid w:val="000326B0"/>
    <w:rsid w:val="000372D1"/>
    <w:rsid w:val="000403F7"/>
    <w:rsid w:val="00043064"/>
    <w:rsid w:val="0004422B"/>
    <w:rsid w:val="0006294D"/>
    <w:rsid w:val="00062AB3"/>
    <w:rsid w:val="000630DA"/>
    <w:rsid w:val="00067E9E"/>
    <w:rsid w:val="00076157"/>
    <w:rsid w:val="00076AE8"/>
    <w:rsid w:val="00077FF4"/>
    <w:rsid w:val="00082C5B"/>
    <w:rsid w:val="0008554A"/>
    <w:rsid w:val="000858FC"/>
    <w:rsid w:val="00090256"/>
    <w:rsid w:val="00091A62"/>
    <w:rsid w:val="00093018"/>
    <w:rsid w:val="00094391"/>
    <w:rsid w:val="00094592"/>
    <w:rsid w:val="000A2082"/>
    <w:rsid w:val="000A4A61"/>
    <w:rsid w:val="000C6C10"/>
    <w:rsid w:val="000D2684"/>
    <w:rsid w:val="000D4D4C"/>
    <w:rsid w:val="000E09CF"/>
    <w:rsid w:val="000E0C24"/>
    <w:rsid w:val="000E3C68"/>
    <w:rsid w:val="000E5FE8"/>
    <w:rsid w:val="000E691D"/>
    <w:rsid w:val="000F2C12"/>
    <w:rsid w:val="000F3600"/>
    <w:rsid w:val="000F553F"/>
    <w:rsid w:val="000F59DF"/>
    <w:rsid w:val="001002FA"/>
    <w:rsid w:val="00104725"/>
    <w:rsid w:val="00106C48"/>
    <w:rsid w:val="00107284"/>
    <w:rsid w:val="00107618"/>
    <w:rsid w:val="00107BF6"/>
    <w:rsid w:val="00114247"/>
    <w:rsid w:val="0012474C"/>
    <w:rsid w:val="00124C8E"/>
    <w:rsid w:val="001265C7"/>
    <w:rsid w:val="001334F2"/>
    <w:rsid w:val="001358F3"/>
    <w:rsid w:val="0014385D"/>
    <w:rsid w:val="00146B91"/>
    <w:rsid w:val="00153EA3"/>
    <w:rsid w:val="00154541"/>
    <w:rsid w:val="001553A8"/>
    <w:rsid w:val="00165E90"/>
    <w:rsid w:val="00165F2A"/>
    <w:rsid w:val="00170CBE"/>
    <w:rsid w:val="00172A27"/>
    <w:rsid w:val="00180836"/>
    <w:rsid w:val="00180B61"/>
    <w:rsid w:val="00186933"/>
    <w:rsid w:val="00186F5F"/>
    <w:rsid w:val="00193F7F"/>
    <w:rsid w:val="001B18D6"/>
    <w:rsid w:val="001B3E7B"/>
    <w:rsid w:val="001C07DD"/>
    <w:rsid w:val="001C198A"/>
    <w:rsid w:val="001C34BF"/>
    <w:rsid w:val="001C57F3"/>
    <w:rsid w:val="001C60B0"/>
    <w:rsid w:val="001D45E4"/>
    <w:rsid w:val="001F271D"/>
    <w:rsid w:val="001F3BCF"/>
    <w:rsid w:val="002004F0"/>
    <w:rsid w:val="00201D2F"/>
    <w:rsid w:val="00201D62"/>
    <w:rsid w:val="00203C2F"/>
    <w:rsid w:val="0020573B"/>
    <w:rsid w:val="002129A8"/>
    <w:rsid w:val="0021318F"/>
    <w:rsid w:val="00213575"/>
    <w:rsid w:val="0021621F"/>
    <w:rsid w:val="00231D3B"/>
    <w:rsid w:val="00236B91"/>
    <w:rsid w:val="00236F72"/>
    <w:rsid w:val="00241352"/>
    <w:rsid w:val="00250013"/>
    <w:rsid w:val="00250146"/>
    <w:rsid w:val="00251F5A"/>
    <w:rsid w:val="00257EDB"/>
    <w:rsid w:val="002604BD"/>
    <w:rsid w:val="0027073C"/>
    <w:rsid w:val="0027243D"/>
    <w:rsid w:val="00272EFA"/>
    <w:rsid w:val="00273F22"/>
    <w:rsid w:val="00286DC1"/>
    <w:rsid w:val="00290CFA"/>
    <w:rsid w:val="002919D1"/>
    <w:rsid w:val="00292AF9"/>
    <w:rsid w:val="002A003D"/>
    <w:rsid w:val="002A1620"/>
    <w:rsid w:val="002A52AF"/>
    <w:rsid w:val="002A5E2F"/>
    <w:rsid w:val="002B37A3"/>
    <w:rsid w:val="002B6305"/>
    <w:rsid w:val="002B78F1"/>
    <w:rsid w:val="002B7926"/>
    <w:rsid w:val="002C0D3B"/>
    <w:rsid w:val="002C0EF3"/>
    <w:rsid w:val="002C5C4C"/>
    <w:rsid w:val="002E005C"/>
    <w:rsid w:val="002E0B0D"/>
    <w:rsid w:val="002E2F02"/>
    <w:rsid w:val="002F4ACB"/>
    <w:rsid w:val="003010D2"/>
    <w:rsid w:val="0030238E"/>
    <w:rsid w:val="003067B0"/>
    <w:rsid w:val="00307A6E"/>
    <w:rsid w:val="003102FB"/>
    <w:rsid w:val="003111EC"/>
    <w:rsid w:val="00316DC9"/>
    <w:rsid w:val="003277BB"/>
    <w:rsid w:val="0033011F"/>
    <w:rsid w:val="00330F4A"/>
    <w:rsid w:val="00332E30"/>
    <w:rsid w:val="0034542D"/>
    <w:rsid w:val="00350555"/>
    <w:rsid w:val="00353DAF"/>
    <w:rsid w:val="00360282"/>
    <w:rsid w:val="0036458C"/>
    <w:rsid w:val="0037291E"/>
    <w:rsid w:val="00380B6A"/>
    <w:rsid w:val="00381630"/>
    <w:rsid w:val="0038290D"/>
    <w:rsid w:val="00390276"/>
    <w:rsid w:val="00394F4B"/>
    <w:rsid w:val="00395796"/>
    <w:rsid w:val="003A2894"/>
    <w:rsid w:val="003B081D"/>
    <w:rsid w:val="003B2FE2"/>
    <w:rsid w:val="003B5A4C"/>
    <w:rsid w:val="003B5E94"/>
    <w:rsid w:val="003B5EDF"/>
    <w:rsid w:val="003C020E"/>
    <w:rsid w:val="003C1712"/>
    <w:rsid w:val="003C1A9B"/>
    <w:rsid w:val="003C5E00"/>
    <w:rsid w:val="003C7C2D"/>
    <w:rsid w:val="003D5902"/>
    <w:rsid w:val="003E17DF"/>
    <w:rsid w:val="003E6DE1"/>
    <w:rsid w:val="003F098A"/>
    <w:rsid w:val="003F11AD"/>
    <w:rsid w:val="003F595C"/>
    <w:rsid w:val="003F5CCC"/>
    <w:rsid w:val="003F78E0"/>
    <w:rsid w:val="004025E7"/>
    <w:rsid w:val="0040397A"/>
    <w:rsid w:val="00403E05"/>
    <w:rsid w:val="00407CBB"/>
    <w:rsid w:val="00410D25"/>
    <w:rsid w:val="00413664"/>
    <w:rsid w:val="00415411"/>
    <w:rsid w:val="00415F4C"/>
    <w:rsid w:val="00437388"/>
    <w:rsid w:val="00441AFB"/>
    <w:rsid w:val="00441FAE"/>
    <w:rsid w:val="00446CEF"/>
    <w:rsid w:val="00452368"/>
    <w:rsid w:val="0045765B"/>
    <w:rsid w:val="00457A86"/>
    <w:rsid w:val="004605CE"/>
    <w:rsid w:val="00483323"/>
    <w:rsid w:val="00483402"/>
    <w:rsid w:val="00485524"/>
    <w:rsid w:val="00485DC1"/>
    <w:rsid w:val="00491BDF"/>
    <w:rsid w:val="0049522F"/>
    <w:rsid w:val="004A46C1"/>
    <w:rsid w:val="004A7B62"/>
    <w:rsid w:val="004B4165"/>
    <w:rsid w:val="004B4449"/>
    <w:rsid w:val="004C0814"/>
    <w:rsid w:val="004C34D6"/>
    <w:rsid w:val="004C66AA"/>
    <w:rsid w:val="004D506E"/>
    <w:rsid w:val="004E0E18"/>
    <w:rsid w:val="004E4CEE"/>
    <w:rsid w:val="004E57BC"/>
    <w:rsid w:val="004F53E5"/>
    <w:rsid w:val="00501A00"/>
    <w:rsid w:val="00506714"/>
    <w:rsid w:val="0051020A"/>
    <w:rsid w:val="0051049B"/>
    <w:rsid w:val="00531666"/>
    <w:rsid w:val="0053231F"/>
    <w:rsid w:val="00542F87"/>
    <w:rsid w:val="00547439"/>
    <w:rsid w:val="00561EDD"/>
    <w:rsid w:val="00562158"/>
    <w:rsid w:val="00563184"/>
    <w:rsid w:val="00564273"/>
    <w:rsid w:val="00564C3D"/>
    <w:rsid w:val="00564DDB"/>
    <w:rsid w:val="00567E5D"/>
    <w:rsid w:val="00570D6E"/>
    <w:rsid w:val="0057499E"/>
    <w:rsid w:val="00583A77"/>
    <w:rsid w:val="005963D8"/>
    <w:rsid w:val="005A142C"/>
    <w:rsid w:val="005B1213"/>
    <w:rsid w:val="005B2D3B"/>
    <w:rsid w:val="005B636D"/>
    <w:rsid w:val="005D0736"/>
    <w:rsid w:val="005D20A2"/>
    <w:rsid w:val="005D31BA"/>
    <w:rsid w:val="005D65E7"/>
    <w:rsid w:val="005E026A"/>
    <w:rsid w:val="005E4DE6"/>
    <w:rsid w:val="005F18BF"/>
    <w:rsid w:val="00607591"/>
    <w:rsid w:val="00616E31"/>
    <w:rsid w:val="00616EFD"/>
    <w:rsid w:val="0062039B"/>
    <w:rsid w:val="00630A76"/>
    <w:rsid w:val="00635425"/>
    <w:rsid w:val="00636172"/>
    <w:rsid w:val="0064110E"/>
    <w:rsid w:val="00645CA0"/>
    <w:rsid w:val="00646CA0"/>
    <w:rsid w:val="00651A71"/>
    <w:rsid w:val="006540F3"/>
    <w:rsid w:val="00655E3C"/>
    <w:rsid w:val="006566B7"/>
    <w:rsid w:val="00665F91"/>
    <w:rsid w:val="00674C42"/>
    <w:rsid w:val="00681712"/>
    <w:rsid w:val="00683B8B"/>
    <w:rsid w:val="00694D3E"/>
    <w:rsid w:val="00695914"/>
    <w:rsid w:val="00697B4C"/>
    <w:rsid w:val="006A2C6E"/>
    <w:rsid w:val="006A39C4"/>
    <w:rsid w:val="006A3DEC"/>
    <w:rsid w:val="006A5B3F"/>
    <w:rsid w:val="006A5E2E"/>
    <w:rsid w:val="006C426A"/>
    <w:rsid w:val="006D0F8B"/>
    <w:rsid w:val="006D2D38"/>
    <w:rsid w:val="006D3554"/>
    <w:rsid w:val="006D433E"/>
    <w:rsid w:val="006D6513"/>
    <w:rsid w:val="006E2BA9"/>
    <w:rsid w:val="006E313E"/>
    <w:rsid w:val="006E5A80"/>
    <w:rsid w:val="006E5CC4"/>
    <w:rsid w:val="006E6A15"/>
    <w:rsid w:val="006F32B5"/>
    <w:rsid w:val="006F4DFE"/>
    <w:rsid w:val="006F7901"/>
    <w:rsid w:val="0070022D"/>
    <w:rsid w:val="0070279A"/>
    <w:rsid w:val="00714010"/>
    <w:rsid w:val="00716A13"/>
    <w:rsid w:val="00722FE9"/>
    <w:rsid w:val="007264F9"/>
    <w:rsid w:val="0073609B"/>
    <w:rsid w:val="00737AE2"/>
    <w:rsid w:val="00744D9E"/>
    <w:rsid w:val="007521F0"/>
    <w:rsid w:val="0075349E"/>
    <w:rsid w:val="00754602"/>
    <w:rsid w:val="0076384C"/>
    <w:rsid w:val="007671D5"/>
    <w:rsid w:val="00783370"/>
    <w:rsid w:val="00793C81"/>
    <w:rsid w:val="00795AF6"/>
    <w:rsid w:val="00796898"/>
    <w:rsid w:val="007A0856"/>
    <w:rsid w:val="007A1CBC"/>
    <w:rsid w:val="007A2629"/>
    <w:rsid w:val="007A5C4A"/>
    <w:rsid w:val="007B0751"/>
    <w:rsid w:val="007B3939"/>
    <w:rsid w:val="007B4ABB"/>
    <w:rsid w:val="007B4EB9"/>
    <w:rsid w:val="007C07A0"/>
    <w:rsid w:val="007C0DBB"/>
    <w:rsid w:val="007C1005"/>
    <w:rsid w:val="007D1C76"/>
    <w:rsid w:val="007D5CDA"/>
    <w:rsid w:val="007F1B8E"/>
    <w:rsid w:val="007F37CF"/>
    <w:rsid w:val="007F4B55"/>
    <w:rsid w:val="007F5FAF"/>
    <w:rsid w:val="00802325"/>
    <w:rsid w:val="00802591"/>
    <w:rsid w:val="00802730"/>
    <w:rsid w:val="00804DAB"/>
    <w:rsid w:val="0081029C"/>
    <w:rsid w:val="008154BD"/>
    <w:rsid w:val="00815B9C"/>
    <w:rsid w:val="00817DE2"/>
    <w:rsid w:val="008218B6"/>
    <w:rsid w:val="00823978"/>
    <w:rsid w:val="00824F89"/>
    <w:rsid w:val="00827866"/>
    <w:rsid w:val="008360FA"/>
    <w:rsid w:val="00837645"/>
    <w:rsid w:val="00837DED"/>
    <w:rsid w:val="00841080"/>
    <w:rsid w:val="00847BE5"/>
    <w:rsid w:val="008600D9"/>
    <w:rsid w:val="00860396"/>
    <w:rsid w:val="0088066B"/>
    <w:rsid w:val="008872E1"/>
    <w:rsid w:val="00890B7C"/>
    <w:rsid w:val="00892B3C"/>
    <w:rsid w:val="008A269F"/>
    <w:rsid w:val="008A3EB8"/>
    <w:rsid w:val="008A4030"/>
    <w:rsid w:val="008B2817"/>
    <w:rsid w:val="008C1E23"/>
    <w:rsid w:val="008D6982"/>
    <w:rsid w:val="008D750E"/>
    <w:rsid w:val="008E5C97"/>
    <w:rsid w:val="008E781F"/>
    <w:rsid w:val="00900418"/>
    <w:rsid w:val="00912983"/>
    <w:rsid w:val="009159D7"/>
    <w:rsid w:val="00917BAF"/>
    <w:rsid w:val="00934DA7"/>
    <w:rsid w:val="00935406"/>
    <w:rsid w:val="009413E3"/>
    <w:rsid w:val="00944004"/>
    <w:rsid w:val="00944EE4"/>
    <w:rsid w:val="00946162"/>
    <w:rsid w:val="00952BE7"/>
    <w:rsid w:val="009559E0"/>
    <w:rsid w:val="0095727A"/>
    <w:rsid w:val="00962BC6"/>
    <w:rsid w:val="009644FB"/>
    <w:rsid w:val="009648A4"/>
    <w:rsid w:val="00966677"/>
    <w:rsid w:val="0096763B"/>
    <w:rsid w:val="00980B6D"/>
    <w:rsid w:val="00984BE5"/>
    <w:rsid w:val="00986274"/>
    <w:rsid w:val="009901C4"/>
    <w:rsid w:val="00990C1C"/>
    <w:rsid w:val="00997302"/>
    <w:rsid w:val="009A10C8"/>
    <w:rsid w:val="009A5B0B"/>
    <w:rsid w:val="009B3E22"/>
    <w:rsid w:val="009D43CF"/>
    <w:rsid w:val="009E44E6"/>
    <w:rsid w:val="009F3459"/>
    <w:rsid w:val="009F36F6"/>
    <w:rsid w:val="00A0357F"/>
    <w:rsid w:val="00A06856"/>
    <w:rsid w:val="00A12F71"/>
    <w:rsid w:val="00A13743"/>
    <w:rsid w:val="00A17880"/>
    <w:rsid w:val="00A221E0"/>
    <w:rsid w:val="00A259CC"/>
    <w:rsid w:val="00A30B75"/>
    <w:rsid w:val="00A327F8"/>
    <w:rsid w:val="00A364BB"/>
    <w:rsid w:val="00A4022E"/>
    <w:rsid w:val="00A41C0A"/>
    <w:rsid w:val="00A4392D"/>
    <w:rsid w:val="00A44875"/>
    <w:rsid w:val="00A512AC"/>
    <w:rsid w:val="00A54E3A"/>
    <w:rsid w:val="00A649FA"/>
    <w:rsid w:val="00A711E2"/>
    <w:rsid w:val="00A71D8E"/>
    <w:rsid w:val="00A730CA"/>
    <w:rsid w:val="00A747D6"/>
    <w:rsid w:val="00A74969"/>
    <w:rsid w:val="00A74AEF"/>
    <w:rsid w:val="00A766B8"/>
    <w:rsid w:val="00A82D2D"/>
    <w:rsid w:val="00A833E9"/>
    <w:rsid w:val="00A8490B"/>
    <w:rsid w:val="00A85500"/>
    <w:rsid w:val="00A925C1"/>
    <w:rsid w:val="00A93CD3"/>
    <w:rsid w:val="00AA4834"/>
    <w:rsid w:val="00AB0F9B"/>
    <w:rsid w:val="00AB5951"/>
    <w:rsid w:val="00AC0891"/>
    <w:rsid w:val="00AD7F13"/>
    <w:rsid w:val="00AE0E1E"/>
    <w:rsid w:val="00AE4058"/>
    <w:rsid w:val="00AF276E"/>
    <w:rsid w:val="00AF4215"/>
    <w:rsid w:val="00B0420E"/>
    <w:rsid w:val="00B155F4"/>
    <w:rsid w:val="00B26662"/>
    <w:rsid w:val="00B27238"/>
    <w:rsid w:val="00B30FF1"/>
    <w:rsid w:val="00B3187B"/>
    <w:rsid w:val="00B3290F"/>
    <w:rsid w:val="00B4672E"/>
    <w:rsid w:val="00B504F7"/>
    <w:rsid w:val="00B55F7A"/>
    <w:rsid w:val="00B56EE0"/>
    <w:rsid w:val="00B60A86"/>
    <w:rsid w:val="00B61366"/>
    <w:rsid w:val="00B62C80"/>
    <w:rsid w:val="00B631C7"/>
    <w:rsid w:val="00B64328"/>
    <w:rsid w:val="00B83B78"/>
    <w:rsid w:val="00B854D5"/>
    <w:rsid w:val="00B905FE"/>
    <w:rsid w:val="00B9481C"/>
    <w:rsid w:val="00B94CEE"/>
    <w:rsid w:val="00B9692D"/>
    <w:rsid w:val="00BB7B5B"/>
    <w:rsid w:val="00BC33A1"/>
    <w:rsid w:val="00BD2FCF"/>
    <w:rsid w:val="00BD63A9"/>
    <w:rsid w:val="00BE0ADF"/>
    <w:rsid w:val="00BE1978"/>
    <w:rsid w:val="00BE773E"/>
    <w:rsid w:val="00BF048C"/>
    <w:rsid w:val="00BF0646"/>
    <w:rsid w:val="00BF10D5"/>
    <w:rsid w:val="00C00060"/>
    <w:rsid w:val="00C02F34"/>
    <w:rsid w:val="00C03BDD"/>
    <w:rsid w:val="00C07DC2"/>
    <w:rsid w:val="00C167EE"/>
    <w:rsid w:val="00C44AFB"/>
    <w:rsid w:val="00C52E14"/>
    <w:rsid w:val="00C57611"/>
    <w:rsid w:val="00C61A45"/>
    <w:rsid w:val="00C61D80"/>
    <w:rsid w:val="00C630F3"/>
    <w:rsid w:val="00C637D2"/>
    <w:rsid w:val="00C71336"/>
    <w:rsid w:val="00C767D4"/>
    <w:rsid w:val="00C87B83"/>
    <w:rsid w:val="00C92973"/>
    <w:rsid w:val="00C92D14"/>
    <w:rsid w:val="00CA4246"/>
    <w:rsid w:val="00CA5A3F"/>
    <w:rsid w:val="00CA67A3"/>
    <w:rsid w:val="00CB0437"/>
    <w:rsid w:val="00CB062C"/>
    <w:rsid w:val="00CB3F15"/>
    <w:rsid w:val="00CB4835"/>
    <w:rsid w:val="00CC1B00"/>
    <w:rsid w:val="00CC232E"/>
    <w:rsid w:val="00CC60D1"/>
    <w:rsid w:val="00CC67C0"/>
    <w:rsid w:val="00CC777B"/>
    <w:rsid w:val="00CC7BFD"/>
    <w:rsid w:val="00CD1804"/>
    <w:rsid w:val="00CF6A74"/>
    <w:rsid w:val="00D04836"/>
    <w:rsid w:val="00D112FF"/>
    <w:rsid w:val="00D12CD8"/>
    <w:rsid w:val="00D16E8F"/>
    <w:rsid w:val="00D264AC"/>
    <w:rsid w:val="00D32DEF"/>
    <w:rsid w:val="00D45209"/>
    <w:rsid w:val="00D5269F"/>
    <w:rsid w:val="00D53411"/>
    <w:rsid w:val="00D60EDD"/>
    <w:rsid w:val="00D635CD"/>
    <w:rsid w:val="00D71F3D"/>
    <w:rsid w:val="00D75635"/>
    <w:rsid w:val="00D81788"/>
    <w:rsid w:val="00D94F60"/>
    <w:rsid w:val="00D97DFE"/>
    <w:rsid w:val="00DA1255"/>
    <w:rsid w:val="00DA25C4"/>
    <w:rsid w:val="00DA45EB"/>
    <w:rsid w:val="00DA637E"/>
    <w:rsid w:val="00DB1C05"/>
    <w:rsid w:val="00DB2B95"/>
    <w:rsid w:val="00DB31ED"/>
    <w:rsid w:val="00DB6334"/>
    <w:rsid w:val="00DB6BC1"/>
    <w:rsid w:val="00DC17EE"/>
    <w:rsid w:val="00DC320A"/>
    <w:rsid w:val="00DC5866"/>
    <w:rsid w:val="00DD259B"/>
    <w:rsid w:val="00DE2A5D"/>
    <w:rsid w:val="00DE640F"/>
    <w:rsid w:val="00E03B74"/>
    <w:rsid w:val="00E041B0"/>
    <w:rsid w:val="00E05C35"/>
    <w:rsid w:val="00E11C81"/>
    <w:rsid w:val="00E12D7E"/>
    <w:rsid w:val="00E26F6D"/>
    <w:rsid w:val="00E311F5"/>
    <w:rsid w:val="00E319E7"/>
    <w:rsid w:val="00E372BC"/>
    <w:rsid w:val="00E40C6C"/>
    <w:rsid w:val="00E431E8"/>
    <w:rsid w:val="00E447A2"/>
    <w:rsid w:val="00E5016E"/>
    <w:rsid w:val="00E55753"/>
    <w:rsid w:val="00E5795A"/>
    <w:rsid w:val="00E624D9"/>
    <w:rsid w:val="00E80E15"/>
    <w:rsid w:val="00E87789"/>
    <w:rsid w:val="00E87963"/>
    <w:rsid w:val="00E920A5"/>
    <w:rsid w:val="00E94A62"/>
    <w:rsid w:val="00EA115F"/>
    <w:rsid w:val="00EC016B"/>
    <w:rsid w:val="00ED2410"/>
    <w:rsid w:val="00EE270B"/>
    <w:rsid w:val="00EE2B18"/>
    <w:rsid w:val="00EE7F15"/>
    <w:rsid w:val="00EF2797"/>
    <w:rsid w:val="00F00987"/>
    <w:rsid w:val="00F046C9"/>
    <w:rsid w:val="00F04DAA"/>
    <w:rsid w:val="00F07EDC"/>
    <w:rsid w:val="00F127FF"/>
    <w:rsid w:val="00F145DB"/>
    <w:rsid w:val="00F249F9"/>
    <w:rsid w:val="00F34A11"/>
    <w:rsid w:val="00F37C03"/>
    <w:rsid w:val="00F4152C"/>
    <w:rsid w:val="00F438B1"/>
    <w:rsid w:val="00F5332A"/>
    <w:rsid w:val="00F549A5"/>
    <w:rsid w:val="00F609F8"/>
    <w:rsid w:val="00F63E39"/>
    <w:rsid w:val="00F643F2"/>
    <w:rsid w:val="00F64E95"/>
    <w:rsid w:val="00F65AD7"/>
    <w:rsid w:val="00F74D1E"/>
    <w:rsid w:val="00F835F4"/>
    <w:rsid w:val="00F9168C"/>
    <w:rsid w:val="00F94869"/>
    <w:rsid w:val="00FA672D"/>
    <w:rsid w:val="00FB6001"/>
    <w:rsid w:val="00FB729A"/>
    <w:rsid w:val="00FB7C45"/>
    <w:rsid w:val="00FC0E03"/>
    <w:rsid w:val="00FC2794"/>
    <w:rsid w:val="00FC52DD"/>
    <w:rsid w:val="00FC54C4"/>
    <w:rsid w:val="00FC6190"/>
    <w:rsid w:val="00FC6950"/>
    <w:rsid w:val="00FD4AA7"/>
    <w:rsid w:val="00FE15D2"/>
    <w:rsid w:val="00FE2BF3"/>
    <w:rsid w:val="00FE41DB"/>
    <w:rsid w:val="01366CEE"/>
    <w:rsid w:val="013B05A4"/>
    <w:rsid w:val="015D09D0"/>
    <w:rsid w:val="0162067B"/>
    <w:rsid w:val="01935887"/>
    <w:rsid w:val="01FD51F7"/>
    <w:rsid w:val="022F3D89"/>
    <w:rsid w:val="0248373E"/>
    <w:rsid w:val="025F3B59"/>
    <w:rsid w:val="026B5F45"/>
    <w:rsid w:val="026C002A"/>
    <w:rsid w:val="0286182B"/>
    <w:rsid w:val="02B25B77"/>
    <w:rsid w:val="02C62933"/>
    <w:rsid w:val="02C643DA"/>
    <w:rsid w:val="02CF1D14"/>
    <w:rsid w:val="03546F93"/>
    <w:rsid w:val="03887300"/>
    <w:rsid w:val="03AB5C14"/>
    <w:rsid w:val="03AD3543"/>
    <w:rsid w:val="04187F8F"/>
    <w:rsid w:val="043018BB"/>
    <w:rsid w:val="04397505"/>
    <w:rsid w:val="045E051E"/>
    <w:rsid w:val="045F085E"/>
    <w:rsid w:val="04AE50DC"/>
    <w:rsid w:val="04CC341D"/>
    <w:rsid w:val="04F74AC8"/>
    <w:rsid w:val="04FF4D08"/>
    <w:rsid w:val="05067E2F"/>
    <w:rsid w:val="05137CD7"/>
    <w:rsid w:val="056C0C89"/>
    <w:rsid w:val="0580501B"/>
    <w:rsid w:val="060B26E0"/>
    <w:rsid w:val="061C2DA3"/>
    <w:rsid w:val="064779B5"/>
    <w:rsid w:val="06693463"/>
    <w:rsid w:val="06733183"/>
    <w:rsid w:val="067745BC"/>
    <w:rsid w:val="069758D8"/>
    <w:rsid w:val="06A6112A"/>
    <w:rsid w:val="06D36447"/>
    <w:rsid w:val="070B6B66"/>
    <w:rsid w:val="0726191C"/>
    <w:rsid w:val="074E7C2E"/>
    <w:rsid w:val="07891B39"/>
    <w:rsid w:val="08201321"/>
    <w:rsid w:val="08303797"/>
    <w:rsid w:val="08314B23"/>
    <w:rsid w:val="08690A5E"/>
    <w:rsid w:val="086C0E69"/>
    <w:rsid w:val="087E6150"/>
    <w:rsid w:val="08971E61"/>
    <w:rsid w:val="08D66A7F"/>
    <w:rsid w:val="0901703D"/>
    <w:rsid w:val="091A0E76"/>
    <w:rsid w:val="097A796A"/>
    <w:rsid w:val="09930D65"/>
    <w:rsid w:val="099C1689"/>
    <w:rsid w:val="09C01932"/>
    <w:rsid w:val="0A2C35DE"/>
    <w:rsid w:val="0A3C0A8A"/>
    <w:rsid w:val="0A5D1978"/>
    <w:rsid w:val="0A97284D"/>
    <w:rsid w:val="0AC753FE"/>
    <w:rsid w:val="0ADB4F19"/>
    <w:rsid w:val="0AE54FA1"/>
    <w:rsid w:val="0AE74CDE"/>
    <w:rsid w:val="0AFC1330"/>
    <w:rsid w:val="0B123A5A"/>
    <w:rsid w:val="0B143E9F"/>
    <w:rsid w:val="0B4E34C6"/>
    <w:rsid w:val="0B60671A"/>
    <w:rsid w:val="0B71366F"/>
    <w:rsid w:val="0B8E2B02"/>
    <w:rsid w:val="0BBA1B60"/>
    <w:rsid w:val="0BFC6774"/>
    <w:rsid w:val="0C017447"/>
    <w:rsid w:val="0C1E2BA0"/>
    <w:rsid w:val="0C765CB2"/>
    <w:rsid w:val="0CCE3D8B"/>
    <w:rsid w:val="0CED6A37"/>
    <w:rsid w:val="0D5368BF"/>
    <w:rsid w:val="0D7C10F1"/>
    <w:rsid w:val="0DB65B78"/>
    <w:rsid w:val="0DD061AE"/>
    <w:rsid w:val="0E1A08A4"/>
    <w:rsid w:val="0E970358"/>
    <w:rsid w:val="0EC169E9"/>
    <w:rsid w:val="0ED55764"/>
    <w:rsid w:val="0EE14A09"/>
    <w:rsid w:val="0F6E58F7"/>
    <w:rsid w:val="0F9D1FCB"/>
    <w:rsid w:val="0FCE32B3"/>
    <w:rsid w:val="0FDE143F"/>
    <w:rsid w:val="10032795"/>
    <w:rsid w:val="10053DFB"/>
    <w:rsid w:val="10282250"/>
    <w:rsid w:val="10392EAE"/>
    <w:rsid w:val="10706EC2"/>
    <w:rsid w:val="10925FEF"/>
    <w:rsid w:val="10E911DA"/>
    <w:rsid w:val="10FB52A6"/>
    <w:rsid w:val="114D620F"/>
    <w:rsid w:val="12112AFD"/>
    <w:rsid w:val="121F52B1"/>
    <w:rsid w:val="122D52D9"/>
    <w:rsid w:val="12383BE9"/>
    <w:rsid w:val="12663F91"/>
    <w:rsid w:val="127549CB"/>
    <w:rsid w:val="12807280"/>
    <w:rsid w:val="12D23296"/>
    <w:rsid w:val="12F11DED"/>
    <w:rsid w:val="131C543E"/>
    <w:rsid w:val="13223310"/>
    <w:rsid w:val="13FC1BC3"/>
    <w:rsid w:val="146269F6"/>
    <w:rsid w:val="14691A6E"/>
    <w:rsid w:val="14755497"/>
    <w:rsid w:val="14783728"/>
    <w:rsid w:val="148463E6"/>
    <w:rsid w:val="14BB4DE2"/>
    <w:rsid w:val="14D20D9B"/>
    <w:rsid w:val="14EF1A3C"/>
    <w:rsid w:val="157F0799"/>
    <w:rsid w:val="15A72BED"/>
    <w:rsid w:val="15AA48A9"/>
    <w:rsid w:val="15CB7490"/>
    <w:rsid w:val="15D83494"/>
    <w:rsid w:val="16042D3E"/>
    <w:rsid w:val="1621170E"/>
    <w:rsid w:val="166D1495"/>
    <w:rsid w:val="16960B36"/>
    <w:rsid w:val="16F03EC6"/>
    <w:rsid w:val="173E668A"/>
    <w:rsid w:val="179B1FCB"/>
    <w:rsid w:val="17B52E9B"/>
    <w:rsid w:val="17BA0F55"/>
    <w:rsid w:val="18346BCD"/>
    <w:rsid w:val="183918BD"/>
    <w:rsid w:val="18437D19"/>
    <w:rsid w:val="1853602A"/>
    <w:rsid w:val="1867428A"/>
    <w:rsid w:val="18820ED2"/>
    <w:rsid w:val="18893450"/>
    <w:rsid w:val="18B01EF6"/>
    <w:rsid w:val="18B91D2B"/>
    <w:rsid w:val="18C40414"/>
    <w:rsid w:val="18E11A7C"/>
    <w:rsid w:val="193A6772"/>
    <w:rsid w:val="196F764E"/>
    <w:rsid w:val="19825DCE"/>
    <w:rsid w:val="19A51A0E"/>
    <w:rsid w:val="19A97D0F"/>
    <w:rsid w:val="19C534ED"/>
    <w:rsid w:val="1A501008"/>
    <w:rsid w:val="1A6A6D44"/>
    <w:rsid w:val="1A817123"/>
    <w:rsid w:val="1AB8723C"/>
    <w:rsid w:val="1AEE6605"/>
    <w:rsid w:val="1B674FFA"/>
    <w:rsid w:val="1BAB0F40"/>
    <w:rsid w:val="1BCC5180"/>
    <w:rsid w:val="1C093ECB"/>
    <w:rsid w:val="1C2A1FDB"/>
    <w:rsid w:val="1C763279"/>
    <w:rsid w:val="1C777F77"/>
    <w:rsid w:val="1CE4433A"/>
    <w:rsid w:val="1D775751"/>
    <w:rsid w:val="1DC530BD"/>
    <w:rsid w:val="1DC803FB"/>
    <w:rsid w:val="1E0746AB"/>
    <w:rsid w:val="1E463802"/>
    <w:rsid w:val="1E58234F"/>
    <w:rsid w:val="1EE84AA8"/>
    <w:rsid w:val="1F031196"/>
    <w:rsid w:val="1F46048B"/>
    <w:rsid w:val="1F716419"/>
    <w:rsid w:val="1FA97989"/>
    <w:rsid w:val="1FED4D92"/>
    <w:rsid w:val="2028019A"/>
    <w:rsid w:val="20C37529"/>
    <w:rsid w:val="20EB6699"/>
    <w:rsid w:val="20F24AC1"/>
    <w:rsid w:val="212A0EE5"/>
    <w:rsid w:val="21474B82"/>
    <w:rsid w:val="216F6EA7"/>
    <w:rsid w:val="221B268B"/>
    <w:rsid w:val="228447E5"/>
    <w:rsid w:val="229E7A75"/>
    <w:rsid w:val="22D31E26"/>
    <w:rsid w:val="22FB7F7F"/>
    <w:rsid w:val="23424F53"/>
    <w:rsid w:val="236E14E2"/>
    <w:rsid w:val="2376433B"/>
    <w:rsid w:val="23B4085A"/>
    <w:rsid w:val="23CF74C6"/>
    <w:rsid w:val="23D37016"/>
    <w:rsid w:val="23DC173F"/>
    <w:rsid w:val="2401207B"/>
    <w:rsid w:val="244563AF"/>
    <w:rsid w:val="24D21D71"/>
    <w:rsid w:val="25324C5C"/>
    <w:rsid w:val="25636F8B"/>
    <w:rsid w:val="25882B25"/>
    <w:rsid w:val="25A61D12"/>
    <w:rsid w:val="25B46A8A"/>
    <w:rsid w:val="25F95E41"/>
    <w:rsid w:val="268A132E"/>
    <w:rsid w:val="272950BB"/>
    <w:rsid w:val="27544014"/>
    <w:rsid w:val="277B6663"/>
    <w:rsid w:val="27CC2D66"/>
    <w:rsid w:val="27DB4C7A"/>
    <w:rsid w:val="28076A74"/>
    <w:rsid w:val="280B328C"/>
    <w:rsid w:val="280B706E"/>
    <w:rsid w:val="28213FE4"/>
    <w:rsid w:val="2835183D"/>
    <w:rsid w:val="283771D7"/>
    <w:rsid w:val="28D26C2F"/>
    <w:rsid w:val="293B552D"/>
    <w:rsid w:val="293D1526"/>
    <w:rsid w:val="296A7C16"/>
    <w:rsid w:val="29803A90"/>
    <w:rsid w:val="29D148D0"/>
    <w:rsid w:val="2A041F58"/>
    <w:rsid w:val="2A22794C"/>
    <w:rsid w:val="2A4D0DE7"/>
    <w:rsid w:val="2A783D66"/>
    <w:rsid w:val="2A797769"/>
    <w:rsid w:val="2AB9057C"/>
    <w:rsid w:val="2AC10DF9"/>
    <w:rsid w:val="2AC803DC"/>
    <w:rsid w:val="2ADD4DFE"/>
    <w:rsid w:val="2AF71430"/>
    <w:rsid w:val="2B283212"/>
    <w:rsid w:val="2B520C88"/>
    <w:rsid w:val="2B9F7240"/>
    <w:rsid w:val="2BAE3DE1"/>
    <w:rsid w:val="2BCA3B51"/>
    <w:rsid w:val="2BE25E52"/>
    <w:rsid w:val="2BF2591A"/>
    <w:rsid w:val="2C130A79"/>
    <w:rsid w:val="2C213C1B"/>
    <w:rsid w:val="2CBA680C"/>
    <w:rsid w:val="2CF942CE"/>
    <w:rsid w:val="2CFD602C"/>
    <w:rsid w:val="2D076614"/>
    <w:rsid w:val="2D206E8C"/>
    <w:rsid w:val="2D4E1D7F"/>
    <w:rsid w:val="2D8A133C"/>
    <w:rsid w:val="2DD039FB"/>
    <w:rsid w:val="2DFF1C49"/>
    <w:rsid w:val="2E1A681E"/>
    <w:rsid w:val="2E1D0E03"/>
    <w:rsid w:val="2E5D528B"/>
    <w:rsid w:val="2E9340BA"/>
    <w:rsid w:val="2E9C3401"/>
    <w:rsid w:val="2EE253B8"/>
    <w:rsid w:val="2F402F53"/>
    <w:rsid w:val="2F7A2384"/>
    <w:rsid w:val="2FD90F74"/>
    <w:rsid w:val="30143D85"/>
    <w:rsid w:val="30286C1A"/>
    <w:rsid w:val="3101069D"/>
    <w:rsid w:val="314A4DAF"/>
    <w:rsid w:val="31625295"/>
    <w:rsid w:val="31752B09"/>
    <w:rsid w:val="31767E4A"/>
    <w:rsid w:val="32206920"/>
    <w:rsid w:val="32633065"/>
    <w:rsid w:val="32C17B14"/>
    <w:rsid w:val="32FC4B24"/>
    <w:rsid w:val="33077EDB"/>
    <w:rsid w:val="331F23C4"/>
    <w:rsid w:val="33AD460B"/>
    <w:rsid w:val="33AE3B47"/>
    <w:rsid w:val="33EE10C0"/>
    <w:rsid w:val="341548E3"/>
    <w:rsid w:val="342212C7"/>
    <w:rsid w:val="342544D9"/>
    <w:rsid w:val="34415316"/>
    <w:rsid w:val="345F0670"/>
    <w:rsid w:val="3471399E"/>
    <w:rsid w:val="348E653A"/>
    <w:rsid w:val="34D81BC7"/>
    <w:rsid w:val="35101EBD"/>
    <w:rsid w:val="354008CA"/>
    <w:rsid w:val="35671120"/>
    <w:rsid w:val="359608CB"/>
    <w:rsid w:val="359B739A"/>
    <w:rsid w:val="35BB4C98"/>
    <w:rsid w:val="35CC2A93"/>
    <w:rsid w:val="35E7353B"/>
    <w:rsid w:val="360B26B4"/>
    <w:rsid w:val="36154A5C"/>
    <w:rsid w:val="36623E0E"/>
    <w:rsid w:val="368B60BF"/>
    <w:rsid w:val="36A9416E"/>
    <w:rsid w:val="371A057C"/>
    <w:rsid w:val="373B0CC4"/>
    <w:rsid w:val="3740546D"/>
    <w:rsid w:val="37712A39"/>
    <w:rsid w:val="37C00F71"/>
    <w:rsid w:val="38353F3F"/>
    <w:rsid w:val="38D21EE2"/>
    <w:rsid w:val="39761550"/>
    <w:rsid w:val="398236E5"/>
    <w:rsid w:val="39A572D1"/>
    <w:rsid w:val="39CE7CF0"/>
    <w:rsid w:val="39E1476A"/>
    <w:rsid w:val="3A2A6A20"/>
    <w:rsid w:val="3A3137F9"/>
    <w:rsid w:val="3A3515B8"/>
    <w:rsid w:val="3A516D36"/>
    <w:rsid w:val="3A6153DB"/>
    <w:rsid w:val="3A885E00"/>
    <w:rsid w:val="3AE26E17"/>
    <w:rsid w:val="3AE50133"/>
    <w:rsid w:val="3B174818"/>
    <w:rsid w:val="3B345EA5"/>
    <w:rsid w:val="3BE136D2"/>
    <w:rsid w:val="3BE34972"/>
    <w:rsid w:val="3CEB6062"/>
    <w:rsid w:val="3D1275D3"/>
    <w:rsid w:val="3D655F69"/>
    <w:rsid w:val="3D71428A"/>
    <w:rsid w:val="3DB531EC"/>
    <w:rsid w:val="3DB84165"/>
    <w:rsid w:val="3DB872E1"/>
    <w:rsid w:val="3DBB71E5"/>
    <w:rsid w:val="3DBD6105"/>
    <w:rsid w:val="3E220652"/>
    <w:rsid w:val="3E2E59CD"/>
    <w:rsid w:val="3E457417"/>
    <w:rsid w:val="3E463F67"/>
    <w:rsid w:val="3E585ACC"/>
    <w:rsid w:val="3E67359F"/>
    <w:rsid w:val="3E8126D6"/>
    <w:rsid w:val="3E83469F"/>
    <w:rsid w:val="3ECF0FAF"/>
    <w:rsid w:val="3EDB0D40"/>
    <w:rsid w:val="3EF21FA7"/>
    <w:rsid w:val="3F031F19"/>
    <w:rsid w:val="3F1A05AC"/>
    <w:rsid w:val="3F87705E"/>
    <w:rsid w:val="3FED78DC"/>
    <w:rsid w:val="3FF620E5"/>
    <w:rsid w:val="3FFC6167"/>
    <w:rsid w:val="40AC4E64"/>
    <w:rsid w:val="40D83598"/>
    <w:rsid w:val="40E8055A"/>
    <w:rsid w:val="41030EB0"/>
    <w:rsid w:val="4136481B"/>
    <w:rsid w:val="41660596"/>
    <w:rsid w:val="416939BE"/>
    <w:rsid w:val="41825CBF"/>
    <w:rsid w:val="41874A60"/>
    <w:rsid w:val="41AB59A4"/>
    <w:rsid w:val="41CB5DD2"/>
    <w:rsid w:val="422C1171"/>
    <w:rsid w:val="42680089"/>
    <w:rsid w:val="427D5CC1"/>
    <w:rsid w:val="42A37796"/>
    <w:rsid w:val="42B43424"/>
    <w:rsid w:val="43036342"/>
    <w:rsid w:val="43271C71"/>
    <w:rsid w:val="432F2122"/>
    <w:rsid w:val="43346686"/>
    <w:rsid w:val="435376AB"/>
    <w:rsid w:val="43732941"/>
    <w:rsid w:val="43A23F2B"/>
    <w:rsid w:val="43C1032F"/>
    <w:rsid w:val="43D911A2"/>
    <w:rsid w:val="4480211D"/>
    <w:rsid w:val="44B93220"/>
    <w:rsid w:val="44C950FE"/>
    <w:rsid w:val="44CB1108"/>
    <w:rsid w:val="44D66159"/>
    <w:rsid w:val="44E23928"/>
    <w:rsid w:val="450A7141"/>
    <w:rsid w:val="453B3D33"/>
    <w:rsid w:val="4563730C"/>
    <w:rsid w:val="456B496E"/>
    <w:rsid w:val="45B269A4"/>
    <w:rsid w:val="460A79C0"/>
    <w:rsid w:val="464506B2"/>
    <w:rsid w:val="46C253B8"/>
    <w:rsid w:val="476E7AC6"/>
    <w:rsid w:val="47934C9C"/>
    <w:rsid w:val="47BB5DC8"/>
    <w:rsid w:val="48164B37"/>
    <w:rsid w:val="48440F51"/>
    <w:rsid w:val="48694FA0"/>
    <w:rsid w:val="486C3FA3"/>
    <w:rsid w:val="488E768B"/>
    <w:rsid w:val="48B444A2"/>
    <w:rsid w:val="495A0736"/>
    <w:rsid w:val="497A1E5D"/>
    <w:rsid w:val="49AB33B8"/>
    <w:rsid w:val="49BE6993"/>
    <w:rsid w:val="49C4548B"/>
    <w:rsid w:val="49F41D5E"/>
    <w:rsid w:val="4A9957C9"/>
    <w:rsid w:val="4AA31C8C"/>
    <w:rsid w:val="4AA73C22"/>
    <w:rsid w:val="4AFF6678"/>
    <w:rsid w:val="4B1E31F7"/>
    <w:rsid w:val="4B5D7BB4"/>
    <w:rsid w:val="4B7F47D7"/>
    <w:rsid w:val="4B8231D2"/>
    <w:rsid w:val="4BC61B14"/>
    <w:rsid w:val="4BCB3573"/>
    <w:rsid w:val="4BFC5823"/>
    <w:rsid w:val="4C13222B"/>
    <w:rsid w:val="4C13299B"/>
    <w:rsid w:val="4C696439"/>
    <w:rsid w:val="4C7D520F"/>
    <w:rsid w:val="4CE75373"/>
    <w:rsid w:val="4D246CB4"/>
    <w:rsid w:val="4D5934CA"/>
    <w:rsid w:val="4D89337C"/>
    <w:rsid w:val="4DA42626"/>
    <w:rsid w:val="4DBA747C"/>
    <w:rsid w:val="4E113803"/>
    <w:rsid w:val="4E746D70"/>
    <w:rsid w:val="4E7B6655"/>
    <w:rsid w:val="4E9133C2"/>
    <w:rsid w:val="4E9F6F8B"/>
    <w:rsid w:val="4EDE2B4D"/>
    <w:rsid w:val="4EF22A86"/>
    <w:rsid w:val="4FDD1093"/>
    <w:rsid w:val="503817C4"/>
    <w:rsid w:val="509142A4"/>
    <w:rsid w:val="50C00AF5"/>
    <w:rsid w:val="51776BB3"/>
    <w:rsid w:val="51B67D04"/>
    <w:rsid w:val="51C435D0"/>
    <w:rsid w:val="51C70244"/>
    <w:rsid w:val="51CC2F0E"/>
    <w:rsid w:val="52033E13"/>
    <w:rsid w:val="52332CE9"/>
    <w:rsid w:val="52351984"/>
    <w:rsid w:val="529E578A"/>
    <w:rsid w:val="52D03BFB"/>
    <w:rsid w:val="536713D3"/>
    <w:rsid w:val="53A5604D"/>
    <w:rsid w:val="53B87AE0"/>
    <w:rsid w:val="53BD0E3D"/>
    <w:rsid w:val="54470FF3"/>
    <w:rsid w:val="545A38DB"/>
    <w:rsid w:val="5468114F"/>
    <w:rsid w:val="54955994"/>
    <w:rsid w:val="54CA3A49"/>
    <w:rsid w:val="54D91D6D"/>
    <w:rsid w:val="55487CC3"/>
    <w:rsid w:val="55907D69"/>
    <w:rsid w:val="55AD3BE1"/>
    <w:rsid w:val="55B34978"/>
    <w:rsid w:val="55D3007E"/>
    <w:rsid w:val="55D339C4"/>
    <w:rsid w:val="55F506FE"/>
    <w:rsid w:val="56063D41"/>
    <w:rsid w:val="56077881"/>
    <w:rsid w:val="5614448F"/>
    <w:rsid w:val="566D4B95"/>
    <w:rsid w:val="566F4075"/>
    <w:rsid w:val="56B34F59"/>
    <w:rsid w:val="56B5587A"/>
    <w:rsid w:val="56E03278"/>
    <w:rsid w:val="571A638E"/>
    <w:rsid w:val="572656D4"/>
    <w:rsid w:val="576A318B"/>
    <w:rsid w:val="578671EF"/>
    <w:rsid w:val="578D0B51"/>
    <w:rsid w:val="57A674E7"/>
    <w:rsid w:val="57AF073A"/>
    <w:rsid w:val="58252DCB"/>
    <w:rsid w:val="584C0F68"/>
    <w:rsid w:val="58C025E0"/>
    <w:rsid w:val="59234CED"/>
    <w:rsid w:val="595758F4"/>
    <w:rsid w:val="59AD06A4"/>
    <w:rsid w:val="59BD4088"/>
    <w:rsid w:val="59BD6BC4"/>
    <w:rsid w:val="59D83361"/>
    <w:rsid w:val="5A072142"/>
    <w:rsid w:val="5A157EE4"/>
    <w:rsid w:val="5A3D2E70"/>
    <w:rsid w:val="5A4D586D"/>
    <w:rsid w:val="5A6249B0"/>
    <w:rsid w:val="5A73748D"/>
    <w:rsid w:val="5B676976"/>
    <w:rsid w:val="5C353432"/>
    <w:rsid w:val="5C4E63FC"/>
    <w:rsid w:val="5C750FD7"/>
    <w:rsid w:val="5C995E78"/>
    <w:rsid w:val="5CE65B79"/>
    <w:rsid w:val="5D7C6867"/>
    <w:rsid w:val="5D8B3F84"/>
    <w:rsid w:val="5E171B68"/>
    <w:rsid w:val="5E4E09AF"/>
    <w:rsid w:val="5EA611A0"/>
    <w:rsid w:val="5EC7594F"/>
    <w:rsid w:val="5EE84C68"/>
    <w:rsid w:val="5F9966E8"/>
    <w:rsid w:val="5FA703FC"/>
    <w:rsid w:val="5FAB1E0A"/>
    <w:rsid w:val="5FC738DA"/>
    <w:rsid w:val="60000B2D"/>
    <w:rsid w:val="602463B0"/>
    <w:rsid w:val="6026592A"/>
    <w:rsid w:val="6032557F"/>
    <w:rsid w:val="60374BEA"/>
    <w:rsid w:val="60573E84"/>
    <w:rsid w:val="60BF7A15"/>
    <w:rsid w:val="60E05E5B"/>
    <w:rsid w:val="60E07B05"/>
    <w:rsid w:val="61A6009B"/>
    <w:rsid w:val="61B906E7"/>
    <w:rsid w:val="61BD35F9"/>
    <w:rsid w:val="621D5BA4"/>
    <w:rsid w:val="623E254F"/>
    <w:rsid w:val="62466358"/>
    <w:rsid w:val="62826D0A"/>
    <w:rsid w:val="62854105"/>
    <w:rsid w:val="628B104E"/>
    <w:rsid w:val="62FD6013"/>
    <w:rsid w:val="63197EAF"/>
    <w:rsid w:val="63522974"/>
    <w:rsid w:val="635738AB"/>
    <w:rsid w:val="635B6748"/>
    <w:rsid w:val="63947A95"/>
    <w:rsid w:val="63DD7866"/>
    <w:rsid w:val="645329BB"/>
    <w:rsid w:val="645E3048"/>
    <w:rsid w:val="646A1D02"/>
    <w:rsid w:val="64A457C8"/>
    <w:rsid w:val="64B321C7"/>
    <w:rsid w:val="64C6077E"/>
    <w:rsid w:val="64E81FF9"/>
    <w:rsid w:val="65281F90"/>
    <w:rsid w:val="653C577C"/>
    <w:rsid w:val="65615E7B"/>
    <w:rsid w:val="65762FCC"/>
    <w:rsid w:val="65F41148"/>
    <w:rsid w:val="662D41D7"/>
    <w:rsid w:val="66491557"/>
    <w:rsid w:val="664C4326"/>
    <w:rsid w:val="66645865"/>
    <w:rsid w:val="669358D0"/>
    <w:rsid w:val="66AC3207"/>
    <w:rsid w:val="66C67DD9"/>
    <w:rsid w:val="66FC7A8A"/>
    <w:rsid w:val="676E2B70"/>
    <w:rsid w:val="67955748"/>
    <w:rsid w:val="67B05ABC"/>
    <w:rsid w:val="67B167D1"/>
    <w:rsid w:val="67CF0497"/>
    <w:rsid w:val="67DB0789"/>
    <w:rsid w:val="67E30C0D"/>
    <w:rsid w:val="67FD6C2E"/>
    <w:rsid w:val="681529B8"/>
    <w:rsid w:val="68521509"/>
    <w:rsid w:val="68553532"/>
    <w:rsid w:val="685F1C50"/>
    <w:rsid w:val="688970C3"/>
    <w:rsid w:val="689A64C4"/>
    <w:rsid w:val="68AE5815"/>
    <w:rsid w:val="68B8778B"/>
    <w:rsid w:val="690C5673"/>
    <w:rsid w:val="690D12D9"/>
    <w:rsid w:val="696E5B87"/>
    <w:rsid w:val="699022E9"/>
    <w:rsid w:val="69C04B37"/>
    <w:rsid w:val="69D95313"/>
    <w:rsid w:val="6A4E1132"/>
    <w:rsid w:val="6A714498"/>
    <w:rsid w:val="6A9C6AFE"/>
    <w:rsid w:val="6CCE3A75"/>
    <w:rsid w:val="6D4A0F02"/>
    <w:rsid w:val="6D65184A"/>
    <w:rsid w:val="6D8431DE"/>
    <w:rsid w:val="6DAB546F"/>
    <w:rsid w:val="6DAC38CE"/>
    <w:rsid w:val="6DB952B7"/>
    <w:rsid w:val="6DE714E2"/>
    <w:rsid w:val="6E1D060D"/>
    <w:rsid w:val="6E300D6E"/>
    <w:rsid w:val="6E4C051C"/>
    <w:rsid w:val="6E655582"/>
    <w:rsid w:val="6E880AEF"/>
    <w:rsid w:val="6E90275C"/>
    <w:rsid w:val="6FE16B83"/>
    <w:rsid w:val="6FEE694C"/>
    <w:rsid w:val="6FF739FD"/>
    <w:rsid w:val="70681E7E"/>
    <w:rsid w:val="70855276"/>
    <w:rsid w:val="70EF6F65"/>
    <w:rsid w:val="712B59E3"/>
    <w:rsid w:val="71BE239C"/>
    <w:rsid w:val="72147FE2"/>
    <w:rsid w:val="72181581"/>
    <w:rsid w:val="72386682"/>
    <w:rsid w:val="727151E7"/>
    <w:rsid w:val="730E49D2"/>
    <w:rsid w:val="7310640D"/>
    <w:rsid w:val="731242C6"/>
    <w:rsid w:val="73273F83"/>
    <w:rsid w:val="73556289"/>
    <w:rsid w:val="73BD37DD"/>
    <w:rsid w:val="73BE13D0"/>
    <w:rsid w:val="74520B2E"/>
    <w:rsid w:val="745919C6"/>
    <w:rsid w:val="745A098A"/>
    <w:rsid w:val="745F03FA"/>
    <w:rsid w:val="74702A9A"/>
    <w:rsid w:val="747D72CE"/>
    <w:rsid w:val="748302B6"/>
    <w:rsid w:val="74C046C2"/>
    <w:rsid w:val="74DF6C09"/>
    <w:rsid w:val="74E36833"/>
    <w:rsid w:val="753155BA"/>
    <w:rsid w:val="754D3957"/>
    <w:rsid w:val="75745308"/>
    <w:rsid w:val="76171B39"/>
    <w:rsid w:val="761C2BBB"/>
    <w:rsid w:val="7671701C"/>
    <w:rsid w:val="76C65148"/>
    <w:rsid w:val="76C845AC"/>
    <w:rsid w:val="76D3675F"/>
    <w:rsid w:val="76EA385F"/>
    <w:rsid w:val="77181C4B"/>
    <w:rsid w:val="77470BA1"/>
    <w:rsid w:val="776626BC"/>
    <w:rsid w:val="776A1DE8"/>
    <w:rsid w:val="77706134"/>
    <w:rsid w:val="77AA6501"/>
    <w:rsid w:val="77B62176"/>
    <w:rsid w:val="77BB3AE7"/>
    <w:rsid w:val="785D00CA"/>
    <w:rsid w:val="78642464"/>
    <w:rsid w:val="78CC717A"/>
    <w:rsid w:val="7912674F"/>
    <w:rsid w:val="796219AB"/>
    <w:rsid w:val="79932B14"/>
    <w:rsid w:val="7A00425F"/>
    <w:rsid w:val="7A9B05E2"/>
    <w:rsid w:val="7AD82161"/>
    <w:rsid w:val="7ADD5E65"/>
    <w:rsid w:val="7AFA059A"/>
    <w:rsid w:val="7B5728C5"/>
    <w:rsid w:val="7B700908"/>
    <w:rsid w:val="7B8A6104"/>
    <w:rsid w:val="7BA33B0B"/>
    <w:rsid w:val="7BAE104D"/>
    <w:rsid w:val="7C472562"/>
    <w:rsid w:val="7C4D09CF"/>
    <w:rsid w:val="7CCF0E2D"/>
    <w:rsid w:val="7CED167C"/>
    <w:rsid w:val="7D206D85"/>
    <w:rsid w:val="7D5424FE"/>
    <w:rsid w:val="7D6E784A"/>
    <w:rsid w:val="7D7E47FF"/>
    <w:rsid w:val="7D8617E6"/>
    <w:rsid w:val="7D92429B"/>
    <w:rsid w:val="7DA27AE4"/>
    <w:rsid w:val="7DDD6CEA"/>
    <w:rsid w:val="7DED0920"/>
    <w:rsid w:val="7DEE7390"/>
    <w:rsid w:val="7E1C3253"/>
    <w:rsid w:val="7E2D512E"/>
    <w:rsid w:val="7E3A10B9"/>
    <w:rsid w:val="7E636E14"/>
    <w:rsid w:val="7ED87B56"/>
    <w:rsid w:val="7F155A7D"/>
    <w:rsid w:val="7F1B7FBA"/>
    <w:rsid w:val="7F491CF9"/>
    <w:rsid w:val="7F575FB7"/>
    <w:rsid w:val="7F772681"/>
    <w:rsid w:val="7F7749B5"/>
    <w:rsid w:val="7F7C768B"/>
    <w:rsid w:val="7F96606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semiHidden="0" w:name="heading 5"/>
    <w:lsdException w:qFormat="1" w:uiPriority="9" w:semiHidden="0" w:name="heading 6"/>
    <w:lsdException w:qFormat="1" w:unhideWhenUsed="0" w:uiPriority="1" w:semiHidden="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qFormat="1" w:unhideWhenUsed="0" w:uiPriority="0" w:semiHidden="0" w:name="toc 2"/>
    <w:lsdException w:uiPriority="0" w:name="toc 3"/>
    <w:lsdException w:uiPriority="0" w:name="toc 4"/>
    <w:lsdException w:uiPriority="0" w:name="toc 5"/>
    <w:lsdException w:qFormat="1" w:unhideWhenUsed="0" w:uiPriority="39"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qFormat="1" w:unhideWhenUsed="0" w:uiPriority="0" w:semiHidden="0" w:name="Body Text 3"/>
    <w:lsdException w:uiPriority="0" w:name="Body Text Indent 2"/>
    <w:lsdException w:qFormat="1" w:uiPriority="0" w:semiHidden="0" w:name="Body Text Indent 3"/>
    <w:lsdException w:qFormat="1" w:unhideWhenUsed="0" w:uiPriority="0" w:semiHidden="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99"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47"/>
    <w:qFormat/>
    <w:uiPriority w:val="0"/>
    <w:pPr>
      <w:keepNext/>
      <w:keepLines/>
      <w:spacing w:before="260" w:after="260" w:line="416" w:lineRule="auto"/>
      <w:outlineLvl w:val="1"/>
    </w:pPr>
    <w:rPr>
      <w:rFonts w:ascii="Calibri Light" w:hAnsi="Calibri Light"/>
      <w:b/>
      <w:bCs/>
      <w:sz w:val="32"/>
      <w:szCs w:val="32"/>
    </w:rPr>
  </w:style>
  <w:style w:type="paragraph" w:styleId="5">
    <w:name w:val="heading 3"/>
    <w:basedOn w:val="1"/>
    <w:next w:val="1"/>
    <w:link w:val="55"/>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line="374" w:lineRule="auto"/>
      <w:outlineLvl w:val="3"/>
    </w:pPr>
    <w:rPr>
      <w:rFonts w:ascii="Arial" w:hAnsi="Arial" w:eastAsia="黑体"/>
      <w:b/>
      <w:bCs/>
      <w:sz w:val="28"/>
      <w:szCs w:val="28"/>
    </w:rPr>
  </w:style>
  <w:style w:type="paragraph" w:styleId="7">
    <w:name w:val="heading 5"/>
    <w:basedOn w:val="1"/>
    <w:next w:val="1"/>
    <w:unhideWhenUsed/>
    <w:qFormat/>
    <w:uiPriority w:val="0"/>
    <w:pPr>
      <w:keepNext/>
      <w:keepLines/>
      <w:spacing w:before="280" w:after="290" w:line="376" w:lineRule="auto"/>
      <w:outlineLvl w:val="4"/>
    </w:pPr>
    <w:rPr>
      <w:b/>
      <w:bCs/>
      <w:sz w:val="28"/>
      <w:szCs w:val="28"/>
    </w:rPr>
  </w:style>
  <w:style w:type="paragraph" w:styleId="8">
    <w:name w:val="heading 6"/>
    <w:basedOn w:val="1"/>
    <w:next w:val="1"/>
    <w:unhideWhenUsed/>
    <w:qFormat/>
    <w:uiPriority w:val="9"/>
    <w:pPr>
      <w:keepNext/>
      <w:keepLines/>
      <w:spacing w:before="240" w:after="64" w:line="317" w:lineRule="auto"/>
      <w:outlineLvl w:val="5"/>
    </w:pPr>
    <w:rPr>
      <w:rFonts w:ascii="Arial" w:hAnsi="Arial" w:eastAsia="黑体"/>
      <w:b/>
      <w:sz w:val="24"/>
    </w:rPr>
  </w:style>
  <w:style w:type="paragraph" w:styleId="9">
    <w:name w:val="heading 7"/>
    <w:basedOn w:val="1"/>
    <w:next w:val="1"/>
    <w:qFormat/>
    <w:uiPriority w:val="1"/>
    <w:pPr>
      <w:ind w:left="1521"/>
      <w:outlineLvl w:val="6"/>
    </w:pPr>
    <w:rPr>
      <w:rFonts w:ascii="宋体" w:hAnsi="宋体" w:cs="宋体"/>
      <w:b/>
      <w:bCs/>
      <w:szCs w:val="21"/>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customStyle="1" w:styleId="2">
    <w:name w:val="正文（首行缩进2字符）"/>
    <w:basedOn w:val="1"/>
    <w:qFormat/>
    <w:uiPriority w:val="0"/>
    <w:pPr>
      <w:spacing w:line="360" w:lineRule="auto"/>
      <w:ind w:firstLine="420" w:firstLineChars="200"/>
    </w:pPr>
    <w:rPr>
      <w:szCs w:val="21"/>
    </w:rPr>
  </w:style>
  <w:style w:type="paragraph" w:styleId="10">
    <w:name w:val="List Number"/>
    <w:basedOn w:val="1"/>
    <w:qFormat/>
    <w:uiPriority w:val="0"/>
    <w:pPr>
      <w:numPr>
        <w:ilvl w:val="0"/>
        <w:numId w:val="1"/>
      </w:numPr>
    </w:pPr>
  </w:style>
  <w:style w:type="paragraph" w:styleId="11">
    <w:name w:val="Normal Indent"/>
    <w:basedOn w:val="1"/>
    <w:next w:val="1"/>
    <w:qFormat/>
    <w:uiPriority w:val="0"/>
    <w:pPr>
      <w:ind w:firstLine="420"/>
    </w:pPr>
    <w:rPr>
      <w:szCs w:val="20"/>
    </w:rPr>
  </w:style>
  <w:style w:type="paragraph" w:styleId="12">
    <w:name w:val="annotation text"/>
    <w:basedOn w:val="1"/>
    <w:link w:val="50"/>
    <w:qFormat/>
    <w:uiPriority w:val="0"/>
    <w:pPr>
      <w:jc w:val="left"/>
    </w:pPr>
  </w:style>
  <w:style w:type="paragraph" w:styleId="13">
    <w:name w:val="Body Text 3"/>
    <w:basedOn w:val="1"/>
    <w:qFormat/>
    <w:uiPriority w:val="0"/>
    <w:rPr>
      <w:rFonts w:ascii="宋体"/>
      <w:sz w:val="24"/>
      <w:szCs w:val="20"/>
    </w:rPr>
  </w:style>
  <w:style w:type="paragraph" w:styleId="14">
    <w:name w:val="Body Text"/>
    <w:basedOn w:val="1"/>
    <w:next w:val="15"/>
    <w:link w:val="52"/>
    <w:qFormat/>
    <w:uiPriority w:val="0"/>
    <w:pPr>
      <w:spacing w:line="360" w:lineRule="exact"/>
    </w:pPr>
    <w:rPr>
      <w:sz w:val="24"/>
    </w:rPr>
  </w:style>
  <w:style w:type="paragraph" w:styleId="15">
    <w:name w:val="Body Text First Indent"/>
    <w:basedOn w:val="14"/>
    <w:next w:val="1"/>
    <w:qFormat/>
    <w:uiPriority w:val="0"/>
    <w:pPr>
      <w:ind w:firstLine="420"/>
    </w:pPr>
    <w:rPr>
      <w:sz w:val="21"/>
    </w:rPr>
  </w:style>
  <w:style w:type="paragraph" w:styleId="16">
    <w:name w:val="Body Text Indent"/>
    <w:basedOn w:val="1"/>
    <w:link w:val="57"/>
    <w:qFormat/>
    <w:uiPriority w:val="0"/>
    <w:pPr>
      <w:spacing w:after="120"/>
      <w:ind w:left="420" w:leftChars="200"/>
    </w:pPr>
  </w:style>
  <w:style w:type="paragraph" w:styleId="17">
    <w:name w:val="Block Text"/>
    <w:basedOn w:val="1"/>
    <w:qFormat/>
    <w:uiPriority w:val="0"/>
    <w:pPr>
      <w:adjustRightInd w:val="0"/>
      <w:spacing w:line="300" w:lineRule="auto"/>
      <w:ind w:left="958" w:right="-120" w:rightChars="-120"/>
      <w:jc w:val="left"/>
    </w:pPr>
    <w:rPr>
      <w:rFonts w:ascii="宋体" w:hAnsi="宋体"/>
      <w:sz w:val="28"/>
    </w:rPr>
  </w:style>
  <w:style w:type="paragraph" w:styleId="18">
    <w:name w:val="Plain Text"/>
    <w:basedOn w:val="1"/>
    <w:next w:val="19"/>
    <w:link w:val="44"/>
    <w:qFormat/>
    <w:uiPriority w:val="0"/>
    <w:rPr>
      <w:rFonts w:ascii="宋体" w:hAnsi="Courier New"/>
    </w:rPr>
  </w:style>
  <w:style w:type="paragraph" w:styleId="19">
    <w:name w:val="Date"/>
    <w:basedOn w:val="1"/>
    <w:next w:val="1"/>
    <w:link w:val="56"/>
    <w:qFormat/>
    <w:uiPriority w:val="0"/>
    <w:pPr>
      <w:ind w:left="2500" w:leftChars="2500"/>
    </w:pPr>
    <w:rPr>
      <w:rFonts w:ascii="Calibri" w:hAnsi="Calibri" w:eastAsia="楷体_GB2312"/>
      <w:sz w:val="32"/>
      <w:szCs w:val="22"/>
    </w:rPr>
  </w:style>
  <w:style w:type="paragraph" w:styleId="20">
    <w:name w:val="Balloon Text"/>
    <w:basedOn w:val="1"/>
    <w:link w:val="45"/>
    <w:qFormat/>
    <w:uiPriority w:val="0"/>
    <w:rPr>
      <w:sz w:val="18"/>
      <w:szCs w:val="18"/>
    </w:rPr>
  </w:style>
  <w:style w:type="paragraph" w:styleId="21">
    <w:name w:val="footer"/>
    <w:basedOn w:val="1"/>
    <w:link w:val="46"/>
    <w:qFormat/>
    <w:uiPriority w:val="0"/>
    <w:pPr>
      <w:tabs>
        <w:tab w:val="center" w:pos="4153"/>
        <w:tab w:val="right" w:pos="8306"/>
      </w:tabs>
      <w:snapToGrid w:val="0"/>
      <w:jc w:val="left"/>
    </w:pPr>
    <w:rPr>
      <w:sz w:val="18"/>
    </w:rPr>
  </w:style>
  <w:style w:type="paragraph" w:styleId="22">
    <w:name w:val="envelope return"/>
    <w:basedOn w:val="1"/>
    <w:qFormat/>
    <w:uiPriority w:val="0"/>
    <w:pPr>
      <w:snapToGrid w:val="0"/>
    </w:pPr>
    <w:rPr>
      <w:rFonts w:ascii="Arial" w:hAnsi="Arial"/>
    </w:rPr>
  </w:style>
  <w:style w:type="paragraph" w:styleId="23">
    <w:name w:val="header"/>
    <w:basedOn w:val="1"/>
    <w:link w:val="53"/>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4">
    <w:name w:val="toc 6"/>
    <w:basedOn w:val="1"/>
    <w:next w:val="1"/>
    <w:qFormat/>
    <w:uiPriority w:val="39"/>
    <w:pPr>
      <w:widowControl/>
      <w:ind w:left="1000"/>
      <w:jc w:val="left"/>
    </w:pPr>
    <w:rPr>
      <w:kern w:val="0"/>
      <w:sz w:val="18"/>
      <w:szCs w:val="20"/>
    </w:rPr>
  </w:style>
  <w:style w:type="paragraph" w:styleId="25">
    <w:name w:val="Body Text Indent 3"/>
    <w:basedOn w:val="1"/>
    <w:link w:val="83"/>
    <w:unhideWhenUsed/>
    <w:qFormat/>
    <w:uiPriority w:val="0"/>
    <w:pPr>
      <w:autoSpaceDE w:val="0"/>
      <w:autoSpaceDN w:val="0"/>
      <w:spacing w:line="400" w:lineRule="atLeast"/>
      <w:ind w:firstLine="443"/>
    </w:pPr>
    <w:rPr>
      <w:rFonts w:eastAsia="黑体"/>
      <w:color w:val="000000"/>
      <w:sz w:val="24"/>
    </w:rPr>
  </w:style>
  <w:style w:type="paragraph" w:styleId="26">
    <w:name w:val="toc 2"/>
    <w:basedOn w:val="1"/>
    <w:next w:val="1"/>
    <w:qFormat/>
    <w:uiPriority w:val="0"/>
    <w:pPr>
      <w:ind w:left="420" w:leftChars="200"/>
    </w:pPr>
  </w:style>
  <w:style w:type="paragraph" w:styleId="27">
    <w:name w:val="Normal (Web)"/>
    <w:basedOn w:val="1"/>
    <w:qFormat/>
    <w:uiPriority w:val="99"/>
    <w:pPr>
      <w:widowControl/>
      <w:spacing w:before="100" w:beforeAutospacing="1" w:after="100" w:afterAutospacing="1"/>
      <w:jc w:val="left"/>
    </w:pPr>
    <w:rPr>
      <w:rFonts w:ascii="宋体" w:hAnsi="宋体"/>
      <w:kern w:val="0"/>
      <w:sz w:val="24"/>
    </w:rPr>
  </w:style>
  <w:style w:type="paragraph" w:styleId="28">
    <w:name w:val="Title"/>
    <w:basedOn w:val="1"/>
    <w:next w:val="1"/>
    <w:qFormat/>
    <w:uiPriority w:val="0"/>
    <w:pPr>
      <w:spacing w:before="240" w:after="60"/>
      <w:jc w:val="center"/>
      <w:outlineLvl w:val="0"/>
    </w:pPr>
    <w:rPr>
      <w:rFonts w:ascii="Arial" w:hAnsi="Arial"/>
      <w:b/>
      <w:bCs/>
      <w:sz w:val="44"/>
      <w:szCs w:val="32"/>
    </w:rPr>
  </w:style>
  <w:style w:type="paragraph" w:styleId="29">
    <w:name w:val="annotation subject"/>
    <w:basedOn w:val="12"/>
    <w:next w:val="12"/>
    <w:link w:val="49"/>
    <w:qFormat/>
    <w:uiPriority w:val="0"/>
    <w:rPr>
      <w:b/>
      <w:bCs/>
    </w:rPr>
  </w:style>
  <w:style w:type="paragraph" w:styleId="30">
    <w:name w:val="Body Text First Indent 2"/>
    <w:basedOn w:val="16"/>
    <w:next w:val="1"/>
    <w:qFormat/>
    <w:uiPriority w:val="0"/>
    <w:pPr>
      <w:ind w:firstLine="420"/>
    </w:pPr>
  </w:style>
  <w:style w:type="table" w:styleId="32">
    <w:name w:val="Table Grid"/>
    <w:basedOn w:val="31"/>
    <w:qFormat/>
    <w:uiPriority w:val="0"/>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Strong"/>
    <w:basedOn w:val="33"/>
    <w:qFormat/>
    <w:uiPriority w:val="0"/>
    <w:rPr>
      <w:rFonts w:ascii="Times New Roman" w:hAnsi="Times New Roman" w:eastAsia="宋体" w:cs="Times New Roman"/>
      <w:b/>
    </w:rPr>
  </w:style>
  <w:style w:type="character" w:styleId="35">
    <w:name w:val="page number"/>
    <w:basedOn w:val="33"/>
    <w:qFormat/>
    <w:uiPriority w:val="0"/>
  </w:style>
  <w:style w:type="character" w:styleId="36">
    <w:name w:val="Emphasis"/>
    <w:basedOn w:val="33"/>
    <w:qFormat/>
    <w:uiPriority w:val="99"/>
    <w:rPr>
      <w:rFonts w:cs="Times New Roman"/>
      <w:color w:val="CC0033"/>
    </w:rPr>
  </w:style>
  <w:style w:type="character" w:styleId="37">
    <w:name w:val="Hyperlink"/>
    <w:basedOn w:val="33"/>
    <w:qFormat/>
    <w:uiPriority w:val="0"/>
    <w:rPr>
      <w:rFonts w:ascii="Times New Roman" w:hAnsi="Times New Roman" w:eastAsia="宋体" w:cs="Times New Roman"/>
      <w:color w:val="0000FF"/>
      <w:u w:val="single"/>
    </w:rPr>
  </w:style>
  <w:style w:type="character" w:styleId="38">
    <w:name w:val="annotation reference"/>
    <w:basedOn w:val="33"/>
    <w:qFormat/>
    <w:uiPriority w:val="0"/>
    <w:rPr>
      <w:rFonts w:ascii="Times New Roman" w:hAnsi="Times New Roman" w:eastAsia="宋体" w:cs="Times New Roman"/>
      <w:sz w:val="21"/>
      <w:szCs w:val="21"/>
    </w:rPr>
  </w:style>
  <w:style w:type="paragraph" w:customStyle="1" w:styleId="39">
    <w:name w:val="4、正文"/>
    <w:basedOn w:val="1"/>
    <w:autoRedefine/>
    <w:qFormat/>
    <w:uiPriority w:val="0"/>
    <w:pPr>
      <w:ind w:firstLine="200" w:firstLineChars="200"/>
    </w:pPr>
    <w:rPr>
      <w:rFonts w:ascii="宋体"/>
      <w:sz w:val="24"/>
      <w:szCs w:val="28"/>
    </w:rPr>
  </w:style>
  <w:style w:type="paragraph" w:customStyle="1" w:styleId="40">
    <w:name w:val="标准正文"/>
    <w:basedOn w:val="1"/>
    <w:qFormat/>
    <w:uiPriority w:val="0"/>
    <w:pPr>
      <w:spacing w:line="360" w:lineRule="auto"/>
      <w:ind w:firstLine="200" w:firstLineChars="200"/>
    </w:pPr>
    <w:rPr>
      <w:sz w:val="24"/>
      <w:szCs w:val="20"/>
    </w:rPr>
  </w:style>
  <w:style w:type="paragraph" w:customStyle="1" w:styleId="41">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42">
    <w:name w:val="DAS正文"/>
    <w:basedOn w:val="1"/>
    <w:qFormat/>
    <w:uiPriority w:val="0"/>
    <w:pPr>
      <w:spacing w:line="360" w:lineRule="auto"/>
      <w:ind w:right="181" w:firstLine="480" w:firstLineChars="200"/>
    </w:pPr>
    <w:rPr>
      <w:rFonts w:ascii="Verdana" w:hAnsi="Verdana"/>
    </w:rPr>
  </w:style>
  <w:style w:type="character" w:customStyle="1" w:styleId="43">
    <w:name w:val="标题 1 Char"/>
    <w:basedOn w:val="33"/>
    <w:link w:val="3"/>
    <w:qFormat/>
    <w:uiPriority w:val="0"/>
    <w:rPr>
      <w:rFonts w:ascii="Times New Roman" w:hAnsi="Times New Roman" w:eastAsia="宋体" w:cs="Times New Roman"/>
      <w:b/>
      <w:bCs/>
      <w:kern w:val="44"/>
      <w:sz w:val="44"/>
      <w:szCs w:val="44"/>
    </w:rPr>
  </w:style>
  <w:style w:type="character" w:customStyle="1" w:styleId="44">
    <w:name w:val="纯文本 Char"/>
    <w:basedOn w:val="33"/>
    <w:link w:val="18"/>
    <w:qFormat/>
    <w:uiPriority w:val="0"/>
    <w:rPr>
      <w:rFonts w:ascii="宋体" w:hAnsi="Courier New" w:eastAsia="宋体" w:cs="Courier New"/>
      <w:sz w:val="21"/>
      <w:szCs w:val="21"/>
    </w:rPr>
  </w:style>
  <w:style w:type="character" w:customStyle="1" w:styleId="45">
    <w:name w:val="批注框文本 Char"/>
    <w:basedOn w:val="33"/>
    <w:link w:val="20"/>
    <w:qFormat/>
    <w:uiPriority w:val="0"/>
    <w:rPr>
      <w:rFonts w:ascii="Times New Roman" w:hAnsi="Times New Roman" w:eastAsia="宋体" w:cs="Times New Roman"/>
      <w:kern w:val="2"/>
      <w:sz w:val="18"/>
      <w:szCs w:val="18"/>
    </w:rPr>
  </w:style>
  <w:style w:type="character" w:customStyle="1" w:styleId="46">
    <w:name w:val="页脚 Char"/>
    <w:basedOn w:val="33"/>
    <w:link w:val="21"/>
    <w:qFormat/>
    <w:uiPriority w:val="0"/>
    <w:rPr>
      <w:rFonts w:ascii="Times New Roman" w:hAnsi="Times New Roman" w:eastAsia="宋体" w:cs="Times New Roman"/>
      <w:sz w:val="18"/>
      <w:szCs w:val="18"/>
    </w:rPr>
  </w:style>
  <w:style w:type="character" w:customStyle="1" w:styleId="47">
    <w:name w:val="标题 2 Char"/>
    <w:basedOn w:val="33"/>
    <w:link w:val="4"/>
    <w:qFormat/>
    <w:uiPriority w:val="0"/>
    <w:rPr>
      <w:rFonts w:ascii="Cambria" w:hAnsi="Cambria" w:eastAsia="宋体" w:cs="Times New Roman"/>
      <w:b/>
      <w:bCs/>
      <w:sz w:val="32"/>
      <w:szCs w:val="32"/>
    </w:rPr>
  </w:style>
  <w:style w:type="character" w:customStyle="1" w:styleId="48">
    <w:name w:val="font01"/>
    <w:qFormat/>
    <w:uiPriority w:val="0"/>
    <w:rPr>
      <w:rFonts w:hint="eastAsia" w:ascii="宋体" w:hAnsi="宋体" w:eastAsia="宋体" w:cs="宋体"/>
      <w:color w:val="000000"/>
      <w:sz w:val="24"/>
      <w:szCs w:val="24"/>
      <w:u w:val="none"/>
    </w:rPr>
  </w:style>
  <w:style w:type="character" w:customStyle="1" w:styleId="49">
    <w:name w:val="批注主题 Char"/>
    <w:basedOn w:val="50"/>
    <w:link w:val="29"/>
    <w:qFormat/>
    <w:uiPriority w:val="0"/>
    <w:rPr>
      <w:rFonts w:ascii="Times New Roman" w:hAnsi="Times New Roman" w:eastAsia="宋体" w:cs="Times New Roman"/>
      <w:b/>
      <w:bCs/>
      <w:kern w:val="2"/>
      <w:sz w:val="24"/>
      <w:szCs w:val="24"/>
    </w:rPr>
  </w:style>
  <w:style w:type="character" w:customStyle="1" w:styleId="50">
    <w:name w:val="批注文字 Char"/>
    <w:basedOn w:val="33"/>
    <w:link w:val="12"/>
    <w:qFormat/>
    <w:uiPriority w:val="0"/>
    <w:rPr>
      <w:rFonts w:ascii="Times New Roman" w:hAnsi="Times New Roman" w:eastAsia="宋体" w:cs="Times New Roman"/>
      <w:kern w:val="2"/>
      <w:sz w:val="24"/>
      <w:szCs w:val="24"/>
    </w:rPr>
  </w:style>
  <w:style w:type="character" w:customStyle="1" w:styleId="51">
    <w:name w:val="font11"/>
    <w:qFormat/>
    <w:uiPriority w:val="0"/>
    <w:rPr>
      <w:rFonts w:hint="default" w:ascii="Times New Roman" w:hAnsi="Times New Roman" w:eastAsia="宋体" w:cs="Times New Roman"/>
      <w:color w:val="000000"/>
      <w:sz w:val="24"/>
      <w:szCs w:val="24"/>
      <w:u w:val="none"/>
    </w:rPr>
  </w:style>
  <w:style w:type="character" w:customStyle="1" w:styleId="52">
    <w:name w:val="正文文本 Char"/>
    <w:basedOn w:val="33"/>
    <w:link w:val="14"/>
    <w:qFormat/>
    <w:uiPriority w:val="0"/>
    <w:rPr>
      <w:rFonts w:ascii="Times New Roman" w:hAnsi="Times New Roman" w:eastAsia="宋体" w:cs="Times New Roman"/>
      <w:sz w:val="24"/>
      <w:szCs w:val="24"/>
    </w:rPr>
  </w:style>
  <w:style w:type="character" w:customStyle="1" w:styleId="53">
    <w:name w:val="页眉 Char"/>
    <w:basedOn w:val="33"/>
    <w:link w:val="23"/>
    <w:qFormat/>
    <w:uiPriority w:val="0"/>
    <w:rPr>
      <w:rFonts w:ascii="Times New Roman" w:hAnsi="Times New Roman" w:eastAsia="宋体" w:cs="Times New Roman"/>
      <w:sz w:val="18"/>
      <w:szCs w:val="18"/>
    </w:rPr>
  </w:style>
  <w:style w:type="character" w:customStyle="1" w:styleId="54">
    <w:name w:val="font31"/>
    <w:qFormat/>
    <w:uiPriority w:val="0"/>
    <w:rPr>
      <w:rFonts w:hint="eastAsia" w:ascii="宋体" w:hAnsi="宋体" w:eastAsia="宋体" w:cs="宋体"/>
      <w:color w:val="000000"/>
      <w:sz w:val="24"/>
      <w:szCs w:val="24"/>
      <w:u w:val="none"/>
    </w:rPr>
  </w:style>
  <w:style w:type="character" w:customStyle="1" w:styleId="55">
    <w:name w:val="标题 3 Char"/>
    <w:basedOn w:val="33"/>
    <w:link w:val="5"/>
    <w:qFormat/>
    <w:uiPriority w:val="0"/>
    <w:rPr>
      <w:rFonts w:ascii="Times New Roman" w:hAnsi="Times New Roman" w:eastAsia="宋体" w:cs="Times New Roman"/>
      <w:b/>
      <w:bCs/>
      <w:sz w:val="32"/>
      <w:szCs w:val="32"/>
    </w:rPr>
  </w:style>
  <w:style w:type="character" w:customStyle="1" w:styleId="56">
    <w:name w:val="日期 Char"/>
    <w:basedOn w:val="33"/>
    <w:link w:val="19"/>
    <w:qFormat/>
    <w:uiPriority w:val="0"/>
    <w:rPr>
      <w:rFonts w:ascii="Times New Roman" w:hAnsi="Times New Roman" w:eastAsia="宋体" w:cs="Times New Roman"/>
      <w:sz w:val="24"/>
      <w:szCs w:val="24"/>
    </w:rPr>
  </w:style>
  <w:style w:type="character" w:customStyle="1" w:styleId="57">
    <w:name w:val="正文文本缩进 Char"/>
    <w:basedOn w:val="33"/>
    <w:link w:val="16"/>
    <w:qFormat/>
    <w:uiPriority w:val="0"/>
    <w:rPr>
      <w:rFonts w:ascii="Times New Roman" w:hAnsi="Times New Roman" w:eastAsia="宋体" w:cs="Times New Roman"/>
      <w:kern w:val="2"/>
      <w:sz w:val="24"/>
      <w:szCs w:val="24"/>
    </w:rPr>
  </w:style>
  <w:style w:type="paragraph" w:customStyle="1" w:styleId="58">
    <w:name w:val="纯文本_3"/>
    <w:basedOn w:val="59"/>
    <w:qFormat/>
    <w:uiPriority w:val="0"/>
    <w:pPr>
      <w:widowControl/>
      <w:jc w:val="left"/>
    </w:pPr>
    <w:rPr>
      <w:rFonts w:ascii="宋体" w:hAnsi="Courier New"/>
      <w:szCs w:val="21"/>
    </w:rPr>
  </w:style>
  <w:style w:type="paragraph" w:customStyle="1" w:styleId="59">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纯文本_0_1"/>
    <w:basedOn w:val="1"/>
    <w:qFormat/>
    <w:uiPriority w:val="0"/>
    <w:pPr>
      <w:widowControl/>
      <w:jc w:val="left"/>
    </w:pPr>
    <w:rPr>
      <w:rFonts w:ascii="宋体" w:hAnsi="Courier New"/>
      <w:szCs w:val="21"/>
    </w:rPr>
  </w:style>
  <w:style w:type="paragraph" w:customStyle="1" w:styleId="62">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63">
    <w:name w:val="表格文字"/>
    <w:basedOn w:val="1"/>
    <w:next w:val="14"/>
    <w:qFormat/>
    <w:uiPriority w:val="0"/>
    <w:pPr>
      <w:adjustRightInd w:val="0"/>
      <w:spacing w:line="420" w:lineRule="atLeast"/>
      <w:jc w:val="left"/>
      <w:textAlignment w:val="baseline"/>
    </w:pPr>
    <w:rPr>
      <w:kern w:val="0"/>
    </w:rPr>
  </w:style>
  <w:style w:type="paragraph" w:customStyle="1" w:styleId="64">
    <w:name w:val="Normal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65">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7">
    <w:name w:val="无间隔1"/>
    <w:qFormat/>
    <w:uiPriority w:val="0"/>
    <w:pPr>
      <w:adjustRightInd w:val="0"/>
      <w:snapToGrid w:val="0"/>
    </w:pPr>
    <w:rPr>
      <w:rFonts w:ascii="Tahoma" w:hAnsi="Tahoma" w:eastAsia="微软雅黑" w:cs="Times New Roman"/>
      <w:sz w:val="22"/>
      <w:szCs w:val="22"/>
      <w:lang w:val="en-US" w:eastAsia="zh-CN" w:bidi="ar-SA"/>
    </w:rPr>
  </w:style>
  <w:style w:type="paragraph" w:customStyle="1" w:styleId="68">
    <w:name w:val="页眉与页脚"/>
    <w:qFormat/>
    <w:uiPriority w:val="0"/>
    <w:pPr>
      <w:tabs>
        <w:tab w:val="right" w:pos="9020"/>
      </w:tabs>
    </w:pPr>
    <w:rPr>
      <w:rFonts w:ascii="Helvetica" w:hAnsi="Helvetica" w:eastAsia="宋体" w:cs="Arial Unicode MS"/>
      <w:color w:val="000000"/>
      <w:sz w:val="24"/>
      <w:szCs w:val="24"/>
      <w:lang w:val="en-US" w:eastAsia="zh-CN" w:bidi="ar-SA"/>
    </w:rPr>
  </w:style>
  <w:style w:type="paragraph" w:customStyle="1" w:styleId="69">
    <w:name w:val="无间隔11"/>
    <w:qFormat/>
    <w:uiPriority w:val="0"/>
    <w:pPr>
      <w:adjustRightInd w:val="0"/>
      <w:snapToGrid w:val="0"/>
    </w:pPr>
    <w:rPr>
      <w:rFonts w:ascii="Tahoma" w:hAnsi="Tahoma" w:eastAsia="微软雅黑" w:cs="Times New Roman"/>
      <w:sz w:val="22"/>
      <w:szCs w:val="22"/>
      <w:lang w:val="en-US" w:eastAsia="zh-CN" w:bidi="ar-SA"/>
    </w:rPr>
  </w:style>
  <w:style w:type="paragraph" w:customStyle="1" w:styleId="70">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2">
    <w:name w:val="正文_14"/>
    <w:qFormat/>
    <w:uiPriority w:val="0"/>
    <w:rPr>
      <w:rFonts w:ascii="Times New Roman" w:hAnsi="Times New Roman" w:eastAsia="宋体" w:cs="Times New Roman"/>
      <w:sz w:val="21"/>
      <w:szCs w:val="22"/>
      <w:lang w:val="en-US" w:eastAsia="zh-CN" w:bidi="ar-SA"/>
    </w:rPr>
  </w:style>
  <w:style w:type="paragraph" w:customStyle="1" w:styleId="7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列出段落1"/>
    <w:basedOn w:val="1"/>
    <w:qFormat/>
    <w:uiPriority w:val="0"/>
    <w:pPr>
      <w:ind w:firstLine="420" w:firstLineChars="200"/>
    </w:pPr>
    <w:rPr>
      <w:rFonts w:ascii="Calibri" w:hAnsi="Calibri"/>
      <w:kern w:val="0"/>
      <w:szCs w:val="20"/>
    </w:rPr>
  </w:style>
  <w:style w:type="paragraph" w:customStyle="1" w:styleId="76">
    <w:name w:val="正文2"/>
    <w:basedOn w:val="1"/>
    <w:qFormat/>
    <w:uiPriority w:val="0"/>
    <w:pPr>
      <w:spacing w:before="156" w:line="360" w:lineRule="auto"/>
      <w:ind w:firstLine="510" w:firstLineChars="200"/>
    </w:pPr>
    <w:rPr>
      <w:sz w:val="24"/>
      <w:szCs w:val="20"/>
    </w:rPr>
  </w:style>
  <w:style w:type="paragraph" w:customStyle="1" w:styleId="77">
    <w:name w:val="正文 A"/>
    <w:qFormat/>
    <w:uiPriority w:val="0"/>
    <w:pPr>
      <w:widowControl w:val="0"/>
      <w:jc w:val="both"/>
    </w:pPr>
    <w:rPr>
      <w:rFonts w:ascii="Calibri" w:hAnsi="Calibri" w:eastAsia="宋体" w:cs="Calibri"/>
      <w:color w:val="000000"/>
      <w:kern w:val="2"/>
      <w:sz w:val="21"/>
      <w:szCs w:val="21"/>
      <w:lang w:val="en-US" w:eastAsia="zh-CN" w:bidi="ar-SA"/>
    </w:rPr>
  </w:style>
  <w:style w:type="paragraph" w:customStyle="1" w:styleId="78">
    <w:name w:val="列表段落1"/>
    <w:basedOn w:val="1"/>
    <w:qFormat/>
    <w:uiPriority w:val="0"/>
    <w:pPr>
      <w:ind w:firstLine="420" w:firstLineChars="200"/>
    </w:pPr>
    <w:rPr>
      <w:rFonts w:ascii="Calibri" w:hAnsi="Calibri"/>
      <w:szCs w:val="22"/>
    </w:rPr>
  </w:style>
  <w:style w:type="character" w:customStyle="1" w:styleId="79">
    <w:name w:val="font111"/>
    <w:basedOn w:val="33"/>
    <w:qFormat/>
    <w:uiPriority w:val="0"/>
    <w:rPr>
      <w:rFonts w:hint="eastAsia" w:ascii="宋体" w:hAnsi="宋体" w:eastAsia="宋体" w:cs="宋体"/>
      <w:color w:val="000000"/>
      <w:sz w:val="18"/>
      <w:szCs w:val="18"/>
      <w:u w:val="none"/>
    </w:rPr>
  </w:style>
  <w:style w:type="paragraph" w:customStyle="1" w:styleId="80">
    <w:name w:val="列表段落2"/>
    <w:basedOn w:val="1"/>
    <w:qFormat/>
    <w:uiPriority w:val="0"/>
    <w:pPr>
      <w:ind w:firstLine="420" w:firstLineChars="200"/>
    </w:pPr>
  </w:style>
  <w:style w:type="paragraph" w:styleId="81">
    <w:name w:val="List Paragraph"/>
    <w:basedOn w:val="1"/>
    <w:qFormat/>
    <w:uiPriority w:val="99"/>
    <w:pPr>
      <w:ind w:firstLine="420" w:firstLineChars="200"/>
    </w:pPr>
  </w:style>
  <w:style w:type="paragraph" w:customStyle="1" w:styleId="82">
    <w:name w:val="纯文本1"/>
    <w:basedOn w:val="1"/>
    <w:qFormat/>
    <w:uiPriority w:val="0"/>
    <w:pPr>
      <w:adjustRightInd w:val="0"/>
    </w:pPr>
    <w:rPr>
      <w:rFonts w:ascii="宋体" w:hAnsi="Courier New" w:eastAsia="楷体_GB2312"/>
      <w:sz w:val="28"/>
      <w:szCs w:val="20"/>
    </w:rPr>
  </w:style>
  <w:style w:type="character" w:customStyle="1" w:styleId="83">
    <w:name w:val="正文文本缩进 3 Char"/>
    <w:link w:val="25"/>
    <w:qFormat/>
    <w:uiPriority w:val="0"/>
    <w:rPr>
      <w:rFonts w:eastAsia="黑体"/>
      <w:color w:val="000000"/>
      <w:sz w:val="24"/>
    </w:rPr>
  </w:style>
  <w:style w:type="paragraph" w:customStyle="1" w:styleId="84">
    <w:name w:val="Table Paragraph"/>
    <w:basedOn w:val="1"/>
    <w:qFormat/>
    <w:uiPriority w:val="1"/>
    <w:rPr>
      <w:rFonts w:ascii="宋体" w:hAnsi="宋体" w:cs="宋体"/>
    </w:rPr>
  </w:style>
  <w:style w:type="paragraph" w:customStyle="1" w:styleId="85">
    <w:name w:val="List Paragraph1"/>
    <w:basedOn w:val="1"/>
    <w:qFormat/>
    <w:uiPriority w:val="0"/>
    <w:pPr>
      <w:ind w:firstLine="420" w:firstLineChars="200"/>
    </w:pPr>
    <w:rPr>
      <w:rFonts w:ascii="Calibri" w:hAnsi="Calibri"/>
      <w:szCs w:val="22"/>
    </w:rPr>
  </w:style>
  <w:style w:type="paragraph" w:customStyle="1" w:styleId="86">
    <w:name w:val="Char Char Char Char Char Char2 Char Char Char Char1"/>
    <w:basedOn w:val="1"/>
    <w:qFormat/>
    <w:uiPriority w:val="0"/>
  </w:style>
  <w:style w:type="paragraph" w:customStyle="1" w:styleId="87">
    <w:name w:val="[Normal]"/>
    <w:qFormat/>
    <w:uiPriority w:val="0"/>
    <w:rPr>
      <w:rFonts w:ascii="宋体" w:hAnsi="宋体" w:eastAsia="宋体" w:cs="Times New Roman"/>
      <w:sz w:val="24"/>
      <w:szCs w:val="22"/>
      <w:lang w:val="zh-CN" w:eastAsia="zh-CN" w:bidi="ar-SA"/>
    </w:rPr>
  </w:style>
  <w:style w:type="paragraph" w:customStyle="1" w:styleId="88">
    <w:name w:val="正文1"/>
    <w:next w:val="1"/>
    <w:qFormat/>
    <w:uiPriority w:val="0"/>
    <w:pPr>
      <w:widowControl w:val="0"/>
      <w:adjustRightInd w:val="0"/>
      <w:spacing w:line="240" w:lineRule="atLeast"/>
      <w:jc w:val="both"/>
    </w:pPr>
    <w:rPr>
      <w:rFonts w:ascii="宋体" w:hAnsi="Times New Roman" w:eastAsia="宋体" w:cs="Times New Roman"/>
      <w:sz w:val="34"/>
      <w:lang w:val="en-US" w:eastAsia="zh-CN" w:bidi="ar-SA"/>
    </w:rPr>
  </w:style>
  <w:style w:type="paragraph" w:customStyle="1" w:styleId="89">
    <w:name w:val="纯文本2"/>
    <w:basedOn w:val="90"/>
    <w:qFormat/>
    <w:uiPriority w:val="0"/>
    <w:pPr>
      <w:widowControl/>
      <w:jc w:val="left"/>
    </w:pPr>
    <w:rPr>
      <w:rFonts w:ascii="宋体" w:hAnsi="Courier New"/>
    </w:rPr>
  </w:style>
  <w:style w:type="paragraph" w:customStyle="1" w:styleId="90">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1">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92">
    <w:name w:val="图表"/>
    <w:basedOn w:val="1"/>
    <w:next w:val="1"/>
    <w:qFormat/>
    <w:uiPriority w:val="0"/>
    <w:pPr>
      <w:jc w:val="center"/>
    </w:pPr>
    <w:rPr>
      <w:sz w:val="24"/>
      <w:szCs w:val="21"/>
    </w:rPr>
  </w:style>
  <w:style w:type="paragraph" w:customStyle="1" w:styleId="93">
    <w:name w:val="此正文"/>
    <w:basedOn w:val="1"/>
    <w:qFormat/>
    <w:uiPriority w:val="0"/>
    <w:rPr>
      <w:rFonts w:ascii="宋体" w:hAnsi="宋体" w:cs="Arial"/>
      <w:color w:val="000000"/>
    </w:rPr>
  </w:style>
  <w:style w:type="paragraph" w:customStyle="1" w:styleId="94">
    <w:name w:val="自动编号"/>
    <w:basedOn w:val="1"/>
    <w:qFormat/>
    <w:uiPriority w:val="0"/>
    <w:pPr>
      <w:widowControl/>
      <w:numPr>
        <w:ilvl w:val="4"/>
        <w:numId w:val="2"/>
      </w:numPr>
      <w:spacing w:line="360" w:lineRule="auto"/>
    </w:pPr>
    <w:rPr>
      <w:rFonts w:cstheme="minorBidi"/>
      <w:bCs/>
      <w:sz w:val="24"/>
      <w:szCs w:val="21"/>
    </w:rPr>
  </w:style>
  <w:style w:type="paragraph" w:customStyle="1" w:styleId="95">
    <w:name w:val="正文四号"/>
    <w:basedOn w:val="1"/>
    <w:qFormat/>
    <w:uiPriority w:val="0"/>
    <w:pPr>
      <w:spacing w:line="360" w:lineRule="auto"/>
      <w:ind w:firstLine="200" w:firstLineChars="200"/>
    </w:pPr>
    <w:rPr>
      <w:sz w:val="24"/>
      <w:szCs w:val="20"/>
    </w:rPr>
  </w:style>
  <w:style w:type="paragraph" w:customStyle="1" w:styleId="96">
    <w:name w:val="*正文"/>
    <w:basedOn w:val="1"/>
    <w:qFormat/>
    <w:uiPriority w:val="0"/>
    <w:pPr>
      <w:spacing w:line="300" w:lineRule="auto"/>
      <w:ind w:firstLine="480"/>
    </w:pPr>
    <w:rPr>
      <w:rFonts w:ascii="宋体" w:hAnsi="宋体" w:cs="仿宋_GB2312"/>
    </w:rPr>
  </w:style>
  <w:style w:type="paragraph" w:customStyle="1" w:styleId="97">
    <w:name w:val="表、图名"/>
    <w:basedOn w:val="1"/>
    <w:qFormat/>
    <w:uiPriority w:val="0"/>
    <w:pPr>
      <w:spacing w:line="360" w:lineRule="auto"/>
      <w:jc w:val="center"/>
    </w:pPr>
    <w:rPr>
      <w:rFonts w:ascii="仿宋" w:hAnsi="仿宋" w:eastAsia="仿宋"/>
      <w:kern w:val="0"/>
      <w:szCs w:val="21"/>
    </w:rPr>
  </w:style>
  <w:style w:type="paragraph" w:customStyle="1" w:styleId="98">
    <w:name w:val="表"/>
    <w:basedOn w:val="1"/>
    <w:qFormat/>
    <w:uiPriority w:val="0"/>
    <w:pPr>
      <w:jc w:val="center"/>
    </w:pPr>
    <w:rPr>
      <w:rFonts w:ascii="仿宋" w:hAnsi="仿宋" w:eastAsia="仿宋"/>
      <w:sz w:val="18"/>
      <w:szCs w:val="18"/>
    </w:rPr>
  </w:style>
  <w:style w:type="paragraph" w:customStyle="1" w:styleId="99">
    <w:name w:val="_Style 1"/>
    <w:qFormat/>
    <w:uiPriority w:val="99"/>
    <w:rPr>
      <w:rFonts w:ascii="Calibri" w:hAnsi="Calibri" w:eastAsia="宋体" w:cs="Times New Roman"/>
      <w:kern w:val="2"/>
      <w:sz w:val="28"/>
      <w:szCs w:val="22"/>
      <w:lang w:val="en-US" w:eastAsia="zh-CN" w:bidi="ar-SA"/>
    </w:rPr>
  </w:style>
  <w:style w:type="paragraph" w:customStyle="1" w:styleId="100">
    <w:name w:val="正文.表格"/>
    <w:basedOn w:val="1"/>
    <w:next w:val="1"/>
    <w:qFormat/>
    <w:uiPriority w:val="99"/>
    <w:pPr>
      <w:widowControl/>
      <w:autoSpaceDE w:val="0"/>
      <w:autoSpaceDN w:val="0"/>
      <w:snapToGrid w:val="0"/>
      <w:jc w:val="center"/>
      <w:textAlignment w:val="center"/>
    </w:pPr>
    <w:rPr>
      <w:rFonts w:ascii="仿宋_GB2312" w:hAnsi="仿宋_GB2312" w:eastAsia="仿宋_GB2312" w:cs="仿宋_GB2312"/>
      <w:kern w:val="21"/>
      <w:szCs w:val="21"/>
    </w:rPr>
  </w:style>
  <w:style w:type="character" w:customStyle="1" w:styleId="101">
    <w:name w:val="!正文 Char"/>
    <w:link w:val="102"/>
    <w:qFormat/>
    <w:uiPriority w:val="0"/>
    <w:rPr>
      <w:rFonts w:ascii="宋体" w:hAnsi="宋体"/>
      <w:sz w:val="24"/>
      <w:szCs w:val="28"/>
      <w:lang w:val="zh-CN"/>
    </w:rPr>
  </w:style>
  <w:style w:type="paragraph" w:customStyle="1" w:styleId="102">
    <w:name w:val="!正文"/>
    <w:basedOn w:val="1"/>
    <w:link w:val="101"/>
    <w:qFormat/>
    <w:uiPriority w:val="0"/>
    <w:pPr>
      <w:widowControl/>
      <w:spacing w:after="160" w:line="360" w:lineRule="auto"/>
      <w:ind w:firstLine="200" w:firstLineChars="200"/>
      <w:jc w:val="left"/>
    </w:pPr>
    <w:rPr>
      <w:rFonts w:ascii="宋体" w:hAnsi="宋体"/>
      <w:kern w:val="0"/>
      <w:sz w:val="24"/>
      <w:szCs w:val="28"/>
      <w:lang w:val="zh-CN"/>
    </w:rPr>
  </w:style>
  <w:style w:type="paragraph" w:customStyle="1" w:styleId="103">
    <w:name w:val="修订2"/>
    <w:hidden/>
    <w:semiHidden/>
    <w:qFormat/>
    <w:uiPriority w:val="99"/>
    <w:rPr>
      <w:rFonts w:ascii="Times New Roman" w:hAnsi="Times New Roman" w:eastAsia="宋体" w:cs="Times New Roman"/>
      <w:kern w:val="2"/>
      <w:sz w:val="21"/>
      <w:szCs w:val="24"/>
      <w:lang w:val="en-US" w:eastAsia="zh-CN" w:bidi="ar-SA"/>
    </w:rPr>
  </w:style>
  <w:style w:type="character" w:customStyle="1" w:styleId="104">
    <w:name w:val="无"/>
    <w:qFormat/>
    <w:uiPriority w:val="99"/>
  </w:style>
  <w:style w:type="paragraph" w:customStyle="1" w:styleId="105">
    <w:name w:val="样式1"/>
    <w:basedOn w:val="23"/>
    <w:qFormat/>
    <w:uiPriority w:val="0"/>
    <w:pPr>
      <w:pBdr>
        <w:bottom w:val="none" w:color="auto" w:sz="0" w:space="0"/>
      </w:pBdr>
      <w:adjustRightInd w:val="0"/>
      <w:spacing w:line="240" w:lineRule="atLeast"/>
    </w:pPr>
    <w:rPr>
      <w:rFonts w:ascii="宋体" w:hAnsi="宋体" w:eastAsia="Times New Roman" w:cs="宋体"/>
    </w:rPr>
  </w:style>
  <w:style w:type="paragraph" w:customStyle="1" w:styleId="106">
    <w:name w:val="正文缩近"/>
    <w:basedOn w:val="1"/>
    <w:qFormat/>
    <w:uiPriority w:val="0"/>
    <w:pPr>
      <w:spacing w:line="360" w:lineRule="auto"/>
      <w:ind w:firstLine="200" w:firstLineChars="200"/>
    </w:pPr>
    <w:rPr>
      <w:rFonts w:ascii="等线" w:hAnsi="等线" w:eastAsia="等线"/>
      <w:sz w:val="24"/>
      <w:szCs w:val="22"/>
    </w:rPr>
  </w:style>
  <w:style w:type="paragraph" w:customStyle="1" w:styleId="107">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8">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109">
    <w:name w:val="列出段落2"/>
    <w:basedOn w:val="1"/>
    <w:qFormat/>
    <w:uiPriority w:val="0"/>
    <w:pPr>
      <w:ind w:firstLine="420" w:firstLineChars="200"/>
    </w:pPr>
    <w:rPr>
      <w:rFonts w:ascii="Calibri" w:hAnsi="Calibri" w:eastAsia="楷体_GB2312"/>
      <w:szCs w:val="22"/>
    </w:rPr>
  </w:style>
  <w:style w:type="table" w:customStyle="1" w:styleId="110">
    <w:name w:val="Table Normal"/>
    <w:semiHidden/>
    <w:unhideWhenUsed/>
    <w:qFormat/>
    <w:uiPriority w:val="0"/>
    <w:tblPr>
      <w:tblCellMar>
        <w:top w:w="0" w:type="dxa"/>
        <w:left w:w="0" w:type="dxa"/>
        <w:bottom w:w="0" w:type="dxa"/>
        <w:right w:w="0" w:type="dxa"/>
      </w:tblCellMar>
    </w:tblPr>
  </w:style>
  <w:style w:type="paragraph" w:customStyle="1" w:styleId="111">
    <w:name w:val="Default"/>
    <w:qFormat/>
    <w:uiPriority w:val="0"/>
    <w:pPr>
      <w:widowControl w:val="0"/>
      <w:autoSpaceDE w:val="0"/>
      <w:autoSpaceDN w:val="0"/>
      <w:adjustRightInd w:val="0"/>
      <w:spacing w:line="360" w:lineRule="auto"/>
      <w:jc w:val="both"/>
    </w:pPr>
    <w:rPr>
      <w:rFonts w:ascii="源淏窪极潠极2." w:hAnsi="Calibri" w:eastAsia="源淏窪极潠极2." w:cs="源淏窪极潠极2."/>
      <w:color w:val="000000"/>
      <w:sz w:val="24"/>
      <w:szCs w:val="24"/>
      <w:lang w:val="en-US" w:eastAsia="zh-CN" w:bidi="ar-SA"/>
    </w:rPr>
  </w:style>
  <w:style w:type="paragraph" w:customStyle="1" w:styleId="112">
    <w:name w:val="样式 标题 2 + Times New Roman 四号 非加粗 段前: 5 磅 段后: 0 磅 行距: 固定值 20..."/>
    <w:basedOn w:val="4"/>
    <w:qFormat/>
    <w:uiPriority w:val="0"/>
    <w:pPr>
      <w:spacing w:before="100" w:beforeLines="0" w:after="0" w:afterLines="0" w:line="400" w:lineRule="exact"/>
    </w:pPr>
    <w:rPr>
      <w:rFonts w:ascii="Times New Roman" w:hAnsi="Times New Roman" w:cs="宋体"/>
      <w:b w:val="0"/>
      <w:bCs w:val="0"/>
      <w:sz w:val="28"/>
      <w:szCs w:val="20"/>
    </w:rPr>
  </w:style>
  <w:style w:type="paragraph" w:customStyle="1" w:styleId="113">
    <w:name w:val="Blockquote"/>
    <w:basedOn w:val="1"/>
    <w:qFormat/>
    <w:uiPriority w:val="0"/>
    <w:pPr>
      <w:autoSpaceDE w:val="0"/>
      <w:autoSpaceDN w:val="0"/>
      <w:adjustRightInd w:val="0"/>
      <w:spacing w:before="100" w:beforeLines="0" w:after="100" w:afterLines="0"/>
      <w:ind w:left="360" w:right="360"/>
      <w:jc w:val="left"/>
    </w:pPr>
    <w:rPr>
      <w:kern w:val="0"/>
      <w:sz w:val="24"/>
      <w:szCs w:val="20"/>
    </w:rPr>
  </w:style>
  <w:style w:type="character" w:customStyle="1" w:styleId="114">
    <w:name w:val="NormalCharacter"/>
    <w:autoRedefine/>
    <w:semiHidden/>
    <w:qFormat/>
    <w:uiPriority w:val="0"/>
  </w:style>
  <w:style w:type="paragraph" w:customStyle="1" w:styleId="115">
    <w:name w:val="正文首行缩进1"/>
    <w:basedOn w:val="14"/>
    <w:autoRedefine/>
    <w:qFormat/>
    <w:uiPriority w:val="0"/>
    <w:pPr>
      <w:ind w:firstLine="420" w:firstLineChars="100"/>
    </w:pPr>
  </w:style>
  <w:style w:type="paragraph" w:customStyle="1" w:styleId="116">
    <w:name w:val="样式 样式1 + 首行缩进:  2 字符"/>
    <w:basedOn w:val="1"/>
    <w:qFormat/>
    <w:uiPriority w:val="0"/>
    <w:pPr>
      <w:spacing w:line="360" w:lineRule="exact"/>
      <w:ind w:firstLine="420" w:firstLineChars="200"/>
    </w:pPr>
    <w:rPr>
      <w:rFonts w:ascii="Arial" w:hAnsi="Arial" w:cs="宋体"/>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65</Pages>
  <Words>27213</Words>
  <Characters>29831</Characters>
  <Lines>393</Lines>
  <Paragraphs>110</Paragraphs>
  <TotalTime>61</TotalTime>
  <ScaleCrop>false</ScaleCrop>
  <LinksUpToDate>false</LinksUpToDate>
  <CharactersWithSpaces>29922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2021-12-22T07:23:00Z</dcterms:created>
  <dc:creator>S-mile</dc:creator>
  <cp:lastModifiedBy>大达搭哒答</cp:lastModifiedBy>
  <cp:lastPrinted>2025-04-03T02:18:00Z</cp:lastPrinted>
  <dcterms:modified xsi:type="dcterms:W3CDTF">2025-04-03T05:14:39Z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DD9A271255BE43888600BDB9090B5815_13</vt:lpwstr>
  </property>
  <property fmtid="{D5CDD505-2E9C-101B-9397-08002B2CF9AE}" pid="4" name="KSOTemplateDocerSaveRecord">
    <vt:lpwstr>eyJoZGlkIjoiYmYwNjAyY2Q2YTJjYTFjZGU1NDY2ZGQwMTIyMDgyYWMiLCJ1c2VySWQiOiIxMDUxNDQ3NjkxIn0=</vt:lpwstr>
  </property>
</Properties>
</file>