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BE1F7">
      <w:pPr>
        <w:jc w:val="center"/>
        <w:rPr>
          <w:rFonts w:ascii="宋体" w:hAnsi="宋体" w:cs="宋体"/>
          <w:sz w:val="52"/>
          <w:szCs w:val="52"/>
        </w:rPr>
      </w:pPr>
    </w:p>
    <w:p w14:paraId="0A40AEBD">
      <w:pPr>
        <w:pStyle w:val="16"/>
        <w:rPr>
          <w:rFonts w:ascii="宋体" w:hAnsi="宋体" w:cs="宋体"/>
          <w:sz w:val="52"/>
          <w:szCs w:val="52"/>
        </w:rPr>
      </w:pPr>
    </w:p>
    <w:p w14:paraId="03A3519D">
      <w:pPr>
        <w:pStyle w:val="16"/>
        <w:rPr>
          <w:rFonts w:ascii="宋体" w:hAnsi="宋体" w:cs="宋体"/>
          <w:sz w:val="52"/>
          <w:szCs w:val="52"/>
        </w:rPr>
      </w:pPr>
    </w:p>
    <w:p w14:paraId="6D984B71">
      <w:pPr>
        <w:jc w:val="center"/>
        <w:rPr>
          <w:rFonts w:ascii="宋体" w:hAnsi="宋体" w:cs="宋体"/>
          <w:b/>
          <w:sz w:val="72"/>
          <w:szCs w:val="72"/>
        </w:rPr>
      </w:pPr>
    </w:p>
    <w:p w14:paraId="48358221">
      <w:pPr>
        <w:shd w:val="clear" w:color="auto" w:fill="FFFFFF"/>
        <w:spacing w:line="360" w:lineRule="auto"/>
        <w:jc w:val="center"/>
        <w:textAlignment w:val="bottom"/>
        <w:rPr>
          <w:rFonts w:ascii="宋体"/>
          <w:b/>
          <w:kern w:val="0"/>
          <w:sz w:val="52"/>
          <w:szCs w:val="52"/>
        </w:rPr>
      </w:pPr>
      <w:r>
        <w:rPr>
          <w:rFonts w:hint="eastAsia" w:ascii="宋体"/>
          <w:b/>
          <w:kern w:val="0"/>
          <w:sz w:val="52"/>
          <w:szCs w:val="52"/>
        </w:rPr>
        <w:t>政府采购电子招标文件</w:t>
      </w:r>
    </w:p>
    <w:p w14:paraId="5E66E6F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rPr>
      </w:pPr>
    </w:p>
    <w:p w14:paraId="50BEE22B">
      <w:pPr>
        <w:pStyle w:val="16"/>
      </w:pPr>
    </w:p>
    <w:p w14:paraId="3C931CF0">
      <w:pPr>
        <w:pStyle w:val="16"/>
      </w:pPr>
    </w:p>
    <w:p w14:paraId="5050765C">
      <w:pPr>
        <w:adjustRightInd w:val="0"/>
        <w:snapToGrid w:val="0"/>
        <w:spacing w:line="360" w:lineRule="auto"/>
        <w:ind w:left="1521" w:hanging="1521" w:hangingChars="541"/>
        <w:rPr>
          <w:rFonts w:ascii="宋体" w:hAnsi="宋体" w:cs="宋体"/>
          <w:b/>
          <w:bCs/>
          <w:sz w:val="28"/>
          <w:szCs w:val="28"/>
        </w:rPr>
      </w:pPr>
    </w:p>
    <w:p w14:paraId="73F3120E">
      <w:pPr>
        <w:autoSpaceDE w:val="0"/>
        <w:autoSpaceDN w:val="0"/>
        <w:adjustRightInd w:val="0"/>
        <w:spacing w:line="360" w:lineRule="auto"/>
        <w:ind w:firstLine="840" w:firstLineChars="300"/>
        <w:rPr>
          <w:rFonts w:hint="default" w:ascii="宋体" w:hAnsi="宋体" w:eastAsia="宋体" w:cs="宋体"/>
          <w:kern w:val="0"/>
          <w:sz w:val="28"/>
          <w:szCs w:val="24"/>
          <w:lang w:val="en-US" w:eastAsia="zh-CN"/>
        </w:rPr>
      </w:pPr>
      <w:r>
        <w:rPr>
          <w:rFonts w:hint="eastAsia" w:ascii="宋体" w:hAnsi="宋体" w:cs="宋体"/>
          <w:kern w:val="0"/>
          <w:sz w:val="28"/>
          <w:szCs w:val="24"/>
        </w:rPr>
        <w:t>项目编号：</w:t>
      </w:r>
      <w:r>
        <w:rPr>
          <w:rFonts w:hint="eastAsia" w:ascii="宋体" w:hAnsi="宋体" w:cs="宋体"/>
          <w:kern w:val="0"/>
          <w:sz w:val="28"/>
          <w:szCs w:val="24"/>
          <w:lang w:eastAsia="zh-CN"/>
        </w:rPr>
        <w:t>tzccclq-20240</w:t>
      </w:r>
      <w:r>
        <w:rPr>
          <w:rFonts w:hint="eastAsia" w:ascii="宋体" w:hAnsi="宋体" w:cs="宋体"/>
          <w:kern w:val="0"/>
          <w:sz w:val="28"/>
          <w:szCs w:val="24"/>
          <w:lang w:val="en-US" w:eastAsia="zh-CN"/>
        </w:rPr>
        <w:t>722</w:t>
      </w:r>
    </w:p>
    <w:p w14:paraId="67C494DB">
      <w:pPr>
        <w:autoSpaceDE w:val="0"/>
        <w:autoSpaceDN w:val="0"/>
        <w:adjustRightInd w:val="0"/>
        <w:spacing w:line="360" w:lineRule="auto"/>
        <w:ind w:left="838" w:leftChars="399" w:firstLine="0" w:firstLineChars="0"/>
        <w:jc w:val="left"/>
        <w:rPr>
          <w:rFonts w:hint="eastAsia" w:ascii="宋体" w:hAnsi="宋体" w:eastAsia="宋体" w:cs="宋体"/>
          <w:kern w:val="0"/>
          <w:sz w:val="28"/>
          <w:szCs w:val="24"/>
          <w:lang w:eastAsia="zh-CN"/>
        </w:rPr>
      </w:pPr>
      <w:r>
        <w:rPr>
          <w:rFonts w:hint="eastAsia" w:ascii="宋体" w:hAnsi="宋体" w:cs="宋体"/>
          <w:kern w:val="0"/>
          <w:sz w:val="28"/>
          <w:szCs w:val="24"/>
        </w:rPr>
        <w:t>采购项目：</w:t>
      </w:r>
      <w:r>
        <w:rPr>
          <w:rFonts w:hint="eastAsia" w:ascii="宋体" w:hAnsi="宋体" w:cs="宋体"/>
          <w:kern w:val="0"/>
          <w:sz w:val="28"/>
          <w:szCs w:val="24"/>
          <w:lang w:eastAsia="zh-CN"/>
        </w:rPr>
        <w:t>多功能登高平台消防车及随车器材一批采购项目</w:t>
      </w:r>
    </w:p>
    <w:p w14:paraId="4EB191CA">
      <w:pPr>
        <w:autoSpaceDE w:val="0"/>
        <w:autoSpaceDN w:val="0"/>
        <w:adjustRightInd w:val="0"/>
        <w:spacing w:line="360" w:lineRule="auto"/>
        <w:ind w:firstLine="840" w:firstLineChars="300"/>
        <w:rPr>
          <w:rFonts w:hint="eastAsia" w:ascii="宋体" w:hAnsi="宋体" w:eastAsia="宋体" w:cs="宋体"/>
          <w:kern w:val="0"/>
          <w:sz w:val="28"/>
          <w:szCs w:val="24"/>
          <w:lang w:eastAsia="zh-CN"/>
        </w:rPr>
      </w:pPr>
      <w:r>
        <w:rPr>
          <w:rFonts w:hint="eastAsia" w:ascii="宋体" w:hAnsi="宋体" w:cs="宋体"/>
          <w:kern w:val="0"/>
          <w:sz w:val="28"/>
          <w:szCs w:val="24"/>
        </w:rPr>
        <w:t>采购人：</w:t>
      </w:r>
      <w:r>
        <w:rPr>
          <w:rFonts w:hint="eastAsia" w:ascii="宋体" w:hAnsi="宋体" w:cs="宋体"/>
          <w:kern w:val="0"/>
          <w:sz w:val="28"/>
          <w:szCs w:val="24"/>
          <w:lang w:eastAsia="zh-CN"/>
        </w:rPr>
        <w:t>台州市路桥区横街镇人民政府</w:t>
      </w:r>
    </w:p>
    <w:p w14:paraId="2AB7FF7C">
      <w:pPr>
        <w:autoSpaceDE w:val="0"/>
        <w:autoSpaceDN w:val="0"/>
        <w:adjustRightInd w:val="0"/>
        <w:spacing w:line="360" w:lineRule="auto"/>
        <w:ind w:firstLine="840" w:firstLineChars="300"/>
        <w:rPr>
          <w:rFonts w:hint="eastAsia" w:ascii="宋体" w:hAnsi="宋体" w:eastAsia="宋体" w:cs="宋体"/>
          <w:kern w:val="0"/>
          <w:sz w:val="28"/>
          <w:szCs w:val="24"/>
          <w:lang w:eastAsia="zh-CN"/>
        </w:rPr>
      </w:pPr>
      <w:r>
        <w:rPr>
          <w:rFonts w:hint="eastAsia" w:ascii="宋体" w:hAnsi="宋体" w:cs="宋体"/>
          <w:kern w:val="0"/>
          <w:sz w:val="28"/>
          <w:szCs w:val="24"/>
        </w:rPr>
        <w:t>采购代理机构：</w:t>
      </w:r>
      <w:r>
        <w:rPr>
          <w:rFonts w:hint="eastAsia" w:ascii="宋体" w:hAnsi="宋体" w:cs="宋体"/>
          <w:kern w:val="0"/>
          <w:sz w:val="28"/>
          <w:szCs w:val="24"/>
          <w:lang w:eastAsia="zh-CN"/>
        </w:rPr>
        <w:t>台州市建设咨询有限公司</w:t>
      </w:r>
    </w:p>
    <w:p w14:paraId="0F7CB8F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344072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656167E3">
      <w:pPr>
        <w:spacing w:line="360" w:lineRule="auto"/>
        <w:jc w:val="center"/>
        <w:rPr>
          <w:rFonts w:hint="eastAsia"/>
          <w:lang w:eastAsia="zh-CN"/>
        </w:rPr>
      </w:pP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cs="宋体"/>
          <w:sz w:val="28"/>
          <w:szCs w:val="28"/>
          <w:lang w:eastAsia="zh-CN"/>
        </w:rPr>
        <w:t>年</w:t>
      </w:r>
      <w:r>
        <w:rPr>
          <w:rFonts w:hint="eastAsia" w:ascii="宋体" w:hAnsi="宋体" w:cs="宋体"/>
          <w:sz w:val="28"/>
          <w:szCs w:val="28"/>
          <w:lang w:val="en-US" w:eastAsia="zh-CN"/>
        </w:rPr>
        <w:t>8</w:t>
      </w:r>
      <w:r>
        <w:rPr>
          <w:rFonts w:hint="eastAsia" w:ascii="宋体" w:hAnsi="宋体" w:cs="宋体"/>
          <w:sz w:val="28"/>
          <w:szCs w:val="28"/>
          <w:lang w:eastAsia="zh-CN"/>
        </w:rPr>
        <w:t>月</w:t>
      </w:r>
    </w:p>
    <w:p w14:paraId="0B64109F">
      <w:pPr>
        <w:rPr>
          <w:rFonts w:ascii="方正小标宋简体" w:hAnsi="方正小标宋简体" w:eastAsia="方正小标宋简体"/>
          <w:color w:val="auto"/>
          <w:sz w:val="44"/>
          <w:highlight w:val="none"/>
        </w:rPr>
      </w:pPr>
      <w:r>
        <w:rPr>
          <w:rFonts w:ascii="方正小标宋简体" w:hAnsi="方正小标宋简体" w:eastAsia="方正小标宋简体"/>
          <w:color w:val="auto"/>
          <w:sz w:val="44"/>
          <w:highlight w:val="none"/>
        </w:rPr>
        <w:br w:type="page"/>
      </w:r>
    </w:p>
    <w:p w14:paraId="49965D89">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14:paraId="60C0D048">
      <w:pPr>
        <w:pStyle w:val="29"/>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14:paraId="242B3294">
      <w:pPr>
        <w:rPr>
          <w:color w:val="auto"/>
          <w:sz w:val="28"/>
          <w:szCs w:val="28"/>
          <w:highlight w:val="none"/>
        </w:rPr>
      </w:pPr>
    </w:p>
    <w:p w14:paraId="141D4510">
      <w:pPr>
        <w:rPr>
          <w:color w:val="auto"/>
          <w:sz w:val="28"/>
          <w:szCs w:val="28"/>
          <w:highlight w:val="none"/>
        </w:rPr>
      </w:pPr>
    </w:p>
    <w:p w14:paraId="368BE188">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rPr>
        <w:t>公开招标采购公告</w:t>
      </w:r>
    </w:p>
    <w:p w14:paraId="68F06AA3">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二、投标人须知</w:t>
      </w:r>
    </w:p>
    <w:p w14:paraId="529F54D5">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三、评标办法及评分标准</w:t>
      </w:r>
    </w:p>
    <w:p w14:paraId="4F6AEE8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四、公开招标需求</w:t>
      </w:r>
    </w:p>
    <w:p w14:paraId="2E3A50B9">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14:paraId="685B8F3D">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六、投标文件格式附件</w:t>
      </w:r>
    </w:p>
    <w:p w14:paraId="1F7122B3">
      <w:pPr>
        <w:widowControl w:val="0"/>
        <w:spacing w:line="360" w:lineRule="auto"/>
        <w:ind w:firstLine="480" w:firstLineChars="200"/>
        <w:jc w:val="both"/>
        <w:textAlignment w:val="baseline"/>
        <w:rPr>
          <w:rFonts w:ascii="宋体" w:hAnsi="宋体"/>
          <w:color w:val="auto"/>
          <w:sz w:val="24"/>
          <w:highlight w:val="none"/>
        </w:rPr>
      </w:pPr>
    </w:p>
    <w:p w14:paraId="55F5D131">
      <w:pPr>
        <w:widowControl w:val="0"/>
        <w:spacing w:line="360" w:lineRule="auto"/>
        <w:ind w:firstLine="480" w:firstLineChars="200"/>
        <w:jc w:val="both"/>
        <w:textAlignment w:val="baseline"/>
        <w:rPr>
          <w:rFonts w:ascii="宋体" w:hAnsi="宋体"/>
          <w:color w:val="auto"/>
          <w:sz w:val="24"/>
          <w:highlight w:val="none"/>
        </w:rPr>
      </w:pPr>
    </w:p>
    <w:p w14:paraId="7FDDE416">
      <w:pPr>
        <w:widowControl w:val="0"/>
        <w:spacing w:line="360" w:lineRule="auto"/>
        <w:ind w:firstLine="480" w:firstLineChars="200"/>
        <w:jc w:val="both"/>
        <w:textAlignment w:val="baseline"/>
        <w:rPr>
          <w:rFonts w:ascii="宋体" w:hAnsi="宋体"/>
          <w:color w:val="auto"/>
          <w:sz w:val="24"/>
          <w:highlight w:val="none"/>
        </w:rPr>
      </w:pPr>
    </w:p>
    <w:p w14:paraId="07569884">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color w:val="auto"/>
          <w:sz w:val="40"/>
          <w:szCs w:val="40"/>
          <w:highlight w:val="none"/>
        </w:rPr>
        <w:t>第一章  公开招标采购公告</w:t>
      </w:r>
    </w:p>
    <w:p w14:paraId="2688D097">
      <w:pPr>
        <w:spacing w:line="360" w:lineRule="auto"/>
        <w:ind w:firstLine="480" w:firstLineChars="200"/>
        <w:rPr>
          <w:rFonts w:ascii="宋体" w:hAnsi="宋体" w:cs="宋体"/>
          <w:sz w:val="24"/>
          <w:szCs w:val="32"/>
        </w:rPr>
      </w:pPr>
      <w:r>
        <w:rPr>
          <w:rFonts w:hint="eastAsia" w:ascii="宋体" w:hAnsi="宋体" w:cs="宋体"/>
          <w:sz w:val="24"/>
          <w:szCs w:val="32"/>
        </w:rPr>
        <w:t>根据《中华人民共和国政府采购法》、《中华人民共和国政府采购法实施条例》和财政部令第87号《政府采购货物和服务招标投标管理办法》等有关规定,</w:t>
      </w:r>
      <w:r>
        <w:rPr>
          <w:rFonts w:hint="eastAsia" w:ascii="宋体" w:hAnsi="宋体" w:cs="宋体"/>
          <w:b/>
          <w:bCs/>
          <w:sz w:val="24"/>
          <w:szCs w:val="32"/>
          <w:lang w:eastAsia="zh-CN"/>
        </w:rPr>
        <w:t>台州市建设咨询有限公司</w:t>
      </w:r>
      <w:r>
        <w:rPr>
          <w:rFonts w:hint="eastAsia" w:ascii="宋体" w:hAnsi="宋体" w:cs="宋体"/>
          <w:sz w:val="24"/>
          <w:szCs w:val="32"/>
        </w:rPr>
        <w:t>受</w:t>
      </w:r>
      <w:r>
        <w:rPr>
          <w:rFonts w:hint="eastAsia" w:ascii="宋体" w:hAnsi="宋体" w:cs="宋体"/>
          <w:b/>
          <w:bCs/>
          <w:sz w:val="24"/>
          <w:szCs w:val="32"/>
          <w:lang w:eastAsia="zh-CN"/>
        </w:rPr>
        <w:t>台州市路桥区横街镇人民政府</w:t>
      </w:r>
      <w:r>
        <w:rPr>
          <w:rFonts w:hint="eastAsia" w:ascii="宋体" w:hAnsi="宋体" w:cs="宋体"/>
          <w:sz w:val="24"/>
          <w:szCs w:val="32"/>
        </w:rPr>
        <w:t>委托，现就其</w:t>
      </w:r>
      <w:r>
        <w:rPr>
          <w:rFonts w:hint="eastAsia" w:ascii="宋体" w:hAnsi="宋体" w:cs="宋体"/>
          <w:sz w:val="24"/>
          <w:szCs w:val="32"/>
          <w:lang w:eastAsia="zh-CN"/>
        </w:rPr>
        <w:t>多功能登高平台消防车及随车器材一批采购项目</w:t>
      </w:r>
      <w:r>
        <w:rPr>
          <w:rFonts w:hint="eastAsia" w:ascii="宋体" w:hAnsi="宋体" w:cs="宋体"/>
          <w:sz w:val="24"/>
          <w:szCs w:val="32"/>
        </w:rPr>
        <w:t>进行公开招标采购，欢迎合格供应商前来投标。</w:t>
      </w:r>
    </w:p>
    <w:p w14:paraId="5E58615E">
      <w:pPr>
        <w:spacing w:line="360" w:lineRule="auto"/>
        <w:ind w:firstLine="482" w:firstLineChars="200"/>
        <w:rPr>
          <w:rFonts w:hint="default" w:ascii="宋体" w:hAnsi="宋体" w:eastAsia="宋体" w:cs="宋体"/>
          <w:sz w:val="24"/>
          <w:szCs w:val="32"/>
          <w:lang w:val="en-US" w:eastAsia="zh-CN"/>
        </w:rPr>
      </w:pPr>
      <w:r>
        <w:rPr>
          <w:rFonts w:hint="eastAsia" w:ascii="宋体" w:hAnsi="宋体" w:cs="宋体"/>
          <w:b/>
          <w:bCs/>
          <w:sz w:val="24"/>
          <w:szCs w:val="32"/>
        </w:rPr>
        <w:t>一、项目编号：</w:t>
      </w:r>
      <w:r>
        <w:rPr>
          <w:rFonts w:hint="eastAsia" w:ascii="宋体" w:hAnsi="宋体" w:cs="宋体"/>
          <w:b/>
          <w:bCs/>
          <w:sz w:val="24"/>
          <w:szCs w:val="32"/>
          <w:lang w:eastAsia="zh-CN"/>
        </w:rPr>
        <w:t>tzccclq-20240722</w:t>
      </w:r>
    </w:p>
    <w:p w14:paraId="5DF3ECD8">
      <w:pPr>
        <w:spacing w:line="360" w:lineRule="auto"/>
        <w:ind w:firstLine="482" w:firstLineChars="200"/>
        <w:rPr>
          <w:rFonts w:ascii="宋体" w:hAnsi="宋体" w:cs="宋体"/>
          <w:b/>
          <w:bCs/>
          <w:sz w:val="24"/>
          <w:szCs w:val="32"/>
        </w:rPr>
      </w:pPr>
      <w:r>
        <w:rPr>
          <w:rFonts w:hint="eastAsia" w:ascii="宋体" w:hAnsi="宋体" w:cs="宋体"/>
          <w:b/>
          <w:bCs/>
          <w:sz w:val="24"/>
          <w:szCs w:val="32"/>
        </w:rPr>
        <w:t>二、项目名称：</w:t>
      </w:r>
      <w:r>
        <w:rPr>
          <w:rFonts w:hint="eastAsia" w:ascii="宋体" w:hAnsi="宋体" w:cs="宋体"/>
          <w:b/>
          <w:bCs/>
          <w:sz w:val="24"/>
          <w:szCs w:val="32"/>
          <w:lang w:eastAsia="zh-CN"/>
        </w:rPr>
        <w:t>多功能登高平台消防车及随车器材一批采购项目</w:t>
      </w:r>
    </w:p>
    <w:p w14:paraId="0D487491">
      <w:pPr>
        <w:spacing w:line="360" w:lineRule="auto"/>
        <w:ind w:firstLine="482" w:firstLineChars="200"/>
        <w:rPr>
          <w:rFonts w:ascii="宋体" w:hAnsi="宋体" w:cs="宋体"/>
          <w:b/>
          <w:bCs/>
          <w:sz w:val="24"/>
          <w:szCs w:val="32"/>
        </w:rPr>
      </w:pPr>
      <w:r>
        <w:rPr>
          <w:rFonts w:hint="eastAsia" w:ascii="宋体" w:hAnsi="宋体" w:cs="宋体"/>
          <w:b/>
          <w:bCs/>
          <w:sz w:val="24"/>
          <w:szCs w:val="32"/>
        </w:rPr>
        <w:t>三、招标项目概况：</w:t>
      </w:r>
    </w:p>
    <w:tbl>
      <w:tblPr>
        <w:tblStyle w:val="39"/>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160"/>
        <w:gridCol w:w="1381"/>
        <w:gridCol w:w="722"/>
        <w:gridCol w:w="750"/>
        <w:gridCol w:w="1230"/>
        <w:gridCol w:w="2378"/>
      </w:tblGrid>
      <w:tr w14:paraId="5A1E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590" w:type="dxa"/>
            <w:noWrap w:val="0"/>
            <w:vAlign w:val="center"/>
          </w:tcPr>
          <w:p w14:paraId="281E7B28">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b/>
                <w:color w:val="auto"/>
                <w:sz w:val="24"/>
                <w:szCs w:val="24"/>
                <w:highlight w:val="none"/>
              </w:rPr>
              <w:t>标项</w:t>
            </w:r>
          </w:p>
        </w:tc>
        <w:tc>
          <w:tcPr>
            <w:tcW w:w="2160" w:type="dxa"/>
            <w:noWrap w:val="0"/>
            <w:vAlign w:val="center"/>
          </w:tcPr>
          <w:p w14:paraId="3D503BB4">
            <w:pPr>
              <w:tabs>
                <w:tab w:val="left" w:pos="8280"/>
              </w:tabs>
              <w:autoSpaceDE w:val="0"/>
              <w:autoSpaceDN w:val="0"/>
              <w:adjustRightInd w:val="0"/>
              <w:spacing w:line="240" w:lineRule="auto"/>
              <w:ind w:right="25" w:firstLine="120" w:firstLineChars="5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名称</w:t>
            </w:r>
          </w:p>
        </w:tc>
        <w:tc>
          <w:tcPr>
            <w:tcW w:w="1381" w:type="dxa"/>
            <w:noWrap w:val="0"/>
            <w:vAlign w:val="center"/>
          </w:tcPr>
          <w:p w14:paraId="683C0B28">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cs="宋体"/>
                <w:b/>
                <w:color w:val="auto"/>
                <w:sz w:val="24"/>
                <w:szCs w:val="24"/>
                <w:highlight w:val="none"/>
              </w:rPr>
              <w:t>简要技术要求</w:t>
            </w:r>
          </w:p>
        </w:tc>
        <w:tc>
          <w:tcPr>
            <w:tcW w:w="722" w:type="dxa"/>
            <w:noWrap w:val="0"/>
            <w:vAlign w:val="center"/>
          </w:tcPr>
          <w:p w14:paraId="2800E1DE">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750" w:type="dxa"/>
            <w:noWrap w:val="0"/>
            <w:vAlign w:val="center"/>
          </w:tcPr>
          <w:p w14:paraId="5706AAD6">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1230" w:type="dxa"/>
            <w:noWrap w:val="0"/>
            <w:vAlign w:val="center"/>
          </w:tcPr>
          <w:p w14:paraId="19FF93F7">
            <w:pPr>
              <w:tabs>
                <w:tab w:val="left" w:pos="8280"/>
              </w:tabs>
              <w:autoSpaceDE w:val="0"/>
              <w:autoSpaceDN w:val="0"/>
              <w:adjustRightInd w:val="0"/>
              <w:spacing w:line="240" w:lineRule="auto"/>
              <w:ind w:right="25"/>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预算金额（</w:t>
            </w:r>
            <w:r>
              <w:rPr>
                <w:rFonts w:hint="eastAsia" w:ascii="宋体" w:hAnsi="宋体"/>
                <w:b/>
                <w:color w:val="auto"/>
                <w:sz w:val="24"/>
                <w:szCs w:val="24"/>
                <w:highlight w:val="none"/>
                <w:lang w:val="en-US" w:eastAsia="zh-CN"/>
              </w:rPr>
              <w:t>万元）</w:t>
            </w:r>
          </w:p>
        </w:tc>
        <w:tc>
          <w:tcPr>
            <w:tcW w:w="2378" w:type="dxa"/>
            <w:noWrap w:val="0"/>
            <w:vAlign w:val="center"/>
          </w:tcPr>
          <w:p w14:paraId="718A4557">
            <w:pPr>
              <w:tabs>
                <w:tab w:val="left" w:pos="8280"/>
              </w:tabs>
              <w:autoSpaceDE w:val="0"/>
              <w:autoSpaceDN w:val="0"/>
              <w:adjustRightInd w:val="0"/>
              <w:spacing w:after="0" w:line="240" w:lineRule="auto"/>
              <w:jc w:val="center"/>
              <w:rPr>
                <w:rFonts w:hint="eastAsia" w:ascii="宋体" w:hAnsi="宋体" w:eastAsia="宋体"/>
                <w:b/>
                <w:color w:val="auto"/>
                <w:sz w:val="24"/>
                <w:szCs w:val="24"/>
                <w:highlight w:val="none"/>
                <w:lang w:val="en-US" w:eastAsia="zh-CN"/>
              </w:rPr>
            </w:pPr>
            <w:r>
              <w:rPr>
                <w:rFonts w:hint="eastAsia" w:ascii="宋体" w:hAnsi="宋体" w:cs="宋体"/>
                <w:b/>
                <w:color w:val="auto"/>
                <w:sz w:val="24"/>
                <w:szCs w:val="20"/>
                <w:highlight w:val="none"/>
                <w:lang w:eastAsia="zh-CN"/>
              </w:rPr>
              <w:t>合同履约期限</w:t>
            </w:r>
          </w:p>
        </w:tc>
      </w:tr>
      <w:tr w14:paraId="6C95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590" w:type="dxa"/>
            <w:noWrap w:val="0"/>
            <w:vAlign w:val="center"/>
          </w:tcPr>
          <w:p w14:paraId="27AC76EC">
            <w:pPr>
              <w:tabs>
                <w:tab w:val="left" w:pos="8280"/>
              </w:tabs>
              <w:autoSpaceDE w:val="0"/>
              <w:autoSpaceDN w:val="0"/>
              <w:adjustRightInd w:val="0"/>
              <w:spacing w:line="240" w:lineRule="auto"/>
              <w:ind w:right="25"/>
              <w:jc w:val="center"/>
              <w:rPr>
                <w:rFonts w:hint="eastAsia" w:ascii="宋体" w:hAnsi="宋体"/>
                <w:color w:val="auto"/>
                <w:sz w:val="24"/>
                <w:szCs w:val="24"/>
                <w:highlight w:val="none"/>
              </w:rPr>
            </w:pPr>
            <w:r>
              <w:rPr>
                <w:rFonts w:hint="eastAsia" w:ascii="宋体" w:hAnsi="宋体"/>
                <w:color w:val="auto"/>
                <w:sz w:val="24"/>
                <w:szCs w:val="24"/>
                <w:highlight w:val="none"/>
              </w:rPr>
              <w:t>一</w:t>
            </w:r>
          </w:p>
        </w:tc>
        <w:tc>
          <w:tcPr>
            <w:tcW w:w="2160" w:type="dxa"/>
            <w:noWrap w:val="0"/>
            <w:vAlign w:val="center"/>
          </w:tcPr>
          <w:p w14:paraId="101F6E1A">
            <w:pPr>
              <w:tabs>
                <w:tab w:val="left" w:pos="8280"/>
              </w:tabs>
              <w:autoSpaceDE w:val="0"/>
              <w:autoSpaceDN w:val="0"/>
              <w:adjustRightInd w:val="0"/>
              <w:spacing w:line="240" w:lineRule="auto"/>
              <w:ind w:right="25"/>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多功能登高平台消防车及随车器材一批采购项目</w:t>
            </w:r>
          </w:p>
        </w:tc>
        <w:tc>
          <w:tcPr>
            <w:tcW w:w="1381" w:type="dxa"/>
            <w:noWrap w:val="0"/>
            <w:vAlign w:val="center"/>
          </w:tcPr>
          <w:p w14:paraId="20187727">
            <w:pPr>
              <w:spacing w:line="240" w:lineRule="auto"/>
              <w:jc w:val="center"/>
              <w:rPr>
                <w:rFonts w:hint="eastAsia" w:ascii="宋体" w:hAnsi="宋体" w:cs="宋体"/>
                <w:color w:val="auto"/>
                <w:sz w:val="24"/>
                <w:szCs w:val="24"/>
                <w:highlight w:val="none"/>
                <w:lang w:eastAsia="zh-CN"/>
              </w:rPr>
            </w:pPr>
            <w:r>
              <w:rPr>
                <w:rFonts w:hint="eastAsia" w:ascii="宋体" w:hAnsi="宋体"/>
                <w:color w:val="auto"/>
                <w:sz w:val="24"/>
                <w:szCs w:val="24"/>
                <w:highlight w:val="none"/>
              </w:rPr>
              <w:t>具体内容见第四章招标需求</w:t>
            </w:r>
          </w:p>
        </w:tc>
        <w:tc>
          <w:tcPr>
            <w:tcW w:w="722" w:type="dxa"/>
            <w:noWrap w:val="0"/>
            <w:vAlign w:val="center"/>
          </w:tcPr>
          <w:p w14:paraId="587E7525">
            <w:pPr>
              <w:tabs>
                <w:tab w:val="left" w:pos="8280"/>
              </w:tabs>
              <w:autoSpaceDE w:val="0"/>
              <w:autoSpaceDN w:val="0"/>
              <w:adjustRightInd w:val="0"/>
              <w:spacing w:line="240" w:lineRule="auto"/>
              <w:ind w:right="25"/>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750" w:type="dxa"/>
            <w:noWrap w:val="0"/>
            <w:vAlign w:val="center"/>
          </w:tcPr>
          <w:p w14:paraId="3D70AD55">
            <w:pPr>
              <w:tabs>
                <w:tab w:val="left" w:pos="8280"/>
              </w:tabs>
              <w:autoSpaceDE w:val="0"/>
              <w:autoSpaceDN w:val="0"/>
              <w:adjustRightInd w:val="0"/>
              <w:spacing w:line="240" w:lineRule="auto"/>
              <w:ind w:right="25"/>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辆</w:t>
            </w:r>
          </w:p>
        </w:tc>
        <w:tc>
          <w:tcPr>
            <w:tcW w:w="1230" w:type="dxa"/>
            <w:noWrap w:val="0"/>
            <w:vAlign w:val="center"/>
          </w:tcPr>
          <w:p w14:paraId="4FC44129">
            <w:pPr>
              <w:tabs>
                <w:tab w:val="left" w:pos="8280"/>
              </w:tabs>
              <w:autoSpaceDE w:val="0"/>
              <w:autoSpaceDN w:val="0"/>
              <w:adjustRightInd w:val="0"/>
              <w:spacing w:line="240" w:lineRule="auto"/>
              <w:ind w:right="25"/>
              <w:jc w:val="center"/>
              <w:rPr>
                <w:rFonts w:hint="default" w:ascii="宋体" w:hAnsi="宋体"/>
                <w:color w:val="auto"/>
                <w:kern w:val="2"/>
                <w:sz w:val="24"/>
                <w:szCs w:val="24"/>
                <w:highlight w:val="yellow"/>
                <w:lang w:val="en-US" w:eastAsia="zh-CN"/>
              </w:rPr>
            </w:pPr>
            <w:r>
              <w:rPr>
                <w:rFonts w:hint="eastAsia" w:ascii="宋体" w:hAnsi="宋体"/>
                <w:color w:val="auto"/>
                <w:kern w:val="2"/>
                <w:sz w:val="24"/>
                <w:szCs w:val="24"/>
                <w:highlight w:val="yellow"/>
                <w:lang w:val="en-US" w:eastAsia="zh-CN"/>
              </w:rPr>
              <w:t>240</w:t>
            </w:r>
          </w:p>
        </w:tc>
        <w:tc>
          <w:tcPr>
            <w:tcW w:w="2378" w:type="dxa"/>
            <w:noWrap w:val="0"/>
            <w:vAlign w:val="center"/>
          </w:tcPr>
          <w:p w14:paraId="31BB58B2">
            <w:pPr>
              <w:tabs>
                <w:tab w:val="left" w:pos="8280"/>
              </w:tabs>
              <w:autoSpaceDE w:val="0"/>
              <w:autoSpaceDN w:val="0"/>
              <w:adjustRightInd w:val="0"/>
              <w:spacing w:after="0" w:line="240" w:lineRule="auto"/>
              <w:jc w:val="center"/>
              <w:rPr>
                <w:rFonts w:hint="eastAsia" w:ascii="宋体" w:hAnsi="宋体" w:eastAsia="宋体"/>
                <w:color w:val="auto"/>
                <w:kern w:val="2"/>
                <w:sz w:val="24"/>
                <w:szCs w:val="24"/>
                <w:highlight w:val="none"/>
                <w:lang w:val="en-US" w:eastAsia="zh-CN"/>
              </w:rPr>
            </w:pPr>
            <w:r>
              <w:rPr>
                <w:rFonts w:hint="eastAsia" w:ascii="宋体" w:hAnsi="宋体" w:cs="宋体"/>
                <w:color w:val="auto"/>
                <w:sz w:val="22"/>
                <w:szCs w:val="22"/>
                <w:highlight w:val="none"/>
                <w:lang w:eastAsia="zh-CN"/>
              </w:rPr>
              <w:t>合同签订后在接到采购人要货通知之日起</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lang w:eastAsia="zh-CN"/>
              </w:rPr>
              <w:t>天内完成全部货物供货安装调试完毕并通过验收</w:t>
            </w:r>
            <w:r>
              <w:rPr>
                <w:rFonts w:hint="eastAsia" w:ascii="宋体" w:hAnsi="宋体" w:cs="宋体"/>
                <w:color w:val="auto"/>
                <w:sz w:val="22"/>
                <w:szCs w:val="22"/>
                <w:highlight w:val="none"/>
              </w:rPr>
              <w:t>。</w:t>
            </w:r>
          </w:p>
        </w:tc>
      </w:tr>
    </w:tbl>
    <w:p w14:paraId="0CAEB8E6">
      <w:pPr>
        <w:spacing w:line="360" w:lineRule="auto"/>
        <w:ind w:firstLine="482" w:firstLineChars="200"/>
        <w:rPr>
          <w:rFonts w:ascii="宋体" w:hAnsi="宋体" w:cs="宋体"/>
          <w:b/>
          <w:bCs/>
          <w:sz w:val="24"/>
          <w:szCs w:val="32"/>
        </w:rPr>
      </w:pPr>
      <w:r>
        <w:rPr>
          <w:rFonts w:hint="eastAsia" w:ascii="宋体" w:hAnsi="宋体" w:cs="宋体"/>
          <w:b/>
          <w:bCs/>
          <w:sz w:val="24"/>
          <w:szCs w:val="32"/>
        </w:rPr>
        <w:t>四、合格投标人的资格条件：</w:t>
      </w:r>
    </w:p>
    <w:p w14:paraId="2278DE3A">
      <w:pPr>
        <w:spacing w:line="360" w:lineRule="auto"/>
        <w:ind w:firstLine="480" w:firstLineChars="200"/>
        <w:rPr>
          <w:rFonts w:hint="eastAsia" w:ascii="宋体" w:hAnsi="宋体" w:eastAsia="宋体" w:cs="Arial"/>
          <w:color w:val="000000"/>
          <w:kern w:val="0"/>
          <w:sz w:val="24"/>
          <w:lang w:eastAsia="zh-CN"/>
        </w:rPr>
      </w:pPr>
      <w:r>
        <w:rPr>
          <w:rFonts w:hint="eastAsia" w:ascii="宋体" w:hAnsi="宋体" w:cs="Arial"/>
          <w:color w:val="000000"/>
          <w:kern w:val="0"/>
          <w:sz w:val="24"/>
        </w:rPr>
        <w:t>1、符合《中华人民共和国政府采购法》第二十二条规定的投标人资格条件；</w:t>
      </w:r>
    </w:p>
    <w:p w14:paraId="7A2E3E7F">
      <w:pPr>
        <w:spacing w:line="360" w:lineRule="auto"/>
        <w:ind w:firstLine="480" w:firstLineChars="200"/>
        <w:rPr>
          <w:rFonts w:hint="eastAsia" w:ascii="宋体" w:hAnsi="宋体" w:eastAsia="宋体" w:cs="Arial"/>
          <w:color w:val="000000"/>
          <w:kern w:val="0"/>
          <w:sz w:val="24"/>
          <w:lang w:eastAsia="zh-CN"/>
        </w:rPr>
      </w:pPr>
      <w:r>
        <w:rPr>
          <w:rFonts w:hint="eastAsia" w:ascii="宋体" w:hAnsi="宋体" w:cs="Arial"/>
          <w:color w:val="000000"/>
          <w:kern w:val="0"/>
          <w:sz w:val="24"/>
        </w:rPr>
        <w:t>2、未被“信用中国”（www.creditchina.gov.cn）、中国政府采购网（www.ccgp.gov.cn）列入失信被执行人、重大税收违法案件当事人名单、政府采购严重违法失信行为记录名单；</w:t>
      </w:r>
    </w:p>
    <w:p w14:paraId="416AD262">
      <w:pPr>
        <w:spacing w:line="360" w:lineRule="auto"/>
        <w:ind w:firstLine="480" w:firstLineChars="200"/>
        <w:rPr>
          <w:rFonts w:hint="eastAsia" w:ascii="宋体" w:hAnsi="宋体" w:cs="Arial"/>
          <w:b w:val="0"/>
          <w:bCs w:val="0"/>
          <w:kern w:val="0"/>
          <w:sz w:val="24"/>
          <w:lang w:val="en-US" w:eastAsia="zh-CN"/>
        </w:rPr>
      </w:pPr>
      <w:r>
        <w:rPr>
          <w:rFonts w:hint="eastAsia" w:ascii="宋体" w:hAnsi="宋体" w:cs="Arial"/>
          <w:b w:val="0"/>
          <w:bCs w:val="0"/>
          <w:kern w:val="0"/>
          <w:sz w:val="24"/>
        </w:rPr>
        <w:t>3、本项目的特定资格要求：</w:t>
      </w:r>
      <w:r>
        <w:rPr>
          <w:rFonts w:hint="eastAsia" w:ascii="宋体" w:hAnsi="宋体" w:cs="Arial"/>
          <w:b w:val="0"/>
          <w:bCs w:val="0"/>
          <w:kern w:val="0"/>
          <w:sz w:val="24"/>
          <w:lang w:val="en-US" w:eastAsia="zh-CN"/>
        </w:rPr>
        <w:t>无</w:t>
      </w:r>
    </w:p>
    <w:p w14:paraId="062B34BD">
      <w:pPr>
        <w:pStyle w:val="2"/>
        <w:rPr>
          <w:rFonts w:hint="eastAsia"/>
          <w:b w:val="0"/>
          <w:bCs w:val="0"/>
          <w:lang w:val="en-US" w:eastAsia="zh-CN"/>
        </w:rPr>
      </w:pPr>
      <w:r>
        <w:rPr>
          <w:rFonts w:hint="eastAsia" w:ascii="宋体" w:hAnsi="宋体" w:cs="Arial"/>
          <w:b w:val="0"/>
          <w:bCs w:val="0"/>
          <w:color w:val="000000"/>
          <w:kern w:val="0"/>
          <w:sz w:val="24"/>
          <w:lang w:val="en-US" w:eastAsia="zh-CN"/>
        </w:rPr>
        <w:t>4</w:t>
      </w:r>
      <w:r>
        <w:rPr>
          <w:rFonts w:hint="eastAsia" w:ascii="宋体" w:hAnsi="宋体" w:cs="Arial"/>
          <w:b w:val="0"/>
          <w:bCs w:val="0"/>
          <w:color w:val="000000"/>
          <w:kern w:val="0"/>
          <w:sz w:val="24"/>
        </w:rPr>
        <w:t>、落实政府采购政策需满足的资格要求：本项目按照《政府采购促进中小企业发展管理办法》【财库（2020）46号】第七条规定：专门面向中小企业采购。</w:t>
      </w:r>
    </w:p>
    <w:p w14:paraId="094A60D9">
      <w:pPr>
        <w:spacing w:line="360" w:lineRule="auto"/>
        <w:ind w:left="719" w:leftChars="228" w:hanging="240" w:hangingChars="100"/>
        <w:rPr>
          <w:rFonts w:ascii="宋体" w:hAnsi="宋体" w:cs="Arial"/>
          <w:b w:val="0"/>
          <w:bCs w:val="0"/>
          <w:color w:val="000000"/>
          <w:kern w:val="0"/>
          <w:sz w:val="24"/>
        </w:rPr>
      </w:pPr>
      <w:r>
        <w:rPr>
          <w:rFonts w:hint="eastAsia" w:ascii="宋体" w:hAnsi="宋体" w:cs="Arial"/>
          <w:b w:val="0"/>
          <w:bCs w:val="0"/>
          <w:color w:val="000000"/>
          <w:kern w:val="0"/>
          <w:sz w:val="24"/>
          <w:lang w:val="en-US" w:eastAsia="zh-CN"/>
        </w:rPr>
        <w:t>5</w:t>
      </w:r>
      <w:r>
        <w:rPr>
          <w:rFonts w:hint="eastAsia" w:ascii="宋体" w:hAnsi="宋体" w:cs="Arial"/>
          <w:b w:val="0"/>
          <w:bCs w:val="0"/>
          <w:color w:val="000000"/>
          <w:kern w:val="0"/>
          <w:sz w:val="24"/>
        </w:rPr>
        <w:t>、本项目</w:t>
      </w:r>
      <w:r>
        <w:rPr>
          <w:rFonts w:hint="eastAsia" w:ascii="宋体" w:hAnsi="宋体" w:cs="Arial"/>
          <w:b w:val="0"/>
          <w:bCs w:val="0"/>
          <w:color w:val="000000"/>
          <w:kern w:val="0"/>
          <w:sz w:val="24"/>
          <w:lang w:eastAsia="zh-CN"/>
        </w:rPr>
        <w:t>不</w:t>
      </w:r>
      <w:r>
        <w:rPr>
          <w:rFonts w:hint="eastAsia" w:ascii="宋体" w:hAnsi="宋体" w:cs="Arial"/>
          <w:b w:val="0"/>
          <w:bCs w:val="0"/>
          <w:color w:val="000000"/>
          <w:kern w:val="0"/>
          <w:sz w:val="24"/>
        </w:rPr>
        <w:t>接受联合体投标。</w:t>
      </w:r>
    </w:p>
    <w:p w14:paraId="0B937379">
      <w:pPr>
        <w:spacing w:line="360" w:lineRule="auto"/>
        <w:ind w:firstLine="482" w:firstLineChars="200"/>
        <w:rPr>
          <w:rFonts w:ascii="宋体" w:hAnsi="宋体" w:cs="宋体"/>
          <w:b/>
          <w:bCs/>
          <w:sz w:val="24"/>
        </w:rPr>
      </w:pPr>
      <w:r>
        <w:rPr>
          <w:rFonts w:hint="eastAsia" w:ascii="宋体" w:hAnsi="宋体" w:cs="宋体"/>
          <w:b/>
          <w:bCs/>
          <w:sz w:val="24"/>
        </w:rPr>
        <w:t>五、</w:t>
      </w:r>
      <w:r>
        <w:rPr>
          <w:rFonts w:hint="eastAsia" w:ascii="宋体" w:hAnsi="宋体" w:cs="宋体"/>
          <w:b/>
          <w:bCs/>
          <w:sz w:val="24"/>
          <w:szCs w:val="32"/>
        </w:rPr>
        <w:t>招标文件获取的时间、方式：</w:t>
      </w:r>
    </w:p>
    <w:p w14:paraId="1FF82574">
      <w:pPr>
        <w:spacing w:line="360" w:lineRule="auto"/>
        <w:ind w:firstLine="482" w:firstLineChars="200"/>
        <w:rPr>
          <w:rFonts w:ascii="宋体" w:hAnsi="宋体" w:cs="宋体"/>
          <w:sz w:val="24"/>
          <w:szCs w:val="32"/>
        </w:rPr>
      </w:pPr>
      <w:r>
        <w:rPr>
          <w:rFonts w:hint="eastAsia" w:ascii="宋体" w:hAnsi="宋体" w:cs="宋体"/>
          <w:b/>
          <w:bCs/>
          <w:sz w:val="24"/>
          <w:szCs w:val="32"/>
        </w:rPr>
        <w:t>1.</w:t>
      </w:r>
      <w:r>
        <w:rPr>
          <w:rFonts w:hint="eastAsia" w:ascii="宋体" w:hAnsi="宋体" w:cs="宋体"/>
          <w:sz w:val="24"/>
        </w:rPr>
        <w:t>获取时间：自本公告发布之日起至投标文件递交截止时间止；</w:t>
      </w:r>
    </w:p>
    <w:p w14:paraId="241E44A0">
      <w:pPr>
        <w:spacing w:line="360" w:lineRule="auto"/>
        <w:ind w:firstLine="482" w:firstLineChars="200"/>
        <w:rPr>
          <w:rFonts w:ascii="宋体" w:hAnsi="宋体" w:cs="宋体"/>
          <w:sz w:val="24"/>
          <w:szCs w:val="32"/>
        </w:rPr>
      </w:pPr>
      <w:r>
        <w:rPr>
          <w:rFonts w:hint="eastAsia" w:ascii="宋体" w:hAnsi="宋体" w:cs="宋体"/>
          <w:b/>
          <w:bCs/>
          <w:sz w:val="24"/>
          <w:szCs w:val="32"/>
        </w:rPr>
        <w:t>2.获取地址</w:t>
      </w:r>
      <w:r>
        <w:rPr>
          <w:rFonts w:hint="eastAsia" w:ascii="宋体" w:hAnsi="宋体" w:cs="宋体"/>
          <w:sz w:val="24"/>
          <w:szCs w:val="32"/>
        </w:rPr>
        <w:t>：政采云平台（</w:t>
      </w:r>
      <w:r>
        <w:fldChar w:fldCharType="begin"/>
      </w:r>
      <w:r>
        <w:instrText xml:space="preserve"> HYPERLINK "http://zfcg.czt.zj.gov.cn/" </w:instrText>
      </w:r>
      <w:r>
        <w:fldChar w:fldCharType="separate"/>
      </w:r>
      <w:r>
        <w:rPr>
          <w:rFonts w:hint="eastAsia" w:ascii="宋体" w:hAnsi="宋体" w:cs="宋体"/>
          <w:sz w:val="24"/>
          <w:szCs w:val="32"/>
        </w:rPr>
        <w:t>http://zfcg.czt.zj.gov.cn</w:t>
      </w:r>
      <w:r>
        <w:rPr>
          <w:rFonts w:hint="eastAsia" w:ascii="宋体" w:hAnsi="宋体" w:cs="宋体"/>
          <w:sz w:val="24"/>
          <w:szCs w:val="32"/>
        </w:rPr>
        <w:fldChar w:fldCharType="end"/>
      </w:r>
      <w:r>
        <w:rPr>
          <w:rFonts w:hint="eastAsia" w:ascii="宋体" w:hAnsi="宋体" w:cs="宋体"/>
          <w:sz w:val="24"/>
          <w:szCs w:val="32"/>
        </w:rPr>
        <w:t>）；</w:t>
      </w:r>
    </w:p>
    <w:p w14:paraId="1A7E2C81">
      <w:pPr>
        <w:spacing w:line="360" w:lineRule="auto"/>
        <w:ind w:firstLine="482" w:firstLineChars="200"/>
        <w:rPr>
          <w:rFonts w:ascii="宋体" w:hAnsi="宋体" w:cs="宋体"/>
          <w:sz w:val="24"/>
          <w:szCs w:val="32"/>
        </w:rPr>
      </w:pPr>
      <w:r>
        <w:rPr>
          <w:rFonts w:hint="eastAsia" w:ascii="宋体" w:hAnsi="宋体" w:cs="宋体"/>
          <w:b/>
          <w:bCs/>
          <w:sz w:val="24"/>
          <w:szCs w:val="32"/>
        </w:rPr>
        <w:t>3.获取采购文件方式</w:t>
      </w:r>
      <w:r>
        <w:rPr>
          <w:rFonts w:hint="eastAsia" w:ascii="宋体" w:hAnsi="宋体" w:cs="宋体"/>
          <w:sz w:val="24"/>
          <w:szCs w:val="32"/>
        </w:rPr>
        <w:t>：本项目招标文件实行“政府采购云平台”在线获取，不提供招标文件纸质版。供应商获取招标文件前应先完成“政府采购云平台”的账号注册。</w:t>
      </w:r>
    </w:p>
    <w:p w14:paraId="1B5317CE">
      <w:pPr>
        <w:spacing w:line="360" w:lineRule="auto"/>
        <w:ind w:firstLine="480" w:firstLineChars="200"/>
        <w:rPr>
          <w:rFonts w:ascii="宋体" w:hAnsi="宋体" w:cs="宋体"/>
          <w:sz w:val="24"/>
          <w:szCs w:val="32"/>
        </w:rPr>
      </w:pPr>
      <w:r>
        <w:rPr>
          <w:rFonts w:hint="eastAsia" w:ascii="宋体" w:hAnsi="宋体" w:cs="宋体"/>
          <w:sz w:val="24"/>
          <w:szCs w:val="32"/>
        </w:rPr>
        <w:t>供应商网上报名操作指南：“浙江政府采购网-办事指南-省采中心-网上报名”（</w:t>
      </w:r>
      <w:r>
        <w:rPr>
          <w:rFonts w:hint="eastAsia" w:ascii="宋体" w:hAnsi="宋体" w:cs="宋体"/>
        </w:rPr>
        <w:t>http://zfcg.czt.zj.gov.cn/bs_other/2018-03-30/12002.html</w:t>
      </w:r>
      <w:r>
        <w:rPr>
          <w:rFonts w:hint="eastAsia" w:ascii="宋体" w:hAnsi="宋体" w:cs="宋体"/>
          <w:sz w:val="24"/>
          <w:szCs w:val="32"/>
        </w:rPr>
        <w:t>）。</w:t>
      </w:r>
    </w:p>
    <w:p w14:paraId="62A0DF81">
      <w:pPr>
        <w:pStyle w:val="16"/>
        <w:spacing w:line="360" w:lineRule="auto"/>
        <w:ind w:firstLine="480" w:firstLineChars="200"/>
        <w:rPr>
          <w:rFonts w:ascii="宋体" w:hAnsi="宋体" w:cs="宋体"/>
        </w:rPr>
      </w:pPr>
      <w:r>
        <w:rPr>
          <w:rFonts w:hint="eastAsia" w:ascii="宋体" w:hAnsi="宋体" w:cs="宋体"/>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41EE980">
      <w:pPr>
        <w:pStyle w:val="16"/>
        <w:spacing w:line="360" w:lineRule="auto"/>
        <w:ind w:firstLine="480" w:firstLineChars="200"/>
        <w:rPr>
          <w:rFonts w:hint="eastAsia" w:ascii="宋体" w:hAnsi="宋体" w:cs="宋体"/>
        </w:rPr>
      </w:pPr>
      <w:r>
        <w:rPr>
          <w:rFonts w:hint="eastAsia" w:ascii="宋体" w:hAnsi="宋体" w:cs="宋体"/>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5EAEF0">
      <w:pPr>
        <w:pStyle w:val="16"/>
        <w:spacing w:line="360" w:lineRule="auto"/>
        <w:ind w:firstLine="480" w:firstLineChars="200"/>
        <w:rPr>
          <w:rFonts w:hint="eastAsia" w:ascii="宋体" w:hAnsi="宋体" w:cs="宋体"/>
          <w:lang w:val="en-US" w:eastAsia="zh-CN"/>
        </w:rPr>
      </w:pPr>
      <w:r>
        <w:rPr>
          <w:rFonts w:hint="eastAsia" w:ascii="宋体" w:hAnsi="宋体" w:cs="宋体"/>
          <w:lang w:val="en-US" w:eastAsia="zh-CN"/>
        </w:rPr>
        <w:t>4.未进行供应商资格报名或登记（含网上报名登记）的供应商，视为未参加政府采购活动，不得提出质疑，但因供应商资格条件受到限制、报名时间设定不符合有关规定等原因使供应商不能参加报名或登记的除外。</w:t>
      </w:r>
    </w:p>
    <w:p w14:paraId="06A9F356">
      <w:pPr>
        <w:pStyle w:val="49"/>
        <w:spacing w:line="360" w:lineRule="auto"/>
        <w:ind w:firstLine="480"/>
        <w:rPr>
          <w:rStyle w:val="42"/>
          <w:rFonts w:ascii="宋体" w:hAnsi="宋体" w:cs="宋体"/>
          <w:sz w:val="24"/>
        </w:rPr>
      </w:pPr>
      <w:r>
        <w:rPr>
          <w:rStyle w:val="42"/>
          <w:rFonts w:hint="eastAsia" w:ascii="宋体" w:hAnsi="宋体" w:cs="宋体"/>
          <w:sz w:val="24"/>
        </w:rPr>
        <w:t>六、投标说明：</w:t>
      </w:r>
    </w:p>
    <w:p w14:paraId="07D33473">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12F956D2">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2.投标人通过政采云平台电子投标工具制作投标文件，电子投标工具请供应商自行前往浙江政府采购网下载并安装，（下载网址：http://zfcg.czt.zj.gov.cn/bidClientTemplate/2019-05-27/12946.html）。</w:t>
      </w:r>
    </w:p>
    <w:p w14:paraId="0B0DDC1D">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3.投标人应在开标前完成CA数字证书办理。（办理流程详见</w:t>
      </w:r>
      <w:r>
        <w:rPr>
          <w:rFonts w:hint="eastAsia"/>
        </w:rPr>
        <w:fldChar w:fldCharType="begin"/>
      </w:r>
      <w:r>
        <w:instrText xml:space="preserve"> HYPERLINK "http://www.zjzfcg.gov.cn/bidClientTemplate/2019-05-27/12945.html" </w:instrText>
      </w:r>
      <w:r>
        <w:rPr>
          <w:rFonts w:hint="eastAsia"/>
        </w:rPr>
        <w:fldChar w:fldCharType="separate"/>
      </w:r>
      <w:r>
        <w:rPr>
          <w:rFonts w:hint="eastAsia" w:ascii="宋体" w:hAnsi="宋体" w:cs="宋体"/>
          <w:kern w:val="0"/>
          <w:sz w:val="24"/>
          <w:u w:val="single"/>
        </w:rPr>
        <w:t>http://zfcg.czt.zj.gov.cn/bidClientTemplate/2019-05-27/12945.html</w:t>
      </w:r>
      <w:r>
        <w:rPr>
          <w:rFonts w:hint="eastAsia" w:ascii="宋体" w:hAnsi="宋体" w:cs="宋体"/>
          <w:kern w:val="0"/>
          <w:sz w:val="24"/>
          <w:u w:val="single"/>
        </w:rPr>
        <w:fldChar w:fldCharType="end"/>
      </w:r>
      <w:r>
        <w:rPr>
          <w:rFonts w:hint="eastAsia" w:ascii="宋体" w:hAnsi="宋体" w:cs="宋体"/>
          <w:kern w:val="0"/>
          <w:sz w:val="24"/>
          <w:u w:val="single"/>
        </w:rPr>
        <w:t>，完成CA数字证书办理预计一周左右，请各投标人自行把握时间）</w:t>
      </w:r>
    </w:p>
    <w:p w14:paraId="08EE1492">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kern w:val="0"/>
          <w:sz w:val="24"/>
          <w:u w:val="single"/>
          <w:lang w:val="en-GB"/>
        </w:rPr>
        <w:t>在开标后规定的投标有效期内，投标人不能撤销投标文件。</w:t>
      </w:r>
    </w:p>
    <w:p w14:paraId="001BF77A">
      <w:pPr>
        <w:spacing w:line="360" w:lineRule="auto"/>
        <w:ind w:firstLine="480" w:firstLineChars="200"/>
        <w:rPr>
          <w:rFonts w:ascii="宋体" w:hAnsi="宋体" w:cs="宋体"/>
          <w:bCs/>
          <w:sz w:val="24"/>
        </w:rPr>
      </w:pPr>
      <w:r>
        <w:rPr>
          <w:rFonts w:hint="eastAsia" w:ascii="宋体" w:hAnsi="宋体" w:cs="宋体"/>
          <w:bCs/>
          <w:sz w:val="24"/>
        </w:rPr>
        <w:t>5.投标文件的组成、份数、密封、效力</w:t>
      </w:r>
    </w:p>
    <w:p w14:paraId="746942F7">
      <w:pPr>
        <w:spacing w:line="360" w:lineRule="auto"/>
        <w:ind w:firstLine="480" w:firstLineChars="200"/>
        <w:rPr>
          <w:rFonts w:ascii="宋体" w:hAnsi="宋体" w:cs="宋体"/>
          <w:sz w:val="24"/>
        </w:rPr>
      </w:pPr>
      <w:r>
        <w:rPr>
          <w:rFonts w:hint="eastAsia" w:ascii="宋体" w:hAnsi="宋体" w:cs="宋体"/>
          <w:sz w:val="24"/>
        </w:rPr>
        <w:t>本项目实行电子投标，供应商应准备电子投标文件，还可以提交以介质（U盘）存储的数据电文形式：</w:t>
      </w:r>
    </w:p>
    <w:p w14:paraId="51D11649">
      <w:pPr>
        <w:spacing w:line="360" w:lineRule="auto"/>
        <w:ind w:firstLine="480" w:firstLineChars="200"/>
        <w:rPr>
          <w:rFonts w:ascii="宋体" w:hAnsi="宋体" w:cs="宋体"/>
          <w:sz w:val="24"/>
        </w:rPr>
      </w:pPr>
      <w:r>
        <w:rPr>
          <w:rFonts w:hint="eastAsia" w:ascii="宋体" w:hAnsi="宋体" w:cs="宋体"/>
          <w:sz w:val="24"/>
        </w:rPr>
        <w:t>5.1电子投标文件，按政采云平台项目采购--电子招投标操作指南及本招标文件要求编制。</w:t>
      </w:r>
    </w:p>
    <w:p w14:paraId="72122340">
      <w:pPr>
        <w:spacing w:line="360" w:lineRule="auto"/>
        <w:ind w:firstLine="480" w:firstLineChars="200"/>
        <w:rPr>
          <w:rFonts w:ascii="宋体" w:hAnsi="宋体" w:cs="宋体"/>
          <w:sz w:val="24"/>
          <w:u w:val="single"/>
        </w:rPr>
      </w:pPr>
      <w:r>
        <w:rPr>
          <w:rFonts w:hint="eastAsia" w:ascii="宋体" w:hAnsi="宋体" w:cs="宋体"/>
          <w:sz w:val="24"/>
        </w:rPr>
        <w:t>5.2</w:t>
      </w:r>
      <w:bookmarkStart w:id="1" w:name="_Hlk34639647"/>
      <w:r>
        <w:rPr>
          <w:rFonts w:hint="eastAsia" w:ascii="宋体" w:hAnsi="宋体" w:cs="宋体"/>
          <w:sz w:val="24"/>
          <w:u w:val="single"/>
        </w:rPr>
        <w:t>投标供应商在“政府采购云平台”完成“电子加密投标文件”的上传递交后，还可以（建议采用邮寄形式）在投标截止时间前递交以介质（U盘）存储的数据电文形式，以介质（U盘）存储的数据电文形式需密封并在包装上标注投标项目名称、投标单位名称并加盖公章。可采用以下两种方式其中一种送达（逾期送达或未密封将被拒收）：</w:t>
      </w:r>
    </w:p>
    <w:p w14:paraId="5F2CD170">
      <w:pPr>
        <w:spacing w:line="360" w:lineRule="auto"/>
        <w:ind w:firstLine="480" w:firstLineChars="200"/>
        <w:rPr>
          <w:rFonts w:ascii="宋体" w:hAnsi="宋体" w:cs="宋体"/>
          <w:sz w:val="24"/>
        </w:rPr>
      </w:pPr>
      <w:r>
        <w:rPr>
          <w:rFonts w:hint="eastAsia" w:ascii="宋体" w:hAnsi="宋体" w:cs="宋体"/>
          <w:sz w:val="24"/>
        </w:rPr>
        <w:t>①在投标当日投标截止时间前送交到开标地点；</w:t>
      </w:r>
    </w:p>
    <w:p w14:paraId="68FFF37B">
      <w:pPr>
        <w:spacing w:line="360" w:lineRule="auto"/>
        <w:ind w:firstLine="480" w:firstLineChars="200"/>
        <w:rPr>
          <w:rFonts w:ascii="宋体" w:hAnsi="宋体" w:cs="宋体"/>
          <w:sz w:val="24"/>
        </w:rPr>
      </w:pPr>
      <w:r>
        <w:rPr>
          <w:rFonts w:hint="eastAsia" w:ascii="宋体" w:hAnsi="宋体" w:cs="宋体"/>
          <w:sz w:val="24"/>
        </w:rPr>
        <w:t>②采用邮寄方式，建议邮寄公司统一采用顺丰（包裹外包装上请注明单位、项目名称、联系电话等信息，以便代理机构作接收登记工作），邮寄接收截止时间为投标截止时间，邮寄地址：</w:t>
      </w:r>
      <w:r>
        <w:rPr>
          <w:rFonts w:hint="eastAsia" w:ascii="宋体" w:hAnsi="宋体" w:cs="宋体"/>
          <w:sz w:val="24"/>
          <w:lang w:eastAsia="zh-CN"/>
        </w:rPr>
        <w:t>台州市建设咨询有限公司</w:t>
      </w:r>
      <w:r>
        <w:rPr>
          <w:rFonts w:hint="eastAsia" w:ascii="宋体" w:hAnsi="宋体" w:cs="宋体"/>
          <w:sz w:val="24"/>
        </w:rPr>
        <w:t>（</w:t>
      </w:r>
      <w:r>
        <w:rPr>
          <w:rFonts w:hint="eastAsia" w:ascii="宋体" w:hAnsi="宋体" w:cs="宋体"/>
          <w:sz w:val="24"/>
          <w:lang w:eastAsia="zh-CN"/>
        </w:rPr>
        <w:t>台州市路桥区文化路2号5楼506室褚先生收</w:t>
      </w:r>
      <w:r>
        <w:rPr>
          <w:rFonts w:hint="eastAsia" w:ascii="宋体" w:hAnsi="宋体" w:cs="宋体"/>
          <w:sz w:val="24"/>
        </w:rPr>
        <w:t>，联系人：</w:t>
      </w:r>
      <w:r>
        <w:rPr>
          <w:rFonts w:hint="eastAsia" w:ascii="宋体" w:hAnsi="宋体" w:cs="宋体"/>
          <w:sz w:val="24"/>
          <w:lang w:eastAsia="zh-CN"/>
        </w:rPr>
        <w:t>褚先生</w:t>
      </w:r>
      <w:r>
        <w:rPr>
          <w:rFonts w:hint="eastAsia" w:ascii="宋体" w:hAnsi="宋体" w:cs="宋体"/>
          <w:sz w:val="24"/>
        </w:rPr>
        <w:t>，电话：</w:t>
      </w:r>
      <w:r>
        <w:rPr>
          <w:rFonts w:hint="eastAsia" w:ascii="宋体" w:hAnsi="宋体" w:cs="宋体"/>
          <w:sz w:val="24"/>
          <w:lang w:eastAsia="zh-CN"/>
        </w:rPr>
        <w:t>15867602395</w:t>
      </w:r>
      <w:r>
        <w:rPr>
          <w:rFonts w:hint="eastAsia" w:ascii="宋体" w:hAnsi="宋体" w:cs="宋体"/>
          <w:sz w:val="24"/>
        </w:rPr>
        <w:t>。)。逾期或不符合规定的备份投标文件恕不接受，供应商自行对邮寄的备份投标文件完整性和快递过程中的一切问题负责，以快递送达时间为准，建议供应商提前快递，不接受到付的快递。</w:t>
      </w:r>
    </w:p>
    <w:p w14:paraId="425B6FC4">
      <w:pPr>
        <w:spacing w:line="360" w:lineRule="auto"/>
        <w:ind w:firstLine="480" w:firstLineChars="200"/>
        <w:rPr>
          <w:rFonts w:ascii="宋体" w:hAnsi="宋体" w:cs="宋体"/>
          <w:sz w:val="24"/>
        </w:rPr>
      </w:pPr>
      <w:r>
        <w:rPr>
          <w:rFonts w:hint="eastAsia" w:ascii="宋体" w:hAnsi="宋体" w:cs="宋体"/>
          <w:sz w:val="24"/>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14:paraId="4B05C763">
      <w:pPr>
        <w:spacing w:line="360" w:lineRule="auto"/>
        <w:ind w:firstLine="480" w:firstLineChars="200"/>
        <w:rPr>
          <w:rFonts w:ascii="宋体" w:hAnsi="宋体" w:cs="宋体"/>
          <w:sz w:val="24"/>
          <w:u w:val="single"/>
        </w:rPr>
      </w:pPr>
      <w:bookmarkStart w:id="2" w:name="_Hlk34638256"/>
      <w:r>
        <w:rPr>
          <w:rFonts w:hint="eastAsia" w:ascii="宋体" w:hAnsi="宋体" w:cs="宋体"/>
          <w:sz w:val="24"/>
          <w:u w:val="single"/>
        </w:rPr>
        <w:t>5.4投标文件启用顺序和效力：投标文件的启用，</w:t>
      </w:r>
      <w:bookmarkEnd w:id="2"/>
      <w:r>
        <w:rPr>
          <w:rFonts w:hint="eastAsia" w:ascii="宋体" w:hAnsi="宋体" w:cs="宋体"/>
          <w:sz w:val="24"/>
          <w:u w:val="single"/>
        </w:rPr>
        <w:t>按先后顺位分别为电子投标文件、以介质（U盘）存储的数据电文形式的备份投标文件。全部投标人的电子投标文件均已按时解密的，备份投标文件自动失效。如果某位投标人的电子投标文件无法按时解密的，可启用以介质（U盘）存储的数据电文形式的备份投标文件，以上方式均无法解密时，其投标文件为无效标。</w:t>
      </w:r>
    </w:p>
    <w:p w14:paraId="31C48580">
      <w:pPr>
        <w:spacing w:line="360" w:lineRule="auto"/>
        <w:ind w:firstLine="480" w:firstLineChars="200"/>
        <w:rPr>
          <w:rFonts w:ascii="宋体" w:hAnsi="宋体" w:cs="宋体"/>
          <w:sz w:val="24"/>
          <w:u w:val="single"/>
        </w:rPr>
      </w:pPr>
      <w:r>
        <w:rPr>
          <w:rFonts w:hint="eastAsia" w:ascii="宋体" w:hAnsi="宋体" w:cs="宋体"/>
          <w:sz w:val="24"/>
          <w:u w:val="single"/>
        </w:rPr>
        <w:t>5.5▲未传输递交电子投标文件的，投标无效。电子投标文件无法使用，又未按规定提供相应的备份投标文件，造成项目开评标活动无法进行下去的，投标无效。仅提交备份投标文件的，投标无效。</w:t>
      </w:r>
    </w:p>
    <w:p w14:paraId="58D74EC3">
      <w:pPr>
        <w:spacing w:line="360" w:lineRule="auto"/>
        <w:ind w:firstLine="480" w:firstLineChars="200"/>
        <w:rPr>
          <w:rFonts w:hint="default" w:eastAsia="宋体"/>
          <w:lang w:val="en-US" w:eastAsia="zh-CN"/>
        </w:rPr>
      </w:pPr>
      <w:r>
        <w:rPr>
          <w:rFonts w:hint="eastAsia" w:ascii="宋体" w:hAnsi="宋体" w:cs="宋体"/>
          <w:sz w:val="24"/>
          <w:u w:val="single"/>
        </w:rPr>
        <w:t>5.6投标文件结束解密后，供应商应当通过邮件形式，将经授权代表签署的《政府采购活动现场确认声明书》（格式见招标文件最后一页政府采购活动现场确认声明书）扫描件发至代理机构电子邮箱（</w:t>
      </w:r>
      <w:r>
        <w:rPr>
          <w:rFonts w:hint="eastAsia" w:ascii="宋体" w:hAnsi="宋体" w:cs="宋体"/>
          <w:sz w:val="24"/>
          <w:u w:val="single"/>
          <w:lang w:val="en-US" w:eastAsia="zh-CN"/>
        </w:rPr>
        <w:t>61353540</w:t>
      </w:r>
      <w:r>
        <w:rPr>
          <w:rFonts w:hint="eastAsia" w:ascii="宋体" w:hAnsi="宋体" w:cs="宋体"/>
          <w:sz w:val="24"/>
          <w:u w:val="single"/>
        </w:rPr>
        <w:t>@qq.com）：</w:t>
      </w:r>
      <w:r>
        <w:rPr>
          <w:rFonts w:hint="eastAsia" w:ascii="宋体" w:hAnsi="宋体" w:cs="宋体"/>
          <w:sz w:val="24"/>
          <w:u w:val="single"/>
          <w:lang w:eastAsia="zh-CN"/>
        </w:rPr>
        <w:t>黄</w:t>
      </w:r>
      <w:r>
        <w:rPr>
          <w:rFonts w:hint="eastAsia" w:ascii="宋体" w:hAnsi="宋体" w:cs="宋体"/>
          <w:sz w:val="24"/>
          <w:u w:val="single"/>
        </w:rPr>
        <w:t>先生，电话：</w:t>
      </w:r>
      <w:r>
        <w:rPr>
          <w:rFonts w:hint="eastAsia" w:ascii="宋体" w:hAnsi="宋体" w:cs="宋体"/>
          <w:sz w:val="24"/>
          <w:u w:val="single"/>
          <w:lang w:val="en-US" w:eastAsia="zh-CN"/>
        </w:rPr>
        <w:t>18989631371</w:t>
      </w:r>
    </w:p>
    <w:p w14:paraId="29355C35">
      <w:pPr>
        <w:spacing w:line="360" w:lineRule="auto"/>
        <w:ind w:firstLine="482" w:firstLineChars="200"/>
        <w:rPr>
          <w:rFonts w:hint="eastAsia" w:ascii="宋体" w:hAnsi="宋体" w:eastAsia="宋体" w:cs="宋体"/>
          <w:sz w:val="24"/>
          <w:szCs w:val="32"/>
          <w:highlight w:val="yellow"/>
          <w:lang w:eastAsia="zh-CN"/>
        </w:rPr>
      </w:pPr>
      <w:r>
        <w:rPr>
          <w:rFonts w:hint="eastAsia" w:ascii="宋体" w:hAnsi="宋体" w:cs="宋体"/>
          <w:b/>
          <w:bCs/>
          <w:sz w:val="24"/>
          <w:szCs w:val="32"/>
        </w:rPr>
        <w:t>七、投标截止时间及开标时间：</w:t>
      </w:r>
      <w:r>
        <w:rPr>
          <w:rFonts w:hint="eastAsia" w:ascii="宋体" w:hAnsi="宋体" w:cs="宋体"/>
          <w:sz w:val="24"/>
          <w:szCs w:val="32"/>
          <w:highlight w:val="yellow"/>
          <w:lang w:eastAsia="zh-CN"/>
        </w:rPr>
        <w:t>202</w:t>
      </w:r>
      <w:r>
        <w:rPr>
          <w:rFonts w:hint="eastAsia" w:ascii="宋体" w:hAnsi="宋体" w:cs="宋体"/>
          <w:sz w:val="24"/>
          <w:szCs w:val="32"/>
          <w:highlight w:val="yellow"/>
          <w:lang w:val="en-US" w:eastAsia="zh-CN"/>
        </w:rPr>
        <w:t>4</w:t>
      </w:r>
      <w:r>
        <w:rPr>
          <w:rFonts w:hint="eastAsia" w:ascii="宋体" w:hAnsi="宋体" w:cs="宋体"/>
          <w:sz w:val="24"/>
          <w:szCs w:val="32"/>
          <w:highlight w:val="yellow"/>
          <w:lang w:eastAsia="zh-CN"/>
        </w:rPr>
        <w:t>年</w:t>
      </w:r>
      <w:r>
        <w:rPr>
          <w:rFonts w:hint="eastAsia" w:ascii="宋体" w:hAnsi="宋体" w:cs="宋体"/>
          <w:sz w:val="24"/>
          <w:szCs w:val="32"/>
          <w:highlight w:val="yellow"/>
          <w:lang w:val="en-US" w:eastAsia="zh-CN"/>
        </w:rPr>
        <w:t>9</w:t>
      </w:r>
      <w:r>
        <w:rPr>
          <w:rFonts w:hint="eastAsia" w:ascii="宋体" w:hAnsi="宋体" w:cs="宋体"/>
          <w:sz w:val="24"/>
          <w:szCs w:val="32"/>
          <w:highlight w:val="yellow"/>
        </w:rPr>
        <w:t>月</w:t>
      </w:r>
      <w:r>
        <w:rPr>
          <w:rFonts w:hint="eastAsia" w:ascii="宋体" w:hAnsi="宋体" w:cs="宋体"/>
          <w:sz w:val="24"/>
          <w:szCs w:val="32"/>
          <w:highlight w:val="yellow"/>
          <w:lang w:val="en-US" w:eastAsia="zh-CN"/>
        </w:rPr>
        <w:t>19</w:t>
      </w:r>
      <w:r>
        <w:rPr>
          <w:rFonts w:hint="eastAsia" w:ascii="宋体" w:hAnsi="宋体" w:cs="宋体"/>
          <w:sz w:val="24"/>
          <w:szCs w:val="32"/>
          <w:highlight w:val="yellow"/>
        </w:rPr>
        <w:t>日</w:t>
      </w:r>
      <w:r>
        <w:rPr>
          <w:rFonts w:hint="eastAsia" w:ascii="宋体" w:hAnsi="宋体" w:cs="宋体"/>
          <w:sz w:val="24"/>
          <w:szCs w:val="32"/>
          <w:highlight w:val="yellow"/>
          <w:lang w:val="en-US" w:eastAsia="zh-CN"/>
        </w:rPr>
        <w:t>下午14</w:t>
      </w:r>
      <w:r>
        <w:rPr>
          <w:rFonts w:hint="eastAsia" w:ascii="宋体" w:hAnsi="宋体" w:cs="宋体"/>
          <w:sz w:val="24"/>
          <w:szCs w:val="32"/>
          <w:highlight w:val="yellow"/>
        </w:rPr>
        <w:t>:</w:t>
      </w:r>
      <w:r>
        <w:rPr>
          <w:rFonts w:hint="eastAsia" w:ascii="宋体" w:hAnsi="宋体" w:cs="宋体"/>
          <w:sz w:val="24"/>
          <w:szCs w:val="32"/>
          <w:highlight w:val="yellow"/>
          <w:lang w:val="en-US" w:eastAsia="zh-CN"/>
        </w:rPr>
        <w:t>3</w:t>
      </w:r>
      <w:r>
        <w:rPr>
          <w:rFonts w:hint="eastAsia" w:ascii="宋体" w:hAnsi="宋体" w:cs="宋体"/>
          <w:sz w:val="24"/>
          <w:szCs w:val="32"/>
          <w:highlight w:val="yellow"/>
        </w:rPr>
        <w:t>0</w:t>
      </w:r>
    </w:p>
    <w:p w14:paraId="618B5921">
      <w:pPr>
        <w:spacing w:line="360" w:lineRule="auto"/>
        <w:ind w:firstLine="482" w:firstLineChars="200"/>
        <w:rPr>
          <w:rFonts w:ascii="宋体" w:hAnsi="宋体" w:cs="宋体"/>
          <w:sz w:val="24"/>
          <w:szCs w:val="32"/>
        </w:rPr>
      </w:pPr>
      <w:r>
        <w:rPr>
          <w:rFonts w:hint="eastAsia" w:ascii="宋体" w:hAnsi="宋体" w:cs="宋体"/>
          <w:b/>
          <w:bCs/>
          <w:sz w:val="24"/>
          <w:szCs w:val="32"/>
        </w:rPr>
        <w:t>八、投标及开标地址：</w:t>
      </w:r>
      <w:r>
        <w:rPr>
          <w:rFonts w:hint="eastAsia" w:ascii="宋体" w:hAnsi="宋体" w:cs="宋体"/>
          <w:sz w:val="24"/>
          <w:u w:val="single"/>
        </w:rPr>
        <w:t>通过“政府采购云平台（www.zcygov.cn）”实行在线投标响应。</w:t>
      </w:r>
    </w:p>
    <w:p w14:paraId="0EEC5781">
      <w:pPr>
        <w:spacing w:line="360" w:lineRule="auto"/>
        <w:ind w:firstLine="482" w:firstLineChars="200"/>
        <w:outlineLvl w:val="0"/>
        <w:rPr>
          <w:rFonts w:ascii="宋体" w:hAnsi="宋体" w:cs="宋体"/>
          <w:b/>
          <w:bCs/>
          <w:sz w:val="24"/>
          <w:szCs w:val="32"/>
        </w:rPr>
      </w:pPr>
      <w:r>
        <w:rPr>
          <w:rFonts w:hint="eastAsia" w:ascii="宋体" w:hAnsi="宋体" w:cs="宋体"/>
          <w:b/>
          <w:bCs/>
          <w:sz w:val="24"/>
          <w:szCs w:val="32"/>
        </w:rPr>
        <w:t>九、相关注意事项：</w:t>
      </w:r>
    </w:p>
    <w:p w14:paraId="4112E142">
      <w:pPr>
        <w:spacing w:line="360" w:lineRule="auto"/>
        <w:ind w:firstLine="480" w:firstLineChars="200"/>
        <w:rPr>
          <w:rFonts w:ascii="宋体" w:hAnsi="宋体" w:cs="宋体"/>
          <w:sz w:val="24"/>
          <w:szCs w:val="32"/>
        </w:rPr>
      </w:pPr>
      <w:r>
        <w:rPr>
          <w:rFonts w:hint="eastAsia" w:ascii="宋体" w:hAnsi="宋体" w:cs="宋体"/>
          <w:sz w:val="24"/>
          <w:szCs w:val="32"/>
        </w:rPr>
        <w:t>1.采购公告期限：自本公告发布之日起5个工作日。</w:t>
      </w:r>
    </w:p>
    <w:p w14:paraId="3909F40E">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rPr>
        <w:t>供应商认为采购文件使自己的权益受到损害的，可以自获取采购文件之日或者采购文件公告期限届满之日起7个工作日内，以书面形式一次性针对同一环节</w:t>
      </w:r>
      <w:r>
        <w:rPr>
          <w:rFonts w:hint="eastAsia" w:ascii="宋体" w:hAnsi="宋体" w:cs="Calibri Light"/>
          <w:kern w:val="0"/>
          <w:sz w:val="24"/>
        </w:rPr>
        <w:t>（包括采购过程、采购结果）</w:t>
      </w:r>
      <w:r>
        <w:rPr>
          <w:rFonts w:hint="eastAsia" w:ascii="宋体" w:hAnsi="宋体" w:cs="宋体"/>
          <w:sz w:val="24"/>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 w:val="24"/>
          <w:szCs w:val="32"/>
        </w:rPr>
        <w:t>。</w:t>
      </w:r>
    </w:p>
    <w:p w14:paraId="5CA2637F">
      <w:pPr>
        <w:spacing w:line="360" w:lineRule="auto"/>
        <w:ind w:firstLine="480" w:firstLineChars="200"/>
        <w:rPr>
          <w:rFonts w:ascii="宋体" w:hAnsi="宋体" w:cs="宋体"/>
          <w:sz w:val="24"/>
          <w:szCs w:val="32"/>
        </w:rPr>
      </w:pPr>
      <w:r>
        <w:rPr>
          <w:rFonts w:hint="eastAsia" w:ascii="宋体" w:hAnsi="宋体" w:cs="宋体"/>
          <w:sz w:val="24"/>
          <w:szCs w:val="32"/>
        </w:rPr>
        <w:t>3.根据财库[2016]125号《关于在政府采购活动中查询及使用信用记录有关问题的通知》要求，采购代理机构会对供应商信用记录进行查询并甄别。</w:t>
      </w:r>
    </w:p>
    <w:p w14:paraId="563B38E0">
      <w:pPr>
        <w:spacing w:line="360" w:lineRule="auto"/>
        <w:ind w:firstLine="480" w:firstLineChars="200"/>
        <w:rPr>
          <w:rFonts w:ascii="宋体" w:hAnsi="宋体" w:cs="宋体"/>
          <w:sz w:val="24"/>
          <w:szCs w:val="32"/>
        </w:rPr>
      </w:pPr>
      <w:r>
        <w:rPr>
          <w:rFonts w:hint="eastAsia" w:ascii="宋体" w:hAnsi="宋体" w:cs="宋体"/>
          <w:sz w:val="24"/>
          <w:szCs w:val="32"/>
        </w:rPr>
        <w:t>1）信用信息查询的截止时点：开标后评标前；</w:t>
      </w:r>
    </w:p>
    <w:p w14:paraId="67FB7C5F">
      <w:pPr>
        <w:spacing w:line="360" w:lineRule="auto"/>
        <w:ind w:firstLine="480" w:firstLineChars="200"/>
        <w:rPr>
          <w:rFonts w:ascii="宋体" w:hAnsi="宋体" w:cs="宋体"/>
          <w:color w:val="auto"/>
          <w:sz w:val="24"/>
          <w:szCs w:val="32"/>
        </w:rPr>
      </w:pPr>
      <w:r>
        <w:rPr>
          <w:rFonts w:hint="eastAsia" w:ascii="宋体" w:hAnsi="宋体" w:cs="宋体"/>
          <w:sz w:val="24"/>
          <w:szCs w:val="32"/>
        </w:rPr>
        <w:t>2）查询渠道：“信用中国”（</w:t>
      </w:r>
      <w:r>
        <w:rPr>
          <w:rFonts w:hint="eastAsia"/>
          <w:color w:val="auto"/>
        </w:rPr>
        <w:fldChar w:fldCharType="begin"/>
      </w:r>
      <w:r>
        <w:rPr>
          <w:color w:val="auto"/>
        </w:rPr>
        <w:instrText xml:space="preserve"> HYPERLINK "qq://txfile/" </w:instrText>
      </w:r>
      <w:r>
        <w:rPr>
          <w:rFonts w:hint="eastAsia"/>
          <w:color w:val="auto"/>
        </w:rPr>
        <w:fldChar w:fldCharType="separate"/>
      </w:r>
      <w:r>
        <w:rPr>
          <w:rFonts w:hint="eastAsia" w:ascii="宋体" w:hAnsi="宋体" w:cs="宋体"/>
          <w:color w:val="auto"/>
          <w:sz w:val="24"/>
          <w:szCs w:val="32"/>
        </w:rPr>
        <w:t>www.creditchina.gov.cn</w:t>
      </w:r>
      <w:r>
        <w:rPr>
          <w:rFonts w:hint="eastAsia" w:ascii="宋体" w:hAnsi="宋体" w:cs="宋体"/>
          <w:color w:val="auto"/>
          <w:sz w:val="24"/>
          <w:szCs w:val="32"/>
        </w:rPr>
        <w:fldChar w:fldCharType="end"/>
      </w:r>
      <w:r>
        <w:rPr>
          <w:rFonts w:hint="eastAsia" w:ascii="宋体" w:hAnsi="宋体" w:cs="宋体"/>
          <w:color w:val="auto"/>
          <w:sz w:val="24"/>
          <w:szCs w:val="32"/>
        </w:rPr>
        <w:t>）、“中国政府采购网”（</w:t>
      </w:r>
      <w:r>
        <w:rPr>
          <w:rFonts w:hint="eastAsia"/>
          <w:color w:val="auto"/>
        </w:rPr>
        <w:fldChar w:fldCharType="begin"/>
      </w:r>
      <w:r>
        <w:rPr>
          <w:color w:val="auto"/>
        </w:rPr>
        <w:instrText xml:space="preserve"> HYPERLINK "qq://txfile/" </w:instrText>
      </w:r>
      <w:r>
        <w:rPr>
          <w:rFonts w:hint="eastAsia"/>
          <w:color w:val="auto"/>
        </w:rPr>
        <w:fldChar w:fldCharType="separate"/>
      </w:r>
      <w:r>
        <w:rPr>
          <w:rFonts w:hint="eastAsia" w:ascii="宋体" w:hAnsi="宋体" w:cs="宋体"/>
          <w:color w:val="auto"/>
          <w:sz w:val="24"/>
          <w:szCs w:val="32"/>
        </w:rPr>
        <w:t>www.ccgp.gov.cn</w:t>
      </w:r>
      <w:r>
        <w:rPr>
          <w:rFonts w:hint="eastAsia" w:ascii="宋体" w:hAnsi="宋体" w:cs="宋体"/>
          <w:color w:val="auto"/>
          <w:sz w:val="24"/>
          <w:szCs w:val="32"/>
        </w:rPr>
        <w:fldChar w:fldCharType="end"/>
      </w:r>
      <w:r>
        <w:rPr>
          <w:rFonts w:hint="eastAsia" w:ascii="宋体" w:hAnsi="宋体" w:cs="宋体"/>
          <w:color w:val="auto"/>
          <w:sz w:val="24"/>
          <w:szCs w:val="32"/>
        </w:rPr>
        <w:t>）、</w:t>
      </w:r>
      <w:r>
        <w:rPr>
          <w:rFonts w:hint="eastAsia" w:ascii="宋体" w:hAnsi="宋体" w:cs="宋体"/>
          <w:color w:val="auto"/>
          <w:kern w:val="0"/>
          <w:sz w:val="24"/>
          <w:lang w:bidi="ar"/>
        </w:rPr>
        <w:t>浙江政府采购网（</w:t>
      </w:r>
      <w:r>
        <w:rPr>
          <w:rFonts w:hint="eastAsia"/>
          <w:color w:val="auto"/>
        </w:rPr>
        <w:fldChar w:fldCharType="begin"/>
      </w:r>
      <w:r>
        <w:rPr>
          <w:rFonts w:hint="eastAsia"/>
          <w:color w:val="auto"/>
        </w:rPr>
        <w:instrText xml:space="preserve"> HYPERLINK "https://zfcg.czt.zj.gov.cn/" </w:instrText>
      </w:r>
      <w:r>
        <w:rPr>
          <w:rFonts w:hint="eastAsia"/>
          <w:color w:val="auto"/>
        </w:rPr>
        <w:fldChar w:fldCharType="separate"/>
      </w:r>
      <w:r>
        <w:rPr>
          <w:rFonts w:hint="eastAsia"/>
          <w:color w:val="auto"/>
        </w:rPr>
        <w:t>https://zfcg.czt.zj.gov.cn/</w:t>
      </w:r>
      <w:r>
        <w:rPr>
          <w:rFonts w:hint="eastAsia"/>
          <w:color w:val="auto"/>
        </w:rPr>
        <w:fldChar w:fldCharType="end"/>
      </w:r>
      <w:r>
        <w:rPr>
          <w:rFonts w:hint="eastAsia" w:ascii="宋体" w:hAnsi="宋体" w:cs="宋体"/>
          <w:color w:val="auto"/>
          <w:kern w:val="0"/>
          <w:sz w:val="24"/>
          <w:lang w:bidi="ar"/>
        </w:rPr>
        <w:t>）</w:t>
      </w:r>
      <w:r>
        <w:rPr>
          <w:rFonts w:hint="eastAsia" w:ascii="宋体" w:hAnsi="宋体" w:cs="宋体"/>
          <w:color w:val="auto"/>
          <w:sz w:val="24"/>
          <w:szCs w:val="32"/>
        </w:rPr>
        <w:t>；</w:t>
      </w:r>
    </w:p>
    <w:p w14:paraId="2B6E2BD6">
      <w:pPr>
        <w:spacing w:line="360" w:lineRule="auto"/>
        <w:ind w:firstLine="480" w:firstLineChars="200"/>
        <w:rPr>
          <w:rFonts w:ascii="宋体" w:hAnsi="宋体" w:cs="宋体"/>
          <w:sz w:val="24"/>
          <w:szCs w:val="32"/>
        </w:rPr>
      </w:pPr>
      <w:r>
        <w:rPr>
          <w:rFonts w:hint="eastAsia" w:ascii="宋体" w:hAnsi="宋体" w:cs="宋体"/>
          <w:sz w:val="24"/>
          <w:szCs w:val="32"/>
        </w:rPr>
        <w:t>3）信用信息查询记录和证据留存具体方式：采购代理机构经办人和监督人员将查询网页打印、签字与其他采购文件一并保存；</w:t>
      </w:r>
    </w:p>
    <w:p w14:paraId="110ADAD8">
      <w:pPr>
        <w:spacing w:line="360" w:lineRule="auto"/>
        <w:ind w:firstLine="480" w:firstLineChars="200"/>
        <w:rPr>
          <w:rFonts w:ascii="宋体" w:hAnsi="宋体" w:cs="宋体"/>
          <w:sz w:val="24"/>
          <w:szCs w:val="32"/>
        </w:rPr>
      </w:pPr>
      <w:r>
        <w:rPr>
          <w:rFonts w:hint="eastAsia" w:ascii="宋体" w:hAnsi="宋体" w:cs="宋体"/>
          <w:sz w:val="24"/>
          <w:szCs w:val="32"/>
        </w:rPr>
        <w:t>4）信用信息的使用规则：投标人存在不良信用记录的，其投标将被作为无效投标被拒绝。</w:t>
      </w:r>
    </w:p>
    <w:p w14:paraId="1F689209">
      <w:pPr>
        <w:spacing w:line="360" w:lineRule="auto"/>
        <w:ind w:firstLine="480" w:firstLineChars="200"/>
        <w:rPr>
          <w:rFonts w:ascii="宋体" w:hAnsi="宋体" w:cs="宋体"/>
          <w:sz w:val="24"/>
          <w:szCs w:val="32"/>
        </w:rPr>
      </w:pPr>
      <w:r>
        <w:rPr>
          <w:rFonts w:hint="eastAsia" w:ascii="宋体" w:hAnsi="宋体" w:cs="宋体"/>
          <w:sz w:val="24"/>
          <w:szCs w:val="32"/>
        </w:rPr>
        <w:t>4.不良信用记录指：被列入失信被执行人、重大税收违法案件当事人名单、政府采购严重违法失信行为记录名单或浙江政府采购网曝光台中尚在行政处罚期内的。</w:t>
      </w:r>
    </w:p>
    <w:p w14:paraId="7D3C6C0A">
      <w:pPr>
        <w:spacing w:line="360" w:lineRule="auto"/>
        <w:ind w:firstLine="480" w:firstLineChars="200"/>
        <w:rPr>
          <w:rFonts w:ascii="宋体" w:hAnsi="宋体" w:cs="宋体"/>
          <w:sz w:val="24"/>
          <w:szCs w:val="32"/>
        </w:rPr>
      </w:pPr>
      <w:r>
        <w:rPr>
          <w:rFonts w:hint="eastAsia" w:ascii="宋体" w:hAnsi="宋体" w:cs="宋体"/>
          <w:sz w:val="24"/>
          <w:szCs w:val="32"/>
        </w:rPr>
        <w:t>5.采购文件发售截止时间之后有潜在供应商提出要求获取采购文件的允许其报名获取，但对采购文件有异议应按规定的时间提出，逾期提出的，采购组织机构可不予受理、答复。</w:t>
      </w:r>
    </w:p>
    <w:p w14:paraId="4FBFEFE6">
      <w:pPr>
        <w:spacing w:line="360" w:lineRule="auto"/>
        <w:ind w:firstLine="482" w:firstLineChars="200"/>
        <w:rPr>
          <w:rFonts w:ascii="宋体" w:hAnsi="宋体" w:cs="宋体"/>
          <w:b/>
          <w:bCs/>
          <w:sz w:val="24"/>
          <w:szCs w:val="32"/>
        </w:rPr>
      </w:pPr>
      <w:r>
        <w:rPr>
          <w:rFonts w:hint="eastAsia" w:ascii="宋体" w:hAnsi="宋体" w:cs="宋体"/>
          <w:b/>
          <w:bCs/>
          <w:sz w:val="24"/>
          <w:szCs w:val="32"/>
        </w:rPr>
        <w:t>6.开标时间后30分钟内，供应商须登录“政采云”平台，用“项目采购-开标评标”功能解密投标文件，投标人未按时解密或解密失败的，其上传的电子投标文件自动失效。电脑及CA解密设备自备。</w:t>
      </w:r>
    </w:p>
    <w:p w14:paraId="5D8E8C11">
      <w:pPr>
        <w:spacing w:line="360" w:lineRule="auto"/>
        <w:rPr>
          <w:rFonts w:ascii="宋体" w:hAnsi="宋体" w:cs="宋体"/>
          <w:b/>
          <w:bCs/>
          <w:sz w:val="24"/>
        </w:rPr>
      </w:pPr>
      <w:r>
        <w:rPr>
          <w:rFonts w:hint="eastAsia" w:ascii="宋体" w:hAnsi="宋体" w:cs="宋体"/>
          <w:b/>
          <w:bCs/>
          <w:sz w:val="24"/>
        </w:rPr>
        <w:t>十、联系方式：</w:t>
      </w:r>
    </w:p>
    <w:p w14:paraId="5CA87AE9">
      <w:pPr>
        <w:spacing w:line="360" w:lineRule="auto"/>
        <w:ind w:firstLine="482" w:firstLineChars="200"/>
        <w:rPr>
          <w:rFonts w:hint="eastAsia" w:ascii="宋体" w:hAnsi="宋体" w:eastAsia="宋体" w:cs="宋体"/>
          <w:sz w:val="24"/>
          <w:szCs w:val="32"/>
          <w:lang w:eastAsia="zh-CN"/>
        </w:rPr>
      </w:pPr>
      <w:r>
        <w:rPr>
          <w:rFonts w:hint="eastAsia" w:ascii="宋体" w:hAnsi="宋体" w:cs="宋体"/>
          <w:b/>
          <w:bCs/>
          <w:sz w:val="24"/>
          <w:szCs w:val="32"/>
        </w:rPr>
        <w:t>1、采购代理机构名称：</w:t>
      </w:r>
      <w:r>
        <w:rPr>
          <w:rFonts w:hint="eastAsia" w:ascii="宋体" w:hAnsi="宋体" w:cs="宋体"/>
          <w:sz w:val="24"/>
          <w:szCs w:val="32"/>
          <w:lang w:eastAsia="zh-CN"/>
        </w:rPr>
        <w:t>台州市建设咨询有限公司</w:t>
      </w:r>
    </w:p>
    <w:p w14:paraId="45D5069B">
      <w:pPr>
        <w:spacing w:line="360" w:lineRule="auto"/>
        <w:ind w:firstLine="480" w:firstLineChars="200"/>
        <w:rPr>
          <w:rFonts w:ascii="宋体" w:hAnsi="宋体" w:cs="宋体"/>
          <w:sz w:val="24"/>
          <w:szCs w:val="32"/>
        </w:rPr>
      </w:pPr>
      <w:r>
        <w:rPr>
          <w:rFonts w:hint="eastAsia" w:ascii="宋体" w:hAnsi="宋体" w:cs="宋体"/>
          <w:sz w:val="24"/>
          <w:szCs w:val="32"/>
        </w:rPr>
        <w:t>项目负责人：</w:t>
      </w:r>
      <w:r>
        <w:rPr>
          <w:rFonts w:hint="eastAsia" w:ascii="宋体" w:hAnsi="宋体" w:cs="宋体"/>
          <w:sz w:val="24"/>
          <w:szCs w:val="32"/>
          <w:lang w:eastAsia="zh-CN"/>
        </w:rPr>
        <w:t>褚先生</w:t>
      </w:r>
      <w:r>
        <w:rPr>
          <w:rFonts w:hint="eastAsia" w:ascii="宋体" w:hAnsi="宋体" w:cs="宋体"/>
          <w:sz w:val="24"/>
          <w:szCs w:val="32"/>
        </w:rPr>
        <w:t>；联系电话：15867602395；</w:t>
      </w:r>
    </w:p>
    <w:p w14:paraId="2BEB3742">
      <w:pPr>
        <w:spacing w:line="360" w:lineRule="auto"/>
        <w:ind w:firstLine="480" w:firstLineChars="200"/>
        <w:rPr>
          <w:rFonts w:ascii="宋体" w:hAnsi="宋体" w:cs="宋体"/>
          <w:sz w:val="24"/>
          <w:szCs w:val="32"/>
        </w:rPr>
      </w:pPr>
      <w:r>
        <w:rPr>
          <w:rFonts w:hint="eastAsia" w:ascii="宋体" w:hAnsi="宋体" w:cs="宋体"/>
          <w:sz w:val="24"/>
          <w:szCs w:val="32"/>
        </w:rPr>
        <w:t>质疑接收人：</w:t>
      </w:r>
      <w:r>
        <w:rPr>
          <w:rFonts w:hint="eastAsia" w:ascii="宋体" w:hAnsi="宋体" w:cs="宋体"/>
          <w:sz w:val="24"/>
          <w:szCs w:val="32"/>
          <w:lang w:val="en-US" w:eastAsia="zh-CN"/>
        </w:rPr>
        <w:t>黄先生</w:t>
      </w:r>
      <w:r>
        <w:rPr>
          <w:rFonts w:hint="eastAsia" w:ascii="宋体" w:hAnsi="宋体" w:cs="宋体"/>
          <w:sz w:val="24"/>
          <w:szCs w:val="32"/>
        </w:rPr>
        <w:t>；联系电话：</w:t>
      </w:r>
      <w:r>
        <w:rPr>
          <w:rFonts w:hint="eastAsia" w:ascii="宋体" w:hAnsi="宋体" w:cs="宋体"/>
          <w:sz w:val="24"/>
          <w:szCs w:val="32"/>
          <w:lang w:eastAsia="zh-CN"/>
        </w:rPr>
        <w:t>18989631371</w:t>
      </w:r>
      <w:r>
        <w:rPr>
          <w:rFonts w:hint="eastAsia" w:ascii="宋体" w:hAnsi="宋体" w:cs="宋体"/>
          <w:sz w:val="24"/>
          <w:szCs w:val="32"/>
        </w:rPr>
        <w:t>；</w:t>
      </w:r>
    </w:p>
    <w:p w14:paraId="103F0A84">
      <w:pPr>
        <w:spacing w:line="360" w:lineRule="auto"/>
        <w:ind w:firstLine="480" w:firstLineChars="200"/>
        <w:rPr>
          <w:rFonts w:ascii="宋体" w:hAnsi="宋体" w:cs="宋体"/>
          <w:sz w:val="24"/>
          <w:szCs w:val="32"/>
        </w:rPr>
      </w:pPr>
      <w:r>
        <w:rPr>
          <w:rFonts w:hint="eastAsia" w:ascii="宋体" w:hAnsi="宋体" w:cs="宋体"/>
          <w:sz w:val="24"/>
          <w:szCs w:val="32"/>
        </w:rPr>
        <w:t>地点：台州市</w:t>
      </w:r>
      <w:r>
        <w:rPr>
          <w:rFonts w:hint="eastAsia" w:ascii="宋体" w:hAnsi="宋体" w:cs="宋体"/>
          <w:sz w:val="24"/>
          <w:szCs w:val="32"/>
          <w:lang w:val="en-US" w:eastAsia="zh-CN"/>
        </w:rPr>
        <w:t>建设咨询有限公司路桥办事处1楼（花鸟巷188弄3号老办证中心东边停车场）</w:t>
      </w:r>
    </w:p>
    <w:p w14:paraId="4D3CE181">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p>
    <w:p w14:paraId="7B0A6350">
      <w:pPr>
        <w:snapToGrid w:val="0"/>
        <w:spacing w:line="360" w:lineRule="auto"/>
        <w:ind w:firstLine="600" w:firstLineChars="250"/>
        <w:rPr>
          <w:rFonts w:hint="eastAsia" w:ascii="宋体" w:hAnsi="宋体" w:cs="宋体"/>
          <w:color w:val="auto"/>
          <w:sz w:val="24"/>
          <w:lang w:val="en-US" w:eastAsia="zh-CN"/>
        </w:rPr>
      </w:pPr>
      <w:r>
        <w:rPr>
          <w:rFonts w:hint="eastAsia" w:ascii="宋体" w:hAnsi="宋体" w:cs="宋体"/>
          <w:color w:val="auto"/>
          <w:sz w:val="24"/>
        </w:rPr>
        <w:t>采购人名称：</w:t>
      </w:r>
      <w:r>
        <w:rPr>
          <w:rFonts w:hint="eastAsia" w:ascii="宋体" w:hAnsi="宋体" w:cs="宋体"/>
          <w:color w:val="auto"/>
          <w:sz w:val="24"/>
          <w:lang w:val="en-US" w:eastAsia="zh-CN"/>
        </w:rPr>
        <w:t>台州市路桥区横街镇人民政府</w:t>
      </w:r>
    </w:p>
    <w:p w14:paraId="50AEC684">
      <w:pPr>
        <w:snapToGrid w:val="0"/>
        <w:spacing w:line="360" w:lineRule="auto"/>
        <w:ind w:firstLine="600" w:firstLineChars="250"/>
        <w:rPr>
          <w:rFonts w:hint="default" w:ascii="宋体" w:hAnsi="宋体" w:eastAsia="宋体" w:cs="宋体"/>
          <w:color w:val="FF0000"/>
          <w:sz w:val="24"/>
          <w:lang w:val="en-US" w:eastAsia="zh-CN"/>
        </w:rPr>
      </w:pPr>
      <w:r>
        <w:rPr>
          <w:rFonts w:hint="eastAsia" w:ascii="宋体" w:hAnsi="宋体" w:eastAsia="宋体" w:cs="宋体"/>
          <w:color w:val="auto"/>
          <w:sz w:val="24"/>
          <w:lang w:eastAsia="zh-CN"/>
        </w:rPr>
        <w:t>联系人：</w:t>
      </w:r>
      <w:r>
        <w:rPr>
          <w:rFonts w:hint="eastAsia" w:ascii="宋体" w:hAnsi="宋体" w:cs="宋体"/>
          <w:color w:val="FF0000"/>
          <w:sz w:val="24"/>
          <w:lang w:val="en-US" w:eastAsia="zh-CN"/>
        </w:rPr>
        <w:t>练先生</w:t>
      </w:r>
      <w:r>
        <w:rPr>
          <w:rFonts w:hint="eastAsia" w:ascii="宋体" w:hAnsi="宋体" w:eastAsia="宋体" w:cs="宋体"/>
          <w:color w:val="FF0000"/>
          <w:sz w:val="24"/>
          <w:lang w:val="en-US" w:eastAsia="zh-CN"/>
        </w:rPr>
        <w:t xml:space="preserve">     </w:t>
      </w:r>
      <w:r>
        <w:rPr>
          <w:rFonts w:hint="eastAsia" w:ascii="宋体" w:hAnsi="宋体" w:eastAsia="宋体" w:cs="宋体"/>
          <w:color w:val="FF0000"/>
          <w:sz w:val="24"/>
          <w:lang w:eastAsia="zh-CN"/>
        </w:rPr>
        <w:t>联系电话：</w:t>
      </w:r>
      <w:r>
        <w:rPr>
          <w:rFonts w:hint="eastAsia" w:ascii="宋体" w:hAnsi="宋体" w:cs="宋体"/>
          <w:color w:val="FF0000"/>
          <w:sz w:val="24"/>
          <w:lang w:val="en-US" w:eastAsia="zh-CN"/>
        </w:rPr>
        <w:t>0576-</w:t>
      </w:r>
      <w:r>
        <w:rPr>
          <w:rFonts w:hint="eastAsia" w:ascii="宋体" w:hAnsi="宋体" w:eastAsia="宋体" w:cs="宋体"/>
          <w:color w:val="FF0000"/>
          <w:sz w:val="24"/>
          <w:lang w:eastAsia="zh-CN"/>
        </w:rPr>
        <w:t>82656119</w:t>
      </w:r>
    </w:p>
    <w:p w14:paraId="59869193">
      <w:pPr>
        <w:spacing w:line="360" w:lineRule="auto"/>
        <w:ind w:firstLine="482" w:firstLineChars="200"/>
        <w:rPr>
          <w:rFonts w:hint="eastAsia" w:ascii="宋体" w:hAnsi="宋体" w:eastAsia="宋体" w:cs="宋体"/>
          <w:sz w:val="24"/>
          <w:lang w:eastAsia="zh-CN"/>
        </w:rPr>
      </w:pPr>
      <w:r>
        <w:rPr>
          <w:rFonts w:hint="eastAsia" w:ascii="宋体" w:hAnsi="宋体" w:cs="宋体"/>
          <w:b/>
          <w:bCs/>
          <w:sz w:val="24"/>
          <w:szCs w:val="32"/>
        </w:rPr>
        <w:t>3、</w:t>
      </w:r>
      <w:r>
        <w:rPr>
          <w:rFonts w:hint="eastAsia" w:ascii="宋体" w:hAnsi="宋体" w:cs="宋体"/>
          <w:b/>
          <w:bCs/>
          <w:sz w:val="24"/>
        </w:rPr>
        <w:t>同级政府采购监管部门：</w:t>
      </w:r>
      <w:r>
        <w:rPr>
          <w:rFonts w:hint="eastAsia" w:ascii="宋体" w:hAnsi="宋体" w:cs="宋体"/>
          <w:sz w:val="24"/>
          <w:lang w:eastAsia="zh-CN"/>
        </w:rPr>
        <w:t>台州市路桥区政府采购管理办公室</w:t>
      </w:r>
    </w:p>
    <w:p w14:paraId="60DC4BEC">
      <w:pPr>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lang w:eastAsia="zh-CN"/>
        </w:rPr>
        <w:t>联系人：吴女士</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联系电话：0576-82517851</w:t>
      </w:r>
    </w:p>
    <w:p w14:paraId="2FC34625">
      <w:pPr>
        <w:spacing w:line="360" w:lineRule="auto"/>
        <w:ind w:firstLine="720" w:firstLineChars="300"/>
        <w:rPr>
          <w:b w:val="0"/>
          <w:bCs w:val="0"/>
          <w:color w:val="auto"/>
        </w:rPr>
      </w:pPr>
      <w:r>
        <w:rPr>
          <w:rFonts w:hint="eastAsia" w:ascii="宋体" w:hAnsi="宋体" w:eastAsia="宋体" w:cs="宋体"/>
          <w:sz w:val="24"/>
          <w:lang w:val="en-US" w:eastAsia="zh-CN"/>
        </w:rPr>
        <w:t>地址：台州市路桥区西路桥大道58号。</w:t>
      </w:r>
    </w:p>
    <w:p w14:paraId="5C9F1E75">
      <w:pPr>
        <w:pStyle w:val="16"/>
        <w:numPr>
          <w:ilvl w:val="0"/>
          <w:numId w:val="4"/>
        </w:numPr>
        <w:spacing w:line="360" w:lineRule="auto"/>
        <w:ind w:firstLine="482" w:firstLineChars="200"/>
        <w:rPr>
          <w:rFonts w:ascii="宋体" w:hAnsi="宋体" w:cs="宋体"/>
          <w:b/>
          <w:bCs/>
          <w:szCs w:val="32"/>
        </w:rPr>
      </w:pPr>
      <w:r>
        <w:rPr>
          <w:rFonts w:hint="eastAsia" w:ascii="宋体" w:hAnsi="宋体" w:cs="宋体"/>
          <w:b/>
          <w:bCs/>
          <w:szCs w:val="32"/>
        </w:rPr>
        <w:t>其余事项：中标供应商如有融资需求，可使用以下银行的政采贷服务</w:t>
      </w:r>
    </w:p>
    <w:p w14:paraId="737B5BEB">
      <w:pPr>
        <w:pStyle w:val="98"/>
        <w:ind w:firstLine="480" w:firstLineChars="200"/>
      </w:pPr>
      <w:r>
        <w:rPr>
          <w:rFonts w:hint="eastAsia"/>
        </w:rPr>
        <w:t>中标人可根据项目情况及自身需求向以下银行申请企业贷款，利率从优。</w:t>
      </w:r>
    </w:p>
    <w:tbl>
      <w:tblPr>
        <w:tblStyle w:val="39"/>
        <w:tblW w:w="9160" w:type="dxa"/>
        <w:tblInd w:w="0" w:type="dxa"/>
        <w:shd w:val="clear" w:color="auto" w:fill="auto"/>
        <w:tblLayout w:type="fixed"/>
        <w:tblCellMar>
          <w:top w:w="0" w:type="dxa"/>
          <w:left w:w="0" w:type="dxa"/>
          <w:bottom w:w="0" w:type="dxa"/>
          <w:right w:w="0" w:type="dxa"/>
        </w:tblCellMar>
      </w:tblPr>
      <w:tblGrid>
        <w:gridCol w:w="513"/>
        <w:gridCol w:w="4531"/>
        <w:gridCol w:w="1572"/>
        <w:gridCol w:w="1008"/>
        <w:gridCol w:w="1536"/>
      </w:tblGrid>
      <w:tr w14:paraId="286BD7E5">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2F856">
            <w:pPr>
              <w:rPr>
                <w:rFonts w:hint="eastAsia" w:ascii="宋体" w:hAnsi="宋体" w:eastAsia="宋体" w:cs="宋体"/>
                <w:i w:val="0"/>
                <w:color w:val="auto"/>
                <w:sz w:val="24"/>
                <w:szCs w:val="24"/>
                <w:highlight w:val="none"/>
                <w:u w:val="none"/>
              </w:rPr>
            </w:pPr>
            <w:r>
              <w:rPr>
                <w:rFonts w:hint="eastAsia" w:ascii="宋体" w:hAnsi="宋体" w:cs="宋体"/>
                <w:b/>
                <w:bCs/>
                <w:sz w:val="36"/>
                <w:szCs w:val="44"/>
              </w:rPr>
              <w:br w:type="page"/>
            </w:r>
            <w:r>
              <w:rPr>
                <w:rFonts w:hint="eastAsia" w:ascii="宋体" w:hAnsi="宋体" w:eastAsia="宋体" w:cs="宋体"/>
                <w:i w:val="0"/>
                <w:color w:val="auto"/>
                <w:kern w:val="0"/>
                <w:sz w:val="24"/>
                <w:szCs w:val="24"/>
                <w:highlight w:val="none"/>
                <w:u w:val="none"/>
                <w:lang w:val="en-US" w:eastAsia="zh-CN" w:bidi="ar"/>
              </w:rPr>
              <w:t>序号</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8F5B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银行名称</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2AAF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政采贷年利率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CBDC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联系人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9F99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联系电话</w:t>
            </w:r>
          </w:p>
        </w:tc>
      </w:tr>
      <w:tr w14:paraId="29EB1C8F">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045E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2884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中国建设银行股份有限公司台州路桥支行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6B79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E90F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徐剑鸿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B46F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15167671223</w:t>
            </w:r>
          </w:p>
        </w:tc>
      </w:tr>
      <w:tr w14:paraId="62A618A5">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0329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6EA7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中国工商银行股份有限公司台州路桥支行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B058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3.8%起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1F74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倪昊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7211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15968680259</w:t>
            </w:r>
          </w:p>
        </w:tc>
      </w:tr>
      <w:tr w14:paraId="457E036B">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F90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65DC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中国农业银行股份有限公司台州路桥支行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B27A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3.85%起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F7B6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丁道兵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DD4C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13606668045</w:t>
            </w:r>
          </w:p>
        </w:tc>
      </w:tr>
      <w:tr w14:paraId="65C1EFDA">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E165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7FBC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中国银行股份有限公司台州市路桥区支行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3235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796E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车斌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5887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13750661198</w:t>
            </w:r>
          </w:p>
        </w:tc>
      </w:tr>
      <w:tr w14:paraId="0BCBDE43">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7F22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5175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台州银行股份有限公司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B5D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35DB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黄红芹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0F05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13968689000</w:t>
            </w:r>
          </w:p>
        </w:tc>
      </w:tr>
      <w:tr w14:paraId="75875072">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1BCB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2FDC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浙江泰隆商业银行股份有限公司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AB94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02E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冯观凤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2183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17858683988</w:t>
            </w:r>
          </w:p>
        </w:tc>
      </w:tr>
      <w:tr w14:paraId="500E3267">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2B24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B235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中国邮政储蓄银行股份有限公司台州市路桥区支行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BB2D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4.35%起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EA3A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沈丹华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40A2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13306566969</w:t>
            </w:r>
          </w:p>
        </w:tc>
      </w:tr>
      <w:tr w14:paraId="0BCF1232">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EB80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6A2A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交通银行股份有限公司台州路桥支行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4E87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F9C0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刘鲁浙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FA0C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15968662111</w:t>
            </w:r>
          </w:p>
        </w:tc>
      </w:tr>
      <w:tr w14:paraId="31C949B1">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1688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6A1D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兴业银行股份有限公司台州路桥支行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E15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1BFC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蒋峰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BD82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13586088395</w:t>
            </w:r>
          </w:p>
        </w:tc>
      </w:tr>
      <w:tr w14:paraId="0323C07E">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C2AC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CE43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中信银行股份有限公司台州路桥支行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0CE9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4.15%起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8FE5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曹筱婕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213A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18105768199</w:t>
            </w:r>
          </w:p>
        </w:tc>
      </w:tr>
      <w:tr w14:paraId="45728AB0">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C92C6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4D97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浙商银行股份有限公司台州路桥小微企业专营支行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94E8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DE1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庄道勇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B1FF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13867611023</w:t>
            </w:r>
          </w:p>
        </w:tc>
      </w:tr>
      <w:tr w14:paraId="5C72016C">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A7A1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679B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广发银行股份有限公司台州路桥小微企业专营支行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5AEC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5.65%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3A01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林春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96F3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13858687790</w:t>
            </w:r>
          </w:p>
        </w:tc>
      </w:tr>
      <w:tr w14:paraId="39A980DC">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C887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C8F4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平安银行股份有限公司台州路桥小微企业专营支行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711B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B13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李俊丽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65D8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15906861025</w:t>
            </w:r>
          </w:p>
        </w:tc>
      </w:tr>
      <w:tr w14:paraId="23A17C28">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94FE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1F70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宁波银行股份有限公司台州路桥小微企业专营支行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8A19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3AAB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李诚杰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BE86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13395745558</w:t>
            </w:r>
          </w:p>
        </w:tc>
      </w:tr>
      <w:tr w14:paraId="4C292860">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3EAB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C15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浙江台州路桥富民村镇银行股份有限公司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A4D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947D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金根灵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DE2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13157608788</w:t>
            </w:r>
          </w:p>
        </w:tc>
      </w:tr>
    </w:tbl>
    <w:p w14:paraId="5B816875">
      <w:pPr>
        <w:spacing w:line="360" w:lineRule="auto"/>
        <w:jc w:val="right"/>
        <w:rPr>
          <w:rFonts w:hint="eastAsia" w:ascii="宋体" w:hAnsi="宋体" w:cs="宋体"/>
          <w:b w:val="0"/>
          <w:bCs w:val="0"/>
          <w:color w:val="auto"/>
          <w:lang w:eastAsia="zh-CN"/>
        </w:rPr>
      </w:pPr>
    </w:p>
    <w:p w14:paraId="444D7389">
      <w:pPr>
        <w:spacing w:line="360" w:lineRule="auto"/>
        <w:jc w:val="right"/>
        <w:rPr>
          <w:rFonts w:hint="eastAsia" w:ascii="宋体" w:hAnsi="宋体" w:eastAsia="宋体" w:cs="宋体"/>
          <w:b w:val="0"/>
          <w:bCs w:val="0"/>
          <w:color w:val="auto"/>
          <w:sz w:val="24"/>
          <w:szCs w:val="32"/>
          <w:lang w:eastAsia="zh-CN"/>
        </w:rPr>
      </w:pPr>
      <w:r>
        <w:rPr>
          <w:rFonts w:hint="eastAsia" w:ascii="宋体" w:hAnsi="宋体" w:cs="宋体"/>
          <w:b w:val="0"/>
          <w:bCs w:val="0"/>
          <w:color w:val="auto"/>
          <w:sz w:val="24"/>
          <w:szCs w:val="32"/>
          <w:lang w:eastAsia="zh-CN"/>
        </w:rPr>
        <w:t>台州市建设咨询有限公司</w:t>
      </w:r>
    </w:p>
    <w:p w14:paraId="277D09C9">
      <w:pPr>
        <w:spacing w:line="360" w:lineRule="auto"/>
        <w:jc w:val="right"/>
        <w:rPr>
          <w:rFonts w:hint="eastAsia" w:ascii="方正小标宋简体" w:hAnsi="宋体" w:eastAsia="宋体"/>
          <w:b/>
          <w:bCs/>
          <w:color w:val="auto"/>
          <w:sz w:val="44"/>
          <w:szCs w:val="44"/>
          <w:highlight w:val="none"/>
          <w:lang w:val="en-US" w:eastAsia="zh-CN"/>
        </w:rPr>
      </w:pPr>
      <w:r>
        <w:rPr>
          <w:rFonts w:hint="eastAsia" w:ascii="宋体" w:hAnsi="宋体" w:cs="宋体"/>
          <w:b w:val="0"/>
          <w:bCs w:val="0"/>
          <w:color w:val="auto"/>
          <w:sz w:val="24"/>
          <w:lang w:eastAsia="zh-CN"/>
        </w:rPr>
        <w:t>202</w:t>
      </w:r>
      <w:r>
        <w:rPr>
          <w:rFonts w:hint="eastAsia" w:ascii="宋体" w:hAnsi="宋体" w:cs="宋体"/>
          <w:b w:val="0"/>
          <w:bCs w:val="0"/>
          <w:color w:val="auto"/>
          <w:sz w:val="24"/>
          <w:lang w:val="en-US" w:eastAsia="zh-CN"/>
        </w:rPr>
        <w:t>4</w:t>
      </w:r>
      <w:r>
        <w:rPr>
          <w:rFonts w:hint="eastAsia" w:ascii="宋体" w:hAnsi="宋体" w:cs="宋体"/>
          <w:b w:val="0"/>
          <w:bCs w:val="0"/>
          <w:color w:val="auto"/>
          <w:sz w:val="24"/>
          <w:lang w:eastAsia="zh-CN"/>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lang w:eastAsia="zh-CN"/>
        </w:rPr>
        <w:t>月</w:t>
      </w:r>
      <w:r>
        <w:rPr>
          <w:rFonts w:hint="eastAsia" w:ascii="宋体" w:hAnsi="宋体" w:cs="宋体"/>
          <w:b w:val="0"/>
          <w:bCs w:val="0"/>
          <w:color w:val="auto"/>
          <w:sz w:val="24"/>
          <w:lang w:val="en-US" w:eastAsia="zh-CN"/>
        </w:rPr>
        <w:t>28日</w:t>
      </w:r>
    </w:p>
    <w:p w14:paraId="4B8E25A0">
      <w:pPr>
        <w:spacing w:line="360" w:lineRule="auto"/>
        <w:jc w:val="center"/>
        <w:rPr>
          <w:rFonts w:hint="eastAsia" w:ascii="方正小标宋简体" w:hAnsi="宋体" w:eastAsia="方正小标宋简体"/>
          <w:b/>
          <w:bCs/>
          <w:color w:val="auto"/>
          <w:sz w:val="44"/>
          <w:szCs w:val="44"/>
          <w:highlight w:val="none"/>
        </w:rPr>
      </w:pPr>
    </w:p>
    <w:p w14:paraId="5635CC33">
      <w:pPr>
        <w:pStyle w:val="2"/>
        <w:rPr>
          <w:rFonts w:hint="eastAsia" w:ascii="方正小标宋简体" w:hAnsi="宋体" w:eastAsia="方正小标宋简体"/>
          <w:b/>
          <w:bCs/>
          <w:color w:val="auto"/>
          <w:sz w:val="44"/>
          <w:szCs w:val="44"/>
          <w:highlight w:val="none"/>
        </w:rPr>
      </w:pPr>
    </w:p>
    <w:p w14:paraId="6E0E5D5B">
      <w:pPr>
        <w:pStyle w:val="2"/>
        <w:rPr>
          <w:rFonts w:hint="eastAsia" w:ascii="方正小标宋简体" w:hAnsi="宋体" w:eastAsia="方正小标宋简体"/>
          <w:b/>
          <w:bCs/>
          <w:color w:val="auto"/>
          <w:sz w:val="44"/>
          <w:szCs w:val="44"/>
          <w:highlight w:val="none"/>
        </w:rPr>
      </w:pPr>
    </w:p>
    <w:p w14:paraId="5A0DC61D">
      <w:pPr>
        <w:spacing w:line="360" w:lineRule="auto"/>
        <w:jc w:val="center"/>
        <w:rPr>
          <w:rFonts w:hint="eastAsia" w:ascii="方正小标宋简体" w:hAnsi="宋体" w:eastAsia="方正小标宋简体"/>
          <w:b/>
          <w:bCs/>
          <w:color w:val="auto"/>
          <w:sz w:val="44"/>
          <w:szCs w:val="44"/>
          <w:highlight w:val="none"/>
        </w:rPr>
        <w:sectPr>
          <w:headerReference r:id="rId4" w:type="first"/>
          <w:footerReference r:id="rId6" w:type="first"/>
          <w:headerReference r:id="rId3" w:type="default"/>
          <w:footerReference r:id="rId5" w:type="default"/>
          <w:pgSz w:w="11907" w:h="16840"/>
          <w:pgMar w:top="1417" w:right="1474" w:bottom="1247" w:left="1474" w:header="851" w:footer="992" w:gutter="0"/>
          <w:pgBorders>
            <w:top w:val="none" w:sz="0" w:space="0"/>
            <w:left w:val="none" w:sz="0" w:space="0"/>
            <w:bottom w:val="none" w:sz="0" w:space="0"/>
            <w:right w:val="none" w:sz="0" w:space="0"/>
          </w:pgBorders>
          <w:pgNumType w:start="1"/>
          <w:cols w:space="720" w:num="1"/>
          <w:titlePg/>
          <w:docGrid w:type="lines" w:linePitch="319" w:charSpace="0"/>
        </w:sectPr>
      </w:pPr>
    </w:p>
    <w:p w14:paraId="27E82522">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44"/>
          <w:szCs w:val="44"/>
          <w:highlight w:val="none"/>
        </w:rPr>
        <w:t>第二章  投标人须知</w:t>
      </w:r>
    </w:p>
    <w:p w14:paraId="7124CAC6">
      <w:pPr>
        <w:widowControl w:val="0"/>
        <w:jc w:val="center"/>
        <w:textAlignment w:val="bottom"/>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前  附  表</w:t>
      </w:r>
      <w:bookmarkEnd w:id="0"/>
    </w:p>
    <w:tbl>
      <w:tblPr>
        <w:tblStyle w:val="39"/>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081C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42D26B">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6631F5A">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D2D20CF">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6096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131B35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7E27096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cs="宋体"/>
                <w:sz w:val="24"/>
                <w:lang w:eastAsia="zh-CN"/>
              </w:rPr>
              <w:t>项目说明</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A2BE293">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lang w:eastAsia="zh-CN"/>
              </w:rPr>
            </w:pPr>
            <w:r>
              <w:rPr>
                <w:rFonts w:hint="eastAsia" w:ascii="宋体" w:hAnsi="宋体" w:eastAsia="宋体" w:cs="宋体"/>
                <w:lang w:eastAsia="zh-CN"/>
              </w:rPr>
              <w:t>项目类别：货物类</w:t>
            </w:r>
          </w:p>
          <w:p w14:paraId="097200D9">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lang w:eastAsia="zh-CN"/>
              </w:rPr>
              <w:t>采购标的所属行业：根据《工业和信息化部、国家统计局、国家发展改革委员会、财政部关于印发中小企业划型标准规定的通知》（工信部联企业[2011]300号）规定，本项目采购标的的对应的中小企业划分标准所属行业为（</w:t>
            </w:r>
            <w:r>
              <w:rPr>
                <w:rFonts w:hint="eastAsia" w:ascii="宋体" w:hAnsi="宋体" w:cs="宋体"/>
                <w:lang w:eastAsia="zh-CN"/>
              </w:rPr>
              <w:t>二</w:t>
            </w:r>
            <w:r>
              <w:rPr>
                <w:rFonts w:hint="eastAsia" w:ascii="宋体" w:hAnsi="宋体" w:eastAsia="宋体" w:cs="宋体"/>
                <w:lang w:eastAsia="zh-CN"/>
              </w:rPr>
              <w:t>）工业</w:t>
            </w:r>
          </w:p>
        </w:tc>
      </w:tr>
      <w:tr w14:paraId="2209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3D1A8D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8C1DFC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4CCCD43">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lang w:eastAsia="zh-CN"/>
              </w:rPr>
            </w:pPr>
            <w:r>
              <w:rPr>
                <w:rFonts w:hint="eastAsia" w:ascii="宋体" w:hAnsi="宋体" w:eastAsia="宋体" w:cs="宋体"/>
                <w:lang w:eastAsia="zh-CN"/>
              </w:rPr>
              <w:t>符合招标公告资格要求的供应商</w:t>
            </w:r>
          </w:p>
        </w:tc>
      </w:tr>
      <w:tr w14:paraId="13F4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9C9833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D04DB4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8624ABD">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lang w:eastAsia="zh-CN"/>
              </w:rPr>
            </w:pPr>
            <w:r>
              <w:rPr>
                <w:rFonts w:hint="eastAsia" w:ascii="宋体" w:hAnsi="宋体" w:eastAsia="宋体" w:cs="宋体"/>
                <w:lang w:eastAsia="zh-CN"/>
              </w:rPr>
              <w:t>本项目不组织答疑会或现场踏勘，如投标人认为有必要可自行前往现场踏勘，以便获取须自己负责的有关编制投标文件和签署合同所需的所有资料。踏勘现场所发生的费用由投标人自己承担。投标人应对由此次踏勘现场而造成的包括人身伤害、财产 损失、损害以及任何其它损失、损害和引起的费用和开支承担责任。</w:t>
            </w:r>
          </w:p>
        </w:tc>
      </w:tr>
      <w:tr w14:paraId="0A9C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BA6D63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90A35E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EFFF2D7">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lang w:eastAsia="zh-CN"/>
              </w:rPr>
            </w:pPr>
            <w:r>
              <w:rPr>
                <w:rFonts w:hint="eastAsia" w:ascii="宋体" w:hAnsi="宋体" w:eastAsia="宋体" w:cs="宋体"/>
                <w:lang w:eastAsia="zh-CN"/>
              </w:rPr>
              <w:t>投标有效期为开标后90天，投标有效期从提交电子投标文件的截止之日起算。</w:t>
            </w:r>
          </w:p>
        </w:tc>
      </w:tr>
      <w:tr w14:paraId="0CA2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50CA0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0E9402F">
            <w:pPr>
              <w:pStyle w:val="2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48E648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lang w:val="en-US" w:eastAsia="zh-CN"/>
              </w:rPr>
            </w:pPr>
            <w:r>
              <w:rPr>
                <w:rFonts w:hint="eastAsia" w:ascii="宋体" w:hAnsi="宋体" w:eastAsia="宋体" w:cs="宋体"/>
                <w:lang w:val="en-US" w:eastAsia="zh-CN"/>
              </w:rPr>
              <w:t>无</w:t>
            </w:r>
          </w:p>
        </w:tc>
      </w:tr>
      <w:tr w14:paraId="0A61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51C3FF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AA37D6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7023FC7">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lang w:eastAsia="zh-CN"/>
              </w:rPr>
            </w:pPr>
            <w:r>
              <w:rPr>
                <w:rFonts w:hint="eastAsia" w:ascii="宋体" w:hAnsi="宋体" w:cs="宋体"/>
                <w:lang w:eastAsia="zh-CN"/>
              </w:rPr>
              <w:t>不收取</w:t>
            </w:r>
          </w:p>
        </w:tc>
      </w:tr>
      <w:tr w14:paraId="2CD5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23366D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115C12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是否专门面向中小微企业采购</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67B513E">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是</w:t>
            </w:r>
          </w:p>
          <w:p w14:paraId="1AF90F9E">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lang w:val="en-US" w:eastAsia="zh-CN"/>
              </w:rPr>
            </w:pPr>
            <w:r>
              <w:rPr>
                <w:rFonts w:hint="eastAsia" w:ascii="宋体" w:hAnsi="宋体" w:eastAsia="宋体" w:cs="宋体"/>
                <w:color w:val="auto"/>
                <w:sz w:val="24"/>
                <w:highlight w:val="none"/>
                <w:lang w:val="en-US" w:eastAsia="zh-CN"/>
              </w:rPr>
              <w:sym w:font="Wingdings 2" w:char="00A3"/>
            </w:r>
            <w:r>
              <w:rPr>
                <w:rFonts w:hint="eastAsia" w:ascii="宋体" w:hAnsi="宋体" w:eastAsia="宋体" w:cs="宋体"/>
                <w:color w:val="auto"/>
                <w:sz w:val="24"/>
                <w:highlight w:val="none"/>
              </w:rPr>
              <w:t>否</w:t>
            </w:r>
          </w:p>
        </w:tc>
      </w:tr>
      <w:tr w14:paraId="398F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C4B866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DEAE07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4889AE4">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1、本项目实行电子开评标。若供应商参与投标，自行承担投标一切费用。</w:t>
            </w:r>
          </w:p>
          <w:p w14:paraId="3214544B">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标前准备：各供应商在开标前确保成为浙江省政府采购网正式注册供应商，并完成CA数字证书办理。（办理流程详见本招标公告附件：“政采云CA签章申领操作流程.pdf”）。完成CA数字证书办理预计一周左右，请各投标人自行把握时间，因未注册入库、未办理CA数字证书等原因造成无法投标或投标失败等后果由供应商自行承担。</w:t>
            </w:r>
          </w:p>
          <w:p w14:paraId="4E301D6C">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3、投标人在投标过程中遇到涉及平台使用的任何问题，可咨询政采云平台技术支持热线，联系方式：95763。</w:t>
            </w:r>
          </w:p>
          <w:p w14:paraId="1EA0F3E7">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kern w:val="0"/>
                <w:sz w:val="21"/>
                <w:lang w:val="en-US" w:eastAsia="zh-CN" w:bidi="ar-SA"/>
              </w:rPr>
              <w:t>4、投标人通过“政采云”平台电子投标工具制作电子投标文件，电子投标工具请供应商自行前往浙江省政府采购网下载并安装，电子投标文件制作具体流程详见本招标公告附件。</w:t>
            </w:r>
          </w:p>
        </w:tc>
      </w:tr>
      <w:tr w14:paraId="322E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8D68D1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7F3E13AC">
            <w:pPr>
              <w:pStyle w:val="5"/>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w:t>
            </w:r>
          </w:p>
          <w:p w14:paraId="5E532EC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DCB6FC3">
            <w:pPr>
              <w:pStyle w:val="3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05F2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D269E8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BC52B47">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3047410">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投标人须按照采购文件和电子交易平台的要求编制并加密电子投标文件。</w:t>
            </w:r>
          </w:p>
          <w:p w14:paraId="67AF26ED">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2E79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96EF8E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00C1EA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7AE4F36">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电子投标文件在线解密时间：30分钟。</w:t>
            </w:r>
          </w:p>
          <w:p w14:paraId="33FD08FE">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3E03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6B1C76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9E2433F">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备份</w:t>
            </w:r>
            <w:r>
              <w:rPr>
                <w:rFonts w:hint="eastAsia" w:ascii="宋体" w:hAnsi="宋体" w:eastAsia="宋体" w:cs="宋体"/>
                <w:color w:val="auto"/>
                <w:kern w:val="0"/>
                <w:sz w:val="24"/>
                <w:szCs w:val="24"/>
                <w:highlight w:val="none"/>
              </w:rPr>
              <w:t>投标文件的</w:t>
            </w:r>
            <w:r>
              <w:rPr>
                <w:rFonts w:hint="eastAsia" w:ascii="宋体" w:hAnsi="宋体" w:eastAsia="宋体" w:cs="宋体"/>
                <w:color w:val="auto"/>
                <w:kern w:val="0"/>
                <w:sz w:val="24"/>
                <w:szCs w:val="24"/>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89E2E0C">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“备份电子投标文件”是指与“电子投标文件”同时生成的数据电文形式的电子文件（文件格式“.bfbs”），其他方式编制的备份投标文件视为无效备份投标文件，请投标人自行妥善保管。</w:t>
            </w:r>
          </w:p>
        </w:tc>
      </w:tr>
      <w:tr w14:paraId="5E46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E0470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C1BFE48">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BB93152">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1、使用前提：在解密截止时间前，投标人自行在线解密操作失败，或者投标人寻求技术人员帮助仍无法完成解密。</w:t>
            </w:r>
          </w:p>
          <w:p w14:paraId="44EBEAC5">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2、递交截止时间：</w:t>
            </w:r>
            <w:r>
              <w:rPr>
                <w:rFonts w:hint="eastAsia" w:hAnsi="宋体" w:cs="宋体"/>
                <w:kern w:val="0"/>
                <w:sz w:val="21"/>
                <w:lang w:val="en-US" w:eastAsia="zh-CN" w:bidi="ar-SA"/>
              </w:rPr>
              <w:t>投标截止时间30分钟后</w:t>
            </w:r>
            <w:r>
              <w:rPr>
                <w:rFonts w:hint="eastAsia" w:ascii="宋体" w:hAnsi="宋体" w:eastAsia="宋体" w:cs="宋体"/>
                <w:kern w:val="0"/>
                <w:sz w:val="21"/>
                <w:lang w:val="en-US" w:eastAsia="zh-CN" w:bidi="ar-SA"/>
              </w:rPr>
              <w:t>。</w:t>
            </w:r>
          </w:p>
          <w:p w14:paraId="6E95D346">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3、投递邮箱：61353540@qq.com。</w:t>
            </w:r>
          </w:p>
          <w:p w14:paraId="715D00E8">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4、未按上述要求递交备份电子投标文件或所提供的的备份电子投标文件不符合要求的视同放弃投标。</w:t>
            </w:r>
          </w:p>
        </w:tc>
      </w:tr>
      <w:tr w14:paraId="5064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A1DD18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0BD2B8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投标人信用信息查询渠道及截止时点、信用信息查询记录和证据留存的具体方式、信用信息的使用规则</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F33CB9F">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1、查询渠道：信用中国（网址：</w:t>
            </w:r>
            <w:r>
              <w:rPr>
                <w:rFonts w:hint="eastAsia" w:ascii="宋体" w:hAnsi="宋体" w:eastAsia="宋体" w:cs="宋体"/>
                <w:kern w:val="0"/>
                <w:sz w:val="21"/>
                <w:lang w:val="en-US" w:eastAsia="zh-CN" w:bidi="ar-SA"/>
              </w:rPr>
              <w:fldChar w:fldCharType="begin"/>
            </w:r>
            <w:r>
              <w:rPr>
                <w:rFonts w:hint="eastAsia" w:ascii="宋体" w:hAnsi="宋体" w:eastAsia="宋体" w:cs="宋体"/>
                <w:kern w:val="0"/>
                <w:sz w:val="21"/>
                <w:lang w:val="en-US" w:eastAsia="zh-CN" w:bidi="ar-SA"/>
              </w:rPr>
              <w:instrText xml:space="preserve"> HYPERLINK "http://www.creditchina.gov.cn" </w:instrText>
            </w:r>
            <w:r>
              <w:rPr>
                <w:rFonts w:hint="eastAsia" w:ascii="宋体" w:hAnsi="宋体" w:eastAsia="宋体" w:cs="宋体"/>
                <w:kern w:val="0"/>
                <w:sz w:val="21"/>
                <w:lang w:val="en-US" w:eastAsia="zh-CN" w:bidi="ar-SA"/>
              </w:rPr>
              <w:fldChar w:fldCharType="separate"/>
            </w:r>
            <w:r>
              <w:rPr>
                <w:rFonts w:hint="eastAsia" w:ascii="宋体" w:hAnsi="宋体" w:eastAsia="宋体" w:cs="宋体"/>
                <w:kern w:val="0"/>
                <w:sz w:val="21"/>
                <w:lang w:val="en-US" w:eastAsia="zh-CN" w:bidi="ar-SA"/>
              </w:rPr>
              <w:t>http：//www.creditchina.gov.cn</w:t>
            </w:r>
            <w:r>
              <w:rPr>
                <w:rFonts w:hint="eastAsia" w:ascii="宋体" w:hAnsi="宋体" w:eastAsia="宋体" w:cs="宋体"/>
                <w:kern w:val="0"/>
                <w:sz w:val="21"/>
                <w:lang w:val="en-US" w:eastAsia="zh-CN" w:bidi="ar-SA"/>
              </w:rPr>
              <w:fldChar w:fldCharType="end"/>
            </w:r>
            <w:r>
              <w:rPr>
                <w:rFonts w:hint="eastAsia" w:ascii="宋体" w:hAnsi="宋体" w:eastAsia="宋体" w:cs="宋体"/>
                <w:kern w:val="0"/>
                <w:sz w:val="21"/>
                <w:lang w:val="en-US" w:eastAsia="zh-CN" w:bidi="ar-SA"/>
              </w:rPr>
              <w:t>）、中国政府采购网(网址：http：//www.ccgp.gov.cn）、信用浙江（http：//xyxx.zjzwfw.gov.cn/）等。</w:t>
            </w:r>
          </w:p>
          <w:p w14:paraId="70B4BAFD">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2、截止时点：评审结束前。</w:t>
            </w:r>
          </w:p>
          <w:p w14:paraId="05011144">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3、信用信息查询记录和证据留存的具体方式：由采购组织机构在规定查询时间内查询并截图信用信息查询记录上传至政府采购云平台（电子交易平台）。</w:t>
            </w:r>
          </w:p>
          <w:p w14:paraId="07167E65">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4BD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707B09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9CA352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F4BE6F4">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zh-CN" w:eastAsia="zh-CN" w:bidi="ar-SA"/>
              </w:rPr>
              <w:t>带“</w:t>
            </w:r>
            <w:r>
              <w:rPr>
                <w:rFonts w:hint="eastAsia" w:ascii="宋体" w:hAnsi="宋体" w:eastAsia="宋体" w:cs="宋体"/>
                <w:kern w:val="0"/>
                <w:sz w:val="21"/>
                <w:lang w:val="en-US" w:eastAsia="zh-CN" w:bidi="ar-SA"/>
              </w:rPr>
              <w:t>▲”的条款是实质性条款，投标文件必须作出实质性响应，否则作无效投标处理。</w:t>
            </w:r>
          </w:p>
        </w:tc>
      </w:tr>
      <w:tr w14:paraId="74E7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7FF729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940C0B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主要性能参数</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66D9EDE">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带“★”的条款是主要性能参数。</w:t>
            </w:r>
          </w:p>
        </w:tc>
      </w:tr>
      <w:tr w14:paraId="56F6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CF83B1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C24367A">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9AAF436">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kern w:val="0"/>
                <w:sz w:val="21"/>
                <w:lang w:val="zh-CN" w:eastAsia="zh-CN" w:bidi="ar-SA"/>
              </w:rPr>
            </w:pPr>
            <w:r>
              <w:rPr>
                <w:rFonts w:hint="eastAsia" w:ascii="宋体" w:hAnsi="宋体" w:eastAsia="宋体" w:cs="宋体"/>
                <w:kern w:val="0"/>
                <w:sz w:val="21"/>
                <w:lang w:val="en-US" w:eastAsia="zh-CN" w:bidi="ar-SA"/>
              </w:rPr>
              <w:t>无</w:t>
            </w:r>
          </w:p>
        </w:tc>
      </w:tr>
    </w:tbl>
    <w:p w14:paraId="7C7512B0">
      <w:pPr>
        <w:pStyle w:val="21"/>
        <w:keepNext w:val="0"/>
        <w:keepLines w:val="0"/>
        <w:pageBreakBefore w:val="0"/>
        <w:kinsoku/>
        <w:wordWrap/>
        <w:overflowPunct/>
        <w:topLinePunct w:val="0"/>
        <w:bidi w:val="0"/>
        <w:adjustRightInd w:val="0"/>
        <w:snapToGrid w:val="0"/>
        <w:spacing w:line="450" w:lineRule="exact"/>
        <w:textAlignment w:val="auto"/>
        <w:rPr>
          <w:rFonts w:hAnsi="宋体"/>
          <w:b/>
          <w:color w:val="auto"/>
          <w:sz w:val="24"/>
          <w:szCs w:val="24"/>
          <w:highlight w:val="none"/>
        </w:rPr>
      </w:pPr>
      <w:r>
        <w:rPr>
          <w:color w:val="auto"/>
          <w:highlight w:val="none"/>
        </w:rPr>
        <w:br w:type="page"/>
      </w:r>
      <w:bookmarkStart w:id="3" w:name="_Toc202235405"/>
      <w:r>
        <w:rPr>
          <w:rFonts w:hint="eastAsia" w:hAnsi="宋体"/>
          <w:b/>
          <w:color w:val="auto"/>
          <w:sz w:val="24"/>
          <w:szCs w:val="24"/>
          <w:highlight w:val="none"/>
        </w:rPr>
        <w:t>一 、总  则</w:t>
      </w:r>
    </w:p>
    <w:p w14:paraId="29185497">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w:t>
      </w:r>
      <w:r>
        <w:rPr>
          <w:rFonts w:hint="eastAsia" w:ascii="宋体" w:hAnsi="宋体"/>
          <w:b/>
          <w:color w:val="auto"/>
          <w:sz w:val="24"/>
          <w:szCs w:val="24"/>
          <w:highlight w:val="none"/>
        </w:rPr>
        <w:t>实施依据及</w:t>
      </w:r>
      <w:r>
        <w:rPr>
          <w:rFonts w:ascii="宋体" w:hAnsi="宋体"/>
          <w:b/>
          <w:color w:val="auto"/>
          <w:sz w:val="24"/>
          <w:szCs w:val="24"/>
          <w:highlight w:val="none"/>
        </w:rPr>
        <w:t>适用范围</w:t>
      </w:r>
    </w:p>
    <w:p w14:paraId="5BC60103">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6AB8110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2、本招标文件适用于</w:t>
      </w:r>
      <w:r>
        <w:rPr>
          <w:rFonts w:hint="eastAsia" w:ascii="宋体" w:hAnsi="宋体"/>
          <w:bCs/>
          <w:color w:val="auto"/>
          <w:sz w:val="24"/>
          <w:szCs w:val="24"/>
          <w:highlight w:val="none"/>
        </w:rPr>
        <w:t>本次</w:t>
      </w:r>
      <w:r>
        <w:rPr>
          <w:rFonts w:hint="eastAsia" w:ascii="宋体" w:hAnsi="宋体"/>
          <w:color w:val="auto"/>
          <w:sz w:val="24"/>
          <w:szCs w:val="24"/>
          <w:highlight w:val="none"/>
        </w:rPr>
        <w:t>项目的招标、投标、评标、定标、验收、合同履约、付款等行为（法律、法规另有规定的，从其规定）。</w:t>
      </w:r>
    </w:p>
    <w:p w14:paraId="6C53E243">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（二）定义</w:t>
      </w:r>
    </w:p>
    <w:p w14:paraId="030E1681">
      <w:pPr>
        <w:pStyle w:val="6"/>
        <w:keepNext w:val="0"/>
        <w:keepLines w:val="0"/>
        <w:pageBreakBefore w:val="0"/>
        <w:tabs>
          <w:tab w:val="left" w:pos="0"/>
          <w:tab w:val="left" w:pos="851"/>
          <w:tab w:val="left" w:pos="1275"/>
          <w:tab w:val="clear" w:pos="1260"/>
        </w:tabs>
        <w:kinsoku/>
        <w:wordWrap/>
        <w:overflowPunct/>
        <w:topLinePunct w:val="0"/>
        <w:autoSpaceDE w:val="0"/>
        <w:autoSpaceDN w:val="0"/>
        <w:bidi w:val="0"/>
        <w:adjustRightInd w:val="0"/>
        <w:snapToGrid w:val="0"/>
        <w:spacing w:line="450" w:lineRule="exact"/>
        <w:ind w:firstLine="480" w:firstLineChars="200"/>
        <w:jc w:val="left"/>
        <w:textAlignment w:val="auto"/>
        <w:rPr>
          <w:rFonts w:hAnsi="宋体"/>
          <w:b w:val="0"/>
          <w:color w:val="auto"/>
          <w:sz w:val="24"/>
          <w:szCs w:val="24"/>
          <w:highlight w:val="none"/>
        </w:rPr>
      </w:pPr>
      <w:r>
        <w:rPr>
          <w:rFonts w:hint="eastAsia" w:hAnsi="宋体"/>
          <w:b w:val="0"/>
          <w:color w:val="auto"/>
          <w:sz w:val="24"/>
          <w:szCs w:val="24"/>
          <w:highlight w:val="none"/>
        </w:rPr>
        <w:t>1、</w:t>
      </w:r>
      <w:r>
        <w:rPr>
          <w:rFonts w:hint="eastAsia" w:hAnsi="宋体"/>
          <w:b w:val="0"/>
          <w:color w:val="auto"/>
          <w:sz w:val="24"/>
          <w:szCs w:val="24"/>
          <w:highlight w:val="none"/>
          <w:lang w:val="zh-CN"/>
        </w:rPr>
        <w:t>“采购组织机构”指采购人委托组织招标的采购代理机构。</w:t>
      </w:r>
    </w:p>
    <w:p w14:paraId="6313A77A">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2、采购人：是指委托</w:t>
      </w:r>
      <w:r>
        <w:rPr>
          <w:rFonts w:hint="eastAsia" w:ascii="宋体" w:hAnsi="宋体"/>
          <w:color w:val="auto"/>
          <w:sz w:val="24"/>
          <w:szCs w:val="24"/>
          <w:highlight w:val="none"/>
          <w:lang w:val="zh-CN"/>
        </w:rPr>
        <w:t>采购代理机构</w:t>
      </w:r>
      <w:r>
        <w:rPr>
          <w:rFonts w:hint="eastAsia" w:ascii="宋体" w:hAnsi="宋体"/>
          <w:color w:val="auto"/>
          <w:sz w:val="24"/>
          <w:szCs w:val="24"/>
          <w:highlight w:val="none"/>
        </w:rPr>
        <w:t>采购本次项目的国家机关、事业单位和团体组织。</w:t>
      </w:r>
    </w:p>
    <w:p w14:paraId="2C7FAB1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3、投标人（供应商）：</w:t>
      </w:r>
      <w:r>
        <w:rPr>
          <w:rFonts w:hint="eastAsia" w:ascii="宋体" w:hAnsi="宋体" w:cs="Arial"/>
          <w:color w:val="auto"/>
          <w:sz w:val="24"/>
          <w:szCs w:val="24"/>
          <w:highlight w:val="none"/>
        </w:rPr>
        <w:t>是指响应本次招标、参加投标竞争的法人、其他组织或者自然人；</w:t>
      </w:r>
    </w:p>
    <w:p w14:paraId="72F953C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s="Arial"/>
          <w:color w:val="auto"/>
          <w:sz w:val="24"/>
          <w:szCs w:val="24"/>
          <w:highlight w:val="none"/>
        </w:rPr>
      </w:pPr>
      <w:r>
        <w:rPr>
          <w:rFonts w:hint="eastAsia" w:ascii="宋体" w:hAnsi="宋体" w:cs="Arial"/>
          <w:color w:val="auto"/>
          <w:sz w:val="24"/>
          <w:szCs w:val="24"/>
          <w:highlight w:val="none"/>
        </w:rPr>
        <w:t>4、“中标单位”：是指经评标委员会推荐并经采购人确认的中标成交单位，即政府采购合同中的“乙方”；</w:t>
      </w:r>
    </w:p>
    <w:p w14:paraId="28E6ADF7">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货物</w:t>
      </w:r>
      <w:r>
        <w:rPr>
          <w:rFonts w:hint="eastAsia" w:ascii="宋体" w:hAnsi="宋体"/>
          <w:color w:val="auto"/>
          <w:sz w:val="24"/>
          <w:szCs w:val="24"/>
          <w:highlight w:val="none"/>
        </w:rPr>
        <w:t>：</w:t>
      </w:r>
      <w:r>
        <w:rPr>
          <w:rFonts w:ascii="宋体" w:hAnsi="宋体"/>
          <w:color w:val="auto"/>
          <w:sz w:val="24"/>
          <w:szCs w:val="24"/>
          <w:highlight w:val="none"/>
        </w:rPr>
        <w:t>是指各种形态和种类的物品，包括原材料、燃料、设备、产品等。</w:t>
      </w:r>
    </w:p>
    <w:p w14:paraId="503964E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b/>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服务</w:t>
      </w:r>
      <w:r>
        <w:rPr>
          <w:rFonts w:hint="eastAsia" w:ascii="宋体" w:hAnsi="宋体"/>
          <w:color w:val="auto"/>
          <w:sz w:val="24"/>
          <w:szCs w:val="24"/>
          <w:highlight w:val="none"/>
        </w:rPr>
        <w:t>：</w:t>
      </w:r>
      <w:r>
        <w:rPr>
          <w:rFonts w:ascii="宋体" w:hAnsi="宋体"/>
          <w:color w:val="auto"/>
          <w:sz w:val="24"/>
          <w:szCs w:val="24"/>
          <w:highlight w:val="none"/>
        </w:rPr>
        <w:t>是指除货物和工程以外的政府采购对象，包括各类专业服务、信息网络开发服务、金融保险服务、运输服务，以及维修与维护服务等。</w:t>
      </w:r>
    </w:p>
    <w:p w14:paraId="052ED25E">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“书面形式”包括信函、传真等。</w:t>
      </w:r>
    </w:p>
    <w:p w14:paraId="2B0D5016">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BAE08A2">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7D6B62">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10、“残疾人福利性单位”：是指符合《财政部 民政部 中国残疾人联合会关于促进残疾人就业政府采购政策的通知》（财库〔2017〕141号）的规定单位；</w:t>
      </w:r>
    </w:p>
    <w:p w14:paraId="25B54A09">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（三）投标委托</w:t>
      </w:r>
    </w:p>
    <w:p w14:paraId="6AB0FAAA">
      <w:pPr>
        <w:keepNext w:val="0"/>
        <w:keepLines w:val="0"/>
        <w:pageBreakBefore w:val="0"/>
        <w:kinsoku/>
        <w:wordWrap/>
        <w:overflowPunct/>
        <w:topLinePunct w:val="0"/>
        <w:bidi w:val="0"/>
        <w:adjustRightInd w:val="0"/>
        <w:snapToGrid w:val="0"/>
        <w:spacing w:line="450" w:lineRule="exact"/>
        <w:ind w:firstLine="480" w:firstLineChars="200"/>
        <w:textAlignment w:val="auto"/>
        <w:outlineLvl w:val="1"/>
        <w:rPr>
          <w:rFonts w:ascii="宋体" w:hAnsi="宋体"/>
          <w:bCs/>
          <w:color w:val="auto"/>
          <w:sz w:val="24"/>
          <w:szCs w:val="24"/>
          <w:highlight w:val="none"/>
        </w:rPr>
      </w:pPr>
      <w:r>
        <w:rPr>
          <w:rFonts w:hint="eastAsia" w:ascii="宋体" w:hAnsi="宋体"/>
          <w:bCs/>
          <w:color w:val="auto"/>
          <w:sz w:val="24"/>
          <w:szCs w:val="24"/>
          <w:highlight w:val="none"/>
        </w:rPr>
        <w:t>如授权代表不是法定代表人，须有法定代表人出具的法定代表人授权委托书（格式见第六部分 投标文件格式），《法定代表人授权委托书》必须经法定代表人签字（或盖章），否则视为无效授权（等同未提供）。</w:t>
      </w:r>
    </w:p>
    <w:p w14:paraId="78EF75A0">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（四）投标费用</w:t>
      </w:r>
    </w:p>
    <w:p w14:paraId="3410AA85">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1、不论投标结果如何，投标人均应自行承担所有与投标有关的全部费用（采购文件有相关规定除外），采购组织机构概不负责</w:t>
      </w:r>
      <w:r>
        <w:rPr>
          <w:rFonts w:hint="eastAsia" w:ascii="宋体" w:hAnsi="宋体"/>
          <w:color w:val="auto"/>
          <w:sz w:val="24"/>
          <w:szCs w:val="24"/>
          <w:highlight w:val="none"/>
          <w:lang w:eastAsia="zh-CN"/>
        </w:rPr>
        <w:t>。</w:t>
      </w:r>
    </w:p>
    <w:p w14:paraId="79729C68">
      <w:pPr>
        <w:keepNext w:val="0"/>
        <w:keepLines w:val="0"/>
        <w:pageBreakBefore w:val="0"/>
        <w:kinsoku/>
        <w:wordWrap/>
        <w:overflowPunct/>
        <w:topLinePunct w:val="0"/>
        <w:bidi w:val="0"/>
        <w:adjustRightInd w:val="0"/>
        <w:snapToGrid w:val="0"/>
        <w:spacing w:line="450" w:lineRule="exact"/>
        <w:ind w:firstLine="480" w:firstLineChars="200"/>
        <w:textAlignment w:val="auto"/>
        <w:rPr>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rPr>
        <w:t>、</w:t>
      </w:r>
      <w:r>
        <w:rPr>
          <w:rFonts w:hint="eastAsia" w:ascii="宋体" w:hAnsi="宋体"/>
          <w:color w:val="auto"/>
          <w:sz w:val="24"/>
          <w:szCs w:val="24"/>
          <w:highlight w:val="none"/>
        </w:rPr>
        <w:t>合同实施过程中，中标单位须与采购人积极配合。中标单位自行承担本次采购活动中所发生的全部费用。</w:t>
      </w:r>
    </w:p>
    <w:p w14:paraId="4295D8A5">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、招标代理费用参照下表中</w:t>
      </w:r>
      <w:r>
        <w:rPr>
          <w:rFonts w:hint="eastAsia" w:ascii="宋体" w:hAnsi="宋体"/>
          <w:b/>
          <w:bCs/>
          <w:color w:val="auto"/>
          <w:sz w:val="24"/>
          <w:szCs w:val="24"/>
          <w:highlight w:val="none"/>
          <w:lang w:val="en-US" w:eastAsia="zh-CN"/>
        </w:rPr>
        <w:t>货物</w:t>
      </w:r>
      <w:r>
        <w:rPr>
          <w:rFonts w:hint="eastAsia" w:ascii="宋体" w:hAnsi="宋体" w:eastAsia="宋体"/>
          <w:b/>
          <w:bCs/>
          <w:color w:val="auto"/>
          <w:sz w:val="24"/>
          <w:szCs w:val="24"/>
          <w:highlight w:val="none"/>
        </w:rPr>
        <w:t>类</w:t>
      </w:r>
      <w:r>
        <w:rPr>
          <w:rFonts w:hint="eastAsia" w:ascii="宋体" w:hAnsi="宋体" w:eastAsia="宋体"/>
          <w:color w:val="auto"/>
          <w:sz w:val="24"/>
          <w:szCs w:val="24"/>
          <w:highlight w:val="none"/>
        </w:rPr>
        <w:t>计算标准计算（差额定率累进法），计费基数：</w:t>
      </w:r>
      <w:r>
        <w:rPr>
          <w:rFonts w:hint="eastAsia" w:ascii="宋体" w:hAnsi="宋体"/>
          <w:color w:val="auto"/>
          <w:sz w:val="24"/>
          <w:szCs w:val="24"/>
          <w:highlight w:val="none"/>
          <w:lang w:val="en-US" w:eastAsia="zh-CN"/>
        </w:rPr>
        <w:t>中标</w:t>
      </w:r>
      <w:r>
        <w:rPr>
          <w:rFonts w:hint="eastAsia" w:ascii="宋体" w:hAnsi="宋体" w:eastAsia="宋体"/>
          <w:color w:val="auto"/>
          <w:sz w:val="24"/>
          <w:szCs w:val="24"/>
          <w:highlight w:val="none"/>
        </w:rPr>
        <w:t>总报价，向成交供应商收取招标代理服务费（若招标代理服务费报酬不足</w:t>
      </w:r>
      <w:r>
        <w:rPr>
          <w:rFonts w:hint="eastAsia" w:ascii="宋体" w:hAnsi="宋体"/>
          <w:color w:val="auto"/>
          <w:sz w:val="24"/>
          <w:szCs w:val="24"/>
          <w:highlight w:val="none"/>
          <w:lang w:val="en-US" w:eastAsia="zh-CN"/>
        </w:rPr>
        <w:t>捌仟</w:t>
      </w:r>
      <w:r>
        <w:rPr>
          <w:rFonts w:hint="eastAsia" w:ascii="宋体" w:hAnsi="宋体" w:eastAsia="宋体"/>
          <w:color w:val="auto"/>
          <w:sz w:val="24"/>
          <w:szCs w:val="24"/>
          <w:highlight w:val="none"/>
        </w:rPr>
        <w:t>元的，按</w:t>
      </w:r>
      <w:r>
        <w:rPr>
          <w:rFonts w:hint="eastAsia" w:ascii="宋体" w:hAnsi="宋体"/>
          <w:color w:val="auto"/>
          <w:sz w:val="24"/>
          <w:szCs w:val="24"/>
          <w:highlight w:val="none"/>
          <w:lang w:val="en-US" w:eastAsia="zh-CN"/>
        </w:rPr>
        <w:t>捌仟</w:t>
      </w:r>
      <w:r>
        <w:rPr>
          <w:rFonts w:hint="eastAsia" w:ascii="宋体" w:hAnsi="宋体" w:eastAsia="宋体"/>
          <w:color w:val="auto"/>
          <w:sz w:val="24"/>
          <w:szCs w:val="24"/>
          <w:highlight w:val="none"/>
        </w:rPr>
        <w:t>元计），该费用成交供应商须在中标通知书发出前一次性付清。</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7B5F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DF843E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3AD64E0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789CA92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39501AD3">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05CC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00E84D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7F719E1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1F51BD9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762E007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w:t>
            </w:r>
          </w:p>
        </w:tc>
      </w:tr>
      <w:tr w14:paraId="3BE7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2964BA7">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07D7C424">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30B92ADC">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7A1CA301">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0.70%</w:t>
            </w:r>
          </w:p>
        </w:tc>
      </w:tr>
      <w:tr w14:paraId="1816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52075DC0">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493AF711">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1D097D7A">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6F7B7FD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0.55%</w:t>
            </w:r>
          </w:p>
        </w:tc>
      </w:tr>
      <w:tr w14:paraId="096A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6702C71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1678A1EF">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50B0F4AC">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673A2DC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0.35%</w:t>
            </w:r>
          </w:p>
        </w:tc>
      </w:tr>
      <w:tr w14:paraId="76D2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22937AD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19F60ABE">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7C2DA7C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7A4A49B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0.20%</w:t>
            </w:r>
          </w:p>
        </w:tc>
      </w:tr>
      <w:tr w14:paraId="65B8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B16626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455A428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5FBEE5E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6CE9F22A">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0.05%</w:t>
            </w:r>
          </w:p>
        </w:tc>
      </w:tr>
      <w:tr w14:paraId="68F6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12A71B2A">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14:paraId="56B0726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14:paraId="1F85D9C7">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14:paraId="435A4451">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0.01%</w:t>
            </w:r>
          </w:p>
        </w:tc>
      </w:tr>
    </w:tbl>
    <w:p w14:paraId="00950580">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（五）转包与分包</w:t>
      </w:r>
    </w:p>
    <w:p w14:paraId="2A00EAC2">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bookmarkStart w:id="4" w:name="_Toc504504532"/>
      <w:r>
        <w:rPr>
          <w:rFonts w:hint="eastAsia" w:ascii="宋体" w:hAnsi="宋体" w:eastAsia="宋体" w:cs="宋体"/>
          <w:color w:val="auto"/>
          <w:sz w:val="24"/>
          <w:szCs w:val="24"/>
          <w:highlight w:val="none"/>
        </w:rPr>
        <w:t>本项目不允许转包</w:t>
      </w:r>
      <w:r>
        <w:rPr>
          <w:rFonts w:hint="eastAsia" w:ascii="宋体" w:hAnsi="宋体" w:eastAsia="宋体" w:cs="宋体"/>
          <w:color w:val="auto"/>
          <w:sz w:val="24"/>
          <w:szCs w:val="24"/>
          <w:highlight w:val="none"/>
          <w:lang w:eastAsia="zh-CN"/>
        </w:rPr>
        <w:t>。中标人按照合同约定或者经招标人同意，可以将中标项目的部分非主体、非关键性</w:t>
      </w:r>
      <w:r>
        <w:rPr>
          <w:rFonts w:hint="eastAsia" w:ascii="宋体" w:hAnsi="宋体" w:eastAsia="宋体" w:cs="宋体"/>
          <w:color w:val="auto"/>
          <w:sz w:val="24"/>
          <w:szCs w:val="24"/>
          <w:highlight w:val="none"/>
        </w:rPr>
        <w:t>工作分包</w:t>
      </w:r>
      <w:r>
        <w:rPr>
          <w:rFonts w:hint="eastAsia" w:ascii="宋体" w:hAnsi="宋体" w:eastAsia="宋体" w:cs="宋体"/>
          <w:color w:val="auto"/>
          <w:sz w:val="24"/>
          <w:szCs w:val="24"/>
          <w:highlight w:val="none"/>
          <w:lang w:eastAsia="zh-CN"/>
        </w:rPr>
        <w:t>给他人完成。接受分包的人应当具备相应的资格条件，并不得再次分包，中标人应当就分包项目向招标人负责，接受分包的人就分包项目承担连带责任。</w:t>
      </w:r>
    </w:p>
    <w:p w14:paraId="2E6D6EC8">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（六）特殊投标人投标规定</w:t>
      </w:r>
    </w:p>
    <w:p w14:paraId="06D1BF5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740777C7">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（七）质疑和投诉</w:t>
      </w:r>
      <w:bookmarkEnd w:id="4"/>
    </w:p>
    <w:p w14:paraId="6B7031FD">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1、供应商认为采购文件、采购过程、中标或者成交结果使自己的权益受到损害的，可以在知道或者应知其权益受到损害之日起7个工作日内，以书面形式一次性向采购人、采购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提出针对同一采购程序环节的质疑。</w:t>
      </w:r>
    </w:p>
    <w:p w14:paraId="236EF5BE">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上述所指“应知其权益受到损害之日”，是指：</w:t>
      </w:r>
    </w:p>
    <w:p w14:paraId="49E389E7">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（1）对采购文件提出质疑的，为获取采购文件之日或者采购文件公告期限届满之日（采购文件公告期限届满后获取采购文件的，以采购文件公告期限届满之日为准）；</w:t>
      </w:r>
    </w:p>
    <w:p w14:paraId="35CA142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（2）对采购过程提出质疑的，为各采购程序环节结束之日；</w:t>
      </w:r>
    </w:p>
    <w:p w14:paraId="47D8B29E">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（3）对中标或者成交结果提出质疑的，为中标或者成交结果公告期限届满之日。</w:t>
      </w:r>
    </w:p>
    <w:p w14:paraId="4D119263">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2、提出质疑的供应商应当是参与所质疑项目采购活动的供应商。潜在供应商已依法获取其可质疑的采购文件的</w:t>
      </w:r>
      <w:r>
        <w:rPr>
          <w:rFonts w:hint="eastAsia" w:ascii="宋体" w:hAnsi="宋体" w:eastAsia="宋体" w:cs="宋体"/>
          <w:bCs/>
          <w:color w:val="auto"/>
          <w:sz w:val="24"/>
          <w:szCs w:val="24"/>
          <w:highlight w:val="none"/>
          <w:lang w:eastAsia="zh-CN"/>
        </w:rPr>
        <w:t>（应提供政采云平台依法获取截图）</w:t>
      </w:r>
      <w:r>
        <w:rPr>
          <w:rFonts w:hint="eastAsia" w:ascii="宋体" w:hAnsi="宋体" w:eastAsia="宋体" w:cs="宋体"/>
          <w:bCs/>
          <w:color w:val="auto"/>
          <w:sz w:val="24"/>
          <w:szCs w:val="24"/>
          <w:highlight w:val="none"/>
        </w:rPr>
        <w:t>，可以对该文件提出质疑。对采购文件提出质疑的，应当在获取采购文件或者采购文件公告期限届满之日起7个工作日内提出。</w:t>
      </w:r>
    </w:p>
    <w:p w14:paraId="5D39687D">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3、质疑供应商对采购人、采购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的答复不满意，或者采购人、采购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未在规定时间内作出答复的，可以在答复期满后15个工作日内向同级采购监管部门提起投诉。</w:t>
      </w:r>
    </w:p>
    <w:p w14:paraId="4815635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4、质疑、投诉应当采用书面形式（</w:t>
      </w:r>
      <w:r>
        <w:rPr>
          <w:rFonts w:hint="eastAsia" w:ascii="宋体" w:hAnsi="宋体" w:eastAsia="宋体" w:cs="宋体"/>
          <w:bCs/>
          <w:color w:val="auto"/>
          <w:sz w:val="24"/>
          <w:szCs w:val="24"/>
          <w:highlight w:val="none"/>
          <w:lang w:eastAsia="zh-CN"/>
        </w:rPr>
        <w:t>或政采云平台在线提出，</w:t>
      </w:r>
      <w:r>
        <w:rPr>
          <w:rFonts w:hint="eastAsia" w:ascii="宋体" w:hAnsi="宋体" w:eastAsia="宋体" w:cs="宋体"/>
          <w:bCs/>
          <w:color w:val="auto"/>
          <w:sz w:val="24"/>
          <w:szCs w:val="24"/>
          <w:highlight w:val="none"/>
          <w:lang w:val="en-US" w:eastAsia="zh-CN"/>
        </w:rPr>
        <w:t>路径为：政采云-项目采购-询问质疑投诉-质疑列表</w:t>
      </w:r>
      <w:r>
        <w:rPr>
          <w:rFonts w:hint="eastAsia" w:ascii="宋体" w:hAnsi="宋体" w:eastAsia="宋体" w:cs="宋体"/>
          <w:bCs/>
          <w:color w:val="auto"/>
          <w:sz w:val="24"/>
          <w:szCs w:val="24"/>
          <w:highlight w:val="none"/>
        </w:rPr>
        <w:t>），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01EAD94B">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质疑函应当包括下列内容：</w:t>
      </w:r>
    </w:p>
    <w:p w14:paraId="5D175C2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（1）供应商的姓名或者名称、地址、邮编、联系人及联系电话；</w:t>
      </w:r>
    </w:p>
    <w:p w14:paraId="20C0A683">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（2）质疑项目的名称、编号；</w:t>
      </w:r>
    </w:p>
    <w:p w14:paraId="346B026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（3）具体、明确的质疑事项和与质疑事项相关的请求；</w:t>
      </w:r>
    </w:p>
    <w:p w14:paraId="72208BD0">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（4）事实依据；</w:t>
      </w:r>
    </w:p>
    <w:p w14:paraId="37D1D047">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（5）必要的法律依据；</w:t>
      </w:r>
    </w:p>
    <w:p w14:paraId="6DB4E13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（6）提出质疑的日期。</w:t>
      </w:r>
    </w:p>
    <w:p w14:paraId="0EB77FBA">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（八）其它说明</w:t>
      </w:r>
    </w:p>
    <w:p w14:paraId="7D7F46A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1、投标人投标所使用的资格、信誉、荣誉、投标人业绩与企业认证必须为本法人所拥有。投标人投标所使用的采购项目</w:t>
      </w:r>
      <w:r>
        <w:rPr>
          <w:rFonts w:hint="eastAsia" w:ascii="宋体" w:hAnsi="宋体" w:eastAsia="宋体" w:cs="宋体"/>
          <w:color w:val="auto"/>
          <w:sz w:val="24"/>
          <w:szCs w:val="24"/>
          <w:highlight w:val="none"/>
          <w:lang w:eastAsia="zh-CN"/>
        </w:rPr>
        <w:t>负责管理</w:t>
      </w:r>
      <w:r>
        <w:rPr>
          <w:rFonts w:hint="eastAsia" w:ascii="宋体" w:hAnsi="宋体" w:eastAsia="宋体" w:cs="宋体"/>
          <w:color w:val="auto"/>
          <w:sz w:val="24"/>
          <w:szCs w:val="24"/>
          <w:highlight w:val="none"/>
        </w:rPr>
        <w:t>人员必须为投标人员工（或投标人控股公司正式员工）</w:t>
      </w:r>
      <w:r>
        <w:rPr>
          <w:rFonts w:hint="eastAsia" w:ascii="宋体" w:hAnsi="宋体" w:eastAsia="宋体" w:cs="宋体"/>
          <w:color w:val="auto"/>
          <w:sz w:val="24"/>
          <w:szCs w:val="24"/>
          <w:highlight w:val="none"/>
          <w:lang w:eastAsia="zh-CN"/>
        </w:rPr>
        <w:t>。</w:t>
      </w:r>
    </w:p>
    <w:p w14:paraId="04BC9790">
      <w:pPr>
        <w:pStyle w:val="6"/>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w:t>
      </w:r>
    </w:p>
    <w:p w14:paraId="61DB0931">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bCs/>
          <w:color w:val="auto"/>
          <w:sz w:val="24"/>
          <w:szCs w:val="24"/>
          <w:highlight w:val="none"/>
        </w:rPr>
        <w:tab/>
      </w:r>
    </w:p>
    <w:p w14:paraId="1C14DDC8">
      <w:pPr>
        <w:pStyle w:val="65"/>
        <w:keepNext w:val="0"/>
        <w:keepLines w:val="0"/>
        <w:pageBreakBefore w:val="0"/>
        <w:kinsoku/>
        <w:wordWrap/>
        <w:overflowPunct/>
        <w:topLinePunct w:val="0"/>
        <w:bidi w:val="0"/>
        <w:adjustRightInd w:val="0"/>
        <w:snapToGrid w:val="0"/>
        <w:spacing w:line="45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8779AA">
      <w:pPr>
        <w:pStyle w:val="6"/>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、投标人被列入“黑名单”的，采购组织单位将根据《浙江省政府采购供应商注册及诚信管理暂行办法》第四十六条之规定，在处罚有效期内，资格审查时不予通过。</w:t>
      </w:r>
    </w:p>
    <w:p w14:paraId="6D79CCC3">
      <w:pPr>
        <w:pStyle w:val="6"/>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4187C9C4">
      <w:pPr>
        <w:pStyle w:val="6"/>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、为采购项目提供整体设计、规范编制或者项目管理、监理、检测等服务的供应商，不得再参加该采购项目的其他采购活动。</w:t>
      </w:r>
    </w:p>
    <w:p w14:paraId="0F7CD47F">
      <w:pPr>
        <w:pStyle w:val="6"/>
        <w:keepNext w:val="0"/>
        <w:keepLines w:val="0"/>
        <w:pageBreakBefore w:val="0"/>
        <w:tabs>
          <w:tab w:val="left" w:pos="851"/>
          <w:tab w:val="left" w:pos="8280"/>
          <w:tab w:val="clear" w:pos="1260"/>
        </w:tabs>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、电子投标文件格式中的表格式样可以根据项目差别做适当调整,但应当保持表格样式基本形态不变。</w:t>
      </w:r>
    </w:p>
    <w:p w14:paraId="4771FDE7">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以联合体形式投标的，应符合以下规定</w:t>
      </w:r>
      <w:r>
        <w:rPr>
          <w:rFonts w:hint="eastAsia" w:ascii="宋体" w:hAnsi="宋体" w:cs="宋体"/>
          <w:b w:val="0"/>
          <w:bCs w:val="0"/>
          <w:color w:val="auto"/>
          <w:kern w:val="2"/>
          <w:sz w:val="24"/>
          <w:szCs w:val="24"/>
          <w:highlight w:val="none"/>
          <w:lang w:val="en-US" w:eastAsia="zh-CN" w:bidi="ar-SA"/>
        </w:rPr>
        <w:t>：</w:t>
      </w:r>
    </w:p>
    <w:p w14:paraId="38A291D7">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联合体各方应签订联合体协议书，明确联合体牵头人和各方权利义务，并作为投标文件组成分部分</w:t>
      </w:r>
      <w:r>
        <w:rPr>
          <w:rFonts w:hint="eastAsia" w:ascii="宋体" w:hAnsi="宋体" w:cs="宋体"/>
          <w:b w:val="0"/>
          <w:bCs w:val="0"/>
          <w:color w:val="auto"/>
          <w:kern w:val="2"/>
          <w:sz w:val="24"/>
          <w:szCs w:val="24"/>
          <w:highlight w:val="none"/>
          <w:lang w:val="en-US" w:eastAsia="zh-CN" w:bidi="ar-SA"/>
        </w:rPr>
        <w:t>；</w:t>
      </w:r>
    </w:p>
    <w:p w14:paraId="13CD9ECA">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联合体各方均应当具备《中华人民共和国政府采购法》第二十二条规定的</w:t>
      </w:r>
    </w:p>
    <w:p w14:paraId="779AA753">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条件，并在投标文件中提供联合体各方的相关证明材料</w:t>
      </w:r>
      <w:r>
        <w:rPr>
          <w:rFonts w:hint="eastAsia" w:ascii="宋体" w:hAnsi="宋体" w:cs="宋体"/>
          <w:b w:val="0"/>
          <w:bCs w:val="0"/>
          <w:color w:val="auto"/>
          <w:kern w:val="2"/>
          <w:sz w:val="24"/>
          <w:szCs w:val="24"/>
          <w:highlight w:val="none"/>
          <w:lang w:val="en-US" w:eastAsia="zh-CN" w:bidi="ar-SA"/>
        </w:rPr>
        <w:t>；</w:t>
      </w:r>
    </w:p>
    <w:p w14:paraId="1701BFE5">
      <w:pPr>
        <w:keepNext w:val="0"/>
        <w:keepLines w:val="0"/>
        <w:pageBreakBefore w:val="0"/>
        <w:numPr>
          <w:ilvl w:val="0"/>
          <w:numId w:val="0"/>
        </w:numPr>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联合体成员存在不良信用记录的，视同联合体存在不良信用记录</w:t>
      </w:r>
      <w:r>
        <w:rPr>
          <w:rFonts w:hint="eastAsia" w:ascii="宋体" w:hAnsi="宋体" w:cs="宋体"/>
          <w:b w:val="0"/>
          <w:bCs w:val="0"/>
          <w:color w:val="auto"/>
          <w:kern w:val="2"/>
          <w:sz w:val="24"/>
          <w:szCs w:val="24"/>
          <w:highlight w:val="none"/>
          <w:lang w:val="en-US" w:eastAsia="zh-CN" w:bidi="ar-SA"/>
        </w:rPr>
        <w:t>；</w:t>
      </w:r>
    </w:p>
    <w:p w14:paraId="2BC91AFA">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联合体各方中至少应当有一方符合采购人规定的资格要求。由同一资质条件的投标人组成的联合体，应当按照资质等级较低的投标人确定联合体资质等级</w:t>
      </w:r>
      <w:r>
        <w:rPr>
          <w:rFonts w:hint="eastAsia" w:ascii="宋体" w:hAnsi="宋体" w:cs="宋体"/>
          <w:b w:val="0"/>
          <w:bCs w:val="0"/>
          <w:color w:val="auto"/>
          <w:kern w:val="2"/>
          <w:sz w:val="24"/>
          <w:szCs w:val="24"/>
          <w:highlight w:val="none"/>
          <w:lang w:val="en-US" w:eastAsia="zh-CN" w:bidi="ar-SA"/>
        </w:rPr>
        <w:t>；</w:t>
      </w:r>
    </w:p>
    <w:p w14:paraId="3C9A250E">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联合体各方不得再以自己名义单独在同一合同项中投标，也不得组成新的联合体参加同一项目投标</w:t>
      </w:r>
      <w:r>
        <w:rPr>
          <w:rFonts w:hint="eastAsia" w:ascii="宋体" w:hAnsi="宋体" w:cs="宋体"/>
          <w:b w:val="0"/>
          <w:bCs w:val="0"/>
          <w:color w:val="auto"/>
          <w:kern w:val="2"/>
          <w:sz w:val="24"/>
          <w:szCs w:val="24"/>
          <w:highlight w:val="none"/>
          <w:lang w:val="en-US" w:eastAsia="zh-CN" w:bidi="ar-SA"/>
        </w:rPr>
        <w:t>；</w:t>
      </w:r>
    </w:p>
    <w:p w14:paraId="17AED404">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（6）联合体各方应当共同与采购人签订采购合同，就合同约定的事项对采购人承担连带责任；</w:t>
      </w:r>
    </w:p>
    <w:p w14:paraId="1E4B78B2">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（7）投标时，应以联合体协议中确定的主体方名义投标，对联合体各方均具有约束力。</w:t>
      </w:r>
    </w:p>
    <w:p w14:paraId="4612A3AB">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50" w:lineRule="exact"/>
        <w:ind w:right="18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14:paraId="773C706F">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（一）招标文件由招标文件总目录所列内容组成。</w:t>
      </w:r>
    </w:p>
    <w:p w14:paraId="670298FD">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（二）投标人的风险</w:t>
      </w:r>
    </w:p>
    <w:p w14:paraId="4BAF2837">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64767992">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（三）招标文件的澄清或修改</w:t>
      </w:r>
    </w:p>
    <w:p w14:paraId="63FA975A">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1、投标人应认真阅读本招标文件，发现其中有误或有要求不合理的，投标人必须在投标须知前附表规定的招标文件答疑与澄清截止时间前以书面形式要求采购组织机构澄清。</w:t>
      </w:r>
    </w:p>
    <w:p w14:paraId="790C82D1">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2、采购组织机构必须以书面形式答复投标人要求澄清的问题，并将不包含问题来源的答复书面通知所有依法获取招标文件的投标人。</w:t>
      </w:r>
    </w:p>
    <w:p w14:paraId="1F732271">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CBB5D16">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4、招标文件澄清、答复、修改、补充的内容为招标文件的组成部分。当招标文件与招标文件的答复、澄清、修改、补充通知就同一内容的表述不一致时，以最后发出的书面文件为准。</w:t>
      </w:r>
    </w:p>
    <w:p w14:paraId="769293F7">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5、投标人在规定的时间内未对招标文件提出疑问、质疑或要求澄清的，将视其为无异议。对招标文件中描述有歧义或前后不一致的地方，评标委员会有权进行评判，但对同一条款的评判应适用于每个投标人。</w:t>
      </w:r>
    </w:p>
    <w:p w14:paraId="5D1A7A16">
      <w:pPr>
        <w:keepNext w:val="0"/>
        <w:keepLines w:val="0"/>
        <w:pageBreakBefore w:val="0"/>
        <w:tabs>
          <w:tab w:val="left" w:pos="1418"/>
        </w:tabs>
        <w:kinsoku/>
        <w:wordWrap/>
        <w:overflowPunct/>
        <w:topLinePunct w:val="0"/>
        <w:autoSpaceDE w:val="0"/>
        <w:autoSpaceDN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w:t>
      </w:r>
    </w:p>
    <w:p w14:paraId="2F2D6DBA">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（一）投标文件的形式</w:t>
      </w:r>
    </w:p>
    <w:p w14:paraId="6C167B72">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投标文件的形式：电子加密投标文件（是指通过“政采云电子交易客户端”完成投标文件编制后生成并加密的数据电文形式的投标文件，文件格式“.jmbs”）。</w:t>
      </w:r>
    </w:p>
    <w:p w14:paraId="27B62708">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rPr>
        <w:t>投标文件的组成</w:t>
      </w:r>
    </w:p>
    <w:p w14:paraId="34BFB99A">
      <w:pPr>
        <w:keepNext w:val="0"/>
        <w:keepLines w:val="0"/>
        <w:pageBreakBefore w:val="0"/>
        <w:numPr>
          <w:ilvl w:val="0"/>
          <w:numId w:val="0"/>
        </w:numPr>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投标文件应按照招标文件</w:t>
      </w:r>
      <w:r>
        <w:rPr>
          <w:rFonts w:hint="eastAsia" w:ascii="宋体" w:hAnsi="宋体" w:eastAsia="宋体" w:cs="宋体"/>
          <w:b/>
          <w:bCs w:val="0"/>
          <w:color w:val="auto"/>
          <w:kern w:val="0"/>
          <w:sz w:val="24"/>
          <w:szCs w:val="24"/>
          <w:highlight w:val="none"/>
        </w:rPr>
        <w:t>第六章“投标文件格式”的</w:t>
      </w:r>
      <w:r>
        <w:rPr>
          <w:rFonts w:hint="eastAsia" w:ascii="宋体" w:hAnsi="宋体" w:eastAsia="宋体" w:cs="宋体"/>
          <w:b/>
          <w:bCs w:val="0"/>
          <w:color w:val="auto"/>
          <w:kern w:val="0"/>
          <w:sz w:val="24"/>
          <w:szCs w:val="24"/>
          <w:highlight w:val="none"/>
          <w:lang w:eastAsia="zh-CN"/>
        </w:rPr>
        <w:t>内容</w:t>
      </w:r>
      <w:r>
        <w:rPr>
          <w:rFonts w:hint="eastAsia" w:ascii="宋体" w:hAnsi="宋体" w:eastAsia="宋体" w:cs="宋体"/>
          <w:b/>
          <w:bCs w:val="0"/>
          <w:color w:val="auto"/>
          <w:kern w:val="0"/>
          <w:sz w:val="24"/>
          <w:szCs w:val="24"/>
          <w:highlight w:val="none"/>
        </w:rPr>
        <w:t>要求进行编写</w:t>
      </w:r>
      <w:r>
        <w:rPr>
          <w:rFonts w:hint="eastAsia" w:ascii="宋体" w:hAnsi="宋体" w:eastAsia="宋体" w:cs="宋体"/>
          <w:bCs/>
          <w:color w:val="auto"/>
          <w:kern w:val="0"/>
          <w:sz w:val="24"/>
          <w:szCs w:val="24"/>
          <w:highlight w:val="none"/>
        </w:rPr>
        <w:t>，可以增加附页。</w:t>
      </w:r>
      <w:r>
        <w:rPr>
          <w:rFonts w:hint="eastAsia" w:ascii="宋体" w:hAnsi="宋体" w:eastAsia="宋体" w:cs="宋体"/>
          <w:bCs/>
          <w:color w:val="auto"/>
          <w:sz w:val="24"/>
          <w:szCs w:val="24"/>
          <w:highlight w:val="none"/>
        </w:rPr>
        <w:t>投标文件由</w:t>
      </w:r>
      <w:r>
        <w:rPr>
          <w:rFonts w:hint="eastAsia" w:ascii="宋体" w:hAnsi="宋体" w:eastAsia="宋体" w:cs="宋体"/>
          <w:b/>
          <w:color w:val="auto"/>
          <w:sz w:val="24"/>
          <w:szCs w:val="24"/>
          <w:highlight w:val="none"/>
        </w:rPr>
        <w:t>资格证明文件、商务与技术文件、报价文件</w:t>
      </w:r>
      <w:r>
        <w:rPr>
          <w:rFonts w:hint="eastAsia" w:ascii="宋体" w:hAnsi="宋体" w:eastAsia="宋体" w:cs="宋体"/>
          <w:bCs/>
          <w:color w:val="auto"/>
          <w:sz w:val="24"/>
          <w:szCs w:val="24"/>
          <w:highlight w:val="none"/>
        </w:rPr>
        <w:t>组成。其中电子投标文件中所须加盖公章部分均采用CA</w:t>
      </w:r>
      <w:r>
        <w:rPr>
          <w:rFonts w:hint="eastAsia" w:ascii="宋体" w:hAnsi="宋体" w:eastAsia="宋体" w:cs="宋体"/>
          <w:bCs/>
          <w:color w:val="auto"/>
          <w:sz w:val="24"/>
          <w:szCs w:val="24"/>
          <w:highlight w:val="none"/>
          <w:lang w:eastAsia="zh-CN"/>
        </w:rPr>
        <w:t>签章</w:t>
      </w:r>
      <w:r>
        <w:rPr>
          <w:rFonts w:hint="eastAsia" w:ascii="宋体" w:hAnsi="宋体" w:eastAsia="宋体" w:cs="宋体"/>
          <w:bCs/>
          <w:color w:val="auto"/>
          <w:sz w:val="24"/>
          <w:szCs w:val="24"/>
          <w:highlight w:val="none"/>
        </w:rPr>
        <w:t>。</w:t>
      </w:r>
    </w:p>
    <w:p w14:paraId="1C933DA9">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（三）投标文件的编制</w:t>
      </w:r>
    </w:p>
    <w:p w14:paraId="45489F67">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1、依据《浙江省政府采购项目电子交易管理暂行办法》，本项目通过“政府采购云平台”（网址：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t>www.zcygov.cn）实行电子交易（在线投标响应）。投标人参加本项目电子交易应当安装“政采云电子交易客户端”，并按照本采购文件规定和“政府采购云平台”的要求编制电子投标文件并进行关联定位。</w:t>
      </w:r>
      <w:r>
        <w:rPr>
          <w:rFonts w:hint="eastAsia" w:ascii="宋体" w:hAnsi="宋体" w:eastAsia="宋体" w:cs="宋体"/>
          <w:bCs/>
          <w:color w:val="auto"/>
          <w:sz w:val="24"/>
          <w:szCs w:val="24"/>
          <w:highlight w:val="none"/>
          <w:lang w:val="zh-CN"/>
        </w:rPr>
        <w:fldChar w:fldCharType="end"/>
      </w:r>
    </w:p>
    <w:p w14:paraId="5033834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2、投标文件内容不完整、编排混乱导致投标文件被误读、漏读或者查找不到相关内容的，是投标人的责任。</w:t>
      </w:r>
    </w:p>
    <w:p w14:paraId="3274DD71">
      <w:pPr>
        <w:keepNext w:val="0"/>
        <w:keepLines w:val="0"/>
        <w:pageBreakBefore w:val="0"/>
        <w:kinsoku/>
        <w:wordWrap/>
        <w:overflowPunct/>
        <w:topLinePunct w:val="0"/>
        <w:bidi w:val="0"/>
        <w:adjustRightInd w:val="0"/>
        <w:snapToGrid w:val="0"/>
        <w:spacing w:line="45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3、“备份电子投标文件”是指与“电子投标文件”同时生成的数据电文形式的电子文件（文件格式“.bfbs”），其他方式编制的备份投标文件视为无效备份投标文件，请投标人自行妥善保管。</w:t>
      </w:r>
    </w:p>
    <w:p w14:paraId="04BF0137">
      <w:pPr>
        <w:pStyle w:val="14"/>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投标人应对所提供的全部资料的真实性、有效性承担法律责任，电子投标文件中盖章之处必须加盖电子印章。</w:t>
      </w:r>
    </w:p>
    <w:p w14:paraId="5881338C">
      <w:pPr>
        <w:keepNext w:val="0"/>
        <w:keepLines w:val="0"/>
        <w:pageBreakBefore w:val="0"/>
        <w:kinsoku/>
        <w:wordWrap/>
        <w:overflowPunct/>
        <w:topLinePunct w:val="0"/>
        <w:autoSpaceDE w:val="0"/>
        <w:autoSpaceDN w:val="0"/>
        <w:bidi w:val="0"/>
        <w:adjustRightInd w:val="0"/>
        <w:snapToGrid w:val="0"/>
        <w:spacing w:line="45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若投标人不按招标文件的要求提供资格审查材料，其风险由投标人自行承担。</w:t>
      </w:r>
    </w:p>
    <w:p w14:paraId="77BEB92B">
      <w:pPr>
        <w:keepNext w:val="0"/>
        <w:keepLines w:val="0"/>
        <w:pageBreakBefore w:val="0"/>
        <w:kinsoku/>
        <w:wordWrap/>
        <w:overflowPunct/>
        <w:topLinePunct w:val="0"/>
        <w:autoSpaceDE w:val="0"/>
        <w:autoSpaceDN w:val="0"/>
        <w:bidi w:val="0"/>
        <w:adjustRightInd w:val="0"/>
        <w:snapToGrid w:val="0"/>
        <w:spacing w:line="45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sz w:val="24"/>
          <w:szCs w:val="24"/>
          <w:highlight w:val="none"/>
        </w:rPr>
        <w:t>与本次投标无关的内容请不要制作在内，确保电子投标文件有针对性、简洁明了。</w:t>
      </w:r>
    </w:p>
    <w:p w14:paraId="34952935">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（四）投标文件的语言及计量</w:t>
      </w:r>
    </w:p>
    <w:p w14:paraId="3DA8B7E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1、投标文件以及投标人与招标方就有关投标事宜的所有来往函电，均应以中文汉语书写。除签名、盖章、专用名称等特殊情形外，以中文汉语以外的文字表述的投标文件视同未提供。</w:t>
      </w:r>
    </w:p>
    <w:p w14:paraId="7ED9B3F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2、投标计量单位，招标文件已有明确规定的，使用招标文件规定的计量单位；招标文件没有规定的，应采用中华人民共和国法定计量单位（货币单位：人民币元），否则视同未响应。</w:t>
      </w:r>
      <w:bookmarkStart w:id="5" w:name="_Toc504504539"/>
    </w:p>
    <w:p w14:paraId="305CD99B">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（五）投标报价</w:t>
      </w:r>
      <w:bookmarkEnd w:id="5"/>
    </w:p>
    <w:p w14:paraId="1073A586">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1、投标报价应按招标文件中相关附表格式填写。</w:t>
      </w:r>
    </w:p>
    <w:p w14:paraId="59220DB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投标报价是履行合同的最终价格，投标报价应包括载体车辆的采购、定制改装、车辆上牌费、车辆短保费、专用工具、包装、运输、装卸、税金、货到就位以及安装、设计费和安装费用、调试、培训、保修、税金、招标代理费等一切与本项目实施有关的费用。投标人应列入而未列入其中的费用，均视为已包含在内，风险由投标人承担。</w:t>
      </w:r>
    </w:p>
    <w:p w14:paraId="2F9E2EB3">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3、投标文件只允许有一个报价，有选择的报价将不予接受（作无效标处理）。</w:t>
      </w:r>
    </w:p>
    <w:p w14:paraId="264AE75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4、投标人应充分考虑因各种原因可能发生的费用。对没有填报的费用，招标人认为所有费用已包含在总价中，除合同条款另有规定外，不得进行调整。</w:t>
      </w:r>
    </w:p>
    <w:p w14:paraId="50BC42A4">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cs="宋体"/>
          <w:bCs/>
          <w:color w:val="auto"/>
          <w:sz w:val="24"/>
          <w:szCs w:val="24"/>
          <w:highlight w:val="none"/>
          <w:lang w:val="zh-CN"/>
        </w:rPr>
        <w:t>5、</w:t>
      </w:r>
      <w:r>
        <w:rPr>
          <w:rFonts w:hint="eastAsia" w:ascii="宋体" w:hAnsi="宋体" w:cs="宋体"/>
          <w:color w:val="auto"/>
          <w:sz w:val="24"/>
          <w:szCs w:val="32"/>
          <w:highlight w:val="none"/>
        </w:rPr>
        <w:t>投标报价不仅应包括招标文件提供的技术条款上所标明的，还应包括任何未明确标出的，全套货物安装后保证正常安全使用所不可缺少的配件及附件的全部费用。其中全部材料应说明名称、型号、数量、单价、总价、产地、厂商等。投标人按要求应列入而未列入材料清单的货物及材料，均认为已含在其货物材料清单中。</w:t>
      </w:r>
    </w:p>
    <w:p w14:paraId="16A36E98">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5、投标报价必须合理，经评委认定为明显不合理的报价将被取消中标资格。</w:t>
      </w:r>
      <w:bookmarkStart w:id="6" w:name="_Toc504504540"/>
    </w:p>
    <w:p w14:paraId="2EE015CA">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（六）投标文件的有效期</w:t>
      </w:r>
      <w:bookmarkEnd w:id="6"/>
    </w:p>
    <w:p w14:paraId="2F98AF8C">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1、自投标截止日起90天内电子投标文件应保持有效。有效期不足的电子投标文件将被拒绝。</w:t>
      </w:r>
    </w:p>
    <w:p w14:paraId="595614D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2、在特殊情况下，采购人可与投标人协商延长电子投标文件的有效期，协商过程以书面形式进行。</w:t>
      </w:r>
    </w:p>
    <w:p w14:paraId="05B329D0">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3、投标人可拒绝接受延期要求，同意延长有效期的投标人不能修改投标文件；</w:t>
      </w:r>
    </w:p>
    <w:p w14:paraId="3D5EC627">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4、中标单位的电子投标文件自开标之日起至合同履行完毕止均应保持有效。</w:t>
      </w:r>
    </w:p>
    <w:p w14:paraId="7900A2D8">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14:paraId="33190A64">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bookmarkStart w:id="7" w:name="_Toc504504558"/>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)电子</w:t>
      </w:r>
      <w:r>
        <w:rPr>
          <w:rFonts w:hint="eastAsia" w:ascii="宋体" w:hAnsi="宋体" w:eastAsia="宋体" w:cs="宋体"/>
          <w:b/>
          <w:color w:val="auto"/>
          <w:sz w:val="24"/>
          <w:szCs w:val="24"/>
          <w:highlight w:val="none"/>
          <w:lang w:val="zh-CN"/>
        </w:rPr>
        <w:t>投标文件的递交、修改和撤回</w:t>
      </w:r>
    </w:p>
    <w:p w14:paraId="38837A40">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3548AB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2、采购人和采购组织机构可通过修改招标文件酌情延长投标截止日期，在此情况下，投标人的所有权利和义务以及投标人的投标截止日期均应以延长后新的截止日期为准。</w:t>
      </w:r>
    </w:p>
    <w:bookmarkEnd w:id="7"/>
    <w:p w14:paraId="3020D357">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bookmarkStart w:id="8" w:name="_Toc504504559"/>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val="zh-CN"/>
        </w:rPr>
        <w:t>）投标无效的情形</w:t>
      </w:r>
      <w:bookmarkEnd w:id="8"/>
    </w:p>
    <w:p w14:paraId="240C4051">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1、在资格审查时，如发现下列情形之一的，投标文件将被视为无效：</w:t>
      </w:r>
    </w:p>
    <w:p w14:paraId="5F775D53">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（1）资格证明文件不全的，或者不符合招标文件标明的资格要求的；</w:t>
      </w:r>
    </w:p>
    <w:p w14:paraId="6A8B77F0">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（2）电子投标文件解密失败的，且未在规定时间内提交电子备份投标文件的；</w:t>
      </w:r>
    </w:p>
    <w:p w14:paraId="69D794B9">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（3）未按照招标文件规定的要求签署、盖章的。</w:t>
      </w:r>
    </w:p>
    <w:p w14:paraId="293E8087">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2、在符合性审查时，如发现下列情形之一的，投标文件将被视为无效：</w:t>
      </w:r>
    </w:p>
    <w:p w14:paraId="259109A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（1）投标文件无法定代表人或授权代表签字或盖章，或授权代理人未经有效授权的；</w:t>
      </w:r>
    </w:p>
    <w:p w14:paraId="2B4D87AF">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（2）电子投标文件未按照招标文件规定的要求签署、盖章的；</w:t>
      </w:r>
    </w:p>
    <w:p w14:paraId="45316DC8">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（3）投标有效期、服务期、付款方式等商务条款不能满足招标文件要求的；</w:t>
      </w:r>
    </w:p>
    <w:p w14:paraId="5AEAF45C">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（4）不响应或者擅自改变招标文件要求或者投标文件有采购人不能接受的附加条件的；</w:t>
      </w:r>
    </w:p>
    <w:p w14:paraId="6E17DC5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（5）未提供或未如实提供投标产品（货物）技术性能、参数的，或者虚假投标的。</w:t>
      </w:r>
    </w:p>
    <w:p w14:paraId="69A2570F">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3、在技术评审时，如发现下列情形之一的，投标文件将被视为无效：</w:t>
      </w:r>
    </w:p>
    <w:p w14:paraId="675D8CA2">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（1）资格文件、商务技术文件内有商务报价出现的；</w:t>
      </w:r>
    </w:p>
    <w:p w14:paraId="6D862EC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（2）未提供或未如实提供投标货物的技术参数，或者投标文件标明的响应或偏离与事实不符或虚假投标的；</w:t>
      </w:r>
    </w:p>
    <w:p w14:paraId="59856306">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（3）</w:t>
      </w:r>
      <w:r>
        <w:rPr>
          <w:rFonts w:hint="eastAsia" w:ascii="宋体" w:hAnsi="宋体" w:eastAsia="宋体" w:cs="宋体"/>
          <w:b/>
          <w:bCs/>
          <w:color w:val="auto"/>
          <w:kern w:val="0"/>
          <w:sz w:val="24"/>
          <w:szCs w:val="24"/>
          <w:highlight w:val="none"/>
        </w:rPr>
        <w:t>投标参数未如实填写，完全复制粘贴招标参数的；</w:t>
      </w:r>
    </w:p>
    <w:p w14:paraId="334A9FBC">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）明显不符合招标文件要求的规格型号、质量标准，或者与招标文件中标“</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”的技术指标、主要功能项目发生实质性偏离的；</w:t>
      </w:r>
    </w:p>
    <w:p w14:paraId="6437904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）投标技术方案不明确，存在一个或一个以上备选（替代）投标方案的；</w:t>
      </w:r>
    </w:p>
    <w:p w14:paraId="1B9C800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rPr>
        <w:t>）与其他参加本次投标投标人的投标文件（技术文件）的文字表述内容相同连续20行以上或者差错相同2处以上的。</w:t>
      </w:r>
    </w:p>
    <w:p w14:paraId="4E51C26A">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4、在价格评审时，如发现下列情形之一的，投标文件将被视为无效：</w:t>
      </w:r>
    </w:p>
    <w:p w14:paraId="15634E94">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（1）未采用人民币报价或者未按照招标文件标明的币种报价的；</w:t>
      </w:r>
    </w:p>
    <w:p w14:paraId="35CB8FEA">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（2）报价超出最高限价，或者超出采购预算金额，采购人不能支付的；</w:t>
      </w:r>
    </w:p>
    <w:p w14:paraId="7A8B7573">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（3）投标报价具有选择性，或者开标价格与投标文件承诺的优惠（折扣）价格不一致的；</w:t>
      </w:r>
    </w:p>
    <w:p w14:paraId="4435D705">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（4）评标委员会认为投标人的报价明显低于其他通过符合性审查的投标人的报价有可能影响产品质量或者不能诚信履约时，投标人不能在规定的时间证明其报价合理性的。                                                                                          </w:t>
      </w:r>
    </w:p>
    <w:p w14:paraId="64BC7DA8">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法律、法规和招标文件规定的其他无效标情形。</w:t>
      </w:r>
    </w:p>
    <w:p w14:paraId="651C405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1E8FB8E">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bookmarkStart w:id="9" w:name="_Toc504504560"/>
      <w:r>
        <w:rPr>
          <w:rFonts w:hint="eastAsia" w:ascii="宋体" w:hAnsi="宋体" w:eastAsia="宋体" w:cs="宋体"/>
          <w:b/>
          <w:color w:val="auto"/>
          <w:sz w:val="24"/>
          <w:szCs w:val="24"/>
          <w:highlight w:val="none"/>
          <w:lang w:val="zh-CN"/>
        </w:rPr>
        <w:t>（九）</w:t>
      </w:r>
      <w:bookmarkStart w:id="10" w:name="_Toc170792769"/>
      <w:bookmarkStart w:id="11" w:name="_Toc107820050"/>
      <w:r>
        <w:rPr>
          <w:rFonts w:hint="eastAsia" w:ascii="宋体" w:hAnsi="宋体" w:eastAsia="宋体" w:cs="宋体"/>
          <w:b/>
          <w:color w:val="auto"/>
          <w:sz w:val="24"/>
          <w:szCs w:val="24"/>
          <w:highlight w:val="none"/>
          <w:lang w:val="zh-CN"/>
        </w:rPr>
        <w:t>废标的情形</w:t>
      </w:r>
      <w:bookmarkEnd w:id="9"/>
    </w:p>
    <w:p w14:paraId="40DF2F2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12" w:name="_Toc504504561"/>
      <w:bookmarkStart w:id="13" w:name="_Toc504504486"/>
      <w:r>
        <w:rPr>
          <w:rFonts w:hint="eastAsia" w:ascii="宋体" w:hAnsi="宋体" w:eastAsia="宋体" w:cs="宋体"/>
          <w:bCs/>
          <w:color w:val="auto"/>
          <w:sz w:val="24"/>
          <w:szCs w:val="24"/>
          <w:highlight w:val="none"/>
          <w:lang w:val="zh-CN"/>
        </w:rPr>
        <w:t>在招标采购中，出现下列情形之一的，应予废标：</w:t>
      </w:r>
      <w:bookmarkEnd w:id="12"/>
      <w:bookmarkEnd w:id="13"/>
    </w:p>
    <w:p w14:paraId="7BDF4D92">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14" w:name="_Toc504504562"/>
      <w:bookmarkStart w:id="15" w:name="_Toc504504487"/>
      <w:r>
        <w:rPr>
          <w:rFonts w:hint="eastAsia" w:ascii="宋体" w:hAnsi="宋体" w:eastAsia="宋体" w:cs="宋体"/>
          <w:bCs/>
          <w:color w:val="auto"/>
          <w:sz w:val="24"/>
          <w:szCs w:val="24"/>
          <w:highlight w:val="none"/>
          <w:lang w:val="zh-CN"/>
        </w:rPr>
        <w:t>1、符合专业条件的投标人或者对招标文件作实质性响应的投标人不足三家的；</w:t>
      </w:r>
      <w:bookmarkEnd w:id="14"/>
      <w:bookmarkEnd w:id="15"/>
    </w:p>
    <w:p w14:paraId="15079625">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16" w:name="_Toc504504488"/>
      <w:bookmarkStart w:id="17" w:name="_Toc504504563"/>
      <w:r>
        <w:rPr>
          <w:rFonts w:hint="eastAsia" w:ascii="宋体" w:hAnsi="宋体" w:eastAsia="宋体" w:cs="宋体"/>
          <w:bCs/>
          <w:color w:val="auto"/>
          <w:sz w:val="24"/>
          <w:szCs w:val="24"/>
          <w:highlight w:val="none"/>
          <w:lang w:val="zh-CN"/>
        </w:rPr>
        <w:t>2、出现影响采购公正的违法、违规行为的；</w:t>
      </w:r>
      <w:bookmarkEnd w:id="16"/>
      <w:bookmarkEnd w:id="17"/>
    </w:p>
    <w:p w14:paraId="1639141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18" w:name="_Toc504504564"/>
      <w:bookmarkStart w:id="19" w:name="_Toc504504489"/>
      <w:r>
        <w:rPr>
          <w:rFonts w:hint="eastAsia" w:ascii="宋体" w:hAnsi="宋体" w:eastAsia="宋体" w:cs="宋体"/>
          <w:bCs/>
          <w:color w:val="auto"/>
          <w:sz w:val="24"/>
          <w:szCs w:val="24"/>
          <w:highlight w:val="none"/>
          <w:lang w:val="zh-CN"/>
        </w:rPr>
        <w:t>3、投标人的报价均超过了采购预算，采购人不能支付的</w:t>
      </w:r>
      <w:bookmarkEnd w:id="18"/>
      <w:bookmarkEnd w:id="19"/>
      <w:r>
        <w:rPr>
          <w:rFonts w:hint="eastAsia" w:ascii="宋体" w:hAnsi="宋体" w:eastAsia="宋体" w:cs="宋体"/>
          <w:bCs/>
          <w:color w:val="auto"/>
          <w:sz w:val="24"/>
          <w:szCs w:val="24"/>
          <w:highlight w:val="none"/>
          <w:lang w:val="zh-CN"/>
        </w:rPr>
        <w:t>；</w:t>
      </w:r>
    </w:p>
    <w:p w14:paraId="6B7AA1C6">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20" w:name="_Toc504504565"/>
      <w:bookmarkStart w:id="21" w:name="_Toc504504490"/>
      <w:r>
        <w:rPr>
          <w:rFonts w:hint="eastAsia" w:ascii="宋体" w:hAnsi="宋体" w:eastAsia="宋体" w:cs="宋体"/>
          <w:bCs/>
          <w:color w:val="auto"/>
          <w:sz w:val="24"/>
          <w:szCs w:val="24"/>
          <w:highlight w:val="none"/>
          <w:lang w:val="zh-CN"/>
        </w:rPr>
        <w:t>4、因重大变故，采购任务取消的。</w:t>
      </w:r>
      <w:bookmarkEnd w:id="20"/>
      <w:bookmarkEnd w:id="21"/>
    </w:p>
    <w:bookmarkEnd w:id="10"/>
    <w:bookmarkEnd w:id="11"/>
    <w:p w14:paraId="173010DF">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5753906E">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bookmarkStart w:id="22" w:name="_Toc531267757"/>
      <w:r>
        <w:rPr>
          <w:rFonts w:hint="eastAsia" w:ascii="宋体" w:hAnsi="宋体" w:eastAsia="宋体" w:cs="宋体"/>
          <w:b/>
          <w:bCs/>
          <w:color w:val="auto"/>
          <w:sz w:val="24"/>
          <w:szCs w:val="24"/>
          <w:highlight w:val="none"/>
        </w:rPr>
        <w:t>（一）开标形式</w:t>
      </w:r>
    </w:p>
    <w:p w14:paraId="16EFD4D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采购组织机构将按照招标文件规定的时间通过“政府采购云平台”组织开标、开启投标文件，所有投标人均应当准时在线参加。</w:t>
      </w:r>
    </w:p>
    <w:p w14:paraId="3B3A35E0">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开标准备</w:t>
      </w:r>
    </w:p>
    <w:p w14:paraId="3CFC46B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38A9160C">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ascii="宋体" w:hAnsi="宋体" w:eastAsia="宋体" w:cs="宋体"/>
          <w:b/>
          <w:bCs/>
          <w:color w:val="auto"/>
          <w:sz w:val="24"/>
          <w:szCs w:val="24"/>
          <w:highlight w:val="none"/>
        </w:rPr>
        <w:t>同时</w:t>
      </w:r>
      <w:r>
        <w:rPr>
          <w:rFonts w:hint="eastAsia" w:ascii="宋体" w:hAnsi="宋体" w:eastAsia="宋体" w:cs="宋体"/>
          <w:b/>
          <w:bCs/>
          <w:color w:val="auto"/>
          <w:sz w:val="24"/>
          <w:szCs w:val="24"/>
          <w:highlight w:val="none"/>
          <w:u w:val="single"/>
        </w:rPr>
        <w:t>投标人因未在线参加开标而导致投标文件无法按时解密等一切后果由投标人自己承担。</w:t>
      </w:r>
    </w:p>
    <w:p w14:paraId="6FA5544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3、投标人对开标过程和开标记录有疑义，以及认为采购人、采购</w:t>
      </w:r>
      <w:r>
        <w:rPr>
          <w:rFonts w:hint="eastAsia" w:ascii="宋体" w:hAnsi="宋体" w:eastAsia="宋体" w:cs="宋体"/>
          <w:color w:val="auto"/>
          <w:sz w:val="24"/>
          <w:szCs w:val="24"/>
          <w:highlight w:val="none"/>
          <w:lang w:eastAsia="zh-CN"/>
        </w:rPr>
        <w:t>组织机构</w:t>
      </w:r>
      <w:r>
        <w:rPr>
          <w:rFonts w:hint="eastAsia" w:ascii="宋体" w:hAnsi="宋体" w:eastAsia="宋体" w:cs="宋体"/>
          <w:color w:val="auto"/>
          <w:sz w:val="24"/>
          <w:szCs w:val="24"/>
          <w:highlight w:val="none"/>
        </w:rPr>
        <w:t>相关工作人员有需要回避的情形的，应当场提出询问或回避申请。</w:t>
      </w:r>
    </w:p>
    <w:p w14:paraId="3B1EA662">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（三）开标流程</w:t>
      </w:r>
    </w:p>
    <w:p w14:paraId="0F9BD39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开标时，采购组织机构在政采云平台</w:t>
      </w:r>
      <w:r>
        <w:rPr>
          <w:rFonts w:hint="eastAsia" w:ascii="宋体" w:hAnsi="宋体" w:eastAsia="宋体" w:cs="宋体"/>
          <w:color w:val="auto"/>
          <w:sz w:val="24"/>
          <w:szCs w:val="24"/>
          <w:highlight w:val="none"/>
        </w:rPr>
        <w:t>向各投标人发出电子加密投标文件【开始解密】通知，由投标人按招标文件规定的时间内自行进行投标文件解密。</w:t>
      </w:r>
    </w:p>
    <w:p w14:paraId="4CF548AD">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2、开启标书信息（资格文件、商务技术文件）。标书信息开启后，首先由采购人或采购</w:t>
      </w:r>
      <w:r>
        <w:rPr>
          <w:rFonts w:hint="eastAsia" w:ascii="宋体" w:hAnsi="宋体" w:eastAsia="宋体" w:cs="宋体"/>
          <w:color w:val="auto"/>
          <w:sz w:val="24"/>
          <w:szCs w:val="24"/>
          <w:highlight w:val="none"/>
          <w:lang w:eastAsia="zh-CN"/>
        </w:rPr>
        <w:t>组织机构</w:t>
      </w:r>
      <w:r>
        <w:rPr>
          <w:rFonts w:hint="eastAsia" w:ascii="宋体" w:hAnsi="宋体" w:eastAsia="宋体" w:cs="宋体"/>
          <w:color w:val="auto"/>
          <w:sz w:val="24"/>
          <w:szCs w:val="24"/>
          <w:highlight w:val="none"/>
        </w:rPr>
        <w:t>依法对投标人的资格文件进行审查，审查投标人的资格符合情况。资格审查合格的投标人数量不足三家的，项目不再进行评审；</w:t>
      </w:r>
    </w:p>
    <w:p w14:paraId="03B705C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3、开启资格审查通过的投标人的商务技术文件进入符合性审查、商务技术评审；</w:t>
      </w:r>
    </w:p>
    <w:p w14:paraId="236D66A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4、商务技术评审结束后，宣告商务技术评审无效投标人名称及理由；公布经商务技术评审的有效投标人名单，同时公布其商务技术得分情况。</w:t>
      </w:r>
    </w:p>
    <w:p w14:paraId="2A869D41">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5、开启有效投标人的《报价文件》，采购</w:t>
      </w:r>
      <w:r>
        <w:rPr>
          <w:rFonts w:hint="eastAsia" w:ascii="宋体" w:hAnsi="宋体" w:eastAsia="宋体" w:cs="宋体"/>
          <w:color w:val="auto"/>
          <w:sz w:val="24"/>
          <w:szCs w:val="24"/>
          <w:highlight w:val="none"/>
          <w:lang w:eastAsia="zh-CN"/>
        </w:rPr>
        <w:t>组织</w:t>
      </w:r>
      <w:r>
        <w:rPr>
          <w:rFonts w:hint="eastAsia" w:ascii="宋体" w:hAnsi="宋体" w:eastAsia="宋体" w:cs="宋体"/>
          <w:color w:val="auto"/>
          <w:sz w:val="24"/>
          <w:szCs w:val="24"/>
          <w:highlight w:val="none"/>
        </w:rPr>
        <w:t>机构成功开启报价响应文件后，方可查看各供应商报价情况。</w:t>
      </w:r>
      <w:r>
        <w:rPr>
          <w:rFonts w:hint="eastAsia" w:ascii="宋体" w:hAnsi="宋体" w:eastAsia="宋体" w:cs="宋体"/>
          <w:b w:val="0"/>
          <w:bCs w:val="0"/>
          <w:color w:val="auto"/>
          <w:sz w:val="24"/>
          <w:szCs w:val="24"/>
          <w:highlight w:val="none"/>
          <w:lang w:eastAsia="zh-CN"/>
        </w:rPr>
        <w:t>采购组织</w:t>
      </w:r>
      <w:r>
        <w:rPr>
          <w:rFonts w:hint="eastAsia" w:ascii="宋体" w:hAnsi="宋体" w:eastAsia="宋体" w:cs="宋体"/>
          <w:b w:val="0"/>
          <w:bCs w:val="0"/>
          <w:color w:val="auto"/>
          <w:sz w:val="24"/>
          <w:szCs w:val="24"/>
          <w:highlight w:val="none"/>
        </w:rPr>
        <w:t>机构在线公布开标一览表有关内容，</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应在</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分钟内在线签字确认（不予确认的应说明原因，否则视为无异议）。</w:t>
      </w:r>
    </w:p>
    <w:p w14:paraId="005FC4D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开启</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，由评标委员会对报价的</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合理性、准确性等进行审查核实。</w:t>
      </w:r>
    </w:p>
    <w:p w14:paraId="4F7FDE2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7．由主持人公布报价文件无效的投标人名单、投标无效的原因及其他有效投标的报价文件得分；</w:t>
      </w:r>
    </w:p>
    <w:p w14:paraId="0B648E8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8．宣布综合</w:t>
      </w:r>
      <w:bookmarkStart w:id="23" w:name="_Hlk59371720"/>
      <w:r>
        <w:rPr>
          <w:rFonts w:hint="eastAsia" w:ascii="宋体" w:hAnsi="宋体" w:eastAsia="宋体" w:cs="宋体"/>
          <w:color w:val="auto"/>
          <w:sz w:val="24"/>
          <w:szCs w:val="24"/>
          <w:highlight w:val="none"/>
          <w:lang w:val="en-US" w:eastAsia="zh-CN"/>
        </w:rPr>
        <w:t>得分结果</w:t>
      </w:r>
      <w:bookmarkEnd w:id="23"/>
      <w:r>
        <w:rPr>
          <w:rFonts w:hint="eastAsia" w:ascii="宋体" w:hAnsi="宋体" w:eastAsia="宋体" w:cs="宋体"/>
          <w:color w:val="auto"/>
          <w:sz w:val="24"/>
          <w:szCs w:val="24"/>
          <w:highlight w:val="none"/>
          <w:lang w:val="en-US" w:eastAsia="zh-CN"/>
        </w:rPr>
        <w:t>及中标候选人名单。</w:t>
      </w:r>
    </w:p>
    <w:p w14:paraId="7ACDAED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、在系统上公布评审结果。</w:t>
      </w:r>
    </w:p>
    <w:p w14:paraId="7406AAF2">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w:t>
      </w:r>
    </w:p>
    <w:p w14:paraId="3D6B9A75">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1、如遇“政府采购云平台”电子化开标或评审程序调整的，按调整后程序执行。</w:t>
      </w:r>
    </w:p>
    <w:p w14:paraId="71248797">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2、开标过程中需要相关当事人进行签字或盖章确认的材料将通过“政府采购云平台”</w:t>
      </w:r>
      <w:r>
        <w:rPr>
          <w:rFonts w:hint="eastAsia" w:ascii="宋体" w:hAnsi="宋体" w:eastAsia="宋体" w:cs="宋体"/>
          <w:color w:val="auto"/>
          <w:sz w:val="24"/>
          <w:szCs w:val="24"/>
          <w:highlight w:val="none"/>
          <w:lang w:eastAsia="zh-CN"/>
        </w:rPr>
        <w:t>在线询标系统</w:t>
      </w:r>
      <w:r>
        <w:rPr>
          <w:rFonts w:hint="eastAsia" w:ascii="宋体" w:hAnsi="宋体" w:eastAsia="宋体" w:cs="宋体"/>
          <w:color w:val="auto"/>
          <w:sz w:val="24"/>
          <w:szCs w:val="24"/>
          <w:highlight w:val="none"/>
        </w:rPr>
        <w:t>进行，若因“政府采购云平台”技术问题无法进行签字或盖章确认的，采购组织机构将通过邮件、传真等形式予以确认。</w:t>
      </w:r>
    </w:p>
    <w:p w14:paraId="6A513674">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（四）情况说明</w:t>
      </w:r>
    </w:p>
    <w:p w14:paraId="6208BC2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本项目采用政采云电子招投标开标及评审程序，但有下情形之一的，按以下情况处理：</w:t>
      </w:r>
    </w:p>
    <w:p w14:paraId="764E49DB">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投标人应当按规定及时解密，若因技术原因导致电子投标文件未能及时解密的，应</w:t>
      </w:r>
      <w:r>
        <w:rPr>
          <w:rFonts w:hint="eastAsia" w:ascii="宋体" w:hAnsi="宋体" w:eastAsia="宋体" w:cs="宋体"/>
          <w:color w:val="auto"/>
          <w:sz w:val="24"/>
          <w:szCs w:val="24"/>
          <w:highlight w:val="none"/>
          <w:lang w:eastAsia="zh-CN"/>
        </w:rPr>
        <w:t>及时</w:t>
      </w:r>
      <w:r>
        <w:rPr>
          <w:rFonts w:hint="eastAsia" w:ascii="宋体" w:hAnsi="宋体" w:eastAsia="宋体" w:cs="宋体"/>
          <w:color w:val="auto"/>
          <w:sz w:val="24"/>
          <w:szCs w:val="24"/>
          <w:highlight w:val="none"/>
        </w:rPr>
        <w:t>联系</w:t>
      </w:r>
      <w:r>
        <w:rPr>
          <w:rFonts w:hint="eastAsia" w:ascii="宋体" w:hAnsi="宋体" w:eastAsia="宋体" w:cs="宋体"/>
          <w:b w:val="0"/>
          <w:bCs/>
          <w:color w:val="auto"/>
          <w:sz w:val="24"/>
          <w:szCs w:val="24"/>
          <w:highlight w:val="none"/>
        </w:rPr>
        <w:t>咨询政采云平台技术支持热线</w:t>
      </w:r>
      <w:r>
        <w:rPr>
          <w:rFonts w:hint="eastAsia" w:ascii="宋体" w:hAnsi="宋体" w:eastAsia="宋体" w:cs="宋体"/>
          <w:color w:val="auto"/>
          <w:sz w:val="24"/>
          <w:szCs w:val="24"/>
          <w:highlight w:val="none"/>
        </w:rPr>
        <w:t>协助其完成解密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仍无法完成解密的，应按规定及时递交备份电子投标文件，否则，视同放弃投标。</w:t>
      </w:r>
    </w:p>
    <w:p w14:paraId="5EB48F4B">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060F727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（1）电子交易平台发生故障而无法登录访问的； </w:t>
      </w:r>
    </w:p>
    <w:p w14:paraId="3EA4BE64">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04561251">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39D04E9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（4）病毒发作导致不能进行正常操作的； </w:t>
      </w:r>
    </w:p>
    <w:p w14:paraId="14BB481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bookmarkEnd w:id="22"/>
    <w:p w14:paraId="47954E33">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bookmarkStart w:id="24" w:name="_Toc26036"/>
      <w:bookmarkStart w:id="25" w:name="_Toc33014423"/>
      <w:bookmarkStart w:id="26" w:name="_Toc531267758"/>
      <w:r>
        <w:rPr>
          <w:rFonts w:hint="eastAsia" w:ascii="宋体" w:hAnsi="宋体" w:eastAsia="宋体" w:cs="宋体"/>
          <w:b/>
          <w:color w:val="auto"/>
          <w:sz w:val="24"/>
          <w:szCs w:val="24"/>
          <w:highlight w:val="none"/>
        </w:rPr>
        <w:t>五、评标</w:t>
      </w:r>
      <w:bookmarkEnd w:id="24"/>
      <w:bookmarkEnd w:id="25"/>
      <w:bookmarkEnd w:id="26"/>
    </w:p>
    <w:p w14:paraId="404DB749">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（一）组建评标委员会</w:t>
      </w:r>
    </w:p>
    <w:p w14:paraId="1E6A8489">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评标委员会由采购人代表和有关技术、经济等方面的专家组成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成员人数应当为五人及以上单数。其中技术、经济等方面的专家不得少于成员总数的三分之二。</w:t>
      </w:r>
    </w:p>
    <w:p w14:paraId="336D5336">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（二）评标的方式</w:t>
      </w:r>
    </w:p>
    <w:p w14:paraId="13E4630F">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本项目采用不公开方式评标，评标的依据为招标文件和投标文件。</w:t>
      </w:r>
    </w:p>
    <w:p w14:paraId="7E4E5045">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（三）评标委员会的职责</w:t>
      </w:r>
    </w:p>
    <w:p w14:paraId="36849B60">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评标委员会负责具体评审事务，并独立履行下列职责：</w:t>
      </w:r>
    </w:p>
    <w:p w14:paraId="4F3C0B14">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（1）审查、评价投标文件是否符合采购文件的资信、技术等实质性要求；</w:t>
      </w:r>
    </w:p>
    <w:p w14:paraId="3F34E997">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（2）要求投标人对投标文件有关事项作出澄清或者说明；</w:t>
      </w:r>
    </w:p>
    <w:p w14:paraId="6B1DABD1">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（3）对投标文件进行比较和评价；</w:t>
      </w:r>
    </w:p>
    <w:p w14:paraId="7E5CD141">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（4）确定中标候选人名单，以及根据采购人委托直接确定中标单位；</w:t>
      </w:r>
    </w:p>
    <w:p w14:paraId="2AB678E1">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（5）向采购人、采购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或者有关部门报告评审中发现的违法行为。</w:t>
      </w:r>
    </w:p>
    <w:p w14:paraId="0E955017">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（四）评审原则</w:t>
      </w:r>
    </w:p>
    <w:p w14:paraId="2CF79E24">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1、评审原则：评标委员会按照客观、公正、审慎、择优的原则，根据采购文件规定的评审程序、评审方法和评审标准进行独立评审。</w:t>
      </w:r>
    </w:p>
    <w:p w14:paraId="2964AB8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2、评审工作将依据采购文件、投标文件及采购文件中事先已列明的内容进行。</w:t>
      </w:r>
    </w:p>
    <w:p w14:paraId="074680CE">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（五）评审意见的争议处理</w:t>
      </w:r>
    </w:p>
    <w:p w14:paraId="08269309">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4BF5D1DA">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（六）评标纪律</w:t>
      </w:r>
    </w:p>
    <w:p w14:paraId="4344156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1、本项目评标过程实行全程录音、录像监控，政府采购监管部门视情进行视频远程或现场监督，投标人在评标过程中所进行的试图影响评标结果的不公正活动，可能导致其投标被拒绝。</w:t>
      </w:r>
    </w:p>
    <w:p w14:paraId="6778703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54DE33BE">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bookmarkStart w:id="27" w:name="_Toc33194395"/>
      <w:bookmarkStart w:id="28" w:name="_Toc24550044"/>
      <w:r>
        <w:rPr>
          <w:rFonts w:hint="eastAsia" w:ascii="宋体" w:hAnsi="宋体" w:eastAsia="宋体" w:cs="宋体"/>
          <w:b/>
          <w:color w:val="auto"/>
          <w:sz w:val="24"/>
          <w:szCs w:val="24"/>
          <w:highlight w:val="none"/>
        </w:rPr>
        <w:t>（七）评审流程及内容</w:t>
      </w:r>
      <w:bookmarkEnd w:id="27"/>
      <w:bookmarkEnd w:id="28"/>
    </w:p>
    <w:p w14:paraId="0D0AAD6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本项目具体的评审事务由评标委员会负责，评审流程及内容如下：</w:t>
      </w:r>
    </w:p>
    <w:p w14:paraId="17E5F36D">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1、评审前准备</w:t>
      </w:r>
    </w:p>
    <w:p w14:paraId="2D55DF77">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1.1由评审专家推选评审小组组长，采购人代表不得担任评审小组组长。</w:t>
      </w:r>
    </w:p>
    <w:p w14:paraId="4BBC2ECA">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4538A6C7">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2、投标文件的初步审查、符合性审查</w:t>
      </w:r>
    </w:p>
    <w:p w14:paraId="5EB4CB8C">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对所有通过资格审查的投标人的投标文件进行初步审查，审查、评价投标文件是否符合采购文件的资信、技术、服务等实质性要求。</w:t>
      </w:r>
    </w:p>
    <w:p w14:paraId="47722C9F">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54773A3B">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3、投标文件的澄清、说明或补正</w:t>
      </w:r>
    </w:p>
    <w:p w14:paraId="02A0FE6E">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448D9EE0">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3E03D5C4">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3.3上述询标、澄清、说明和补正工作如因客观原因无法通过“政府采购云平台”在线进行的，将采用书面（含邮件）形式进行。</w:t>
      </w:r>
    </w:p>
    <w:p w14:paraId="13CE7995">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4、投标文件的错误修正</w:t>
      </w:r>
    </w:p>
    <w:p w14:paraId="5BB7D31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4.1《投标文件》如果出现计算或表达上的错误，修正错误的原则如下：</w:t>
      </w:r>
    </w:p>
    <w:p w14:paraId="37CA2FF7">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（1）投标文件中开标一览表（报价表）内容与投标文件中相应内容不一致的，以开标一览表（报价表）为准。</w:t>
      </w:r>
    </w:p>
    <w:p w14:paraId="3B0BBAB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（2）《投标文件》的大写金额和小写金额不一致的，以大写金额为准；</w:t>
      </w:r>
    </w:p>
    <w:p w14:paraId="2B77A285">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（3）单价金额小数点或者百分比有明显错位的，应以开标一览表（报价表）的总价为准，并修改单价；</w:t>
      </w:r>
    </w:p>
    <w:p w14:paraId="1DBB887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2C926511">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14:paraId="5371915F">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4.2对不同文字文本《投标文件》的解释发生异议的，以中文文本为准。</w:t>
      </w:r>
    </w:p>
    <w:p w14:paraId="46C6EBD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同时出现两种以上不一致的，按照前款规定的顺序修正。修正后的报价按照经投标人加盖CA</w:t>
      </w:r>
      <w:r>
        <w:rPr>
          <w:rFonts w:hint="eastAsia" w:ascii="宋体" w:hAnsi="宋体" w:eastAsia="宋体" w:cs="宋体"/>
          <w:bCs/>
          <w:color w:val="auto"/>
          <w:sz w:val="24"/>
          <w:szCs w:val="24"/>
          <w:highlight w:val="none"/>
          <w:lang w:eastAsia="zh-CN"/>
        </w:rPr>
        <w:t>签章</w:t>
      </w:r>
      <w:r>
        <w:rPr>
          <w:rFonts w:hint="eastAsia" w:ascii="宋体" w:hAnsi="宋体" w:eastAsia="宋体" w:cs="宋体"/>
          <w:bCs/>
          <w:color w:val="auto"/>
          <w:sz w:val="24"/>
          <w:szCs w:val="24"/>
          <w:highlight w:val="none"/>
        </w:rPr>
        <w:t>，由法定代表人或其授权的代表</w:t>
      </w:r>
      <w:r>
        <w:rPr>
          <w:rFonts w:hint="eastAsia" w:ascii="宋体" w:hAnsi="宋体" w:eastAsia="宋体" w:cs="宋体"/>
          <w:color w:val="auto"/>
          <w:sz w:val="24"/>
          <w:szCs w:val="24"/>
          <w:highlight w:val="none"/>
        </w:rPr>
        <w:t>签字或电子印章</w:t>
      </w:r>
      <w:r>
        <w:rPr>
          <w:rFonts w:hint="eastAsia" w:ascii="宋体" w:hAnsi="宋体" w:eastAsia="宋体" w:cs="宋体"/>
          <w:bCs/>
          <w:color w:val="auto"/>
          <w:sz w:val="24"/>
          <w:szCs w:val="24"/>
          <w:highlight w:val="none"/>
        </w:rPr>
        <w:t>确认后产生约束力，投标人不确认的，其投标无效。</w:t>
      </w:r>
    </w:p>
    <w:p w14:paraId="1702136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zh-CN"/>
        </w:rPr>
        <w:t>提供相同品牌产品的不同投标人参加同一合同项下投标的，按一家供应商认定：</w:t>
      </w:r>
    </w:p>
    <w:p w14:paraId="61BE1D2E">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bookmarkStart w:id="29" w:name="_Toc504504574"/>
      <w:bookmarkStart w:id="30" w:name="_Toc3505"/>
      <w:bookmarkStart w:id="31" w:name="_Toc514938678"/>
      <w:bookmarkStart w:id="32" w:name="_Toc510614926"/>
      <w:r>
        <w:rPr>
          <w:rFonts w:hint="eastAsia" w:ascii="宋体" w:hAnsi="宋体" w:eastAsia="宋体" w:cs="宋体"/>
          <w:bCs/>
          <w:color w:val="auto"/>
          <w:sz w:val="24"/>
          <w:szCs w:val="24"/>
          <w:highlight w:val="none"/>
        </w:rPr>
        <w:t>5.1</w:t>
      </w:r>
      <w:r>
        <w:rPr>
          <w:rFonts w:hint="eastAsia" w:ascii="宋体" w:hAnsi="宋体" w:eastAsia="宋体" w:cs="宋体"/>
          <w:bCs/>
          <w:color w:val="auto"/>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880C42">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5.2</w:t>
      </w:r>
      <w:r>
        <w:rPr>
          <w:rFonts w:hint="eastAsia" w:ascii="宋体" w:hAnsi="宋体" w:eastAsia="宋体" w:cs="宋体"/>
          <w:bCs/>
          <w:color w:val="auto"/>
          <w:sz w:val="24"/>
          <w:szCs w:val="24"/>
          <w:highlight w:val="none"/>
          <w:lang w:val="zh-CN"/>
        </w:rPr>
        <w:t>使用</w:t>
      </w:r>
      <w:r>
        <w:rPr>
          <w:rFonts w:hint="eastAsia" w:ascii="宋体" w:hAnsi="宋体" w:eastAsia="宋体" w:cs="宋体"/>
          <w:bCs/>
          <w:color w:val="auto"/>
          <w:sz w:val="24"/>
          <w:szCs w:val="24"/>
          <w:highlight w:val="none"/>
          <w:lang w:val="zh-CN" w:eastAsia="zh-CN"/>
        </w:rPr>
        <w:t xml:space="preserve">综合评分法的采购项目，提供相同品牌产品且通过资格审查、符合性审 </w:t>
      </w:r>
    </w:p>
    <w:p w14:paraId="415B3026">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97C59C">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5.3</w:t>
      </w:r>
      <w:r>
        <w:rPr>
          <w:rFonts w:hint="eastAsia" w:ascii="宋体" w:hAnsi="宋体" w:eastAsia="宋体" w:cs="宋体"/>
          <w:bCs/>
          <w:color w:val="auto"/>
          <w:sz w:val="24"/>
          <w:szCs w:val="24"/>
          <w:highlight w:val="none"/>
          <w:lang w:val="zh-CN" w:eastAsia="zh-CN"/>
        </w:rPr>
        <w:t>非单一产品采购项目，采购人应当根据采购项目技术构成、产品价格比重等合理确定核心产品，并在招标文件中载明。多家投标人提供的核心产品品牌相同的，按前两款规定处理。</w:t>
      </w:r>
    </w:p>
    <w:p w14:paraId="48680346">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bookmarkEnd w:id="29"/>
      <w:bookmarkEnd w:id="30"/>
      <w:bookmarkEnd w:id="31"/>
      <w:bookmarkEnd w:id="32"/>
    </w:p>
    <w:p w14:paraId="439A2133">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bookmarkStart w:id="33" w:name="_Toc534621006"/>
      <w:r>
        <w:rPr>
          <w:rFonts w:hint="eastAsia" w:ascii="宋体" w:hAnsi="宋体" w:eastAsia="宋体" w:cs="宋体"/>
          <w:b/>
          <w:color w:val="auto"/>
          <w:sz w:val="24"/>
          <w:szCs w:val="24"/>
          <w:highlight w:val="none"/>
        </w:rPr>
        <w:t>（一）采购结果确认（确定中标单位）</w:t>
      </w:r>
    </w:p>
    <w:p w14:paraId="7F48C93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本项目由采购人根据评标委员会提交的《评审报告》，通过“政府采购云平台”依法确认采购结果、确定中标单位。具体流程如下：</w:t>
      </w:r>
    </w:p>
    <w:p w14:paraId="6D7DCC0D">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1、本项目由评标委员会推荐中标候选人，采购</w:t>
      </w:r>
      <w:r>
        <w:rPr>
          <w:rFonts w:hint="eastAsia" w:ascii="宋体" w:hAnsi="宋体" w:eastAsia="宋体" w:cs="宋体"/>
          <w:bCs/>
          <w:color w:val="auto"/>
          <w:sz w:val="24"/>
          <w:szCs w:val="24"/>
          <w:highlight w:val="none"/>
          <w:lang w:eastAsia="zh-CN"/>
        </w:rPr>
        <w:t>组织</w:t>
      </w:r>
      <w:r>
        <w:rPr>
          <w:rFonts w:hint="eastAsia" w:ascii="宋体" w:hAnsi="宋体" w:eastAsia="宋体" w:cs="宋体"/>
          <w:bCs/>
          <w:color w:val="auto"/>
          <w:sz w:val="24"/>
          <w:szCs w:val="24"/>
          <w:highlight w:val="none"/>
        </w:rPr>
        <w:t>机构在评标结束后2个工作日内将评审报告交采购人确认。</w:t>
      </w:r>
      <w:bookmarkEnd w:id="33"/>
    </w:p>
    <w:p w14:paraId="4F7B0D9E">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bookmarkStart w:id="34" w:name="_Toc534621007"/>
      <w:r>
        <w:rPr>
          <w:rFonts w:hint="eastAsia" w:ascii="宋体" w:hAnsi="宋体" w:eastAsia="宋体" w:cs="宋体"/>
          <w:bCs/>
          <w:color w:val="auto"/>
          <w:sz w:val="24"/>
          <w:szCs w:val="24"/>
          <w:highlight w:val="none"/>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4"/>
    </w:p>
    <w:p w14:paraId="69D1D36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3、采购人及采购组织机构不对评审结果做任何解释。</w:t>
      </w:r>
    </w:p>
    <w:p w14:paraId="27ABF767">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（二）采购结果公告和中标通知书签发</w:t>
      </w:r>
    </w:p>
    <w:p w14:paraId="7846AFC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bCs/>
          <w:color w:val="auto"/>
          <w:sz w:val="24"/>
          <w:szCs w:val="24"/>
          <w:highlight w:val="none"/>
        </w:rPr>
        <w:t>1、采购结果经采购人确认后，采购</w:t>
      </w:r>
      <w:r>
        <w:rPr>
          <w:rFonts w:hint="eastAsia" w:ascii="宋体" w:hAnsi="宋体" w:eastAsia="宋体" w:cs="宋体"/>
          <w:bCs/>
          <w:color w:val="auto"/>
          <w:sz w:val="24"/>
          <w:szCs w:val="24"/>
          <w:highlight w:val="none"/>
          <w:lang w:eastAsia="zh-CN"/>
        </w:rPr>
        <w:t>组织</w:t>
      </w:r>
      <w:r>
        <w:rPr>
          <w:rFonts w:hint="eastAsia" w:ascii="宋体" w:hAnsi="宋体" w:eastAsia="宋体" w:cs="宋体"/>
          <w:bCs/>
          <w:color w:val="auto"/>
          <w:sz w:val="24"/>
          <w:szCs w:val="24"/>
          <w:highlight w:val="none"/>
        </w:rPr>
        <w:t>机构将于2个工作日内在浙江省政府采购网上发布中标公告，并向中标方签发书面《中标通知书》。</w:t>
      </w:r>
      <w:bookmarkStart w:id="35" w:name="_Hlk59369379"/>
      <w:r>
        <w:rPr>
          <w:rFonts w:hint="eastAsia" w:ascii="宋体" w:hAnsi="宋体" w:eastAsia="宋体" w:cs="宋体"/>
          <w:color w:val="auto"/>
          <w:sz w:val="24"/>
          <w:szCs w:val="24"/>
          <w:highlight w:val="none"/>
        </w:rPr>
        <w:t>为营造更优质的营商环境，</w:t>
      </w:r>
      <w:bookmarkStart w:id="36" w:name="_Hlk59708763"/>
      <w:r>
        <w:rPr>
          <w:rFonts w:hint="eastAsia" w:ascii="宋体" w:hAnsi="宋体" w:eastAsia="宋体" w:cs="宋体"/>
          <w:color w:val="auto"/>
          <w:sz w:val="24"/>
          <w:szCs w:val="24"/>
          <w:highlight w:val="none"/>
        </w:rPr>
        <w:t>中标人可选择采购</w:t>
      </w:r>
      <w:r>
        <w:rPr>
          <w:rFonts w:hint="eastAsia" w:ascii="宋体" w:hAnsi="宋体" w:eastAsia="宋体" w:cs="宋体"/>
          <w:color w:val="auto"/>
          <w:sz w:val="24"/>
          <w:szCs w:val="24"/>
          <w:highlight w:val="none"/>
          <w:lang w:eastAsia="zh-CN"/>
        </w:rPr>
        <w:t>组织</w:t>
      </w:r>
      <w:r>
        <w:rPr>
          <w:rFonts w:hint="eastAsia" w:ascii="宋体" w:hAnsi="宋体" w:eastAsia="宋体" w:cs="宋体"/>
          <w:color w:val="auto"/>
          <w:sz w:val="24"/>
          <w:szCs w:val="24"/>
          <w:highlight w:val="none"/>
        </w:rPr>
        <w:t>机构以邮寄方式向其寄达《中标通知书》（邮寄地址、收件人等信息请在“投标函”中详细写明，邮费可到付）。</w:t>
      </w:r>
      <w:bookmarkEnd w:id="36"/>
      <w:bookmarkStart w:id="37" w:name="_Hlk59708451"/>
      <w:r>
        <w:rPr>
          <w:rFonts w:hint="eastAsia" w:ascii="宋体" w:hAnsi="宋体" w:eastAsia="宋体" w:cs="宋体"/>
          <w:color w:val="auto"/>
          <w:sz w:val="24"/>
          <w:szCs w:val="24"/>
          <w:highlight w:val="none"/>
          <w:u w:val="single"/>
        </w:rPr>
        <w:t>同时中标人应在中标后</w:t>
      </w:r>
      <w:bookmarkStart w:id="38" w:name="_Hlk59521069"/>
      <w:r>
        <w:rPr>
          <w:rFonts w:hint="eastAsia" w:ascii="宋体" w:hAnsi="宋体" w:eastAsia="宋体" w:cs="宋体"/>
          <w:color w:val="auto"/>
          <w:sz w:val="24"/>
          <w:szCs w:val="24"/>
          <w:highlight w:val="none"/>
          <w:u w:val="single"/>
        </w:rPr>
        <w:t>以邮寄</w:t>
      </w:r>
      <w:bookmarkEnd w:id="38"/>
      <w:r>
        <w:rPr>
          <w:rFonts w:hint="eastAsia" w:ascii="宋体" w:hAnsi="宋体" w:eastAsia="宋体" w:cs="宋体"/>
          <w:color w:val="auto"/>
          <w:sz w:val="24"/>
          <w:szCs w:val="24"/>
          <w:highlight w:val="none"/>
          <w:u w:val="single"/>
        </w:rPr>
        <w:t>或其他方式向</w:t>
      </w:r>
      <w:bookmarkStart w:id="39" w:name="_Hlk59521051"/>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eastAsia="zh-CN"/>
        </w:rPr>
        <w:t>组织</w:t>
      </w:r>
      <w:r>
        <w:rPr>
          <w:rFonts w:hint="eastAsia" w:ascii="宋体" w:hAnsi="宋体" w:eastAsia="宋体" w:cs="宋体"/>
          <w:color w:val="auto"/>
          <w:sz w:val="24"/>
          <w:szCs w:val="24"/>
          <w:highlight w:val="none"/>
          <w:u w:val="single"/>
        </w:rPr>
        <w:t>机构</w:t>
      </w:r>
      <w:bookmarkEnd w:id="39"/>
      <w:r>
        <w:rPr>
          <w:rFonts w:hint="eastAsia" w:ascii="宋体" w:hAnsi="宋体" w:eastAsia="宋体" w:cs="宋体"/>
          <w:color w:val="auto"/>
          <w:sz w:val="24"/>
          <w:szCs w:val="24"/>
          <w:highlight w:val="none"/>
          <w:u w:val="single"/>
        </w:rPr>
        <w:t>提供2套与电子版投标文件相同的胶装版本投标文件。</w:t>
      </w:r>
      <w:bookmarkEnd w:id="35"/>
      <w:bookmarkEnd w:id="37"/>
    </w:p>
    <w:p w14:paraId="42EE9232">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2、中标公告期限为1个工作日</w:t>
      </w:r>
      <w:r>
        <w:rPr>
          <w:rFonts w:hint="eastAsia" w:ascii="宋体" w:hAnsi="宋体" w:eastAsia="宋体" w:cs="宋体"/>
          <w:bCs/>
          <w:color w:val="auto"/>
          <w:sz w:val="24"/>
          <w:szCs w:val="24"/>
          <w:highlight w:val="none"/>
          <w:lang w:eastAsia="zh-CN"/>
        </w:rPr>
        <w:t>。</w:t>
      </w:r>
    </w:p>
    <w:p w14:paraId="18EB1C7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3、中标通知书发出后，中标单位无正当理由不得放弃中标。</w:t>
      </w:r>
    </w:p>
    <w:p w14:paraId="3A55A89E">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七、合同签订及公告</w:t>
      </w:r>
    </w:p>
    <w:p w14:paraId="4E139F21">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14:paraId="3B075BD3">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1、采购人与中标单位应当在《中标通知书》发出之日起30日内持《中标通知书》与采购人签订《政府采购合同》。</w:t>
      </w:r>
    </w:p>
    <w:p w14:paraId="01E609BD">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2、所签订的合同不得对招标文件确定的事项和中标人投标文件作实质性修改。采购代理机构将根据采购人的委托，对合同内容进行审查鉴证，如发现与采购结果和投标承诺内容不一致的，将予以纠正。</w:t>
      </w:r>
    </w:p>
    <w:p w14:paraId="2198B30C">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3、采购人不得向中标人提出任何不合理的要求作为签订合同的条件。</w:t>
      </w:r>
    </w:p>
    <w:p w14:paraId="058FFD9B">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FECA502">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5、询问或者质疑事项可能影响中标结果的，采购人应当暂停签订合同，已经签订合同的，应当中止履行合同（中标结果的质疑期为中标结果公告期限届满之日起七个工作日）。</w:t>
      </w:r>
    </w:p>
    <w:p w14:paraId="60E8CF14">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（二）合同公告及备案</w:t>
      </w:r>
    </w:p>
    <w:p w14:paraId="0610F634">
      <w:pPr>
        <w:pStyle w:val="18"/>
        <w:keepNext w:val="0"/>
        <w:keepLines w:val="0"/>
        <w:pageBreakBefore w:val="0"/>
        <w:kinsoku/>
        <w:wordWrap/>
        <w:overflowPunct/>
        <w:topLinePunct w:val="0"/>
        <w:bidi w:val="0"/>
        <w:adjustRightInd w:val="0"/>
        <w:snapToGrid w:val="0"/>
        <w:spacing w:line="45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1、采购人应当自政府采购合同签订之日起2个工作日内，在省级以上财政部门指定的政府采购信息发布媒体及相关网站上公告。</w:t>
      </w:r>
    </w:p>
    <w:p w14:paraId="339A5145">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2、采购人应当自政府采购合同签订之日起7个工作日内，将政府采购合同副本报同级人民政府财政部门备案以及采购组织机构存档。</w:t>
      </w:r>
    </w:p>
    <w:p w14:paraId="2D55C22F">
      <w:pPr>
        <w:pStyle w:val="36"/>
        <w:spacing w:before="0" w:beforeAutospacing="0" w:after="0" w:afterAutospacing="0" w:line="450" w:lineRule="exact"/>
        <w:jc w:val="both"/>
        <w:rPr>
          <w:b/>
          <w:color w:val="auto"/>
          <w:szCs w:val="24"/>
          <w:highlight w:val="none"/>
        </w:rPr>
      </w:pPr>
      <w:r>
        <w:rPr>
          <w:color w:val="auto"/>
          <w:szCs w:val="24"/>
          <w:highlight w:val="none"/>
        </w:rPr>
        <w:br w:type="page"/>
      </w:r>
    </w:p>
    <w:bookmarkEnd w:id="3"/>
    <w:p w14:paraId="4434D271">
      <w:pPr>
        <w:widowControl w:val="0"/>
        <w:spacing w:line="360" w:lineRule="auto"/>
        <w:jc w:val="center"/>
        <w:rPr>
          <w:rFonts w:ascii="方正小标宋简体" w:hAnsi="方正小标宋简体" w:eastAsia="方正小标宋简体"/>
          <w:b/>
          <w:bCs/>
          <w:color w:val="auto"/>
          <w:sz w:val="40"/>
          <w:szCs w:val="18"/>
          <w:highlight w:val="none"/>
        </w:rPr>
      </w:pPr>
      <w:bookmarkStart w:id="40" w:name="_Toc202235414"/>
      <w:r>
        <w:rPr>
          <w:rFonts w:hint="eastAsia" w:ascii="宋体" w:hAnsi="宋体" w:eastAsia="宋体" w:cs="宋体"/>
          <w:b/>
          <w:bCs/>
          <w:color w:val="auto"/>
          <w:sz w:val="40"/>
          <w:szCs w:val="18"/>
          <w:highlight w:val="none"/>
        </w:rPr>
        <w:t>第三章  评标办法及评分标准</w:t>
      </w:r>
    </w:p>
    <w:p w14:paraId="3AC60E7B">
      <w:pPr>
        <w:autoSpaceDE w:val="0"/>
        <w:autoSpaceDN w:val="0"/>
        <w:spacing w:line="360" w:lineRule="auto"/>
        <w:ind w:firstLine="480" w:firstLineChars="200"/>
        <w:rPr>
          <w:rFonts w:ascii="宋体" w:hAnsi="宋体"/>
          <w:color w:val="auto"/>
          <w:sz w:val="24"/>
          <w:highlight w:val="none"/>
        </w:rPr>
      </w:pPr>
    </w:p>
    <w:p w14:paraId="56645111">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4BF470FC">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highlight w:val="none"/>
        </w:rPr>
      </w:pPr>
      <w:bookmarkStart w:id="41" w:name="_Toc297662419"/>
      <w:bookmarkStart w:id="42" w:name="_Toc24759"/>
      <w:bookmarkStart w:id="43" w:name="_Toc22707"/>
      <w:r>
        <w:rPr>
          <w:rFonts w:hint="eastAsia" w:ascii="宋体" w:hAnsi="宋体"/>
          <w:b/>
          <w:bCs/>
          <w:color w:val="auto"/>
          <w:sz w:val="24"/>
          <w:highlight w:val="none"/>
        </w:rPr>
        <w:t>一、评标组织</w:t>
      </w:r>
      <w:bookmarkEnd w:id="41"/>
      <w:bookmarkEnd w:id="42"/>
      <w:bookmarkEnd w:id="43"/>
    </w:p>
    <w:p w14:paraId="38F3AC1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val="0"/>
          <w:bCs w:val="0"/>
          <w:color w:val="auto"/>
          <w:sz w:val="24"/>
          <w:szCs w:val="24"/>
          <w:highlight w:val="none"/>
          <w:lang w:val="en-US" w:eastAsia="zh-CN"/>
        </w:rPr>
        <w:t>5</w:t>
      </w:r>
      <w:r>
        <w:rPr>
          <w:rFonts w:hint="eastAsia" w:hAnsi="宋体"/>
          <w:color w:val="auto"/>
          <w:sz w:val="24"/>
          <w:szCs w:val="24"/>
          <w:highlight w:val="none"/>
        </w:rPr>
        <w:t>人。</w:t>
      </w:r>
    </w:p>
    <w:p w14:paraId="4BBC2814">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highlight w:val="none"/>
        </w:rPr>
      </w:pPr>
      <w:bookmarkStart w:id="44" w:name="_Toc297662420"/>
      <w:bookmarkStart w:id="45" w:name="_Toc11215"/>
      <w:bookmarkStart w:id="46" w:name="_Toc29450"/>
      <w:r>
        <w:rPr>
          <w:rFonts w:hint="eastAsia" w:ascii="宋体" w:hAnsi="宋体"/>
          <w:b/>
          <w:bCs/>
          <w:color w:val="auto"/>
          <w:sz w:val="24"/>
          <w:highlight w:val="none"/>
        </w:rPr>
        <w:t>二、评标方法</w:t>
      </w:r>
      <w:bookmarkEnd w:id="44"/>
      <w:bookmarkEnd w:id="45"/>
      <w:bookmarkEnd w:id="46"/>
    </w:p>
    <w:p w14:paraId="4D64860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w:t>
      </w:r>
    </w:p>
    <w:p w14:paraId="4B0BB4D9">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82"/>
        <w:gridCol w:w="6338"/>
      </w:tblGrid>
      <w:tr w14:paraId="0C9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6BF8B985">
            <w:pPr>
              <w:pStyle w:val="100"/>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1</w:t>
            </w:r>
          </w:p>
        </w:tc>
        <w:tc>
          <w:tcPr>
            <w:tcW w:w="2282" w:type="dxa"/>
            <w:tcMar>
              <w:top w:w="113" w:type="dxa"/>
              <w:left w:w="170" w:type="dxa"/>
              <w:bottom w:w="0" w:type="dxa"/>
              <w:right w:w="0" w:type="dxa"/>
            </w:tcMar>
            <w:vAlign w:val="center"/>
          </w:tcPr>
          <w:p w14:paraId="5897EB03">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参加采购活动前3年内，在经营活动中没有重大违法记录</w:t>
            </w:r>
            <w:r>
              <w:rPr>
                <w:rFonts w:hint="eastAsia" w:cs="宋体"/>
                <w:color w:val="auto"/>
                <w:spacing w:val="0"/>
                <w:w w:val="100"/>
                <w:sz w:val="24"/>
                <w:szCs w:val="24"/>
                <w:highlight w:val="none"/>
                <w:lang w:val="en-US" w:eastAsia="zh-CN"/>
              </w:rPr>
              <w:t>、</w:t>
            </w:r>
            <w:r>
              <w:rPr>
                <w:rFonts w:hint="eastAsia" w:cs="宋体"/>
                <w:color w:val="auto"/>
                <w:spacing w:val="0"/>
                <w:w w:val="100"/>
                <w:sz w:val="24"/>
                <w:szCs w:val="24"/>
                <w:highlight w:val="none"/>
                <w:lang w:eastAsia="zh-CN"/>
              </w:rPr>
              <w:t>没有税收缴纳、社会保障等方面的失信记录的承诺。</w:t>
            </w:r>
          </w:p>
        </w:tc>
        <w:tc>
          <w:tcPr>
            <w:tcW w:w="6338" w:type="dxa"/>
            <w:tcMar>
              <w:top w:w="113" w:type="dxa"/>
              <w:left w:w="170" w:type="dxa"/>
              <w:bottom w:w="0" w:type="dxa"/>
              <w:right w:w="0" w:type="dxa"/>
            </w:tcMar>
            <w:vAlign w:val="center"/>
          </w:tcPr>
          <w:p w14:paraId="14750EDA">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参照投标声明书</w:t>
            </w:r>
            <w:r>
              <w:rPr>
                <w:rFonts w:hint="eastAsia" w:cs="宋体"/>
                <w:b/>
                <w:bCs/>
                <w:color w:val="auto"/>
                <w:spacing w:val="0"/>
                <w:w w:val="100"/>
                <w:sz w:val="24"/>
                <w:szCs w:val="24"/>
                <w:highlight w:val="none"/>
                <w:lang w:val="en-US" w:eastAsia="zh-CN"/>
              </w:rPr>
              <w:t>(格式见附件1)</w:t>
            </w:r>
            <w:r>
              <w:rPr>
                <w:rFonts w:hint="eastAsia" w:ascii="宋体" w:hAnsi="宋体" w:eastAsia="宋体" w:cs="宋体"/>
                <w:color w:val="auto"/>
                <w:spacing w:val="0"/>
                <w:w w:val="100"/>
                <w:sz w:val="24"/>
                <w:szCs w:val="24"/>
                <w:highlight w:val="none"/>
              </w:rPr>
              <w:t>相关承诺内容。</w:t>
            </w:r>
          </w:p>
          <w:p w14:paraId="79C99153">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color w:val="auto"/>
                <w:spacing w:val="0"/>
                <w:w w:val="100"/>
                <w:sz w:val="24"/>
                <w:szCs w:val="24"/>
                <w:highlight w:val="none"/>
                <w:lang w:eastAsia="zh-CN"/>
              </w:rPr>
              <w:t>的认定按照财库</w:t>
            </w:r>
            <w:r>
              <w:rPr>
                <w:rFonts w:hint="eastAsia" w:cs="宋体"/>
                <w:color w:val="auto"/>
                <w:spacing w:val="0"/>
                <w:w w:val="100"/>
                <w:sz w:val="24"/>
                <w:szCs w:val="24"/>
                <w:highlight w:val="none"/>
                <w:lang w:val="en-US" w:eastAsia="zh-CN"/>
              </w:rPr>
              <w:t>[2023]3号文件规定执行</w:t>
            </w:r>
            <w:r>
              <w:rPr>
                <w:rFonts w:hint="eastAsia" w:ascii="宋体" w:hAnsi="宋体" w:eastAsia="宋体" w:cs="宋体"/>
                <w:color w:val="auto"/>
                <w:spacing w:val="0"/>
                <w:w w:val="100"/>
                <w:sz w:val="24"/>
                <w:szCs w:val="24"/>
                <w:highlight w:val="none"/>
              </w:rPr>
              <w:t>）</w:t>
            </w:r>
          </w:p>
        </w:tc>
      </w:tr>
      <w:tr w14:paraId="0DD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578" w:type="dxa"/>
            <w:tcMar>
              <w:top w:w="113" w:type="dxa"/>
              <w:left w:w="170" w:type="dxa"/>
              <w:bottom w:w="0" w:type="dxa"/>
              <w:right w:w="0" w:type="dxa"/>
            </w:tcMar>
            <w:vAlign w:val="center"/>
          </w:tcPr>
          <w:p w14:paraId="737819E1">
            <w:pPr>
              <w:pStyle w:val="100"/>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2282" w:type="dxa"/>
            <w:tcMar>
              <w:top w:w="113" w:type="dxa"/>
              <w:left w:w="170" w:type="dxa"/>
              <w:bottom w:w="0" w:type="dxa"/>
              <w:right w:w="0" w:type="dxa"/>
            </w:tcMar>
            <w:vAlign w:val="center"/>
          </w:tcPr>
          <w:p w14:paraId="18CD993C">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法定代表人授权委托书</w:t>
            </w:r>
          </w:p>
        </w:tc>
        <w:tc>
          <w:tcPr>
            <w:tcW w:w="6338" w:type="dxa"/>
            <w:tcMar>
              <w:top w:w="113" w:type="dxa"/>
              <w:left w:w="170" w:type="dxa"/>
              <w:bottom w:w="0" w:type="dxa"/>
              <w:right w:w="0" w:type="dxa"/>
            </w:tcMar>
            <w:vAlign w:val="center"/>
          </w:tcPr>
          <w:p w14:paraId="08FAA367">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法定代表人授权委托书，按对应格式文件签署、盖章。</w:t>
            </w:r>
            <w:r>
              <w:rPr>
                <w:rFonts w:hint="eastAsia"/>
                <w:b/>
                <w:bCs/>
                <w:color w:val="auto"/>
                <w:sz w:val="24"/>
                <w:szCs w:val="24"/>
                <w:highlight w:val="none"/>
                <w:lang w:eastAsia="zh-CN"/>
              </w:rPr>
              <w:t>（格式见附件</w:t>
            </w:r>
            <w:r>
              <w:rPr>
                <w:rFonts w:hint="eastAsia"/>
                <w:b/>
                <w:bCs/>
                <w:color w:val="auto"/>
                <w:sz w:val="24"/>
                <w:szCs w:val="24"/>
                <w:highlight w:val="none"/>
                <w:lang w:val="en-US" w:eastAsia="zh-CN"/>
              </w:rPr>
              <w:t>2</w:t>
            </w:r>
            <w:r>
              <w:rPr>
                <w:rFonts w:hint="eastAsia"/>
                <w:b/>
                <w:bCs/>
                <w:color w:val="auto"/>
                <w:sz w:val="24"/>
                <w:szCs w:val="24"/>
                <w:highlight w:val="none"/>
                <w:lang w:eastAsia="zh-CN"/>
              </w:rPr>
              <w:t>）</w:t>
            </w:r>
          </w:p>
        </w:tc>
      </w:tr>
      <w:tr w14:paraId="3708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50D73C2D">
            <w:pPr>
              <w:pStyle w:val="100"/>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3</w:t>
            </w:r>
          </w:p>
        </w:tc>
        <w:tc>
          <w:tcPr>
            <w:tcW w:w="2282" w:type="dxa"/>
            <w:tcMar>
              <w:top w:w="113" w:type="dxa"/>
              <w:left w:w="170" w:type="dxa"/>
              <w:bottom w:w="0" w:type="dxa"/>
              <w:right w:w="0" w:type="dxa"/>
            </w:tcMar>
            <w:vAlign w:val="center"/>
          </w:tcPr>
          <w:p w14:paraId="3917118C">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具有独立承担民事责任的能力</w:t>
            </w:r>
          </w:p>
        </w:tc>
        <w:tc>
          <w:tcPr>
            <w:tcW w:w="6338" w:type="dxa"/>
            <w:tcMar>
              <w:top w:w="113" w:type="dxa"/>
              <w:left w:w="170" w:type="dxa"/>
              <w:bottom w:w="0" w:type="dxa"/>
              <w:right w:w="0" w:type="dxa"/>
            </w:tcMar>
            <w:vAlign w:val="center"/>
          </w:tcPr>
          <w:p w14:paraId="466AAD7B">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在中华人民共和国境内注册的法人或其他组织或自然人，</w:t>
            </w:r>
            <w:r>
              <w:rPr>
                <w:rFonts w:hint="eastAsia" w:ascii="宋体" w:hAnsi="宋体" w:eastAsia="宋体" w:cs="宋体"/>
                <w:b/>
                <w:bCs/>
                <w:color w:val="auto"/>
                <w:spacing w:val="0"/>
                <w:w w:val="100"/>
                <w:sz w:val="24"/>
                <w:szCs w:val="24"/>
                <w:highlight w:val="none"/>
              </w:rPr>
              <w:t>投标时提交有效的营业执照（或事业法人登记证或身份证等相关证明）扫描件</w:t>
            </w:r>
            <w:r>
              <w:rPr>
                <w:rFonts w:hint="eastAsia" w:ascii="宋体" w:hAnsi="宋体" w:eastAsia="宋体" w:cs="宋体"/>
                <w:color w:val="auto"/>
                <w:spacing w:val="0"/>
                <w:w w:val="100"/>
                <w:sz w:val="24"/>
                <w:szCs w:val="24"/>
                <w:highlight w:val="none"/>
              </w:rPr>
              <w:t>。</w:t>
            </w:r>
          </w:p>
        </w:tc>
      </w:tr>
      <w:tr w14:paraId="752F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578" w:type="dxa"/>
            <w:tcMar>
              <w:top w:w="113" w:type="dxa"/>
              <w:left w:w="170" w:type="dxa"/>
              <w:bottom w:w="0" w:type="dxa"/>
              <w:right w:w="0" w:type="dxa"/>
            </w:tcMar>
            <w:vAlign w:val="center"/>
          </w:tcPr>
          <w:p w14:paraId="5A99042A">
            <w:pPr>
              <w:pStyle w:val="100"/>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4</w:t>
            </w:r>
          </w:p>
        </w:tc>
        <w:tc>
          <w:tcPr>
            <w:tcW w:w="2282" w:type="dxa"/>
            <w:tcMar>
              <w:top w:w="113" w:type="dxa"/>
              <w:left w:w="170" w:type="dxa"/>
              <w:bottom w:w="0" w:type="dxa"/>
              <w:right w:w="0" w:type="dxa"/>
            </w:tcMar>
            <w:vAlign w:val="center"/>
          </w:tcPr>
          <w:p w14:paraId="5D874FDB">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履行合同所必需的设备和专业技术能力</w:t>
            </w:r>
          </w:p>
        </w:tc>
        <w:tc>
          <w:tcPr>
            <w:tcW w:w="6338" w:type="dxa"/>
            <w:tcMar>
              <w:top w:w="113" w:type="dxa"/>
              <w:left w:w="170" w:type="dxa"/>
              <w:bottom w:w="0" w:type="dxa"/>
              <w:right w:w="0" w:type="dxa"/>
            </w:tcMar>
            <w:vAlign w:val="center"/>
          </w:tcPr>
          <w:p w14:paraId="0E4D84E1">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cs="宋体"/>
                <w:color w:val="auto"/>
                <w:spacing w:val="0"/>
                <w:w w:val="100"/>
                <w:sz w:val="24"/>
                <w:szCs w:val="24"/>
                <w:highlight w:val="none"/>
                <w:lang w:eastAsia="zh-CN"/>
              </w:rPr>
              <w:t>签署具备履行合同所必需的设备和专业服务（技术）能力的承诺函</w:t>
            </w:r>
            <w:r>
              <w:rPr>
                <w:rFonts w:hint="eastAsia" w:cs="宋体"/>
                <w:b/>
                <w:bCs/>
                <w:color w:val="auto"/>
                <w:spacing w:val="0"/>
                <w:w w:val="100"/>
                <w:sz w:val="24"/>
                <w:szCs w:val="24"/>
                <w:highlight w:val="none"/>
                <w:lang w:eastAsia="zh-CN"/>
              </w:rPr>
              <w:t>（格式见附件</w:t>
            </w:r>
            <w:r>
              <w:rPr>
                <w:rFonts w:hint="eastAsia" w:cs="宋体"/>
                <w:b/>
                <w:bCs/>
                <w:color w:val="auto"/>
                <w:spacing w:val="0"/>
                <w:w w:val="100"/>
                <w:sz w:val="24"/>
                <w:szCs w:val="24"/>
                <w:highlight w:val="none"/>
                <w:lang w:val="en-US" w:eastAsia="zh-CN"/>
              </w:rPr>
              <w:t>3</w:t>
            </w:r>
            <w:r>
              <w:rPr>
                <w:rFonts w:hint="eastAsia" w:cs="宋体"/>
                <w:b/>
                <w:bCs/>
                <w:color w:val="auto"/>
                <w:spacing w:val="0"/>
                <w:w w:val="100"/>
                <w:sz w:val="24"/>
                <w:szCs w:val="24"/>
                <w:highlight w:val="none"/>
                <w:lang w:eastAsia="zh-CN"/>
              </w:rPr>
              <w:t>）</w:t>
            </w:r>
          </w:p>
        </w:tc>
      </w:tr>
      <w:tr w14:paraId="3BC2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jc w:val="center"/>
        </w:trPr>
        <w:tc>
          <w:tcPr>
            <w:tcW w:w="578" w:type="dxa"/>
            <w:shd w:val="clear" w:color="auto" w:fill="auto"/>
            <w:tcMar>
              <w:top w:w="113" w:type="dxa"/>
              <w:left w:w="170" w:type="dxa"/>
              <w:bottom w:w="0" w:type="dxa"/>
              <w:right w:w="0" w:type="dxa"/>
            </w:tcMar>
            <w:vAlign w:val="center"/>
          </w:tcPr>
          <w:p w14:paraId="26186C21">
            <w:pPr>
              <w:pStyle w:val="100"/>
              <w:keepNext w:val="0"/>
              <w:keepLines w:val="0"/>
              <w:pageBreakBefore w:val="0"/>
              <w:kinsoku/>
              <w:wordWrap/>
              <w:overflowPunct/>
              <w:topLinePunct w:val="0"/>
              <w:autoSpaceDE/>
              <w:autoSpaceDN/>
              <w:bidi w:val="0"/>
              <w:adjustRightInd w:val="0"/>
              <w:snapToGrid w:val="0"/>
              <w:spacing w:line="240" w:lineRule="auto"/>
              <w:ind w:left="0" w:leftChars="0" w:right="0"/>
              <w:jc w:val="both"/>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5</w:t>
            </w:r>
          </w:p>
        </w:tc>
        <w:tc>
          <w:tcPr>
            <w:tcW w:w="2282" w:type="dxa"/>
            <w:shd w:val="clear" w:color="auto" w:fill="auto"/>
            <w:tcMar>
              <w:top w:w="113" w:type="dxa"/>
              <w:left w:w="170" w:type="dxa"/>
              <w:bottom w:w="0" w:type="dxa"/>
              <w:right w:w="0" w:type="dxa"/>
            </w:tcMar>
            <w:vAlign w:val="center"/>
          </w:tcPr>
          <w:p w14:paraId="7A1A4A49">
            <w:pPr>
              <w:pStyle w:val="100"/>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信用记录</w:t>
            </w:r>
          </w:p>
        </w:tc>
        <w:tc>
          <w:tcPr>
            <w:tcW w:w="6338" w:type="dxa"/>
            <w:shd w:val="clear" w:color="auto" w:fill="auto"/>
            <w:tcMar>
              <w:top w:w="113" w:type="dxa"/>
              <w:left w:w="170" w:type="dxa"/>
              <w:bottom w:w="0" w:type="dxa"/>
              <w:right w:w="0" w:type="dxa"/>
            </w:tcMar>
            <w:vAlign w:val="center"/>
          </w:tcPr>
          <w:p w14:paraId="574E5FBF">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1.截止时点：</w:t>
            </w:r>
            <w:r>
              <w:rPr>
                <w:rFonts w:hint="eastAsia" w:ascii="宋体" w:hAnsi="宋体" w:eastAsia="宋体" w:cs="宋体"/>
                <w:color w:val="auto"/>
                <w:spacing w:val="0"/>
                <w:w w:val="100"/>
                <w:sz w:val="24"/>
                <w:szCs w:val="24"/>
                <w:highlight w:val="none"/>
                <w:lang w:eastAsia="zh-CN"/>
              </w:rPr>
              <w:t>开标后评标前</w:t>
            </w:r>
            <w:r>
              <w:rPr>
                <w:rFonts w:hint="eastAsia" w:ascii="宋体" w:hAnsi="宋体" w:eastAsia="宋体" w:cs="宋体"/>
                <w:color w:val="auto"/>
                <w:spacing w:val="0"/>
                <w:w w:val="100"/>
                <w:sz w:val="24"/>
                <w:szCs w:val="24"/>
                <w:highlight w:val="none"/>
              </w:rPr>
              <w:t>。</w:t>
            </w:r>
          </w:p>
          <w:p w14:paraId="3DB967C5">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2.信用信息查询记录和证据留存的具体方式：由</w:t>
            </w:r>
            <w:r>
              <w:rPr>
                <w:rFonts w:hint="eastAsia" w:ascii="宋体" w:hAnsi="宋体" w:eastAsia="宋体" w:cs="宋体"/>
                <w:b/>
                <w:bCs/>
                <w:color w:val="auto"/>
                <w:spacing w:val="0"/>
                <w:w w:val="100"/>
                <w:sz w:val="24"/>
                <w:szCs w:val="24"/>
                <w:highlight w:val="none"/>
              </w:rPr>
              <w:t>采购组织机构</w:t>
            </w:r>
            <w:r>
              <w:rPr>
                <w:rFonts w:hint="eastAsia" w:ascii="宋体" w:hAnsi="宋体" w:eastAsia="宋体" w:cs="宋体"/>
                <w:color w:val="auto"/>
                <w:spacing w:val="0"/>
                <w:w w:val="100"/>
                <w:sz w:val="24"/>
                <w:szCs w:val="24"/>
                <w:highlight w:val="none"/>
              </w:rPr>
              <w:t>在规定查询时间内打印信用信息查询记录并归入项目档案。</w:t>
            </w:r>
            <w:r>
              <w:rPr>
                <w:rFonts w:hint="eastAsia" w:ascii="宋体" w:hAnsi="宋体" w:eastAsia="宋体" w:cs="宋体"/>
                <w:color w:val="auto"/>
                <w:spacing w:val="0"/>
                <w:w w:val="100"/>
                <w:sz w:val="24"/>
                <w:szCs w:val="24"/>
                <w:highlight w:val="none"/>
              </w:rPr>
              <w:br w:type="textWrapping"/>
            </w:r>
            <w:r>
              <w:rPr>
                <w:rFonts w:hint="eastAsia" w:ascii="宋体" w:hAnsi="宋体" w:eastAsia="宋体" w:cs="宋体"/>
                <w:color w:val="auto"/>
                <w:spacing w:val="0"/>
                <w:w w:val="100"/>
                <w:sz w:val="24"/>
                <w:szCs w:val="24"/>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1095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578" w:type="dxa"/>
            <w:tcMar>
              <w:top w:w="113" w:type="dxa"/>
              <w:left w:w="170" w:type="dxa"/>
              <w:bottom w:w="0" w:type="dxa"/>
              <w:right w:w="0" w:type="dxa"/>
            </w:tcMar>
            <w:vAlign w:val="center"/>
          </w:tcPr>
          <w:p w14:paraId="4A0854E9">
            <w:pPr>
              <w:pStyle w:val="100"/>
              <w:keepNext w:val="0"/>
              <w:keepLines w:val="0"/>
              <w:pageBreakBefore w:val="0"/>
              <w:kinsoku/>
              <w:wordWrap/>
              <w:overflowPunct/>
              <w:topLinePunct w:val="0"/>
              <w:autoSpaceDE/>
              <w:autoSpaceDN/>
              <w:bidi w:val="0"/>
              <w:adjustRightInd w:val="0"/>
              <w:snapToGrid w:val="0"/>
              <w:spacing w:line="240" w:lineRule="auto"/>
              <w:ind w:left="0" w:leftChars="0" w:right="0"/>
              <w:jc w:val="both"/>
              <w:textAlignment w:val="auto"/>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6</w:t>
            </w:r>
          </w:p>
        </w:tc>
        <w:tc>
          <w:tcPr>
            <w:tcW w:w="2282" w:type="dxa"/>
            <w:tcMar>
              <w:top w:w="113" w:type="dxa"/>
              <w:left w:w="170" w:type="dxa"/>
              <w:bottom w:w="0" w:type="dxa"/>
              <w:right w:w="0" w:type="dxa"/>
            </w:tcMar>
            <w:vAlign w:val="center"/>
          </w:tcPr>
          <w:p w14:paraId="0578C8AD">
            <w:pPr>
              <w:pStyle w:val="100"/>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落实政府采购政策需满足的资格要求</w:t>
            </w:r>
            <w:r>
              <w:rPr>
                <w:rFonts w:hint="eastAsia" w:ascii="宋体" w:hAnsi="宋体" w:eastAsia="宋体" w:cs="宋体"/>
                <w:color w:val="auto"/>
                <w:spacing w:val="0"/>
                <w:w w:val="100"/>
                <w:sz w:val="24"/>
                <w:szCs w:val="24"/>
                <w:highlight w:val="none"/>
                <w:lang w:eastAsia="zh-CN"/>
              </w:rPr>
              <w:t>（</w:t>
            </w:r>
            <w:r>
              <w:rPr>
                <w:rFonts w:hint="eastAsia" w:cs="宋体"/>
                <w:color w:val="auto"/>
                <w:spacing w:val="0"/>
                <w:w w:val="100"/>
                <w:sz w:val="24"/>
                <w:szCs w:val="24"/>
                <w:highlight w:val="none"/>
                <w:lang w:eastAsia="zh-CN"/>
              </w:rPr>
              <w:t>联合体投标）</w:t>
            </w:r>
          </w:p>
        </w:tc>
        <w:tc>
          <w:tcPr>
            <w:tcW w:w="6338" w:type="dxa"/>
            <w:tcMar>
              <w:top w:w="113" w:type="dxa"/>
              <w:left w:w="170" w:type="dxa"/>
              <w:bottom w:w="0" w:type="dxa"/>
              <w:right w:w="0" w:type="dxa"/>
            </w:tcMar>
            <w:vAlign w:val="center"/>
          </w:tcPr>
          <w:p w14:paraId="4F7BEA1C">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rPr>
              <w:t>本项目</w:t>
            </w:r>
            <w:r>
              <w:rPr>
                <w:rFonts w:hint="eastAsia" w:cs="宋体"/>
                <w:b w:val="0"/>
                <w:bCs w:val="0"/>
                <w:color w:val="auto"/>
                <w:spacing w:val="0"/>
                <w:w w:val="100"/>
                <w:sz w:val="24"/>
                <w:szCs w:val="24"/>
                <w:highlight w:val="none"/>
                <w:lang w:eastAsia="zh-CN"/>
              </w:rPr>
              <w:t>不</w:t>
            </w:r>
            <w:r>
              <w:rPr>
                <w:rFonts w:hint="eastAsia" w:ascii="宋体" w:hAnsi="宋体" w:eastAsia="宋体" w:cs="宋体"/>
                <w:b w:val="0"/>
                <w:bCs w:val="0"/>
                <w:color w:val="auto"/>
                <w:spacing w:val="0"/>
                <w:w w:val="100"/>
                <w:sz w:val="24"/>
                <w:szCs w:val="24"/>
                <w:highlight w:val="none"/>
              </w:rPr>
              <w:t>接受联合体投标</w:t>
            </w:r>
            <w:r>
              <w:rPr>
                <w:rFonts w:hint="eastAsia" w:ascii="宋体" w:hAnsi="宋体" w:eastAsia="宋体" w:cs="宋体"/>
                <w:color w:val="auto"/>
                <w:spacing w:val="0"/>
                <w:w w:val="100"/>
                <w:sz w:val="24"/>
                <w:szCs w:val="24"/>
                <w:highlight w:val="none"/>
              </w:rPr>
              <w:t>（</w:t>
            </w:r>
            <w:r>
              <w:rPr>
                <w:rFonts w:hint="eastAsia" w:cs="宋体"/>
                <w:color w:val="auto"/>
                <w:spacing w:val="0"/>
                <w:w w:val="100"/>
                <w:sz w:val="24"/>
                <w:szCs w:val="24"/>
                <w:highlight w:val="none"/>
                <w:lang w:eastAsia="zh-CN"/>
              </w:rPr>
              <w:t>如</w:t>
            </w:r>
            <w:r>
              <w:rPr>
                <w:rFonts w:hint="eastAsia" w:ascii="宋体" w:hAnsi="宋体" w:eastAsia="宋体" w:cs="宋体"/>
                <w:color w:val="auto"/>
                <w:spacing w:val="0"/>
                <w:w w:val="100"/>
                <w:sz w:val="24"/>
                <w:szCs w:val="24"/>
                <w:highlight w:val="none"/>
              </w:rPr>
              <w:t>以联合体形式投标时，提交《联合体投标协议书》</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联合投标授权委托书</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原件</w:t>
            </w:r>
            <w:r>
              <w:rPr>
                <w:rFonts w:hint="eastAsia" w:ascii="宋体" w:hAnsi="宋体" w:eastAsia="宋体" w:cs="宋体"/>
                <w:color w:val="auto"/>
                <w:spacing w:val="0"/>
                <w:w w:val="100"/>
                <w:sz w:val="24"/>
                <w:szCs w:val="24"/>
                <w:highlight w:val="none"/>
                <w:lang w:eastAsia="zh-CN"/>
              </w:rPr>
              <w:t>扫描件</w:t>
            </w:r>
            <w:r>
              <w:rPr>
                <w:rFonts w:hint="eastAsia" w:ascii="宋体" w:hAnsi="宋体" w:eastAsia="宋体" w:cs="宋体"/>
                <w:color w:val="auto"/>
                <w:spacing w:val="0"/>
                <w:w w:val="100"/>
                <w:sz w:val="24"/>
                <w:szCs w:val="24"/>
                <w:highlight w:val="none"/>
              </w:rPr>
              <w:t>）。</w:t>
            </w:r>
          </w:p>
        </w:tc>
      </w:tr>
      <w:tr w14:paraId="4264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8" w:hRule="atLeast"/>
          <w:jc w:val="center"/>
        </w:trPr>
        <w:tc>
          <w:tcPr>
            <w:tcW w:w="578" w:type="dxa"/>
            <w:shd w:val="clear" w:color="auto" w:fill="auto"/>
            <w:tcMar>
              <w:top w:w="113" w:type="dxa"/>
              <w:left w:w="170" w:type="dxa"/>
              <w:bottom w:w="0" w:type="dxa"/>
              <w:right w:w="0" w:type="dxa"/>
            </w:tcMar>
            <w:vAlign w:val="center"/>
          </w:tcPr>
          <w:p w14:paraId="5C34F330">
            <w:pPr>
              <w:pStyle w:val="100"/>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7</w:t>
            </w:r>
          </w:p>
        </w:tc>
        <w:tc>
          <w:tcPr>
            <w:tcW w:w="2282" w:type="dxa"/>
            <w:shd w:val="clear" w:color="auto" w:fill="auto"/>
            <w:tcMar>
              <w:top w:w="113" w:type="dxa"/>
              <w:left w:w="170" w:type="dxa"/>
              <w:bottom w:w="0" w:type="dxa"/>
              <w:right w:w="0" w:type="dxa"/>
            </w:tcMar>
            <w:vAlign w:val="center"/>
          </w:tcPr>
          <w:p w14:paraId="28FF6290">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必须符合法律、行政法规规定的其他条件</w:t>
            </w:r>
          </w:p>
        </w:tc>
        <w:tc>
          <w:tcPr>
            <w:tcW w:w="6338" w:type="dxa"/>
            <w:shd w:val="clear" w:color="auto" w:fill="auto"/>
            <w:tcMar>
              <w:top w:w="113" w:type="dxa"/>
              <w:left w:w="170" w:type="dxa"/>
              <w:bottom w:w="0" w:type="dxa"/>
              <w:right w:w="0" w:type="dxa"/>
            </w:tcMar>
            <w:vAlign w:val="center"/>
          </w:tcPr>
          <w:p w14:paraId="013CF3DA">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1.单位负责人为同一人或者存在直接控股、管理关系的不同供应商，不得同时参加本项目投标。</w:t>
            </w:r>
          </w:p>
          <w:p w14:paraId="58970F12">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2.为本项目提供整体设计、规范编制或者项目管理、监理、检测等服务的供应商，不得再参与本项目投标。</w:t>
            </w:r>
          </w:p>
          <w:p w14:paraId="0963FC0C">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3.投标（报价）</w:t>
            </w:r>
            <w:r>
              <w:rPr>
                <w:rFonts w:hint="eastAsia" w:ascii="宋体" w:hAnsi="宋体" w:eastAsia="宋体" w:cs="宋体"/>
                <w:color w:val="auto"/>
                <w:spacing w:val="0"/>
                <w:w w:val="100"/>
                <w:sz w:val="24"/>
                <w:szCs w:val="24"/>
                <w:highlight w:val="none"/>
                <w:lang w:eastAsia="zh-CN"/>
              </w:rPr>
              <w:t>文件</w:t>
            </w:r>
            <w:r>
              <w:rPr>
                <w:rFonts w:hint="eastAsia" w:ascii="宋体" w:hAnsi="宋体" w:eastAsia="宋体" w:cs="宋体"/>
                <w:color w:val="auto"/>
                <w:spacing w:val="0"/>
                <w:w w:val="100"/>
                <w:sz w:val="24"/>
                <w:szCs w:val="24"/>
                <w:highlight w:val="none"/>
              </w:rPr>
              <w:t>相关承诺要求内容。</w:t>
            </w:r>
          </w:p>
          <w:p w14:paraId="6850F7D3">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（以联合体形式投标时，联合体各方均须满足该条款）</w:t>
            </w:r>
          </w:p>
        </w:tc>
      </w:tr>
      <w:tr w14:paraId="1EA0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5B8A7594">
            <w:pPr>
              <w:pStyle w:val="100"/>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8</w:t>
            </w:r>
          </w:p>
        </w:tc>
        <w:tc>
          <w:tcPr>
            <w:tcW w:w="2282" w:type="dxa"/>
            <w:tcMar>
              <w:top w:w="113" w:type="dxa"/>
              <w:left w:w="170" w:type="dxa"/>
              <w:bottom w:w="0" w:type="dxa"/>
              <w:right w:w="0" w:type="dxa"/>
            </w:tcMar>
            <w:vAlign w:val="center"/>
          </w:tcPr>
          <w:p w14:paraId="04A7C4CB">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Arial" w:hAnsi="宋体" w:cs="Arial"/>
                <w:color w:val="auto"/>
                <w:sz w:val="24"/>
                <w:szCs w:val="24"/>
                <w:highlight w:val="none"/>
              </w:rPr>
              <w:t>投标供应商特定资格条件</w:t>
            </w:r>
          </w:p>
        </w:tc>
        <w:tc>
          <w:tcPr>
            <w:tcW w:w="6338" w:type="dxa"/>
            <w:tcMar>
              <w:top w:w="113" w:type="dxa"/>
              <w:left w:w="170" w:type="dxa"/>
              <w:bottom w:w="0" w:type="dxa"/>
              <w:right w:w="0" w:type="dxa"/>
            </w:tcMar>
            <w:vAlign w:val="center"/>
          </w:tcPr>
          <w:p w14:paraId="0B19C353">
            <w:pPr>
              <w:pStyle w:val="100"/>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无</w:t>
            </w:r>
          </w:p>
        </w:tc>
      </w:tr>
    </w:tbl>
    <w:p w14:paraId="43996393">
      <w:pPr>
        <w:pStyle w:val="16"/>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eastAsia="宋体"/>
          <w:color w:val="auto"/>
          <w:highlight w:val="none"/>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9"/>
        <w:gridCol w:w="6697"/>
      </w:tblGrid>
      <w:tr w14:paraId="0F0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2479" w:type="dxa"/>
            <w:tcMar>
              <w:top w:w="113" w:type="dxa"/>
              <w:left w:w="170" w:type="dxa"/>
              <w:bottom w:w="0" w:type="dxa"/>
              <w:right w:w="0" w:type="dxa"/>
            </w:tcMar>
            <w:vAlign w:val="center"/>
          </w:tcPr>
          <w:p w14:paraId="32D8027E">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w:t>
            </w:r>
          </w:p>
        </w:tc>
        <w:tc>
          <w:tcPr>
            <w:tcW w:w="6697" w:type="dxa"/>
            <w:tcMar>
              <w:top w:w="113" w:type="dxa"/>
              <w:left w:w="170" w:type="dxa"/>
              <w:bottom w:w="0" w:type="dxa"/>
              <w:right w:w="0" w:type="dxa"/>
            </w:tcMar>
            <w:vAlign w:val="center"/>
          </w:tcPr>
          <w:p w14:paraId="784978F4">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投标文件完整且编排有序，投标内容基本完整，无重大错漏，并按要求签署、盖章。</w:t>
            </w:r>
          </w:p>
        </w:tc>
      </w:tr>
      <w:tr w14:paraId="275F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479" w:type="dxa"/>
            <w:tcMar>
              <w:top w:w="113" w:type="dxa"/>
              <w:left w:w="170" w:type="dxa"/>
              <w:bottom w:w="0" w:type="dxa"/>
              <w:right w:w="0" w:type="dxa"/>
            </w:tcMar>
            <w:vAlign w:val="center"/>
          </w:tcPr>
          <w:p w14:paraId="2337CB57">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“▲”实质性条款</w:t>
            </w:r>
          </w:p>
        </w:tc>
        <w:tc>
          <w:tcPr>
            <w:tcW w:w="6697" w:type="dxa"/>
            <w:tcMar>
              <w:top w:w="113" w:type="dxa"/>
              <w:left w:w="170" w:type="dxa"/>
              <w:bottom w:w="0" w:type="dxa"/>
              <w:right w:w="0" w:type="dxa"/>
            </w:tcMar>
            <w:vAlign w:val="center"/>
          </w:tcPr>
          <w:p w14:paraId="3E80D6A0">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“▲”实质性条款必须满足招标文件要求。</w:t>
            </w:r>
          </w:p>
        </w:tc>
      </w:tr>
      <w:tr w14:paraId="0A7C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79" w:type="dxa"/>
            <w:shd w:val="clear" w:color="auto" w:fill="auto"/>
            <w:tcMar>
              <w:top w:w="113" w:type="dxa"/>
              <w:left w:w="170" w:type="dxa"/>
              <w:bottom w:w="0" w:type="dxa"/>
              <w:right w:w="0" w:type="dxa"/>
            </w:tcMar>
            <w:vAlign w:val="center"/>
          </w:tcPr>
          <w:p w14:paraId="16F62174">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串通投标</w:t>
            </w:r>
          </w:p>
        </w:tc>
        <w:tc>
          <w:tcPr>
            <w:tcW w:w="6697" w:type="dxa"/>
            <w:shd w:val="clear" w:color="auto" w:fill="auto"/>
            <w:tcMar>
              <w:top w:w="113" w:type="dxa"/>
              <w:left w:w="170" w:type="dxa"/>
              <w:bottom w:w="0" w:type="dxa"/>
              <w:right w:w="0" w:type="dxa"/>
            </w:tcMar>
            <w:vAlign w:val="center"/>
          </w:tcPr>
          <w:p w14:paraId="6C09F612">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未出现财政部87号令《政府采购货物和服务招标投标管理办法》第三十七条规定的串通投标情形。</w:t>
            </w:r>
          </w:p>
        </w:tc>
      </w:tr>
      <w:tr w14:paraId="3B25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2479" w:type="dxa"/>
            <w:tcMar>
              <w:top w:w="113" w:type="dxa"/>
              <w:left w:w="170" w:type="dxa"/>
              <w:bottom w:w="0" w:type="dxa"/>
              <w:right w:w="0" w:type="dxa"/>
            </w:tcMar>
            <w:vAlign w:val="center"/>
          </w:tcPr>
          <w:p w14:paraId="3719DB51">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附加条件</w:t>
            </w:r>
          </w:p>
        </w:tc>
        <w:tc>
          <w:tcPr>
            <w:tcW w:w="6697" w:type="dxa"/>
            <w:tcMar>
              <w:top w:w="113" w:type="dxa"/>
              <w:left w:w="170" w:type="dxa"/>
              <w:bottom w:w="0" w:type="dxa"/>
              <w:right w:w="0" w:type="dxa"/>
            </w:tcMar>
            <w:vAlign w:val="center"/>
          </w:tcPr>
          <w:p w14:paraId="51D67EA2">
            <w:pPr>
              <w:pStyle w:val="100"/>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投标文件未含有采购人不可接受的附加条件。</w:t>
            </w:r>
          </w:p>
        </w:tc>
      </w:tr>
    </w:tbl>
    <w:p w14:paraId="27081AE3">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3、商务技术及价格评审：</w:t>
      </w:r>
    </w:p>
    <w:p w14:paraId="37222B44">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评标委员会以审标、询标为基础依据，对投标文件及投标人分别进行分析评议，由评委独立评议计分，取汇总后的算术平均值。</w:t>
      </w:r>
    </w:p>
    <w:p w14:paraId="16467EF3">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14:paraId="72F742BD">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szCs w:val="22"/>
          <w:highlight w:val="none"/>
        </w:rPr>
      </w:pPr>
      <w:bookmarkStart w:id="47" w:name="_Toc297662421"/>
      <w:bookmarkStart w:id="48" w:name="_Toc28590"/>
      <w:bookmarkStart w:id="49" w:name="_Toc4514"/>
      <w:r>
        <w:rPr>
          <w:rFonts w:hint="eastAsia" w:ascii="宋体" w:hAnsi="宋体"/>
          <w:b/>
          <w:bCs/>
          <w:color w:val="auto"/>
          <w:sz w:val="24"/>
          <w:szCs w:val="22"/>
          <w:highlight w:val="none"/>
        </w:rPr>
        <w:t>三、定标办法</w:t>
      </w:r>
      <w:bookmarkEnd w:id="47"/>
      <w:bookmarkEnd w:id="48"/>
      <w:bookmarkEnd w:id="49"/>
    </w:p>
    <w:p w14:paraId="25348B69">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评标结束后，采购人根据评标委员会提交的评审报告和推荐意见，对进入候选的投标人进行最终审查。终审后根据推荐的候选中标单位情况确定中标单位。最低报价不是中标的唯一保证。</w:t>
      </w:r>
    </w:p>
    <w:p w14:paraId="242F2CA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14:paraId="5CBE1D1E">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szCs w:val="22"/>
          <w:highlight w:val="none"/>
        </w:rPr>
      </w:pPr>
      <w:bookmarkStart w:id="50" w:name="_Toc25565"/>
      <w:bookmarkStart w:id="51" w:name="_Toc19935"/>
      <w:r>
        <w:rPr>
          <w:rFonts w:hint="eastAsia" w:ascii="宋体" w:hAnsi="宋体"/>
          <w:b/>
          <w:bCs/>
          <w:color w:val="auto"/>
          <w:sz w:val="24"/>
          <w:szCs w:val="22"/>
          <w:highlight w:val="none"/>
        </w:rPr>
        <w:t>四、评标细则</w:t>
      </w:r>
      <w:bookmarkEnd w:id="50"/>
      <w:bookmarkEnd w:id="51"/>
    </w:p>
    <w:p w14:paraId="540D20E6">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bCs/>
          <w:color w:val="auto"/>
          <w:sz w:val="24"/>
          <w:highlight w:val="none"/>
        </w:rPr>
      </w:pPr>
      <w:bookmarkStart w:id="52" w:name="_Toc31280"/>
      <w:r>
        <w:rPr>
          <w:rFonts w:hint="eastAsia" w:ascii="宋体" w:hAnsi="宋体" w:eastAsia="宋体"/>
          <w:color w:val="auto"/>
          <w:sz w:val="24"/>
          <w:highlight w:val="none"/>
        </w:rPr>
        <w:t>本次招标项目的评标方法为综合评分法，总计100分。评标标准按以下内容及分值进行评审。</w:t>
      </w:r>
      <w:bookmarkEnd w:id="52"/>
    </w:p>
    <w:tbl>
      <w:tblPr>
        <w:tblStyle w:val="39"/>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3628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noWrap w:val="0"/>
            <w:vAlign w:val="top"/>
          </w:tcPr>
          <w:p w14:paraId="33E9172F">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color w:val="auto"/>
                <w:sz w:val="24"/>
                <w:highlight w:val="none"/>
              </w:rPr>
            </w:pP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 xml:space="preserve">            </w:t>
            </w:r>
            <w:r>
              <w:rPr>
                <w:rFonts w:hint="eastAsia" w:ascii="宋体" w:hAnsi="宋体" w:cs="Arial"/>
                <w:color w:val="auto"/>
                <w:sz w:val="24"/>
                <w:highlight w:val="none"/>
              </w:rPr>
              <w:t>标项</w:t>
            </w:r>
          </w:p>
          <w:p w14:paraId="3548A28D">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color w:val="auto"/>
                <w:sz w:val="24"/>
                <w:highlight w:val="none"/>
              </w:rPr>
            </w:pPr>
            <w:r>
              <w:rPr>
                <w:rFonts w:hint="eastAsia" w:ascii="宋体" w:hAnsi="宋体" w:cs="Arial"/>
                <w:color w:val="auto"/>
                <w:sz w:val="24"/>
                <w:highlight w:val="none"/>
              </w:rPr>
              <w:t>类别</w:t>
            </w:r>
          </w:p>
        </w:tc>
        <w:tc>
          <w:tcPr>
            <w:tcW w:w="3967" w:type="dxa"/>
            <w:noWrap w:val="0"/>
            <w:vAlign w:val="center"/>
          </w:tcPr>
          <w:p w14:paraId="22961F52">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eastAsia="zh-CN"/>
              </w:rPr>
              <w:t>分值</w:t>
            </w:r>
          </w:p>
        </w:tc>
      </w:tr>
      <w:tr w14:paraId="60AC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noWrap w:val="0"/>
            <w:vAlign w:val="center"/>
          </w:tcPr>
          <w:p w14:paraId="771DA1EE">
            <w:pPr>
              <w:keepNext w:val="0"/>
              <w:keepLines w:val="0"/>
              <w:pageBreakBefore w:val="0"/>
              <w:kinsoku/>
              <w:wordWrap/>
              <w:overflowPunct/>
              <w:topLinePunct w:val="0"/>
              <w:autoSpaceDE w:val="0"/>
              <w:autoSpaceDN w:val="0"/>
              <w:bidi w:val="0"/>
              <w:adjustRightInd w:val="0"/>
              <w:spacing w:line="410" w:lineRule="exact"/>
              <w:jc w:val="center"/>
              <w:textAlignment w:val="auto"/>
              <w:rPr>
                <w:rFonts w:ascii="宋体" w:hAnsi="宋体" w:cs="Arial"/>
                <w:color w:val="auto"/>
                <w:sz w:val="24"/>
                <w:highlight w:val="none"/>
              </w:rPr>
            </w:pPr>
            <w:r>
              <w:rPr>
                <w:rFonts w:hint="eastAsia" w:ascii="宋体" w:hAnsi="宋体" w:cs="Arial"/>
                <w:color w:val="auto"/>
                <w:sz w:val="24"/>
                <w:highlight w:val="none"/>
              </w:rPr>
              <w:t>技术</w:t>
            </w:r>
            <w:r>
              <w:rPr>
                <w:rFonts w:hint="eastAsia" w:ascii="宋体" w:hAnsi="宋体" w:cs="Arial"/>
                <w:color w:val="auto"/>
                <w:sz w:val="24"/>
                <w:highlight w:val="none"/>
                <w:lang w:eastAsia="zh-CN"/>
              </w:rPr>
              <w:t>商务</w:t>
            </w:r>
            <w:r>
              <w:rPr>
                <w:rFonts w:hint="eastAsia" w:ascii="宋体" w:hAnsi="宋体" w:cs="Arial"/>
                <w:color w:val="auto"/>
                <w:sz w:val="24"/>
                <w:highlight w:val="none"/>
              </w:rPr>
              <w:t>部分</w:t>
            </w:r>
          </w:p>
        </w:tc>
        <w:tc>
          <w:tcPr>
            <w:tcW w:w="3967" w:type="dxa"/>
            <w:noWrap w:val="0"/>
            <w:vAlign w:val="center"/>
          </w:tcPr>
          <w:p w14:paraId="63980580">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70分</w:t>
            </w:r>
          </w:p>
        </w:tc>
      </w:tr>
      <w:tr w14:paraId="6932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7F04F69B">
            <w:pPr>
              <w:keepNext w:val="0"/>
              <w:keepLines w:val="0"/>
              <w:pageBreakBefore w:val="0"/>
              <w:kinsoku/>
              <w:wordWrap/>
              <w:overflowPunct/>
              <w:topLinePunct w:val="0"/>
              <w:autoSpaceDE w:val="0"/>
              <w:autoSpaceDN w:val="0"/>
              <w:bidi w:val="0"/>
              <w:adjustRightInd w:val="0"/>
              <w:spacing w:line="410" w:lineRule="exact"/>
              <w:jc w:val="center"/>
              <w:textAlignment w:val="auto"/>
              <w:rPr>
                <w:rFonts w:ascii="宋体" w:hAnsi="宋体" w:cs="Arial"/>
                <w:color w:val="auto"/>
                <w:sz w:val="24"/>
                <w:highlight w:val="none"/>
              </w:rPr>
            </w:pPr>
            <w:r>
              <w:rPr>
                <w:rFonts w:hint="eastAsia" w:ascii="宋体" w:hAnsi="宋体" w:cs="Arial"/>
                <w:color w:val="auto"/>
                <w:sz w:val="24"/>
                <w:highlight w:val="none"/>
              </w:rPr>
              <w:t>价格部分</w:t>
            </w:r>
          </w:p>
        </w:tc>
        <w:tc>
          <w:tcPr>
            <w:tcW w:w="3967" w:type="dxa"/>
            <w:noWrap w:val="0"/>
            <w:vAlign w:val="center"/>
          </w:tcPr>
          <w:p w14:paraId="4B861D27">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30分</w:t>
            </w:r>
          </w:p>
        </w:tc>
      </w:tr>
      <w:tr w14:paraId="4B4C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6C835C12">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color w:val="auto"/>
                <w:sz w:val="24"/>
                <w:highlight w:val="none"/>
                <w:lang w:eastAsia="zh-CN"/>
              </w:rPr>
            </w:pPr>
            <w:r>
              <w:rPr>
                <w:rFonts w:hint="eastAsia" w:ascii="宋体" w:hAnsi="宋体" w:cs="Arial"/>
                <w:color w:val="auto"/>
                <w:sz w:val="24"/>
                <w:highlight w:val="none"/>
                <w:lang w:eastAsia="zh-CN"/>
              </w:rPr>
              <w:t>综合总分</w:t>
            </w:r>
          </w:p>
        </w:tc>
        <w:tc>
          <w:tcPr>
            <w:tcW w:w="3967" w:type="dxa"/>
            <w:noWrap w:val="0"/>
            <w:vAlign w:val="center"/>
          </w:tcPr>
          <w:p w14:paraId="5E97B6D9">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100分</w:t>
            </w:r>
          </w:p>
        </w:tc>
      </w:tr>
    </w:tbl>
    <w:p w14:paraId="1C422268">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5266B52D">
      <w:pPr>
        <w:keepNext w:val="0"/>
        <w:keepLines w:val="0"/>
        <w:pageBreakBefore w:val="0"/>
        <w:widowControl/>
        <w:kinsoku/>
        <w:wordWrap/>
        <w:overflowPunct/>
        <w:topLinePunct w:val="0"/>
        <w:autoSpaceDE w:val="0"/>
        <w:autoSpaceDN w:val="0"/>
        <w:bidi w:val="0"/>
        <w:adjustRightInd w:val="0"/>
        <w:snapToGrid/>
        <w:spacing w:line="360" w:lineRule="auto"/>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=评标委员会所有成员评分合计数/评标委员会组成人员数。</w:t>
      </w:r>
    </w:p>
    <w:p w14:paraId="1444E90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投标报价得分采用低价优先法计算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，即满足招标文件要求且投标价格最低的投标报价为评标基准价，其报价得满分。其他投标人的投标报价得分按下列公式计算：</w:t>
      </w:r>
      <w:r>
        <w:rPr>
          <w:rFonts w:hint="eastAsia"/>
          <w:color w:val="auto"/>
          <w:sz w:val="24"/>
          <w:highlight w:val="none"/>
          <w:u w:val="single"/>
        </w:rPr>
        <w:t>投标报价得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30</w:t>
      </w:r>
      <w:r>
        <w:rPr>
          <w:rFonts w:hint="eastAsia" w:ascii="Dotum" w:hAnsi="Dotum" w:eastAsia="宋体"/>
          <w:color w:val="auto"/>
          <w:sz w:val="24"/>
          <w:highlight w:val="none"/>
          <w:u w:val="single"/>
          <w:lang w:val="en-US" w:eastAsia="zh-CN"/>
        </w:rPr>
        <w:t>%</w:t>
      </w:r>
      <w:r>
        <w:rPr>
          <w:rFonts w:ascii="宋体" w:hAnsi="宋体"/>
          <w:color w:val="auto"/>
          <w:sz w:val="24"/>
          <w:highlight w:val="none"/>
          <w:u w:val="single"/>
        </w:rPr>
        <w:t>×100</w:t>
      </w:r>
    </w:p>
    <w:p w14:paraId="528FD72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color w:val="auto"/>
          <w:sz w:val="24"/>
          <w:szCs w:val="24"/>
          <w:highlight w:val="none"/>
        </w:rPr>
        <w:t>资格及</w:t>
      </w:r>
      <w:r>
        <w:rPr>
          <w:rFonts w:hint="eastAsia" w:hAnsi="宋体"/>
          <w:bCs/>
          <w:color w:val="auto"/>
          <w:sz w:val="24"/>
          <w:szCs w:val="24"/>
          <w:highlight w:val="none"/>
          <w:lang w:val="zh-CN"/>
        </w:rPr>
        <w:t>商务技术文件</w:t>
      </w:r>
      <w:r>
        <w:rPr>
          <w:rFonts w:hint="eastAsia" w:ascii="宋体" w:hAnsi="宋体"/>
          <w:color w:val="auto"/>
          <w:sz w:val="24"/>
          <w:highlight w:val="none"/>
        </w:rPr>
        <w:t>得分＋投标报价得分。</w:t>
      </w:r>
    </w:p>
    <w:p w14:paraId="2E9F6658">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6361F0D2">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本项目为专门面向中小企业采购项目，不进行价格扣除</w:t>
      </w:r>
    </w:p>
    <w:p w14:paraId="47B94A13">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b/>
          <w:bCs/>
          <w:color w:val="auto"/>
          <w:sz w:val="24"/>
          <w:highlight w:val="none"/>
          <w:lang w:val="en-US" w:eastAsia="zh-CN"/>
        </w:rPr>
      </w:pPr>
      <w:r>
        <w:rPr>
          <w:rFonts w:hint="eastAsia" w:ascii="宋体" w:hAnsi="宋体"/>
          <w:b/>
          <w:bCs/>
          <w:color w:val="auto"/>
          <w:sz w:val="24"/>
          <w:highlight w:val="none"/>
          <w:lang w:eastAsia="zh-CN"/>
        </w:rPr>
        <w:t>评分</w:t>
      </w:r>
      <w:r>
        <w:rPr>
          <w:rFonts w:hint="eastAsia" w:ascii="宋体" w:hAnsi="宋体"/>
          <w:b/>
          <w:bCs/>
          <w:color w:val="auto"/>
          <w:sz w:val="24"/>
          <w:highlight w:val="none"/>
        </w:rPr>
        <w:t>表</w:t>
      </w:r>
    </w:p>
    <w:tbl>
      <w:tblPr>
        <w:tblStyle w:val="39"/>
        <w:tblpPr w:leftFromText="180" w:rightFromText="180" w:vertAnchor="text" w:horzAnchor="page" w:tblpX="1263" w:tblpY="452"/>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590"/>
        <w:gridCol w:w="705"/>
      </w:tblGrid>
      <w:tr w14:paraId="245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17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28F79327">
            <w:pPr>
              <w:keepLines w:val="0"/>
              <w:pageBreakBefore w:val="0"/>
              <w:kinsoku/>
              <w:wordWrap/>
              <w:overflowPunct/>
              <w:topLinePunct w:val="0"/>
              <w:bidi w:val="0"/>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打分项目</w:t>
            </w:r>
          </w:p>
        </w:tc>
        <w:tc>
          <w:tcPr>
            <w:tcW w:w="7590" w:type="dxa"/>
            <w:tcBorders>
              <w:top w:val="single" w:color="auto" w:sz="4" w:space="0"/>
              <w:left w:val="single" w:color="auto" w:sz="4" w:space="0"/>
              <w:right w:val="single" w:color="auto" w:sz="4" w:space="0"/>
            </w:tcBorders>
            <w:shd w:val="clear" w:color="auto" w:fill="BFBFBF"/>
            <w:noWrap w:val="0"/>
            <w:vAlign w:val="center"/>
          </w:tcPr>
          <w:p w14:paraId="271826ED">
            <w:pPr>
              <w:keepLines w:val="0"/>
              <w:pageBreakBefore w:val="0"/>
              <w:kinsoku/>
              <w:wordWrap/>
              <w:overflowPunct/>
              <w:topLinePunct w:val="0"/>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打分细则</w:t>
            </w:r>
          </w:p>
        </w:tc>
        <w:tc>
          <w:tcPr>
            <w:tcW w:w="70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7A900C7B">
            <w:pPr>
              <w:keepLines w:val="0"/>
              <w:pageBreakBefore w:val="0"/>
              <w:kinsoku/>
              <w:wordWrap/>
              <w:overflowPunct/>
              <w:topLinePunct w:val="0"/>
              <w:bidi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分值</w:t>
            </w:r>
          </w:p>
        </w:tc>
      </w:tr>
      <w:tr w14:paraId="443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70" w:type="dxa"/>
            <w:vMerge w:val="restart"/>
            <w:tcBorders>
              <w:left w:val="single" w:color="auto" w:sz="4" w:space="0"/>
              <w:right w:val="single" w:color="auto" w:sz="4" w:space="0"/>
            </w:tcBorders>
            <w:noWrap w:val="0"/>
            <w:vAlign w:val="center"/>
          </w:tcPr>
          <w:p w14:paraId="439EC8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rPr>
              <w:t>投标产品技术符合度</w:t>
            </w:r>
          </w:p>
        </w:tc>
        <w:tc>
          <w:tcPr>
            <w:tcW w:w="7590" w:type="dxa"/>
            <w:tcBorders>
              <w:left w:val="single" w:color="auto" w:sz="4" w:space="0"/>
              <w:right w:val="single" w:color="auto" w:sz="4" w:space="0"/>
            </w:tcBorders>
            <w:noWrap w:val="0"/>
            <w:vAlign w:val="center"/>
          </w:tcPr>
          <w:p w14:paraId="75BFE7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根据投标产品参数是否符合招标文件的技术要求及符合程度进行评分。</w:t>
            </w:r>
          </w:p>
          <w:p w14:paraId="474809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1.完全响应且技术方案及资料详实得20分</w:t>
            </w:r>
          </w:p>
          <w:p w14:paraId="3171293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rPr>
              <w:t>（技术指标“▲”号或“★”号项中每负偏离一项扣 1分，超过5条作无效投标处理。其他未标“▲”号或“★”号项为一般技术指标，每负偏离一项扣 1 分， 扣完为止）。</w:t>
            </w:r>
          </w:p>
        </w:tc>
        <w:tc>
          <w:tcPr>
            <w:tcW w:w="705" w:type="dxa"/>
            <w:vMerge w:val="restart"/>
            <w:tcBorders>
              <w:top w:val="single" w:color="auto" w:sz="4" w:space="0"/>
              <w:left w:val="single" w:color="auto" w:sz="4" w:space="0"/>
              <w:right w:val="single" w:color="auto" w:sz="4" w:space="0"/>
            </w:tcBorders>
            <w:noWrap w:val="0"/>
            <w:vAlign w:val="center"/>
          </w:tcPr>
          <w:p w14:paraId="766399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分</w:t>
            </w:r>
          </w:p>
        </w:tc>
      </w:tr>
      <w:tr w14:paraId="5E16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70" w:type="dxa"/>
            <w:vMerge w:val="continue"/>
            <w:tcBorders>
              <w:left w:val="single" w:color="auto" w:sz="4" w:space="0"/>
              <w:right w:val="single" w:color="auto" w:sz="4" w:space="0"/>
            </w:tcBorders>
            <w:noWrap w:val="0"/>
            <w:vAlign w:val="center"/>
          </w:tcPr>
          <w:p w14:paraId="2E77A42C">
            <w:pPr>
              <w:keepNext w:val="0"/>
              <w:keepLines w:val="0"/>
              <w:pageBreakBefore w:val="0"/>
              <w:widowControl/>
              <w:kinsoku/>
              <w:wordWrap/>
              <w:overflowPunct/>
              <w:topLinePunct w:val="0"/>
              <w:autoSpaceDE/>
              <w:autoSpaceDN/>
              <w:bidi w:val="0"/>
              <w:adjustRightInd/>
              <w:snapToGrid/>
              <w:spacing w:line="240" w:lineRule="auto"/>
              <w:jc w:val="left"/>
              <w:textAlignment w:val="auto"/>
              <w:rPr>
                <w:sz w:val="21"/>
                <w:szCs w:val="21"/>
              </w:rPr>
            </w:pPr>
          </w:p>
        </w:tc>
        <w:tc>
          <w:tcPr>
            <w:tcW w:w="7590" w:type="dxa"/>
            <w:tcBorders>
              <w:left w:val="single" w:color="auto" w:sz="4" w:space="0"/>
              <w:right w:val="single" w:color="auto" w:sz="4" w:space="0"/>
            </w:tcBorders>
            <w:noWrap w:val="0"/>
            <w:vAlign w:val="center"/>
          </w:tcPr>
          <w:p w14:paraId="214538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2.根据产品设备情况每项正偏离得1分，得满分5分,没有不得分。</w:t>
            </w:r>
          </w:p>
        </w:tc>
        <w:tc>
          <w:tcPr>
            <w:tcW w:w="705" w:type="dxa"/>
            <w:vMerge w:val="continue"/>
            <w:tcBorders>
              <w:left w:val="single" w:color="auto" w:sz="4" w:space="0"/>
              <w:bottom w:val="single" w:color="auto" w:sz="4" w:space="0"/>
              <w:right w:val="single" w:color="auto" w:sz="4" w:space="0"/>
            </w:tcBorders>
            <w:noWrap w:val="0"/>
            <w:vAlign w:val="center"/>
          </w:tcPr>
          <w:p w14:paraId="186423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r>
      <w:tr w14:paraId="3664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70" w:type="dxa"/>
            <w:tcBorders>
              <w:left w:val="single" w:color="auto" w:sz="4" w:space="0"/>
              <w:right w:val="single" w:color="auto" w:sz="4" w:space="0"/>
            </w:tcBorders>
            <w:noWrap w:val="0"/>
            <w:vAlign w:val="center"/>
          </w:tcPr>
          <w:p w14:paraId="578745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sz w:val="21"/>
                <w:szCs w:val="21"/>
                <w:lang w:eastAsia="zh-CN"/>
              </w:rPr>
              <w:t>供</w:t>
            </w:r>
            <w:r>
              <w:rPr>
                <w:rFonts w:hint="eastAsia" w:ascii="宋体" w:hAnsi="宋体" w:eastAsia="宋体" w:cs="宋体"/>
                <w:sz w:val="21"/>
                <w:szCs w:val="21"/>
              </w:rPr>
              <w:t>货保障方案</w:t>
            </w:r>
          </w:p>
        </w:tc>
        <w:tc>
          <w:tcPr>
            <w:tcW w:w="7590" w:type="dxa"/>
            <w:tcBorders>
              <w:left w:val="single" w:color="auto" w:sz="4" w:space="0"/>
              <w:right w:val="single" w:color="auto" w:sz="4" w:space="0"/>
            </w:tcBorders>
            <w:noWrap w:val="0"/>
            <w:vAlign w:val="center"/>
          </w:tcPr>
          <w:p w14:paraId="2E56FBC8">
            <w:pPr>
              <w:numPr>
                <w:ilvl w:val="0"/>
                <w:numId w:val="0"/>
              </w:numPr>
              <w:snapToGrid w:val="0"/>
              <w:rPr>
                <w:rFonts w:hint="eastAsia" w:ascii="宋体" w:hAnsi="宋体" w:eastAsia="宋体" w:cs="宋体"/>
                <w:sz w:val="21"/>
                <w:szCs w:val="21"/>
              </w:rPr>
            </w:pPr>
            <w:r>
              <w:rPr>
                <w:rFonts w:hint="eastAsia" w:ascii="宋体" w:hAnsi="宋体" w:cs="宋体"/>
                <w:sz w:val="21"/>
                <w:szCs w:val="21"/>
                <w:lang w:eastAsia="zh-CN"/>
              </w:rPr>
              <w:t>根据</w:t>
            </w:r>
            <w:r>
              <w:rPr>
                <w:rFonts w:hint="eastAsia" w:ascii="宋体" w:hAnsi="宋体" w:eastAsia="宋体" w:cs="宋体"/>
                <w:sz w:val="21"/>
                <w:szCs w:val="21"/>
              </w:rPr>
              <w:t>投标人提供供货保障方案及主要设备供货保障的进行打分</w:t>
            </w:r>
          </w:p>
          <w:p w14:paraId="7F8EEAC7">
            <w:pPr>
              <w:numPr>
                <w:ilvl w:val="0"/>
                <w:numId w:val="0"/>
              </w:num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zh-CN" w:bidi="ar"/>
              </w:rPr>
              <w:t>）</w:t>
            </w:r>
            <w:r>
              <w:rPr>
                <w:rFonts w:hint="eastAsia" w:ascii="宋体" w:hAnsi="宋体" w:eastAsia="宋体" w:cs="宋体"/>
                <w:sz w:val="21"/>
                <w:szCs w:val="21"/>
              </w:rPr>
              <w:t>供货保障方案</w:t>
            </w:r>
            <w:r>
              <w:rPr>
                <w:rFonts w:hint="eastAsia" w:ascii="宋体" w:hAnsi="宋体" w:eastAsia="宋体" w:cs="宋体"/>
                <w:color w:val="auto"/>
                <w:sz w:val="21"/>
                <w:szCs w:val="21"/>
                <w:lang w:val="zh-CN" w:bidi="ar"/>
              </w:rPr>
              <w:t>比较科学、合理、完善能保证项目顺利完成的得</w:t>
            </w:r>
            <w:r>
              <w:rPr>
                <w:rFonts w:hint="eastAsia" w:ascii="宋体" w:hAnsi="宋体" w:cs="宋体"/>
                <w:color w:val="auto"/>
                <w:sz w:val="21"/>
                <w:szCs w:val="21"/>
                <w:lang w:val="en-US" w:eastAsia="zh-CN" w:bidi="ar"/>
              </w:rPr>
              <w:t>4</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分；</w:t>
            </w:r>
          </w:p>
          <w:p w14:paraId="6E7F3B7F">
            <w:p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zh-CN" w:bidi="ar"/>
              </w:rPr>
              <w:t>）</w:t>
            </w:r>
            <w:r>
              <w:rPr>
                <w:rFonts w:hint="eastAsia" w:ascii="宋体" w:hAnsi="宋体" w:eastAsia="宋体" w:cs="宋体"/>
                <w:sz w:val="21"/>
                <w:szCs w:val="21"/>
              </w:rPr>
              <w:t>供货保障方案</w:t>
            </w:r>
            <w:r>
              <w:rPr>
                <w:rFonts w:hint="eastAsia" w:ascii="宋体" w:hAnsi="宋体" w:eastAsia="宋体" w:cs="宋体"/>
                <w:color w:val="auto"/>
                <w:sz w:val="21"/>
                <w:szCs w:val="21"/>
                <w:lang w:val="zh-CN" w:bidi="ar"/>
              </w:rPr>
              <w:t>基本科学、合理、完善基本能保证项目完成的得</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w:t>
            </w:r>
            <w:r>
              <w:rPr>
                <w:rFonts w:hint="eastAsia" w:ascii="宋体" w:hAnsi="宋体" w:cs="宋体"/>
                <w:color w:val="auto"/>
                <w:sz w:val="21"/>
                <w:szCs w:val="21"/>
                <w:lang w:val="en-US" w:eastAsia="zh-CN" w:bidi="ar"/>
              </w:rPr>
              <w:t>3.9</w:t>
            </w:r>
            <w:r>
              <w:rPr>
                <w:rFonts w:hint="eastAsia" w:ascii="宋体" w:hAnsi="宋体" w:eastAsia="宋体" w:cs="宋体"/>
                <w:color w:val="auto"/>
                <w:sz w:val="21"/>
                <w:szCs w:val="21"/>
                <w:lang w:val="zh-CN" w:bidi="ar"/>
              </w:rPr>
              <w:t>分；</w:t>
            </w:r>
          </w:p>
          <w:p w14:paraId="665C35D7">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3</w:t>
            </w:r>
            <w:r>
              <w:rPr>
                <w:rFonts w:hint="eastAsia" w:ascii="宋体" w:hAnsi="宋体" w:eastAsia="宋体" w:cs="宋体"/>
                <w:color w:val="auto"/>
                <w:sz w:val="21"/>
                <w:szCs w:val="21"/>
                <w:lang w:val="zh-CN" w:bidi="ar"/>
              </w:rPr>
              <w:t>）</w:t>
            </w:r>
            <w:r>
              <w:rPr>
                <w:rFonts w:hint="eastAsia" w:ascii="宋体" w:hAnsi="宋体" w:eastAsia="宋体" w:cs="宋体"/>
                <w:sz w:val="21"/>
                <w:szCs w:val="21"/>
              </w:rPr>
              <w:t>供货保障方案</w:t>
            </w:r>
            <w:r>
              <w:rPr>
                <w:rFonts w:hint="eastAsia" w:ascii="宋体" w:hAnsi="宋体" w:eastAsia="宋体" w:cs="宋体"/>
                <w:color w:val="auto"/>
                <w:sz w:val="21"/>
                <w:szCs w:val="21"/>
                <w:lang w:val="zh-CN" w:bidi="ar"/>
              </w:rPr>
              <w:t>有一定缺陷，不能满足项目需求的得</w:t>
            </w:r>
            <w:r>
              <w:rPr>
                <w:rFonts w:hint="eastAsia" w:ascii="宋体" w:hAnsi="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1.9</w:t>
            </w:r>
            <w:r>
              <w:rPr>
                <w:rFonts w:hint="eastAsia" w:ascii="宋体" w:hAnsi="宋体" w:eastAsia="宋体" w:cs="宋体"/>
                <w:color w:val="auto"/>
                <w:sz w:val="21"/>
                <w:szCs w:val="21"/>
                <w:lang w:val="zh-CN" w:bidi="ar"/>
              </w:rPr>
              <w:t>分；缺项得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0A9FE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6分</w:t>
            </w:r>
          </w:p>
        </w:tc>
      </w:tr>
      <w:tr w14:paraId="5F68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70" w:type="dxa"/>
            <w:tcBorders>
              <w:left w:val="single" w:color="auto" w:sz="4" w:space="0"/>
              <w:right w:val="single" w:color="auto" w:sz="4" w:space="0"/>
            </w:tcBorders>
            <w:noWrap w:val="0"/>
            <w:vAlign w:val="center"/>
          </w:tcPr>
          <w:p w14:paraId="731110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项目实施方案</w:t>
            </w:r>
          </w:p>
        </w:tc>
        <w:tc>
          <w:tcPr>
            <w:tcW w:w="7590" w:type="dxa"/>
            <w:tcBorders>
              <w:left w:val="single" w:color="auto" w:sz="4" w:space="0"/>
              <w:right w:val="single" w:color="auto" w:sz="4" w:space="0"/>
            </w:tcBorders>
            <w:noWrap w:val="0"/>
            <w:vAlign w:val="center"/>
          </w:tcPr>
          <w:p w14:paraId="28604CF2">
            <w:pPr>
              <w:numPr>
                <w:ilvl w:val="0"/>
                <w:numId w:val="0"/>
              </w:numPr>
              <w:snapToGrid w:val="0"/>
              <w:rPr>
                <w:rFonts w:hint="eastAsia" w:ascii="宋体" w:hAnsi="宋体" w:eastAsia="宋体" w:cs="宋体"/>
                <w:sz w:val="21"/>
                <w:szCs w:val="21"/>
              </w:rPr>
            </w:pPr>
            <w:r>
              <w:rPr>
                <w:rFonts w:hint="eastAsia" w:ascii="宋体" w:hAnsi="宋体" w:eastAsia="宋体" w:cs="宋体"/>
                <w:sz w:val="21"/>
                <w:szCs w:val="21"/>
              </w:rPr>
              <w:t>根据投标人提供的项目组织措施、安全管理措施、验收方案、项目进度计划等综合评分（0-6分）</w:t>
            </w:r>
          </w:p>
          <w:p w14:paraId="4C6B7EB8">
            <w:pPr>
              <w:numPr>
                <w:ilvl w:val="0"/>
                <w:numId w:val="0"/>
              </w:num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zh-CN" w:bidi="ar"/>
              </w:rPr>
              <w:t>）</w:t>
            </w:r>
            <w:r>
              <w:rPr>
                <w:rFonts w:hint="eastAsia" w:ascii="宋体" w:hAnsi="宋体" w:eastAsia="宋体" w:cs="宋体"/>
                <w:sz w:val="21"/>
                <w:szCs w:val="21"/>
              </w:rPr>
              <w:t>方案</w:t>
            </w:r>
            <w:r>
              <w:rPr>
                <w:rFonts w:hint="eastAsia" w:ascii="宋体" w:hAnsi="宋体" w:eastAsia="宋体" w:cs="宋体"/>
                <w:color w:val="auto"/>
                <w:sz w:val="21"/>
                <w:szCs w:val="21"/>
                <w:lang w:val="zh-CN" w:bidi="ar"/>
              </w:rPr>
              <w:t>比较科学、合理、完善能保证项目顺利完成的得</w:t>
            </w:r>
            <w:r>
              <w:rPr>
                <w:rFonts w:hint="eastAsia" w:ascii="宋体" w:hAnsi="宋体" w:cs="宋体"/>
                <w:color w:val="auto"/>
                <w:sz w:val="21"/>
                <w:szCs w:val="21"/>
                <w:lang w:val="en-US" w:eastAsia="zh-CN" w:bidi="ar"/>
              </w:rPr>
              <w:t>4</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val="zh-CN" w:bidi="ar"/>
              </w:rPr>
              <w:t>分；</w:t>
            </w:r>
          </w:p>
          <w:p w14:paraId="0C566826">
            <w:pPr>
              <w:snapToGrid w:val="0"/>
              <w:rPr>
                <w:rFonts w:hint="eastAsia" w:ascii="宋体" w:hAnsi="宋体" w:eastAsia="宋体" w:cs="宋体"/>
                <w:color w:val="auto"/>
                <w:sz w:val="21"/>
                <w:szCs w:val="21"/>
                <w:lang w:val="zh-CN" w:bidi="ar"/>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zh-CN" w:bidi="ar"/>
              </w:rPr>
              <w:t>）</w:t>
            </w:r>
            <w:r>
              <w:rPr>
                <w:rFonts w:hint="eastAsia" w:ascii="宋体" w:hAnsi="宋体" w:eastAsia="宋体" w:cs="宋体"/>
                <w:sz w:val="21"/>
                <w:szCs w:val="21"/>
              </w:rPr>
              <w:t>方案</w:t>
            </w:r>
            <w:r>
              <w:rPr>
                <w:rFonts w:hint="eastAsia" w:ascii="宋体" w:hAnsi="宋体" w:eastAsia="宋体" w:cs="宋体"/>
                <w:color w:val="auto"/>
                <w:sz w:val="21"/>
                <w:szCs w:val="21"/>
                <w:lang w:val="zh-CN" w:bidi="ar"/>
              </w:rPr>
              <w:t>基本科学、合理、完善基本能保证项目完成的得</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w:t>
            </w:r>
            <w:r>
              <w:rPr>
                <w:rFonts w:hint="eastAsia" w:ascii="宋体" w:hAnsi="宋体" w:cs="宋体"/>
                <w:color w:val="auto"/>
                <w:sz w:val="21"/>
                <w:szCs w:val="21"/>
                <w:lang w:val="en-US" w:eastAsia="zh-CN" w:bidi="ar"/>
              </w:rPr>
              <w:t>3.9</w:t>
            </w:r>
            <w:r>
              <w:rPr>
                <w:rFonts w:hint="eastAsia" w:ascii="宋体" w:hAnsi="宋体" w:eastAsia="宋体" w:cs="宋体"/>
                <w:color w:val="auto"/>
                <w:sz w:val="21"/>
                <w:szCs w:val="21"/>
                <w:lang w:val="zh-CN" w:bidi="ar"/>
              </w:rPr>
              <w:t>分；</w:t>
            </w:r>
          </w:p>
          <w:p w14:paraId="25A5460E">
            <w:pPr>
              <w:snapToGrid w:val="0"/>
              <w:rPr>
                <w:rFonts w:hint="eastAsia" w:ascii="宋体" w:hAnsi="宋体" w:eastAsia="宋体" w:cs="宋体"/>
                <w:color w:val="FF0000"/>
                <w:sz w:val="21"/>
                <w:szCs w:val="21"/>
                <w:highlight w:val="none"/>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bidi="ar"/>
              </w:rPr>
              <w:t>3</w:t>
            </w:r>
            <w:r>
              <w:rPr>
                <w:rFonts w:hint="eastAsia" w:ascii="宋体" w:hAnsi="宋体" w:eastAsia="宋体" w:cs="宋体"/>
                <w:color w:val="auto"/>
                <w:sz w:val="21"/>
                <w:szCs w:val="21"/>
                <w:lang w:val="zh-CN" w:bidi="ar"/>
              </w:rPr>
              <w:t>）</w:t>
            </w:r>
            <w:r>
              <w:rPr>
                <w:rFonts w:hint="eastAsia" w:ascii="宋体" w:hAnsi="宋体" w:eastAsia="宋体" w:cs="宋体"/>
                <w:sz w:val="21"/>
                <w:szCs w:val="21"/>
              </w:rPr>
              <w:t>方案</w:t>
            </w:r>
            <w:r>
              <w:rPr>
                <w:rFonts w:hint="eastAsia" w:ascii="宋体" w:hAnsi="宋体" w:eastAsia="宋体" w:cs="宋体"/>
                <w:color w:val="auto"/>
                <w:sz w:val="21"/>
                <w:szCs w:val="21"/>
                <w:lang w:val="zh-CN" w:bidi="ar"/>
              </w:rPr>
              <w:t>有一定缺陷，不能满足项目需求的得</w:t>
            </w:r>
            <w:r>
              <w:rPr>
                <w:rFonts w:hint="eastAsia" w:ascii="宋体" w:hAnsi="宋体" w:cs="宋体"/>
                <w:color w:val="auto"/>
                <w:sz w:val="21"/>
                <w:szCs w:val="21"/>
                <w:lang w:val="en-US" w:eastAsia="zh-CN" w:bidi="ar"/>
              </w:rPr>
              <w:t>0</w:t>
            </w:r>
            <w:r>
              <w:rPr>
                <w:rFonts w:hint="eastAsia" w:ascii="宋体" w:hAnsi="宋体" w:eastAsia="宋体" w:cs="宋体"/>
                <w:color w:val="auto"/>
                <w:sz w:val="21"/>
                <w:szCs w:val="21"/>
                <w:lang w:val="zh-CN" w:bidi="ar"/>
              </w:rPr>
              <w:t>-</w:t>
            </w:r>
            <w:r>
              <w:rPr>
                <w:rFonts w:hint="eastAsia" w:ascii="宋体" w:hAnsi="宋体" w:cs="宋体"/>
                <w:color w:val="auto"/>
                <w:sz w:val="21"/>
                <w:szCs w:val="21"/>
                <w:lang w:val="en-US" w:eastAsia="zh-CN" w:bidi="ar"/>
              </w:rPr>
              <w:t>1.9</w:t>
            </w:r>
            <w:r>
              <w:rPr>
                <w:rFonts w:hint="eastAsia" w:ascii="宋体" w:hAnsi="宋体" w:eastAsia="宋体" w:cs="宋体"/>
                <w:color w:val="auto"/>
                <w:sz w:val="21"/>
                <w:szCs w:val="21"/>
                <w:lang w:val="zh-CN" w:bidi="ar"/>
              </w:rPr>
              <w:t>分；缺项得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C1D5D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1A5B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tcBorders>
              <w:left w:val="single" w:color="auto" w:sz="4" w:space="0"/>
              <w:right w:val="single" w:color="auto" w:sz="4" w:space="0"/>
            </w:tcBorders>
            <w:noWrap w:val="0"/>
            <w:vAlign w:val="center"/>
          </w:tcPr>
          <w:p w14:paraId="54BD4D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培训方案</w:t>
            </w:r>
          </w:p>
        </w:tc>
        <w:tc>
          <w:tcPr>
            <w:tcW w:w="7590" w:type="dxa"/>
            <w:tcBorders>
              <w:left w:val="single" w:color="auto" w:sz="4" w:space="0"/>
              <w:right w:val="single" w:color="auto" w:sz="4" w:space="0"/>
            </w:tcBorders>
            <w:noWrap w:val="0"/>
            <w:vAlign w:val="center"/>
          </w:tcPr>
          <w:p w14:paraId="1994F9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根据投标人针对本项目</w:t>
            </w:r>
            <w:r>
              <w:rPr>
                <w:rFonts w:hint="eastAsia" w:ascii="宋体" w:hAnsi="宋体" w:eastAsia="宋体" w:cs="宋体"/>
                <w:kern w:val="0"/>
                <w:sz w:val="21"/>
                <w:szCs w:val="21"/>
              </w:rPr>
              <w:t>提供操作培训和维护培训及提供其他形式培训的情况，具体至培训次数、方式、内容、地点、时间、准备资料、承诺达到的效果</w:t>
            </w:r>
            <w:r>
              <w:rPr>
                <w:rFonts w:hint="eastAsia" w:ascii="宋体" w:hAnsi="宋体" w:eastAsia="宋体" w:cs="宋体"/>
                <w:sz w:val="21"/>
                <w:szCs w:val="21"/>
              </w:rPr>
              <w:t>等综合评分进行打分（0-5分）。</w:t>
            </w:r>
          </w:p>
          <w:p w14:paraId="67A929CD">
            <w:pPr>
              <w:pStyle w:val="2"/>
              <w:numPr>
                <w:ilvl w:val="0"/>
                <w:numId w:val="6"/>
              </w:numPr>
              <w:ind w:left="0" w:leftChars="0" w:firstLine="0" w:firstLineChars="0"/>
              <w:rPr>
                <w:rFonts w:hint="eastAsia" w:ascii="宋体" w:hAnsi="宋体" w:eastAsia="宋体" w:cs="宋体"/>
                <w:color w:val="auto"/>
                <w:sz w:val="21"/>
                <w:szCs w:val="21"/>
                <w:lang w:val="zh-CN" w:eastAsia="zh-CN" w:bidi="ar"/>
              </w:rPr>
            </w:pPr>
            <w:r>
              <w:rPr>
                <w:rFonts w:hint="eastAsia" w:ascii="宋体" w:hAnsi="宋体" w:eastAsia="宋体" w:cs="宋体"/>
                <w:color w:val="auto"/>
                <w:sz w:val="21"/>
                <w:szCs w:val="21"/>
                <w:lang w:val="zh-CN" w:eastAsia="zh-CN" w:bidi="ar"/>
              </w:rPr>
              <w:t>培训方案合理且规范，内容具体且丰富、完善合理、操作性强得</w:t>
            </w:r>
            <w:r>
              <w:rPr>
                <w:rFonts w:hint="eastAsia" w:ascii="宋体" w:hAnsi="宋体" w:eastAsia="宋体" w:cs="宋体"/>
                <w:color w:val="auto"/>
                <w:sz w:val="21"/>
                <w:szCs w:val="21"/>
                <w:lang w:val="en-US" w:eastAsia="zh-CN" w:bidi="ar"/>
              </w:rPr>
              <w:t>3.5-5.0</w:t>
            </w:r>
            <w:r>
              <w:rPr>
                <w:rFonts w:hint="eastAsia" w:ascii="宋体" w:hAnsi="宋体" w:eastAsia="宋体" w:cs="宋体"/>
                <w:color w:val="auto"/>
                <w:sz w:val="21"/>
                <w:szCs w:val="21"/>
                <w:lang w:val="zh-CN" w:eastAsia="zh-CN" w:bidi="ar"/>
              </w:rPr>
              <w:t>分；</w:t>
            </w:r>
          </w:p>
          <w:p w14:paraId="09C913C2">
            <w:pPr>
              <w:pStyle w:val="2"/>
              <w:numPr>
                <w:ilvl w:val="0"/>
                <w:numId w:val="6"/>
              </w:numPr>
              <w:ind w:left="0" w:leftChars="0" w:firstLine="0" w:firstLineChars="0"/>
              <w:rPr>
                <w:rFonts w:hint="eastAsia"/>
                <w:sz w:val="21"/>
                <w:szCs w:val="21"/>
                <w:lang w:val="en-US" w:eastAsia="zh-CN"/>
              </w:rPr>
            </w:pPr>
            <w:r>
              <w:rPr>
                <w:rFonts w:hint="eastAsia" w:ascii="宋体" w:hAnsi="宋体" w:eastAsia="宋体" w:cs="宋体"/>
                <w:color w:val="auto"/>
                <w:sz w:val="21"/>
                <w:szCs w:val="21"/>
                <w:lang w:val="zh-CN" w:eastAsia="zh-CN" w:bidi="ar"/>
              </w:rPr>
              <w:t>培训方案基本合理且规范，内容较具体、丰富、完善合理，操作性较强得</w:t>
            </w:r>
            <w:r>
              <w:rPr>
                <w:rFonts w:hint="eastAsia" w:ascii="宋体" w:hAnsi="宋体" w:eastAsia="宋体" w:cs="宋体"/>
                <w:color w:val="auto"/>
                <w:sz w:val="21"/>
                <w:szCs w:val="21"/>
                <w:lang w:val="en-US" w:eastAsia="zh-CN" w:bidi="ar"/>
              </w:rPr>
              <w:t>2.0-3.4</w:t>
            </w:r>
            <w:r>
              <w:rPr>
                <w:rFonts w:hint="eastAsia" w:ascii="宋体" w:hAnsi="宋体" w:eastAsia="宋体" w:cs="宋体"/>
                <w:color w:val="auto"/>
                <w:sz w:val="21"/>
                <w:szCs w:val="21"/>
                <w:lang w:val="zh-CN" w:eastAsia="zh-CN" w:bidi="ar"/>
              </w:rPr>
              <w:t>分；</w:t>
            </w:r>
          </w:p>
          <w:p w14:paraId="29F5E218">
            <w:pPr>
              <w:pStyle w:val="2"/>
              <w:numPr>
                <w:ilvl w:val="0"/>
                <w:numId w:val="6"/>
              </w:numPr>
              <w:ind w:left="0" w:leftChars="0" w:firstLine="0" w:firstLineChars="0"/>
              <w:rPr>
                <w:rFonts w:hint="eastAsia"/>
                <w:sz w:val="21"/>
                <w:szCs w:val="21"/>
                <w:lang w:val="en-US" w:eastAsia="zh-CN"/>
              </w:rPr>
            </w:pPr>
            <w:r>
              <w:rPr>
                <w:rFonts w:hint="eastAsia" w:ascii="宋体" w:hAnsi="宋体" w:eastAsia="宋体" w:cs="宋体"/>
                <w:color w:val="auto"/>
                <w:sz w:val="21"/>
                <w:szCs w:val="21"/>
                <w:lang w:val="zh-CN" w:eastAsia="zh-CN" w:bidi="ar"/>
              </w:rPr>
              <w:t>培训方案编制混乱，主次不清、内容不齐全或有缺陷且不合理得</w:t>
            </w:r>
            <w:r>
              <w:rPr>
                <w:rFonts w:hint="eastAsia" w:ascii="宋体" w:hAnsi="宋体" w:eastAsia="宋体" w:cs="宋体"/>
                <w:color w:val="auto"/>
                <w:sz w:val="21"/>
                <w:szCs w:val="21"/>
                <w:lang w:val="en-US" w:eastAsia="zh-CN" w:bidi="ar"/>
              </w:rPr>
              <w:t>0-1.9</w:t>
            </w:r>
            <w:r>
              <w:rPr>
                <w:rFonts w:hint="eastAsia" w:ascii="宋体" w:hAnsi="宋体" w:eastAsia="宋体" w:cs="宋体"/>
                <w:color w:val="auto"/>
                <w:sz w:val="21"/>
                <w:szCs w:val="21"/>
                <w:lang w:val="zh-CN" w:eastAsia="zh-CN" w:bidi="ar"/>
              </w:rPr>
              <w:t>分；</w:t>
            </w:r>
            <w:r>
              <w:rPr>
                <w:rFonts w:hint="eastAsia" w:ascii="宋体" w:hAnsi="宋体" w:eastAsia="宋体" w:cs="宋体"/>
                <w:color w:val="auto"/>
                <w:sz w:val="21"/>
                <w:szCs w:val="21"/>
                <w:lang w:val="zh-CN" w:bidi="ar"/>
              </w:rPr>
              <w:t>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ADF89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61C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70" w:type="dxa"/>
            <w:tcBorders>
              <w:left w:val="single" w:color="auto" w:sz="4" w:space="0"/>
              <w:right w:val="single" w:color="auto" w:sz="4" w:space="0"/>
            </w:tcBorders>
            <w:noWrap w:val="0"/>
            <w:vAlign w:val="center"/>
          </w:tcPr>
          <w:p w14:paraId="185947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质量保证措施</w:t>
            </w:r>
          </w:p>
        </w:tc>
        <w:tc>
          <w:tcPr>
            <w:tcW w:w="7590" w:type="dxa"/>
            <w:tcBorders>
              <w:left w:val="single" w:color="auto" w:sz="4" w:space="0"/>
              <w:right w:val="single" w:color="auto" w:sz="4" w:space="0"/>
            </w:tcBorders>
            <w:noWrap w:val="0"/>
            <w:vAlign w:val="center"/>
          </w:tcPr>
          <w:p w14:paraId="7802D8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eastAsia="zh-CN"/>
              </w:rPr>
            </w:pPr>
            <w:r>
              <w:rPr>
                <w:rFonts w:hint="eastAsia" w:ascii="宋体" w:hAnsi="宋体" w:eastAsia="宋体" w:cs="宋体"/>
                <w:sz w:val="21"/>
                <w:szCs w:val="21"/>
              </w:rPr>
              <w:t>根据投标人提供的产品质量保证措施进行打分（0-4分）</w:t>
            </w:r>
            <w:r>
              <w:rPr>
                <w:rFonts w:hint="eastAsia" w:ascii="宋体" w:hAnsi="宋体" w:cs="宋体"/>
                <w:sz w:val="21"/>
                <w:szCs w:val="21"/>
                <w:lang w:eastAsia="zh-CN"/>
              </w:rPr>
              <w:t>。</w:t>
            </w:r>
          </w:p>
          <w:p w14:paraId="3845135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CN" w:eastAsia="zh-CN" w:bidi="ar"/>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质量保证措施</w:t>
            </w:r>
            <w:r>
              <w:rPr>
                <w:rFonts w:hint="eastAsia" w:ascii="宋体" w:hAnsi="宋体" w:eastAsia="宋体" w:cs="宋体"/>
                <w:color w:val="auto"/>
                <w:sz w:val="21"/>
                <w:szCs w:val="21"/>
                <w:lang w:val="zh-CN" w:eastAsia="zh-CN" w:bidi="ar"/>
              </w:rPr>
              <w:t>合理且规范，内容具体且丰富、完善合理、操作性强得</w:t>
            </w:r>
            <w:r>
              <w:rPr>
                <w:rFonts w:hint="eastAsia" w:ascii="宋体" w:hAnsi="宋体" w:eastAsia="宋体" w:cs="宋体"/>
                <w:color w:val="auto"/>
                <w:sz w:val="21"/>
                <w:szCs w:val="21"/>
                <w:lang w:val="en-US" w:eastAsia="zh-CN" w:bidi="ar"/>
              </w:rPr>
              <w:t>3.0-4.0</w:t>
            </w:r>
            <w:r>
              <w:rPr>
                <w:rFonts w:hint="eastAsia" w:ascii="宋体" w:hAnsi="宋体" w:eastAsia="宋体" w:cs="宋体"/>
                <w:color w:val="auto"/>
                <w:sz w:val="21"/>
                <w:szCs w:val="21"/>
                <w:lang w:val="zh-CN" w:eastAsia="zh-CN" w:bidi="ar"/>
              </w:rPr>
              <w:t>分；</w:t>
            </w:r>
          </w:p>
          <w:p w14:paraId="09A793B1">
            <w:pPr>
              <w:pStyle w:val="2"/>
              <w:numPr>
                <w:ilvl w:val="0"/>
                <w:numId w:val="0"/>
              </w:numPr>
              <w:ind w:leftChars="0"/>
              <w:rPr>
                <w:rFonts w:hint="eastAsia"/>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质量保证措施</w:t>
            </w:r>
            <w:r>
              <w:rPr>
                <w:rFonts w:hint="eastAsia" w:ascii="宋体" w:hAnsi="宋体" w:eastAsia="宋体" w:cs="宋体"/>
                <w:color w:val="auto"/>
                <w:sz w:val="21"/>
                <w:szCs w:val="21"/>
                <w:lang w:val="zh-CN" w:eastAsia="zh-CN" w:bidi="ar"/>
              </w:rPr>
              <w:t>基本合理且规范，内容较具体、丰富、完善合理，操作性较强得</w:t>
            </w:r>
            <w:r>
              <w:rPr>
                <w:rFonts w:hint="eastAsia" w:ascii="宋体" w:hAnsi="宋体" w:eastAsia="宋体" w:cs="宋体"/>
                <w:color w:val="auto"/>
                <w:sz w:val="21"/>
                <w:szCs w:val="21"/>
                <w:lang w:val="en-US" w:eastAsia="zh-CN" w:bidi="ar"/>
              </w:rPr>
              <w:t>2.0-2.9</w:t>
            </w:r>
            <w:r>
              <w:rPr>
                <w:rFonts w:hint="eastAsia" w:ascii="宋体" w:hAnsi="宋体" w:eastAsia="宋体" w:cs="宋体"/>
                <w:color w:val="auto"/>
                <w:sz w:val="21"/>
                <w:szCs w:val="21"/>
                <w:lang w:val="zh-CN" w:eastAsia="zh-CN" w:bidi="ar"/>
              </w:rPr>
              <w:t>分；</w:t>
            </w:r>
          </w:p>
          <w:p w14:paraId="2A3601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质量保证措施</w:t>
            </w:r>
            <w:r>
              <w:rPr>
                <w:rFonts w:hint="eastAsia" w:ascii="宋体" w:hAnsi="宋体" w:eastAsia="宋体" w:cs="宋体"/>
                <w:color w:val="auto"/>
                <w:sz w:val="21"/>
                <w:szCs w:val="21"/>
                <w:lang w:val="zh-CN" w:eastAsia="zh-CN" w:bidi="ar"/>
              </w:rPr>
              <w:t>编制混乱，主次不清、内容不齐全或有缺陷且不合理得</w:t>
            </w:r>
            <w:r>
              <w:rPr>
                <w:rFonts w:hint="eastAsia" w:ascii="宋体" w:hAnsi="宋体" w:eastAsia="宋体" w:cs="宋体"/>
                <w:color w:val="auto"/>
                <w:sz w:val="21"/>
                <w:szCs w:val="21"/>
                <w:lang w:val="en-US" w:eastAsia="zh-CN" w:bidi="ar"/>
              </w:rPr>
              <w:t>0-1.9</w:t>
            </w:r>
            <w:r>
              <w:rPr>
                <w:rFonts w:hint="eastAsia" w:ascii="宋体" w:hAnsi="宋体" w:eastAsia="宋体" w:cs="宋体"/>
                <w:color w:val="auto"/>
                <w:sz w:val="21"/>
                <w:szCs w:val="21"/>
                <w:lang w:val="zh-CN" w:eastAsia="zh-CN" w:bidi="ar"/>
              </w:rPr>
              <w:t>分；</w:t>
            </w:r>
            <w:r>
              <w:rPr>
                <w:rFonts w:hint="eastAsia" w:ascii="宋体" w:hAnsi="宋体" w:eastAsia="宋体" w:cs="宋体"/>
                <w:color w:val="auto"/>
                <w:sz w:val="21"/>
                <w:szCs w:val="21"/>
                <w:lang w:val="zh-CN" w:bidi="ar"/>
              </w:rPr>
              <w:t>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8BBF6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4分</w:t>
            </w:r>
          </w:p>
        </w:tc>
      </w:tr>
      <w:tr w14:paraId="388F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170" w:type="dxa"/>
            <w:tcBorders>
              <w:left w:val="single" w:color="auto" w:sz="4" w:space="0"/>
              <w:right w:val="single" w:color="auto" w:sz="4" w:space="0"/>
            </w:tcBorders>
            <w:noWrap w:val="0"/>
            <w:vAlign w:val="center"/>
          </w:tcPr>
          <w:p w14:paraId="0286CD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lang w:val="zh-CN"/>
              </w:rPr>
              <w:t>证书</w:t>
            </w:r>
          </w:p>
        </w:tc>
        <w:tc>
          <w:tcPr>
            <w:tcW w:w="7590" w:type="dxa"/>
            <w:tcBorders>
              <w:left w:val="single" w:color="auto" w:sz="4" w:space="0"/>
              <w:right w:val="single" w:color="auto" w:sz="4" w:space="0"/>
            </w:tcBorders>
            <w:noWrap w:val="0"/>
            <w:vAlign w:val="center"/>
          </w:tcPr>
          <w:p w14:paraId="223475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lang w:val="zh-CN"/>
              </w:rPr>
              <w:t>投标人或投标产品生产厂家具有质量管理体系认证、环境管理体系认证、职业健康安全管理体系认证证书的，每项2分，最多得</w:t>
            </w:r>
            <w:r>
              <w:rPr>
                <w:rFonts w:hint="eastAsia" w:ascii="宋体" w:hAnsi="宋体" w:eastAsia="宋体" w:cs="宋体"/>
                <w:sz w:val="21"/>
                <w:szCs w:val="21"/>
              </w:rPr>
              <w:t>6</w:t>
            </w:r>
            <w:r>
              <w:rPr>
                <w:rFonts w:hint="eastAsia" w:ascii="宋体" w:hAnsi="宋体" w:eastAsia="宋体" w:cs="宋体"/>
                <w:sz w:val="21"/>
                <w:szCs w:val="21"/>
                <w:lang w:val="zh-CN"/>
              </w:rPr>
              <w:t>分。</w:t>
            </w:r>
            <w:r>
              <w:rPr>
                <w:rFonts w:hint="eastAsia" w:ascii="宋体" w:hAnsi="宋体" w:eastAsia="宋体" w:cs="宋体"/>
                <w:b/>
                <w:bCs/>
                <w:sz w:val="21"/>
                <w:szCs w:val="21"/>
                <w:lang w:val="zh-CN"/>
              </w:rPr>
              <w:t>（</w:t>
            </w:r>
            <w:r>
              <w:rPr>
                <w:rFonts w:hint="eastAsia" w:ascii="宋体" w:hAnsi="宋体" w:eastAsia="宋体" w:cs="宋体"/>
                <w:b/>
                <w:bCs/>
                <w:sz w:val="21"/>
                <w:szCs w:val="21"/>
              </w:rPr>
              <w:t>提供有效期内的证书复印件并加盖公章，不提供不得分</w:t>
            </w:r>
            <w:r>
              <w:rPr>
                <w:rFonts w:hint="eastAsia" w:ascii="宋体" w:hAnsi="宋体" w:eastAsia="宋体" w:cs="宋体"/>
                <w:b/>
                <w:bCs/>
                <w:sz w:val="21"/>
                <w:szCs w:val="21"/>
                <w:lang w:val="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C097F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6分</w:t>
            </w:r>
          </w:p>
        </w:tc>
      </w:tr>
      <w:tr w14:paraId="2216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170" w:type="dxa"/>
            <w:tcBorders>
              <w:left w:val="single" w:color="auto" w:sz="4" w:space="0"/>
              <w:right w:val="single" w:color="auto" w:sz="4" w:space="0"/>
            </w:tcBorders>
            <w:noWrap w:val="0"/>
            <w:vAlign w:val="center"/>
          </w:tcPr>
          <w:p w14:paraId="26E45F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检验报告</w:t>
            </w:r>
          </w:p>
        </w:tc>
        <w:tc>
          <w:tcPr>
            <w:tcW w:w="7590" w:type="dxa"/>
            <w:tcBorders>
              <w:left w:val="single" w:color="auto" w:sz="4" w:space="0"/>
              <w:right w:val="single" w:color="auto" w:sz="4" w:space="0"/>
            </w:tcBorders>
            <w:noWrap w:val="0"/>
            <w:vAlign w:val="center"/>
          </w:tcPr>
          <w:p w14:paraId="776562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vanish w:val="0"/>
                <w:color w:val="auto"/>
                <w:sz w:val="21"/>
                <w:szCs w:val="21"/>
                <w:highlight w:val="none"/>
                <w:lang w:val="en-US" w:eastAsia="zh-CN" w:bidi="ar-SA"/>
              </w:rPr>
            </w:pPr>
            <w:r>
              <w:rPr>
                <w:rFonts w:hint="eastAsia" w:ascii="宋体" w:hAnsi="宋体" w:eastAsia="宋体" w:cs="宋体"/>
                <w:color w:val="auto"/>
                <w:sz w:val="21"/>
                <w:szCs w:val="21"/>
              </w:rPr>
              <w:t>根据投标人提供的整车试验报告、实用新型专利报告情况，企业获得国家级及行业优质证书</w:t>
            </w:r>
            <w:r>
              <w:rPr>
                <w:rFonts w:hint="eastAsia" w:ascii="宋体" w:hAnsi="宋体" w:cs="宋体"/>
                <w:color w:val="auto"/>
                <w:sz w:val="21"/>
                <w:szCs w:val="21"/>
                <w:lang w:eastAsia="zh-CN"/>
              </w:rPr>
              <w:t>的情况</w:t>
            </w:r>
            <w:r>
              <w:rPr>
                <w:rFonts w:hint="eastAsia" w:ascii="宋体" w:hAnsi="宋体" w:eastAsia="宋体" w:cs="宋体"/>
                <w:color w:val="auto"/>
                <w:sz w:val="21"/>
                <w:szCs w:val="21"/>
              </w:rPr>
              <w:t>打分，</w:t>
            </w:r>
            <w:r>
              <w:rPr>
                <w:rFonts w:hint="eastAsia" w:ascii="宋体" w:hAnsi="宋体" w:cs="宋体"/>
                <w:color w:val="auto"/>
                <w:sz w:val="21"/>
                <w:szCs w:val="21"/>
                <w:lang w:eastAsia="zh-CN"/>
              </w:rPr>
              <w:t>每提供一份得</w:t>
            </w:r>
            <w:r>
              <w:rPr>
                <w:rFonts w:hint="eastAsia" w:ascii="宋体" w:hAnsi="宋体" w:cs="宋体"/>
                <w:color w:val="auto"/>
                <w:sz w:val="21"/>
                <w:szCs w:val="21"/>
                <w:lang w:val="en-US" w:eastAsia="zh-CN"/>
              </w:rPr>
              <w:t>2分，最高得10分</w:t>
            </w:r>
            <w:r>
              <w:rPr>
                <w:rFonts w:hint="eastAsia" w:ascii="宋体" w:hAnsi="宋体" w:eastAsia="宋体" w:cs="宋体"/>
                <w:color w:val="auto"/>
                <w:sz w:val="21"/>
                <w:szCs w:val="21"/>
              </w:rPr>
              <w:t>。</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rPr>
              <w:t>提供</w:t>
            </w:r>
            <w:r>
              <w:rPr>
                <w:rFonts w:hint="eastAsia" w:ascii="宋体" w:hAnsi="宋体" w:eastAsia="宋体" w:cs="宋体"/>
                <w:b/>
                <w:bCs/>
                <w:color w:val="auto"/>
                <w:sz w:val="21"/>
                <w:szCs w:val="21"/>
                <w:lang w:eastAsia="zh-CN"/>
              </w:rPr>
              <w:t>原件的扫描件</w:t>
            </w:r>
            <w:r>
              <w:rPr>
                <w:rFonts w:hint="eastAsia" w:ascii="宋体" w:hAnsi="宋体" w:eastAsia="宋体" w:cs="宋体"/>
                <w:b/>
                <w:bCs/>
                <w:color w:val="auto"/>
                <w:sz w:val="21"/>
                <w:szCs w:val="21"/>
              </w:rPr>
              <w:t>并加盖公章，不提供不得分</w:t>
            </w:r>
            <w:r>
              <w:rPr>
                <w:rFonts w:hint="eastAsia" w:ascii="宋体" w:hAnsi="宋体" w:eastAsia="宋体" w:cs="宋体"/>
                <w:b/>
                <w:bCs/>
                <w:color w:val="auto"/>
                <w:sz w:val="21"/>
                <w:szCs w:val="21"/>
                <w:lang w:val="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D1405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10分</w:t>
            </w:r>
          </w:p>
        </w:tc>
      </w:tr>
      <w:tr w14:paraId="2E1D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170" w:type="dxa"/>
            <w:tcBorders>
              <w:left w:val="single" w:color="auto" w:sz="4" w:space="0"/>
              <w:right w:val="single" w:color="auto" w:sz="4" w:space="0"/>
            </w:tcBorders>
            <w:noWrap w:val="0"/>
            <w:vAlign w:val="center"/>
          </w:tcPr>
          <w:p w14:paraId="26666D2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售后服务</w:t>
            </w:r>
            <w:bookmarkStart w:id="60" w:name="_GoBack"/>
            <w:bookmarkEnd w:id="60"/>
          </w:p>
        </w:tc>
        <w:tc>
          <w:tcPr>
            <w:tcW w:w="7590" w:type="dxa"/>
            <w:tcBorders>
              <w:top w:val="single" w:color="auto" w:sz="4" w:space="0"/>
              <w:left w:val="single" w:color="auto" w:sz="4" w:space="0"/>
              <w:right w:val="single" w:color="auto" w:sz="4" w:space="0"/>
            </w:tcBorders>
            <w:noWrap w:val="0"/>
            <w:vAlign w:val="center"/>
          </w:tcPr>
          <w:p w14:paraId="1B297C8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根据售后服务总体方案及保障措施内容完整、科学合理、针对性强，符合项目实际需求的的等方面进行打分（</w:t>
            </w:r>
            <w:r>
              <w:rPr>
                <w:rFonts w:hint="eastAsia" w:ascii="宋体" w:hAnsi="宋体" w:eastAsia="宋体" w:cs="宋体"/>
                <w:color w:val="auto"/>
                <w:sz w:val="21"/>
                <w:szCs w:val="21"/>
                <w:lang w:eastAsia="zh-CN"/>
              </w:rPr>
              <w:t>0-5</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lang w:val="zh-CN" w:eastAsia="zh-CN"/>
              </w:rPr>
              <w:t>。</w:t>
            </w:r>
          </w:p>
          <w:p w14:paraId="5FE5B64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售后服务总体方案及</w:t>
            </w:r>
            <w:r>
              <w:rPr>
                <w:rFonts w:hint="eastAsia" w:ascii="宋体" w:hAnsi="宋体" w:eastAsia="宋体" w:cs="宋体"/>
                <w:color w:val="auto"/>
                <w:sz w:val="21"/>
                <w:szCs w:val="21"/>
                <w:lang w:val="zh-CN" w:eastAsia="zh-CN"/>
              </w:rPr>
              <w:t>保障措施</w:t>
            </w:r>
            <w:r>
              <w:rPr>
                <w:rFonts w:hint="eastAsia" w:ascii="宋体" w:hAnsi="宋体" w:eastAsia="宋体" w:cs="宋体"/>
                <w:color w:val="auto"/>
                <w:sz w:val="21"/>
                <w:szCs w:val="21"/>
                <w:lang w:eastAsia="zh-CN"/>
              </w:rPr>
              <w:t>内容完整、科学合理、针对性强，符合项目实际需求的得</w:t>
            </w:r>
            <w:r>
              <w:rPr>
                <w:rFonts w:hint="eastAsia" w:ascii="宋体" w:hAnsi="宋体" w:eastAsia="宋体" w:cs="宋体"/>
                <w:color w:val="auto"/>
                <w:sz w:val="21"/>
                <w:szCs w:val="21"/>
                <w:lang w:val="en-US" w:eastAsia="zh-CN"/>
              </w:rPr>
              <w:t>3.5-5.0分</w:t>
            </w:r>
            <w:r>
              <w:rPr>
                <w:rFonts w:hint="eastAsia" w:ascii="宋体" w:hAnsi="宋体" w:eastAsia="宋体" w:cs="宋体"/>
                <w:color w:val="auto"/>
                <w:sz w:val="21"/>
                <w:szCs w:val="21"/>
                <w:lang w:eastAsia="zh-CN"/>
              </w:rPr>
              <w:t>；</w:t>
            </w:r>
          </w:p>
          <w:p w14:paraId="38F0183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2）售后服务总体方案及</w:t>
            </w:r>
            <w:r>
              <w:rPr>
                <w:rFonts w:hint="eastAsia" w:ascii="宋体" w:hAnsi="宋体" w:eastAsia="宋体" w:cs="宋体"/>
                <w:color w:val="auto"/>
                <w:sz w:val="21"/>
                <w:szCs w:val="21"/>
                <w:lang w:val="zh-CN" w:eastAsia="zh-CN"/>
              </w:rPr>
              <w:t>保障措施</w:t>
            </w:r>
            <w:r>
              <w:rPr>
                <w:rFonts w:hint="eastAsia" w:ascii="宋体" w:hAnsi="宋体" w:eastAsia="宋体" w:cs="宋体"/>
                <w:color w:val="auto"/>
                <w:sz w:val="21"/>
                <w:szCs w:val="21"/>
                <w:lang w:val="en-US" w:eastAsia="zh-CN"/>
              </w:rPr>
              <w:t>内容可行，基本符合项目实际需求的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2.0-3.4</w:t>
            </w:r>
            <w:r>
              <w:rPr>
                <w:rFonts w:hint="eastAsia" w:ascii="宋体" w:hAnsi="宋体" w:eastAsia="宋体" w:cs="宋体"/>
                <w:color w:val="auto"/>
                <w:sz w:val="21"/>
                <w:szCs w:val="21"/>
                <w:lang w:val="zh-CN" w:eastAsia="zh-CN"/>
              </w:rPr>
              <w:t>分；</w:t>
            </w:r>
          </w:p>
          <w:p w14:paraId="296702B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3）售后服务总体方案及</w:t>
            </w:r>
            <w:r>
              <w:rPr>
                <w:rFonts w:hint="eastAsia" w:ascii="宋体" w:hAnsi="宋体" w:eastAsia="宋体" w:cs="宋体"/>
                <w:color w:val="auto"/>
                <w:sz w:val="21"/>
                <w:szCs w:val="21"/>
                <w:lang w:val="zh-CN" w:eastAsia="zh-CN"/>
              </w:rPr>
              <w:t>保障措施</w:t>
            </w:r>
            <w:r>
              <w:rPr>
                <w:rFonts w:hint="eastAsia" w:ascii="宋体" w:hAnsi="宋体" w:eastAsia="宋体" w:cs="宋体"/>
                <w:color w:val="auto"/>
                <w:sz w:val="21"/>
                <w:szCs w:val="21"/>
                <w:lang w:val="en-US" w:eastAsia="zh-CN"/>
              </w:rPr>
              <w:t>内容不明确，不能满足项目需求的得0-1.9分；</w:t>
            </w:r>
            <w:r>
              <w:rPr>
                <w:rFonts w:hint="eastAsia" w:ascii="宋体" w:hAnsi="宋体" w:eastAsia="宋体" w:cs="宋体"/>
                <w:color w:val="auto"/>
                <w:sz w:val="21"/>
                <w:szCs w:val="21"/>
                <w:lang w:val="zh-CN" w:bidi="ar"/>
              </w:rPr>
              <w:t>缺项得</w:t>
            </w:r>
            <w:r>
              <w:rPr>
                <w:rFonts w:hint="eastAsia" w:ascii="宋体" w:hAnsi="宋体" w:eastAsia="宋体" w:cs="宋体"/>
                <w:color w:val="auto"/>
                <w:sz w:val="21"/>
                <w:szCs w:val="21"/>
                <w:lang w:bidi="ar"/>
              </w:rPr>
              <w:t>0分。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2D802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16FD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170" w:type="dxa"/>
            <w:tcBorders>
              <w:left w:val="single" w:color="auto" w:sz="4" w:space="0"/>
              <w:right w:val="single" w:color="auto" w:sz="4" w:space="0"/>
            </w:tcBorders>
            <w:noWrap w:val="0"/>
            <w:vAlign w:val="center"/>
          </w:tcPr>
          <w:p w14:paraId="76F622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val="zh-CN"/>
              </w:rPr>
              <w:t>业绩</w:t>
            </w:r>
          </w:p>
        </w:tc>
        <w:tc>
          <w:tcPr>
            <w:tcW w:w="7590" w:type="dxa"/>
            <w:tcBorders>
              <w:top w:val="single" w:color="auto" w:sz="4" w:space="0"/>
              <w:left w:val="single" w:color="auto" w:sz="4" w:space="0"/>
              <w:right w:val="single" w:color="auto" w:sz="4" w:space="0"/>
            </w:tcBorders>
            <w:noWrap w:val="0"/>
            <w:vAlign w:val="center"/>
          </w:tcPr>
          <w:p w14:paraId="3D017A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sz w:val="21"/>
                <w:szCs w:val="21"/>
                <w:lang w:val="zh-CN"/>
              </w:rPr>
              <w:t>投标人自201</w:t>
            </w:r>
            <w:r>
              <w:rPr>
                <w:rFonts w:hint="eastAsia" w:ascii="宋体" w:hAnsi="宋体" w:eastAsia="宋体" w:cs="宋体"/>
                <w:sz w:val="21"/>
                <w:szCs w:val="21"/>
              </w:rPr>
              <w:t>9</w:t>
            </w:r>
            <w:r>
              <w:rPr>
                <w:rFonts w:hint="eastAsia" w:ascii="宋体" w:hAnsi="宋体" w:eastAsia="宋体" w:cs="宋体"/>
                <w:sz w:val="21"/>
                <w:szCs w:val="21"/>
                <w:lang w:val="zh-CN"/>
              </w:rPr>
              <w:t>年1月1日（以合同签订时间为准）承接过</w:t>
            </w:r>
            <w:r>
              <w:rPr>
                <w:rFonts w:hint="eastAsia" w:ascii="宋体" w:hAnsi="宋体" w:eastAsia="宋体" w:cs="宋体"/>
                <w:sz w:val="21"/>
                <w:szCs w:val="21"/>
                <w:lang w:val="en-US" w:eastAsia="zh-CN"/>
              </w:rPr>
              <w:t>消防车</w:t>
            </w:r>
            <w:r>
              <w:rPr>
                <w:rFonts w:hint="eastAsia" w:ascii="宋体" w:hAnsi="宋体" w:eastAsia="宋体" w:cs="宋体"/>
                <w:sz w:val="21"/>
                <w:szCs w:val="21"/>
                <w:lang w:val="zh-CN"/>
              </w:rPr>
              <w:t>业绩的，每个得1分；本项最高得</w:t>
            </w:r>
            <w:r>
              <w:rPr>
                <w:rFonts w:hint="eastAsia" w:ascii="宋体" w:hAnsi="宋体" w:eastAsia="宋体" w:cs="宋体"/>
                <w:sz w:val="21"/>
                <w:szCs w:val="21"/>
              </w:rPr>
              <w:t>3</w:t>
            </w:r>
            <w:r>
              <w:rPr>
                <w:rFonts w:hint="eastAsia" w:ascii="宋体" w:hAnsi="宋体" w:eastAsia="宋体" w:cs="宋体"/>
                <w:sz w:val="21"/>
                <w:szCs w:val="21"/>
                <w:lang w:val="zh-CN"/>
              </w:rPr>
              <w:t>分。（需在投标文件中提供合同复印件加盖公章，未提供不得分）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0413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3分</w:t>
            </w:r>
          </w:p>
        </w:tc>
      </w:tr>
      <w:tr w14:paraId="7C67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7F1D37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w:t>
            </w:r>
          </w:p>
          <w:p w14:paraId="392180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c>
          <w:tcPr>
            <w:tcW w:w="7590" w:type="dxa"/>
            <w:tcBorders>
              <w:top w:val="single" w:color="auto" w:sz="4" w:space="0"/>
              <w:left w:val="single" w:color="auto" w:sz="4" w:space="0"/>
              <w:bottom w:val="single" w:color="auto" w:sz="4" w:space="0"/>
              <w:right w:val="single" w:color="auto" w:sz="4" w:space="0"/>
            </w:tcBorders>
            <w:noWrap w:val="0"/>
            <w:vAlign w:val="center"/>
          </w:tcPr>
          <w:p w14:paraId="64FC80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p w14:paraId="2431D52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有关本项目实施所需的所有费用（含税费）均计入报价。开标一览表（报价表）是报价的唯一载体。投标文件中价格全部采用人民币报价。招标文件未列明，而投标人认为必需的费用也需列入报价。</w:t>
            </w:r>
          </w:p>
          <w:p w14:paraId="45CB54E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提醒：验收时上牌检测税费由采购人承担，不包含在投标总价中。</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2B0B3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p>
        </w:tc>
      </w:tr>
    </w:tbl>
    <w:p w14:paraId="1738790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注：</w:t>
      </w:r>
    </w:p>
    <w:p w14:paraId="70946D1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提示</w:t>
      </w:r>
      <w:r>
        <w:rPr>
          <w:rFonts w:hint="eastAsia" w:ascii="宋体" w:hAnsi="宋体" w:eastAsia="宋体" w:cs="宋体"/>
          <w:b/>
          <w:bCs/>
          <w:color w:val="auto"/>
          <w:sz w:val="24"/>
          <w:szCs w:val="24"/>
          <w:highlight w:val="none"/>
        </w:rPr>
        <w:t>：</w:t>
      </w:r>
    </w:p>
    <w:p w14:paraId="4EC947A9">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1、请各投标人根据本招标文件及评分标准的顺序编制电子投标文件并进行关联定位，</w:t>
      </w:r>
      <w:r>
        <w:rPr>
          <w:rFonts w:hint="eastAsia" w:ascii="宋体" w:hAnsi="宋体" w:eastAsia="宋体" w:cs="宋体"/>
          <w:b/>
          <w:bCs/>
          <w:color w:val="auto"/>
          <w:sz w:val="24"/>
          <w:szCs w:val="24"/>
          <w:highlight w:val="none"/>
          <w:lang w:eastAsia="zh-CN"/>
        </w:rPr>
        <w:t>如</w:t>
      </w:r>
      <w:r>
        <w:rPr>
          <w:rFonts w:hint="eastAsia" w:ascii="宋体" w:hAnsi="宋体" w:eastAsia="宋体" w:cs="宋体"/>
          <w:b/>
          <w:bCs/>
          <w:color w:val="auto"/>
          <w:sz w:val="24"/>
          <w:szCs w:val="24"/>
          <w:highlight w:val="none"/>
        </w:rPr>
        <w:t>投标人的电子投标文件未能</w:t>
      </w:r>
      <w:r>
        <w:rPr>
          <w:rFonts w:hint="eastAsia" w:ascii="宋体" w:hAnsi="宋体" w:eastAsia="宋体" w:cs="宋体"/>
          <w:b/>
          <w:bCs/>
          <w:color w:val="auto"/>
          <w:sz w:val="24"/>
          <w:szCs w:val="24"/>
          <w:highlight w:val="none"/>
          <w:lang w:eastAsia="zh-CN"/>
        </w:rPr>
        <w:t>正确</w:t>
      </w:r>
      <w:r>
        <w:rPr>
          <w:rFonts w:hint="eastAsia" w:ascii="宋体" w:hAnsi="宋体" w:eastAsia="宋体" w:cs="宋体"/>
          <w:b/>
          <w:bCs/>
          <w:color w:val="auto"/>
          <w:sz w:val="24"/>
          <w:szCs w:val="24"/>
          <w:highlight w:val="none"/>
        </w:rPr>
        <w:t>关联定位提供相应的内容与其对应，则评标委员会在评审时如</w:t>
      </w:r>
      <w:r>
        <w:rPr>
          <w:rFonts w:hint="eastAsia" w:ascii="宋体" w:hAnsi="宋体" w:eastAsia="宋体" w:cs="宋体"/>
          <w:b/>
          <w:bCs/>
          <w:color w:val="auto"/>
          <w:sz w:val="24"/>
          <w:szCs w:val="24"/>
          <w:highlight w:val="none"/>
          <w:lang w:eastAsia="zh-CN"/>
        </w:rPr>
        <w:t>作</w:t>
      </w:r>
      <w:r>
        <w:rPr>
          <w:rFonts w:hint="eastAsia" w:ascii="宋体" w:hAnsi="宋体" w:eastAsia="宋体" w:cs="宋体"/>
          <w:b/>
          <w:bCs/>
          <w:color w:val="auto"/>
          <w:sz w:val="24"/>
          <w:szCs w:val="24"/>
          <w:highlight w:val="none"/>
        </w:rPr>
        <w:t>出对投标人不利的评审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由投标人自行承担。</w:t>
      </w:r>
    </w:p>
    <w:p w14:paraId="1AED100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2、投标人提交的所有投标文件、资料（包括所有证书、合同、报告等）都是准确、真实、合规的，如提供虚假资料，投标人需承担一切后果。</w:t>
      </w:r>
    </w:p>
    <w:p w14:paraId="2FBD4241">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3、各投标人请将本采购项目评分索引表放在商务技术文件目录的前页，</w:t>
      </w:r>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rPr>
        <w:t>将应得分值（客观分部分）准确自评，以方便评委进行更加优质、高效的评审。</w:t>
      </w:r>
    </w:p>
    <w:p w14:paraId="2340821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5CEFBFAC">
      <w:pPr>
        <w:widowControl w:val="0"/>
        <w:spacing w:line="480" w:lineRule="exact"/>
        <w:jc w:val="both"/>
        <w:textAlignment w:val="baseline"/>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14:paraId="385A775E">
      <w:pPr>
        <w:numPr>
          <w:ilvl w:val="0"/>
          <w:numId w:val="7"/>
        </w:numPr>
        <w:spacing w:line="360" w:lineRule="auto"/>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公开招标需求</w:t>
      </w:r>
    </w:p>
    <w:p w14:paraId="5C02DBCC">
      <w:pPr>
        <w:keepNext w:val="0"/>
        <w:keepLines w:val="0"/>
        <w:pageBreakBefore w:val="0"/>
        <w:kinsoku/>
        <w:wordWrap/>
        <w:overflowPunct/>
        <w:topLinePunct w:val="0"/>
        <w:bidi w:val="0"/>
        <w:adjustRightInd/>
        <w:spacing w:before="120" w:beforeLines="50" w:after="120" w:afterLines="50" w:line="420" w:lineRule="exact"/>
        <w:ind w:left="239" w:leftChars="114" w:firstLine="480" w:firstLineChars="200"/>
        <w:jc w:val="left"/>
        <w:textAlignment w:val="auto"/>
        <w:outlineLvl w:val="1"/>
        <w:rPr>
          <w:rFonts w:hint="eastAsia" w:asciiTheme="minorEastAsia" w:hAnsiTheme="minorEastAsia" w:eastAsiaTheme="minorEastAsia"/>
          <w:b/>
          <w:bCs/>
          <w:color w:val="auto"/>
          <w:sz w:val="24"/>
          <w:highlight w:val="none"/>
        </w:rPr>
      </w:pPr>
      <w:r>
        <w:rPr>
          <w:rFonts w:hint="eastAsia" w:ascii="宋体" w:hAnsi="宋体"/>
          <w:color w:val="auto"/>
          <w:sz w:val="24"/>
          <w:highlight w:val="none"/>
        </w:rPr>
        <w:t>本次采购项目</w:t>
      </w:r>
      <w:r>
        <w:rPr>
          <w:rFonts w:hint="eastAsia" w:ascii="宋体" w:hAnsi="宋体" w:eastAsia="宋体" w:cs="宋体"/>
          <w:bCs/>
          <w:color w:val="auto"/>
          <w:sz w:val="24"/>
          <w:szCs w:val="24"/>
          <w:highlight w:val="none"/>
        </w:rPr>
        <w:t>为</w:t>
      </w:r>
      <w:r>
        <w:rPr>
          <w:rFonts w:hint="eastAsia" w:ascii="宋体" w:hAnsi="宋体" w:cs="宋体"/>
          <w:bCs/>
          <w:color w:val="auto"/>
          <w:sz w:val="24"/>
          <w:szCs w:val="24"/>
          <w:highlight w:val="none"/>
          <w:lang w:eastAsia="zh-CN"/>
        </w:rPr>
        <w:t>多功能登高平台消防车及随车器材一批采购项目</w:t>
      </w:r>
      <w:r>
        <w:rPr>
          <w:rFonts w:hint="eastAsia" w:ascii="宋体" w:hAnsi="宋体"/>
          <w:color w:val="auto"/>
          <w:sz w:val="24"/>
          <w:highlight w:val="none"/>
        </w:rPr>
        <w:t>，除</w:t>
      </w:r>
      <w:r>
        <w:rPr>
          <w:rFonts w:hint="eastAsia" w:ascii="宋体" w:hAnsi="宋体"/>
          <w:color w:val="auto"/>
          <w:sz w:val="24"/>
          <w:highlight w:val="none"/>
          <w:lang w:eastAsia="zh-CN"/>
        </w:rPr>
        <w:t>采购</w:t>
      </w:r>
      <w:r>
        <w:rPr>
          <w:rFonts w:hint="eastAsia" w:ascii="宋体" w:hAnsi="宋体"/>
          <w:color w:val="auto"/>
          <w:sz w:val="24"/>
          <w:highlight w:val="none"/>
        </w:rPr>
        <w:t>文件明确推荐品牌外，欢迎其他能满足本项目</w:t>
      </w:r>
      <w:r>
        <w:rPr>
          <w:rFonts w:hint="eastAsia" w:ascii="宋体" w:hAnsi="宋体"/>
          <w:color w:val="auto"/>
          <w:sz w:val="24"/>
          <w:highlight w:val="none"/>
          <w:lang w:eastAsia="zh-CN"/>
        </w:rPr>
        <w:t>采购</w:t>
      </w:r>
      <w:r>
        <w:rPr>
          <w:rFonts w:hint="eastAsia" w:ascii="宋体" w:hAnsi="宋体"/>
          <w:color w:val="auto"/>
          <w:sz w:val="24"/>
          <w:highlight w:val="none"/>
        </w:rPr>
        <w:t>需求且性能与所明确品牌相当的产品参加投标。具体采购</w:t>
      </w:r>
      <w:r>
        <w:rPr>
          <w:rFonts w:hint="eastAsia" w:ascii="宋体" w:hAnsi="宋体"/>
          <w:color w:val="auto"/>
          <w:sz w:val="24"/>
          <w:highlight w:val="none"/>
          <w:lang w:eastAsia="zh-CN"/>
        </w:rPr>
        <w:t>清单</w:t>
      </w:r>
      <w:r>
        <w:rPr>
          <w:rFonts w:hint="eastAsia" w:ascii="宋体" w:hAnsi="宋体"/>
          <w:color w:val="auto"/>
          <w:sz w:val="24"/>
          <w:highlight w:val="none"/>
        </w:rPr>
        <w:t>及技术要求如下</w:t>
      </w:r>
      <w:r>
        <w:rPr>
          <w:rFonts w:hint="eastAsia" w:ascii="宋体" w:hAnsi="宋体"/>
          <w:color w:val="auto"/>
          <w:sz w:val="24"/>
          <w:szCs w:val="24"/>
          <w:highlight w:val="none"/>
        </w:rPr>
        <w:t>：</w:t>
      </w:r>
    </w:p>
    <w:p w14:paraId="4D4A2B6C">
      <w:pPr>
        <w:keepNext w:val="0"/>
        <w:keepLines w:val="0"/>
        <w:pageBreakBefore w:val="0"/>
        <w:kinsoku/>
        <w:wordWrap/>
        <w:overflowPunct/>
        <w:topLinePunct w:val="0"/>
        <w:bidi w:val="0"/>
        <w:adjustRightInd w:val="0"/>
        <w:snapToGrid w:val="0"/>
        <w:spacing w:line="420" w:lineRule="exact"/>
        <w:jc w:val="left"/>
        <w:textAlignment w:val="auto"/>
        <w:outlineLvl w:val="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一、项目概况</w:t>
      </w:r>
    </w:p>
    <w:tbl>
      <w:tblPr>
        <w:tblStyle w:val="39"/>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04"/>
        <w:gridCol w:w="1965"/>
        <w:gridCol w:w="1012"/>
        <w:gridCol w:w="931"/>
        <w:gridCol w:w="1472"/>
      </w:tblGrid>
      <w:tr w14:paraId="52C1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93" w:type="dxa"/>
            <w:noWrap w:val="0"/>
            <w:vAlign w:val="center"/>
          </w:tcPr>
          <w:p w14:paraId="6574701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序号</w:t>
            </w:r>
          </w:p>
        </w:tc>
        <w:tc>
          <w:tcPr>
            <w:tcW w:w="2304" w:type="dxa"/>
            <w:noWrap w:val="0"/>
            <w:vAlign w:val="center"/>
          </w:tcPr>
          <w:p w14:paraId="1C2DA12D">
            <w:pPr>
              <w:keepNext w:val="0"/>
              <w:keepLines w:val="0"/>
              <w:pageBreakBefore w:val="0"/>
              <w:tabs>
                <w:tab w:val="left" w:pos="8280"/>
              </w:tabs>
              <w:kinsoku/>
              <w:wordWrap/>
              <w:overflowPunct/>
              <w:topLinePunct w:val="0"/>
              <w:autoSpaceDE w:val="0"/>
              <w:autoSpaceDN w:val="0"/>
              <w:bidi w:val="0"/>
              <w:adjustRightInd w:val="0"/>
              <w:spacing w:line="240" w:lineRule="auto"/>
              <w:ind w:right="25" w:firstLine="120" w:firstLineChars="50"/>
              <w:jc w:val="center"/>
              <w:textAlignment w:val="auto"/>
              <w:rPr>
                <w:rFonts w:ascii="宋体" w:hAnsi="宋体"/>
                <w:b/>
                <w:color w:val="auto"/>
                <w:sz w:val="24"/>
                <w:szCs w:val="24"/>
                <w:highlight w:val="none"/>
              </w:rPr>
            </w:pP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名称</w:t>
            </w:r>
          </w:p>
        </w:tc>
        <w:tc>
          <w:tcPr>
            <w:tcW w:w="1965" w:type="dxa"/>
            <w:noWrap w:val="0"/>
            <w:vAlign w:val="center"/>
          </w:tcPr>
          <w:p w14:paraId="66B9D3B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cs="宋体"/>
                <w:b/>
                <w:color w:val="auto"/>
                <w:sz w:val="24"/>
                <w:szCs w:val="24"/>
                <w:highlight w:val="none"/>
              </w:rPr>
              <w:t>简要技术要求</w:t>
            </w:r>
          </w:p>
        </w:tc>
        <w:tc>
          <w:tcPr>
            <w:tcW w:w="1012" w:type="dxa"/>
            <w:noWrap w:val="0"/>
            <w:vAlign w:val="center"/>
          </w:tcPr>
          <w:p w14:paraId="5E6BF818">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b/>
                <w:color w:val="auto"/>
                <w:sz w:val="24"/>
                <w:szCs w:val="24"/>
                <w:highlight w:val="none"/>
              </w:rPr>
              <w:t>数量</w:t>
            </w:r>
          </w:p>
        </w:tc>
        <w:tc>
          <w:tcPr>
            <w:tcW w:w="931" w:type="dxa"/>
            <w:noWrap w:val="0"/>
            <w:vAlign w:val="center"/>
          </w:tcPr>
          <w:p w14:paraId="57C50D2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b/>
                <w:color w:val="auto"/>
                <w:sz w:val="24"/>
                <w:szCs w:val="24"/>
                <w:highlight w:val="none"/>
              </w:rPr>
              <w:t>单位</w:t>
            </w:r>
          </w:p>
        </w:tc>
        <w:tc>
          <w:tcPr>
            <w:tcW w:w="1472" w:type="dxa"/>
            <w:noWrap w:val="0"/>
            <w:vAlign w:val="center"/>
          </w:tcPr>
          <w:p w14:paraId="0F8235D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预算金额（</w:t>
            </w:r>
            <w:r>
              <w:rPr>
                <w:rFonts w:hint="eastAsia" w:ascii="宋体" w:hAnsi="宋体"/>
                <w:b/>
                <w:color w:val="auto"/>
                <w:sz w:val="24"/>
                <w:szCs w:val="24"/>
                <w:highlight w:val="none"/>
                <w:lang w:val="en-US" w:eastAsia="zh-CN"/>
              </w:rPr>
              <w:t>万元）</w:t>
            </w:r>
          </w:p>
        </w:tc>
      </w:tr>
      <w:tr w14:paraId="47D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93" w:type="dxa"/>
            <w:noWrap w:val="0"/>
            <w:vAlign w:val="center"/>
          </w:tcPr>
          <w:p w14:paraId="5933F268">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304" w:type="dxa"/>
            <w:noWrap w:val="0"/>
            <w:vAlign w:val="center"/>
          </w:tcPr>
          <w:p w14:paraId="462E016E">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多功能登高平台消防车及随车器材一批采购项目</w:t>
            </w:r>
          </w:p>
        </w:tc>
        <w:tc>
          <w:tcPr>
            <w:tcW w:w="1965" w:type="dxa"/>
            <w:noWrap w:val="0"/>
            <w:vAlign w:val="center"/>
          </w:tcPr>
          <w:p w14:paraId="4E2D3F5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具体内容见</w:t>
            </w:r>
            <w:r>
              <w:rPr>
                <w:rFonts w:hint="eastAsia" w:ascii="宋体" w:hAnsi="宋体"/>
                <w:color w:val="auto"/>
                <w:sz w:val="24"/>
                <w:szCs w:val="24"/>
                <w:highlight w:val="none"/>
                <w:lang w:eastAsia="zh-CN"/>
              </w:rPr>
              <w:t>采购清单及技术要求</w:t>
            </w:r>
          </w:p>
        </w:tc>
        <w:tc>
          <w:tcPr>
            <w:tcW w:w="1012" w:type="dxa"/>
            <w:noWrap w:val="0"/>
            <w:vAlign w:val="center"/>
          </w:tcPr>
          <w:p w14:paraId="20E9687F">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931" w:type="dxa"/>
            <w:noWrap w:val="0"/>
            <w:vAlign w:val="center"/>
          </w:tcPr>
          <w:p w14:paraId="776CD39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辆</w:t>
            </w:r>
          </w:p>
        </w:tc>
        <w:tc>
          <w:tcPr>
            <w:tcW w:w="1472" w:type="dxa"/>
            <w:noWrap w:val="0"/>
            <w:vAlign w:val="center"/>
          </w:tcPr>
          <w:p w14:paraId="2591FB27">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default"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240</w:t>
            </w:r>
          </w:p>
        </w:tc>
      </w:tr>
    </w:tbl>
    <w:p w14:paraId="67AAA529">
      <w:pPr>
        <w:pStyle w:val="4"/>
        <w:keepNext w:val="0"/>
        <w:keepLines w:val="0"/>
        <w:pageBreakBefore w:val="0"/>
        <w:numPr>
          <w:ilvl w:val="0"/>
          <w:numId w:val="0"/>
        </w:numPr>
        <w:tabs>
          <w:tab w:val="left" w:pos="432"/>
        </w:tabs>
        <w:kinsoku/>
        <w:wordWrap/>
        <w:overflowPunct/>
        <w:topLinePunct w:val="0"/>
        <w:bidi w:val="0"/>
        <w:spacing w:line="4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二、基本要求</w:t>
      </w:r>
    </w:p>
    <w:tbl>
      <w:tblPr>
        <w:tblStyle w:val="39"/>
        <w:tblW w:w="94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7"/>
        <w:gridCol w:w="8755"/>
      </w:tblGrid>
      <w:tr w14:paraId="669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157C57C">
            <w:pPr>
              <w:adjustRightInd w:val="0"/>
              <w:snapToGrid w:val="0"/>
              <w:spacing w:line="300" w:lineRule="exact"/>
              <w:jc w:val="center"/>
              <w:rPr>
                <w:rFonts w:hint="default" w:ascii="宋体" w:eastAsia="宋体"/>
                <w:b/>
                <w:bCs/>
                <w:color w:val="000000"/>
                <w:sz w:val="18"/>
                <w:szCs w:val="18"/>
                <w:lang w:val="en-US" w:eastAsia="zh-CN"/>
              </w:rPr>
            </w:pPr>
            <w:r>
              <w:rPr>
                <w:rFonts w:hint="eastAsia" w:ascii="宋体" w:hAnsi="宋体" w:cs="宋体"/>
                <w:b/>
                <w:bCs/>
                <w:color w:val="000000"/>
                <w:sz w:val="18"/>
                <w:szCs w:val="18"/>
                <w:lang w:val="en-US" w:eastAsia="zh-CN"/>
              </w:rPr>
              <w:t>多功能</w:t>
            </w:r>
            <w:r>
              <w:rPr>
                <w:rFonts w:hint="eastAsia" w:ascii="宋体" w:hAnsi="宋体" w:cs="宋体"/>
                <w:b/>
                <w:bCs/>
                <w:color w:val="000000"/>
                <w:sz w:val="18"/>
                <w:szCs w:val="18"/>
              </w:rPr>
              <w:t>登高平台消防车</w:t>
            </w:r>
            <w:r>
              <w:rPr>
                <w:rFonts w:hint="eastAsia" w:ascii="宋体" w:hAnsi="宋体" w:cs="宋体"/>
                <w:b/>
                <w:bCs/>
                <w:color w:val="000000"/>
                <w:sz w:val="18"/>
                <w:szCs w:val="18"/>
                <w:lang w:val="en-US" w:eastAsia="zh-CN"/>
              </w:rPr>
              <w:t>及随车器材一批</w:t>
            </w:r>
          </w:p>
        </w:tc>
      </w:tr>
      <w:tr w14:paraId="4EE4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CF19346">
            <w:pPr>
              <w:adjustRightInd w:val="0"/>
              <w:snapToGrid w:val="0"/>
              <w:spacing w:line="300" w:lineRule="exact"/>
              <w:jc w:val="center"/>
              <w:rPr>
                <w:rFonts w:ascii="宋体"/>
                <w:color w:val="000000"/>
                <w:sz w:val="18"/>
                <w:szCs w:val="18"/>
              </w:rPr>
            </w:pPr>
            <w:r>
              <w:rPr>
                <w:rFonts w:hint="eastAsia" w:ascii="宋体" w:hAnsi="宋体" w:cs="宋体"/>
                <w:sz w:val="18"/>
                <w:szCs w:val="18"/>
              </w:rPr>
              <w:t>技术要求</w:t>
            </w:r>
          </w:p>
        </w:tc>
      </w:tr>
      <w:tr w14:paraId="5473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5C2D1495">
            <w:pPr>
              <w:adjustRightInd w:val="0"/>
              <w:snapToGrid w:val="0"/>
              <w:spacing w:line="300" w:lineRule="exact"/>
              <w:jc w:val="left"/>
              <w:rPr>
                <w:rFonts w:ascii="宋体" w:hAnsi="宋体" w:cs="宋体"/>
                <w:sz w:val="18"/>
                <w:szCs w:val="18"/>
              </w:rPr>
            </w:pPr>
            <w:r>
              <w:rPr>
                <w:rFonts w:hint="eastAsia" w:ascii="宋体" w:hAnsi="宋体" w:cs="宋体"/>
                <w:sz w:val="18"/>
                <w:szCs w:val="18"/>
              </w:rPr>
              <w:t>（一）整车主要技术参数</w:t>
            </w:r>
          </w:p>
        </w:tc>
      </w:tr>
      <w:tr w14:paraId="35F2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7C41AA52">
            <w:pPr>
              <w:adjustRightInd w:val="0"/>
              <w:snapToGrid w:val="0"/>
              <w:spacing w:line="300" w:lineRule="exact"/>
              <w:jc w:val="center"/>
              <w:rPr>
                <w:rFonts w:ascii="宋体"/>
                <w:color w:val="000000"/>
                <w:sz w:val="18"/>
                <w:szCs w:val="18"/>
              </w:rPr>
            </w:pPr>
            <w:r>
              <w:rPr>
                <w:rFonts w:ascii="宋体" w:hAnsi="宋体" w:cs="宋体"/>
                <w:color w:val="000000"/>
                <w:sz w:val="18"/>
                <w:szCs w:val="18"/>
              </w:rPr>
              <w:t>1</w:t>
            </w:r>
          </w:p>
        </w:tc>
        <w:tc>
          <w:tcPr>
            <w:tcW w:w="8772" w:type="dxa"/>
            <w:gridSpan w:val="2"/>
            <w:vAlign w:val="center"/>
          </w:tcPr>
          <w:p w14:paraId="768E327D">
            <w:pPr>
              <w:adjustRightInd w:val="0"/>
              <w:snapToGrid w:val="0"/>
              <w:spacing w:line="300" w:lineRule="exact"/>
              <w:jc w:val="left"/>
              <w:rPr>
                <w:rFonts w:ascii="宋体"/>
                <w:color w:val="000000"/>
                <w:sz w:val="18"/>
                <w:szCs w:val="18"/>
              </w:rPr>
            </w:pPr>
            <w:r>
              <w:rPr>
                <w:rFonts w:hint="eastAsia" w:ascii="宋体" w:hAnsi="宋体" w:cs="宋体"/>
                <w:color w:val="000000"/>
                <w:sz w:val="18"/>
                <w:szCs w:val="18"/>
              </w:rPr>
              <w:t>满载质量：≤19200kg</w:t>
            </w:r>
          </w:p>
        </w:tc>
      </w:tr>
      <w:tr w14:paraId="744D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62F9AF30">
            <w:pPr>
              <w:adjustRightInd w:val="0"/>
              <w:snapToGrid w:val="0"/>
              <w:spacing w:line="300" w:lineRule="exact"/>
              <w:jc w:val="center"/>
              <w:rPr>
                <w:rFonts w:ascii="宋体"/>
                <w:color w:val="000000"/>
                <w:sz w:val="18"/>
                <w:szCs w:val="18"/>
              </w:rPr>
            </w:pPr>
            <w:r>
              <w:rPr>
                <w:rFonts w:ascii="宋体" w:hAnsi="宋体" w:cs="宋体"/>
                <w:color w:val="000000"/>
                <w:sz w:val="18"/>
                <w:szCs w:val="18"/>
              </w:rPr>
              <w:t>2</w:t>
            </w:r>
          </w:p>
        </w:tc>
        <w:tc>
          <w:tcPr>
            <w:tcW w:w="8772" w:type="dxa"/>
            <w:gridSpan w:val="2"/>
            <w:vAlign w:val="center"/>
          </w:tcPr>
          <w:p w14:paraId="3AA9384F">
            <w:pPr>
              <w:adjustRightInd w:val="0"/>
              <w:snapToGrid w:val="0"/>
              <w:spacing w:line="300" w:lineRule="exact"/>
              <w:jc w:val="left"/>
              <w:rPr>
                <w:rFonts w:ascii="宋体"/>
                <w:color w:val="000000"/>
                <w:sz w:val="18"/>
                <w:szCs w:val="18"/>
              </w:rPr>
            </w:pPr>
            <w:r>
              <w:rPr>
                <w:rFonts w:hint="eastAsia" w:ascii="宋体" w:hAnsi="宋体" w:cs="等线 Light"/>
                <w:bCs/>
                <w:color w:val="000000"/>
                <w:sz w:val="24"/>
              </w:rPr>
              <w:t>▲</w:t>
            </w:r>
            <w:r>
              <w:rPr>
                <w:rFonts w:hint="eastAsia" w:ascii="宋体" w:hAnsi="宋体" w:cs="宋体"/>
                <w:color w:val="000000"/>
                <w:sz w:val="18"/>
                <w:szCs w:val="18"/>
              </w:rPr>
              <w:t>外形尺寸：</w:t>
            </w:r>
            <w:r>
              <w:rPr>
                <w:rFonts w:hint="eastAsia" w:ascii="宋体" w:hAnsi="宋体"/>
                <w:bCs/>
                <w:sz w:val="18"/>
                <w:szCs w:val="18"/>
              </w:rPr>
              <w:t>≤长8400mm×宽2530mm×高3780mm</w:t>
            </w:r>
          </w:p>
        </w:tc>
      </w:tr>
      <w:tr w14:paraId="0899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5D2622A4">
            <w:pPr>
              <w:adjustRightInd w:val="0"/>
              <w:snapToGrid w:val="0"/>
              <w:spacing w:line="300" w:lineRule="exact"/>
              <w:jc w:val="center"/>
              <w:rPr>
                <w:rFonts w:ascii="宋体"/>
                <w:color w:val="000000"/>
                <w:sz w:val="18"/>
                <w:szCs w:val="18"/>
              </w:rPr>
            </w:pPr>
            <w:r>
              <w:rPr>
                <w:rFonts w:ascii="宋体" w:hAnsi="宋体" w:cs="宋体"/>
                <w:color w:val="000000"/>
                <w:sz w:val="18"/>
                <w:szCs w:val="18"/>
              </w:rPr>
              <w:t>3</w:t>
            </w:r>
          </w:p>
        </w:tc>
        <w:tc>
          <w:tcPr>
            <w:tcW w:w="8772" w:type="dxa"/>
            <w:gridSpan w:val="2"/>
            <w:vAlign w:val="center"/>
          </w:tcPr>
          <w:p w14:paraId="493C354F">
            <w:pPr>
              <w:spacing w:line="300" w:lineRule="exact"/>
              <w:jc w:val="left"/>
              <w:rPr>
                <w:rFonts w:ascii="宋体"/>
                <w:color w:val="000000"/>
                <w:sz w:val="18"/>
                <w:szCs w:val="18"/>
              </w:rPr>
            </w:pPr>
            <w:r>
              <w:rPr>
                <w:rFonts w:hint="eastAsia" w:ascii="宋体" w:hAnsi="宋体" w:cs="宋体"/>
                <w:color w:val="000000"/>
                <w:sz w:val="18"/>
                <w:szCs w:val="18"/>
              </w:rPr>
              <w:t>比功率：≥13</w:t>
            </w:r>
            <w:r>
              <w:rPr>
                <w:rFonts w:hint="eastAsia" w:asciiTheme="minorEastAsia" w:hAnsiTheme="minorEastAsia" w:eastAsiaTheme="minorEastAsia"/>
                <w:sz w:val="18"/>
                <w:szCs w:val="18"/>
              </w:rPr>
              <w:t>kW/t</w:t>
            </w:r>
          </w:p>
        </w:tc>
      </w:tr>
      <w:tr w14:paraId="446C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50D4AB33">
            <w:pPr>
              <w:adjustRightInd w:val="0"/>
              <w:snapToGrid w:val="0"/>
              <w:spacing w:line="300" w:lineRule="exact"/>
              <w:jc w:val="center"/>
              <w:rPr>
                <w:rFonts w:ascii="宋体"/>
                <w:color w:val="000000"/>
                <w:sz w:val="18"/>
                <w:szCs w:val="18"/>
              </w:rPr>
            </w:pPr>
            <w:r>
              <w:rPr>
                <w:rFonts w:ascii="宋体" w:hAnsi="宋体" w:cs="宋体"/>
                <w:color w:val="000000"/>
                <w:sz w:val="18"/>
                <w:szCs w:val="18"/>
              </w:rPr>
              <w:t>4</w:t>
            </w:r>
          </w:p>
        </w:tc>
        <w:tc>
          <w:tcPr>
            <w:tcW w:w="8772" w:type="dxa"/>
            <w:gridSpan w:val="2"/>
            <w:vAlign w:val="center"/>
          </w:tcPr>
          <w:p w14:paraId="581233CB">
            <w:pPr>
              <w:spacing w:line="300" w:lineRule="exact"/>
              <w:jc w:val="left"/>
              <w:rPr>
                <w:rFonts w:ascii="宋体"/>
                <w:color w:val="000000"/>
                <w:sz w:val="18"/>
                <w:szCs w:val="18"/>
              </w:rPr>
            </w:pPr>
            <w:r>
              <w:rPr>
                <w:rFonts w:hint="eastAsia" w:ascii="宋体" w:hAnsi="宋体" w:cs="宋体"/>
                <w:color w:val="000000"/>
                <w:sz w:val="18"/>
                <w:szCs w:val="18"/>
              </w:rPr>
              <w:t>最高车速：≥90km//h</w:t>
            </w:r>
          </w:p>
        </w:tc>
      </w:tr>
      <w:tr w14:paraId="0D3E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3BCD6920">
            <w:pPr>
              <w:adjustRightInd w:val="0"/>
              <w:snapToGrid w:val="0"/>
              <w:spacing w:line="300" w:lineRule="exact"/>
              <w:jc w:val="center"/>
              <w:rPr>
                <w:rFonts w:ascii="宋体"/>
                <w:color w:val="000000"/>
                <w:sz w:val="18"/>
                <w:szCs w:val="18"/>
              </w:rPr>
            </w:pPr>
            <w:r>
              <w:rPr>
                <w:rFonts w:ascii="宋体" w:hAnsi="宋体" w:cs="宋体"/>
                <w:color w:val="000000"/>
                <w:sz w:val="18"/>
                <w:szCs w:val="18"/>
              </w:rPr>
              <w:t>5</w:t>
            </w:r>
          </w:p>
        </w:tc>
        <w:tc>
          <w:tcPr>
            <w:tcW w:w="8772" w:type="dxa"/>
            <w:gridSpan w:val="2"/>
            <w:vAlign w:val="center"/>
          </w:tcPr>
          <w:p w14:paraId="0E19B929">
            <w:pPr>
              <w:spacing w:line="300" w:lineRule="exact"/>
              <w:jc w:val="left"/>
              <w:rPr>
                <w:rFonts w:ascii="宋体"/>
                <w:color w:val="000000"/>
                <w:sz w:val="18"/>
                <w:szCs w:val="18"/>
              </w:rPr>
            </w:pPr>
            <w:r>
              <w:rPr>
                <w:rFonts w:hint="eastAsia" w:ascii="宋体" w:hAnsi="宋体" w:cs="宋体"/>
                <w:color w:val="000000"/>
                <w:sz w:val="18"/>
                <w:szCs w:val="18"/>
              </w:rPr>
              <w:t>灭火剂装载量：≥3</w:t>
            </w:r>
            <w:r>
              <w:rPr>
                <w:rFonts w:ascii="宋体" w:hAnsi="宋体" w:cs="宋体"/>
                <w:color w:val="000000"/>
                <w:sz w:val="18"/>
                <w:szCs w:val="18"/>
              </w:rPr>
              <w:t>0</w:t>
            </w:r>
            <w:r>
              <w:rPr>
                <w:rFonts w:hint="eastAsia" w:ascii="宋体" w:hAnsi="宋体" w:cs="宋体"/>
                <w:color w:val="000000"/>
                <w:sz w:val="18"/>
                <w:szCs w:val="18"/>
              </w:rPr>
              <w:t>5</w:t>
            </w:r>
            <w:r>
              <w:rPr>
                <w:rFonts w:ascii="宋体" w:cs="宋体"/>
                <w:color w:val="000000"/>
                <w:sz w:val="18"/>
                <w:szCs w:val="18"/>
              </w:rPr>
              <w:t>0</w:t>
            </w:r>
            <w:r>
              <w:rPr>
                <w:rFonts w:ascii="宋体" w:hAnsi="宋体" w:cs="宋体"/>
                <w:color w:val="000000"/>
                <w:sz w:val="18"/>
                <w:szCs w:val="18"/>
              </w:rPr>
              <w:t>kg</w:t>
            </w:r>
            <w:r>
              <w:rPr>
                <w:rFonts w:hint="eastAsia" w:ascii="宋体" w:hAnsi="宋体" w:cs="宋体"/>
                <w:color w:val="000000"/>
                <w:sz w:val="18"/>
                <w:szCs w:val="18"/>
              </w:rPr>
              <w:t>（水：</w:t>
            </w:r>
            <w:r>
              <w:rPr>
                <w:rFonts w:ascii="宋体" w:hAnsi="宋体" w:cs="宋体"/>
                <w:color w:val="000000"/>
                <w:sz w:val="18"/>
                <w:szCs w:val="18"/>
              </w:rPr>
              <w:t>≥</w:t>
            </w:r>
            <w:r>
              <w:rPr>
                <w:rFonts w:hint="eastAsia" w:ascii="宋体" w:hAnsi="宋体" w:cs="宋体"/>
                <w:color w:val="000000"/>
                <w:sz w:val="18"/>
                <w:szCs w:val="18"/>
              </w:rPr>
              <w:t>2500kg，B类泡沫：</w:t>
            </w:r>
            <w:r>
              <w:rPr>
                <w:rFonts w:ascii="宋体" w:hAnsi="宋体" w:cs="宋体"/>
                <w:color w:val="000000"/>
                <w:sz w:val="18"/>
                <w:szCs w:val="18"/>
              </w:rPr>
              <w:t>≥</w:t>
            </w:r>
            <w:r>
              <w:rPr>
                <w:rFonts w:hint="eastAsia" w:ascii="宋体" w:hAnsi="宋体" w:cs="宋体"/>
                <w:color w:val="000000"/>
                <w:sz w:val="18"/>
                <w:szCs w:val="18"/>
              </w:rPr>
              <w:t>550kg）</w:t>
            </w:r>
          </w:p>
        </w:tc>
      </w:tr>
      <w:tr w14:paraId="026D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13078E3D">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6</w:t>
            </w:r>
          </w:p>
        </w:tc>
        <w:tc>
          <w:tcPr>
            <w:tcW w:w="8772" w:type="dxa"/>
            <w:gridSpan w:val="2"/>
            <w:vAlign w:val="center"/>
          </w:tcPr>
          <w:p w14:paraId="7D35F884">
            <w:pPr>
              <w:spacing w:line="300" w:lineRule="exact"/>
              <w:jc w:val="left"/>
              <w:rPr>
                <w:rFonts w:ascii="宋体" w:hAnsi="宋体" w:cs="宋体"/>
                <w:color w:val="000000"/>
                <w:sz w:val="18"/>
                <w:szCs w:val="18"/>
              </w:rPr>
            </w:pPr>
            <w:r>
              <w:rPr>
                <w:rFonts w:hint="eastAsia" w:ascii="宋体" w:hAnsi="宋体" w:cs="宋体"/>
                <w:color w:val="000000"/>
                <w:sz w:val="18"/>
                <w:szCs w:val="18"/>
              </w:rPr>
              <w:t>乘员数（人）：2+4</w:t>
            </w:r>
          </w:p>
        </w:tc>
      </w:tr>
      <w:tr w14:paraId="4686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5891C529">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7</w:t>
            </w:r>
          </w:p>
        </w:tc>
        <w:tc>
          <w:tcPr>
            <w:tcW w:w="8772" w:type="dxa"/>
            <w:gridSpan w:val="2"/>
            <w:vAlign w:val="center"/>
          </w:tcPr>
          <w:p w14:paraId="097C534E">
            <w:pPr>
              <w:spacing w:line="300" w:lineRule="exact"/>
              <w:jc w:val="left"/>
              <w:rPr>
                <w:rFonts w:ascii="宋体" w:hAnsi="宋体" w:cs="宋体"/>
                <w:color w:val="000000"/>
                <w:sz w:val="18"/>
                <w:szCs w:val="18"/>
              </w:rPr>
            </w:pPr>
            <w:r>
              <w:rPr>
                <w:rFonts w:hint="eastAsia" w:ascii="宋体" w:hAnsi="宋体" w:cs="宋体"/>
                <w:color w:val="000000"/>
                <w:sz w:val="18"/>
                <w:szCs w:val="18"/>
              </w:rPr>
              <w:t>消防泵压力/流量（MPa</w:t>
            </w:r>
            <w:r>
              <w:rPr>
                <w:rFonts w:ascii="宋体" w:hAnsi="宋体" w:cs="宋体"/>
                <w:color w:val="000000"/>
                <w:sz w:val="18"/>
                <w:szCs w:val="18"/>
              </w:rPr>
              <w:t>/</w:t>
            </w:r>
            <w:r>
              <w:rPr>
                <w:rFonts w:hint="eastAsia" w:ascii="宋体" w:hAnsi="宋体" w:cs="宋体"/>
                <w:color w:val="000000"/>
                <w:sz w:val="18"/>
                <w:szCs w:val="18"/>
              </w:rPr>
              <w:t>（</w:t>
            </w:r>
            <w:r>
              <w:rPr>
                <w:rFonts w:ascii="宋体" w:hAnsi="宋体" w:cs="宋体"/>
                <w:color w:val="000000"/>
                <w:sz w:val="18"/>
                <w:szCs w:val="18"/>
              </w:rPr>
              <w:t>L</w:t>
            </w:r>
            <w:r>
              <w:rPr>
                <w:rFonts w:hint="eastAsia" w:ascii="宋体" w:hAnsi="宋体" w:cs="宋体"/>
                <w:color w:val="000000"/>
                <w:sz w:val="18"/>
                <w:szCs w:val="18"/>
              </w:rPr>
              <w:t>/</w:t>
            </w:r>
            <w:r>
              <w:rPr>
                <w:rFonts w:ascii="宋体" w:hAnsi="宋体" w:cs="宋体"/>
                <w:color w:val="000000"/>
                <w:sz w:val="18"/>
                <w:szCs w:val="18"/>
              </w:rPr>
              <w:t>s</w:t>
            </w:r>
            <w:r>
              <w:rPr>
                <w:rFonts w:hint="eastAsia" w:ascii="宋体" w:hAnsi="宋体" w:cs="宋体"/>
                <w:color w:val="000000"/>
                <w:sz w:val="18"/>
                <w:szCs w:val="18"/>
              </w:rPr>
              <w:t>））：1</w:t>
            </w:r>
            <w:r>
              <w:rPr>
                <w:rFonts w:ascii="宋体" w:hAnsi="宋体" w:cs="宋体"/>
                <w:color w:val="000000"/>
                <w:sz w:val="18"/>
                <w:szCs w:val="18"/>
              </w:rPr>
              <w:t>.0/≥</w:t>
            </w:r>
            <w:r>
              <w:rPr>
                <w:rFonts w:hint="eastAsia" w:ascii="宋体" w:hAnsi="宋体" w:cs="宋体"/>
                <w:color w:val="000000"/>
                <w:sz w:val="18"/>
                <w:szCs w:val="18"/>
              </w:rPr>
              <w:t>60（国际知名品牌）</w:t>
            </w:r>
          </w:p>
        </w:tc>
      </w:tr>
      <w:tr w14:paraId="67AD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0289354A">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8</w:t>
            </w:r>
          </w:p>
        </w:tc>
        <w:tc>
          <w:tcPr>
            <w:tcW w:w="8772" w:type="dxa"/>
            <w:gridSpan w:val="2"/>
            <w:vAlign w:val="center"/>
          </w:tcPr>
          <w:p w14:paraId="7DCE6CE5">
            <w:pPr>
              <w:spacing w:line="300" w:lineRule="exact"/>
              <w:jc w:val="left"/>
              <w:rPr>
                <w:rFonts w:ascii="宋体" w:hAnsi="宋体" w:cs="宋体"/>
                <w:color w:val="000000"/>
                <w:sz w:val="18"/>
                <w:szCs w:val="18"/>
              </w:rPr>
            </w:pPr>
            <w:r>
              <w:rPr>
                <w:rFonts w:hint="eastAsia" w:ascii="宋体" w:hAnsi="宋体" w:cs="宋体"/>
                <w:color w:val="000000"/>
                <w:sz w:val="18"/>
                <w:szCs w:val="18"/>
              </w:rPr>
              <w:t>消防炮流量（</w:t>
            </w:r>
            <w:r>
              <w:rPr>
                <w:rFonts w:ascii="宋体" w:hAnsi="宋体" w:cs="宋体"/>
                <w:color w:val="000000"/>
                <w:sz w:val="18"/>
                <w:szCs w:val="18"/>
              </w:rPr>
              <w:t>L</w:t>
            </w:r>
            <w:r>
              <w:rPr>
                <w:rFonts w:hint="eastAsia" w:ascii="宋体" w:hAnsi="宋体" w:cs="宋体"/>
                <w:color w:val="000000"/>
                <w:sz w:val="18"/>
                <w:szCs w:val="18"/>
              </w:rPr>
              <w:t>/</w:t>
            </w:r>
            <w:r>
              <w:rPr>
                <w:rFonts w:ascii="宋体" w:hAnsi="宋体" w:cs="宋体"/>
                <w:color w:val="000000"/>
                <w:sz w:val="18"/>
                <w:szCs w:val="18"/>
              </w:rPr>
              <w:t>s</w:t>
            </w:r>
            <w:r>
              <w:rPr>
                <w:rFonts w:hint="eastAsia" w:ascii="宋体" w:hAnsi="宋体" w:cs="宋体"/>
                <w:color w:val="000000"/>
                <w:sz w:val="18"/>
                <w:szCs w:val="18"/>
              </w:rPr>
              <w:t>）：≥32（国际知名品牌）</w:t>
            </w:r>
          </w:p>
        </w:tc>
      </w:tr>
      <w:tr w14:paraId="0E6E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4F4E9853">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9</w:t>
            </w:r>
          </w:p>
        </w:tc>
        <w:tc>
          <w:tcPr>
            <w:tcW w:w="8772" w:type="dxa"/>
            <w:gridSpan w:val="2"/>
            <w:vAlign w:val="center"/>
          </w:tcPr>
          <w:p w14:paraId="72370ADE">
            <w:pPr>
              <w:spacing w:line="300" w:lineRule="exact"/>
              <w:jc w:val="left"/>
              <w:rPr>
                <w:rFonts w:ascii="宋体" w:hAnsi="宋体" w:cs="宋体"/>
                <w:color w:val="000000"/>
                <w:sz w:val="18"/>
                <w:szCs w:val="18"/>
              </w:rPr>
            </w:pPr>
            <w:r>
              <w:rPr>
                <w:rFonts w:hint="eastAsia" w:ascii="宋体" w:hAnsi="宋体" w:cs="宋体"/>
                <w:color w:val="000000"/>
                <w:sz w:val="18"/>
                <w:szCs w:val="18"/>
              </w:rPr>
              <w:t>射程（m）：水≥</w:t>
            </w:r>
            <w:r>
              <w:rPr>
                <w:rFonts w:ascii="宋体" w:hAnsi="宋体" w:cs="宋体"/>
                <w:color w:val="000000"/>
                <w:sz w:val="18"/>
                <w:szCs w:val="18"/>
              </w:rPr>
              <w:t>5</w:t>
            </w:r>
            <w:r>
              <w:rPr>
                <w:rFonts w:hint="eastAsia" w:ascii="宋体" w:hAnsi="宋体" w:cs="宋体"/>
                <w:color w:val="000000"/>
                <w:sz w:val="18"/>
                <w:szCs w:val="18"/>
              </w:rPr>
              <w:t>5；泡沫≥4</w:t>
            </w:r>
            <w:r>
              <w:rPr>
                <w:rFonts w:ascii="宋体" w:hAnsi="宋体" w:cs="宋体"/>
                <w:color w:val="000000"/>
                <w:sz w:val="18"/>
                <w:szCs w:val="18"/>
              </w:rPr>
              <w:t>5</w:t>
            </w:r>
          </w:p>
        </w:tc>
      </w:tr>
      <w:tr w14:paraId="42F6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51486B92">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772" w:type="dxa"/>
            <w:gridSpan w:val="2"/>
            <w:vAlign w:val="center"/>
          </w:tcPr>
          <w:p w14:paraId="36593A96">
            <w:pPr>
              <w:spacing w:line="300" w:lineRule="exact"/>
              <w:jc w:val="left"/>
              <w:rPr>
                <w:rFonts w:ascii="宋体" w:hAnsi="宋体" w:cs="宋体"/>
                <w:color w:val="000000"/>
                <w:sz w:val="18"/>
                <w:szCs w:val="18"/>
              </w:rPr>
            </w:pPr>
            <w:r>
              <w:rPr>
                <w:rFonts w:hint="eastAsia" w:ascii="宋体" w:hAnsi="宋体" w:cs="宋体"/>
                <w:color w:val="000000"/>
                <w:sz w:val="18"/>
                <w:szCs w:val="18"/>
              </w:rPr>
              <w:t>最大作业高度（m）：</w:t>
            </w:r>
            <w:r>
              <w:rPr>
                <w:rFonts w:ascii="宋体" w:hAnsi="宋体" w:cs="宋体"/>
                <w:color w:val="000000"/>
                <w:sz w:val="18"/>
                <w:szCs w:val="18"/>
              </w:rPr>
              <w:t>≥</w:t>
            </w:r>
            <w:r>
              <w:rPr>
                <w:rFonts w:hint="eastAsia" w:ascii="宋体" w:hAnsi="宋体" w:cs="宋体"/>
                <w:color w:val="000000"/>
                <w:sz w:val="18"/>
                <w:szCs w:val="18"/>
              </w:rPr>
              <w:t>20</w:t>
            </w:r>
          </w:p>
        </w:tc>
      </w:tr>
      <w:tr w14:paraId="708D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75AECDE4">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8772" w:type="dxa"/>
            <w:gridSpan w:val="2"/>
            <w:vAlign w:val="center"/>
          </w:tcPr>
          <w:p w14:paraId="0F4EFF4A">
            <w:pPr>
              <w:spacing w:line="300" w:lineRule="exact"/>
              <w:jc w:val="left"/>
              <w:rPr>
                <w:rFonts w:ascii="宋体" w:hAnsi="宋体" w:cs="宋体"/>
                <w:color w:val="000000"/>
                <w:sz w:val="18"/>
                <w:szCs w:val="18"/>
              </w:rPr>
            </w:pPr>
            <w:r>
              <w:rPr>
                <w:rFonts w:hint="eastAsia" w:ascii="宋体" w:hAnsi="宋体" w:cs="宋体"/>
                <w:color w:val="000000"/>
                <w:sz w:val="18"/>
                <w:szCs w:val="18"/>
              </w:rPr>
              <w:t>最大作业幅度（m）：</w:t>
            </w:r>
            <w:r>
              <w:rPr>
                <w:rFonts w:ascii="宋体" w:hAnsi="宋体" w:cs="宋体"/>
                <w:color w:val="000000"/>
                <w:sz w:val="18"/>
                <w:szCs w:val="18"/>
              </w:rPr>
              <w:t>≥</w:t>
            </w:r>
            <w:r>
              <w:rPr>
                <w:rFonts w:hint="eastAsia" w:ascii="宋体" w:hAnsi="宋体" w:cs="宋体"/>
                <w:color w:val="000000"/>
                <w:sz w:val="18"/>
                <w:szCs w:val="18"/>
              </w:rPr>
              <w:t>13</w:t>
            </w:r>
          </w:p>
        </w:tc>
      </w:tr>
      <w:tr w14:paraId="588B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14:paraId="18E75C49">
            <w:pPr>
              <w:adjustRightInd w:val="0"/>
              <w:snapToGrid w:val="0"/>
              <w:spacing w:line="3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8772" w:type="dxa"/>
            <w:gridSpan w:val="2"/>
            <w:vAlign w:val="center"/>
          </w:tcPr>
          <w:p w14:paraId="1A333273">
            <w:pPr>
              <w:spacing w:line="300" w:lineRule="exact"/>
              <w:jc w:val="left"/>
              <w:rPr>
                <w:rFonts w:ascii="宋体" w:hAnsi="宋体" w:cs="宋体"/>
                <w:color w:val="000000"/>
                <w:sz w:val="18"/>
                <w:szCs w:val="18"/>
              </w:rPr>
            </w:pPr>
            <w:r>
              <w:rPr>
                <w:rFonts w:hint="eastAsia" w:ascii="宋体" w:hAnsi="宋体" w:cs="宋体"/>
                <w:color w:val="000000"/>
                <w:sz w:val="18"/>
                <w:szCs w:val="18"/>
              </w:rPr>
              <w:t>工作斗额定载荷：≥300kg</w:t>
            </w:r>
          </w:p>
        </w:tc>
      </w:tr>
      <w:tr w14:paraId="0269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28C04A99">
            <w:pPr>
              <w:adjustRightInd w:val="0"/>
              <w:snapToGrid w:val="0"/>
              <w:spacing w:line="300" w:lineRule="exact"/>
              <w:jc w:val="left"/>
              <w:rPr>
                <w:rFonts w:ascii="宋体"/>
                <w:color w:val="000000"/>
                <w:sz w:val="18"/>
                <w:szCs w:val="18"/>
              </w:rPr>
            </w:pPr>
            <w:r>
              <w:rPr>
                <w:rFonts w:hint="eastAsia" w:ascii="宋体" w:hAnsi="宋体" w:cs="宋体"/>
                <w:color w:val="000000"/>
                <w:sz w:val="18"/>
                <w:szCs w:val="18"/>
              </w:rPr>
              <w:t>（二）底盘</w:t>
            </w:r>
          </w:p>
        </w:tc>
      </w:tr>
      <w:tr w14:paraId="7649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F31D196">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7E05D83B">
            <w:pPr>
              <w:spacing w:line="300" w:lineRule="exact"/>
              <w:jc w:val="left"/>
              <w:rPr>
                <w:rFonts w:ascii="宋体"/>
                <w:color w:val="000000"/>
                <w:sz w:val="18"/>
                <w:szCs w:val="18"/>
              </w:rPr>
            </w:pPr>
            <w:r>
              <w:rPr>
                <w:rFonts w:hint="eastAsia" w:ascii="宋体" w:hAnsi="宋体" w:cs="宋体"/>
                <w:color w:val="000000"/>
                <w:sz w:val="18"/>
                <w:szCs w:val="18"/>
              </w:rPr>
              <w:t>型号：国内知名品牌</w:t>
            </w:r>
          </w:p>
        </w:tc>
      </w:tr>
      <w:tr w14:paraId="6DD1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0E2A523">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2A3917C6">
            <w:pPr>
              <w:spacing w:line="300" w:lineRule="exact"/>
              <w:jc w:val="left"/>
              <w:rPr>
                <w:rFonts w:ascii="宋体"/>
                <w:color w:val="000000"/>
                <w:sz w:val="18"/>
                <w:szCs w:val="18"/>
              </w:rPr>
            </w:pPr>
            <w:r>
              <w:rPr>
                <w:rFonts w:hint="eastAsia" w:ascii="宋体" w:hAnsi="宋体" w:cs="宋体"/>
                <w:color w:val="000000"/>
                <w:sz w:val="18"/>
                <w:szCs w:val="18"/>
              </w:rPr>
              <w:t>驱</w:t>
            </w:r>
            <w:r>
              <w:rPr>
                <w:rFonts w:ascii="宋体" w:hAnsi="宋体" w:cs="宋体"/>
                <w:color w:val="000000"/>
                <w:sz w:val="18"/>
                <w:szCs w:val="18"/>
              </w:rPr>
              <w:t xml:space="preserve">  </w:t>
            </w:r>
            <w:r>
              <w:rPr>
                <w:rFonts w:hint="eastAsia" w:ascii="宋体" w:hAnsi="宋体" w:cs="宋体"/>
                <w:color w:val="000000"/>
                <w:sz w:val="18"/>
                <w:szCs w:val="18"/>
              </w:rPr>
              <w:t>动：</w:t>
            </w:r>
            <w:r>
              <w:rPr>
                <w:rFonts w:ascii="宋体" w:hAnsi="宋体" w:cs="宋体"/>
                <w:color w:val="000000"/>
                <w:sz w:val="18"/>
                <w:szCs w:val="18"/>
              </w:rPr>
              <w:t>4</w:t>
            </w:r>
            <w:r>
              <w:rPr>
                <w:rFonts w:hint="eastAsia" w:ascii="宋体" w:hAnsi="宋体" w:cs="宋体"/>
                <w:color w:val="000000"/>
                <w:sz w:val="18"/>
                <w:szCs w:val="18"/>
              </w:rPr>
              <w:t>×</w:t>
            </w:r>
            <w:r>
              <w:rPr>
                <w:rFonts w:ascii="宋体" w:hAnsi="宋体" w:cs="宋体"/>
                <w:color w:val="000000"/>
                <w:sz w:val="18"/>
                <w:szCs w:val="18"/>
              </w:rPr>
              <w:t>2</w:t>
            </w:r>
          </w:p>
        </w:tc>
      </w:tr>
      <w:tr w14:paraId="6FBC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AF728BA">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608FA897">
            <w:pPr>
              <w:spacing w:line="300" w:lineRule="exact"/>
              <w:jc w:val="left"/>
              <w:rPr>
                <w:rFonts w:ascii="宋体" w:hAnsi="宋体" w:cs="宋体"/>
                <w:color w:val="000000"/>
                <w:sz w:val="18"/>
                <w:szCs w:val="18"/>
              </w:rPr>
            </w:pPr>
            <w:r>
              <w:rPr>
                <w:rFonts w:hint="eastAsia" w:ascii="宋体" w:hAnsi="宋体" w:cs="宋体"/>
                <w:color w:val="000000"/>
                <w:sz w:val="18"/>
                <w:szCs w:val="18"/>
              </w:rPr>
              <w:t>轴距(</w:t>
            </w:r>
            <w:r>
              <w:rPr>
                <w:rFonts w:ascii="宋体" w:hAnsi="宋体" w:cs="宋体"/>
                <w:color w:val="000000"/>
                <w:sz w:val="18"/>
                <w:szCs w:val="18"/>
              </w:rPr>
              <w:t>mm)：</w:t>
            </w:r>
            <w:r>
              <w:rPr>
                <w:rFonts w:hint="eastAsia" w:ascii="宋体" w:hAnsi="宋体" w:cs="宋体"/>
                <w:color w:val="000000"/>
                <w:sz w:val="18"/>
                <w:szCs w:val="18"/>
              </w:rPr>
              <w:t>≥4200</w:t>
            </w:r>
          </w:p>
        </w:tc>
      </w:tr>
      <w:tr w14:paraId="1FF5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BB1B855">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6FE250B2">
            <w:pPr>
              <w:spacing w:line="280" w:lineRule="exact"/>
              <w:jc w:val="left"/>
              <w:rPr>
                <w:rFonts w:ascii="宋体"/>
                <w:color w:val="000000"/>
                <w:sz w:val="18"/>
                <w:szCs w:val="18"/>
              </w:rPr>
            </w:pPr>
            <w:r>
              <w:rPr>
                <w:rFonts w:hint="eastAsia" w:ascii="宋体" w:hAnsi="宋体" w:cs="宋体"/>
                <w:color w:val="000000"/>
                <w:sz w:val="18"/>
                <w:szCs w:val="18"/>
              </w:rPr>
              <w:t>驾驶室：底盘原配最新款式四门双排六座</w:t>
            </w:r>
          </w:p>
        </w:tc>
      </w:tr>
      <w:tr w14:paraId="3A91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C971BD8">
            <w:pPr>
              <w:numPr>
                <w:ilvl w:val="0"/>
                <w:numId w:val="8"/>
              </w:numPr>
              <w:adjustRightInd w:val="0"/>
              <w:snapToGrid w:val="0"/>
              <w:spacing w:line="300" w:lineRule="exact"/>
              <w:jc w:val="left"/>
              <w:rPr>
                <w:rFonts w:ascii="宋体"/>
                <w:color w:val="000000"/>
                <w:sz w:val="18"/>
                <w:szCs w:val="18"/>
              </w:rPr>
            </w:pPr>
            <w:r>
              <w:rPr>
                <w:rFonts w:hint="eastAsia" w:ascii="宋体" w:hAnsi="宋体" w:cs="宋体"/>
                <w:color w:val="000000"/>
                <w:sz w:val="18"/>
                <w:szCs w:val="18"/>
              </w:rPr>
              <w:t>★</w:t>
            </w:r>
          </w:p>
        </w:tc>
        <w:tc>
          <w:tcPr>
            <w:tcW w:w="8755" w:type="dxa"/>
            <w:vAlign w:val="center"/>
          </w:tcPr>
          <w:p w14:paraId="7033E959">
            <w:pPr>
              <w:spacing w:line="280" w:lineRule="exact"/>
              <w:jc w:val="left"/>
              <w:rPr>
                <w:rFonts w:ascii="宋体" w:hAnsi="宋体" w:cs="宋体"/>
                <w:color w:val="000000"/>
                <w:sz w:val="18"/>
                <w:szCs w:val="18"/>
              </w:rPr>
            </w:pPr>
            <w:r>
              <w:rPr>
                <w:rFonts w:hint="eastAsia" w:ascii="宋体" w:hAnsi="宋体" w:cs="宋体"/>
                <w:color w:val="000000"/>
                <w:sz w:val="18"/>
                <w:szCs w:val="18"/>
              </w:rPr>
              <w:t>发动机额定功率：</w:t>
            </w: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lang w:val="en-US" w:eastAsia="zh-CN"/>
              </w:rPr>
              <w:t>28</w:t>
            </w:r>
            <w:r>
              <w:rPr>
                <w:rFonts w:ascii="宋体" w:hAnsi="宋体" w:cs="宋体"/>
                <w:color w:val="000000"/>
                <w:sz w:val="18"/>
                <w:szCs w:val="18"/>
              </w:rPr>
              <w:t>kW</w:t>
            </w:r>
            <w:r>
              <w:rPr>
                <w:rFonts w:hint="eastAsia" w:ascii="宋体" w:hAnsi="宋体" w:cs="宋体"/>
                <w:color w:val="000000"/>
                <w:sz w:val="18"/>
                <w:szCs w:val="18"/>
              </w:rPr>
              <w:t xml:space="preserve">  </w:t>
            </w:r>
          </w:p>
        </w:tc>
      </w:tr>
      <w:tr w14:paraId="2EA4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1E058DC">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0BDF39C2">
            <w:pPr>
              <w:spacing w:line="280" w:lineRule="exact"/>
              <w:jc w:val="left"/>
              <w:rPr>
                <w:rFonts w:ascii="宋体" w:hAnsi="宋体" w:cs="宋体"/>
                <w:color w:val="000000"/>
                <w:sz w:val="18"/>
                <w:szCs w:val="18"/>
              </w:rPr>
            </w:pPr>
            <w:r>
              <w:rPr>
                <w:rFonts w:hint="eastAsia" w:ascii="宋体" w:hAnsi="宋体" w:cs="宋体"/>
                <w:color w:val="000000"/>
                <w:sz w:val="18"/>
                <w:szCs w:val="18"/>
              </w:rPr>
              <w:t>最大允许总质量：</w:t>
            </w:r>
            <w:r>
              <w:rPr>
                <w:rFonts w:hint="eastAsia" w:ascii="宋体" w:cs="宋体"/>
                <w:color w:val="000000"/>
                <w:sz w:val="18"/>
                <w:szCs w:val="18"/>
              </w:rPr>
              <w:t>≥</w:t>
            </w:r>
            <w:r>
              <w:rPr>
                <w:rFonts w:ascii="宋体" w:hAnsi="宋体" w:cs="宋体"/>
                <w:color w:val="000000"/>
                <w:sz w:val="18"/>
                <w:szCs w:val="18"/>
              </w:rPr>
              <w:t>20</w:t>
            </w:r>
            <w:r>
              <w:rPr>
                <w:rFonts w:ascii="宋体" w:cs="宋体"/>
                <w:color w:val="000000"/>
                <w:sz w:val="18"/>
                <w:szCs w:val="18"/>
              </w:rPr>
              <w:t>000</w:t>
            </w:r>
            <w:r>
              <w:rPr>
                <w:rFonts w:ascii="宋体" w:hAnsi="宋体" w:cs="宋体"/>
                <w:color w:val="000000"/>
                <w:sz w:val="18"/>
                <w:szCs w:val="18"/>
              </w:rPr>
              <w:t>kg</w:t>
            </w:r>
          </w:p>
        </w:tc>
      </w:tr>
      <w:tr w14:paraId="1D7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6EB9AEE">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46769E10">
            <w:pPr>
              <w:spacing w:line="280" w:lineRule="exact"/>
              <w:jc w:val="left"/>
              <w:rPr>
                <w:rFonts w:ascii="宋体"/>
                <w:sz w:val="18"/>
                <w:szCs w:val="18"/>
              </w:rPr>
            </w:pPr>
            <w:r>
              <w:rPr>
                <w:rFonts w:hint="eastAsia" w:ascii="宋体" w:hAnsi="宋体" w:cs="宋体"/>
                <w:sz w:val="18"/>
                <w:szCs w:val="18"/>
              </w:rPr>
              <w:t>ABS(防抱死制动系统)、</w:t>
            </w:r>
            <w:r>
              <w:rPr>
                <w:rFonts w:ascii="宋体" w:hAnsi="宋体" w:cs="宋体"/>
                <w:sz w:val="18"/>
                <w:szCs w:val="18"/>
              </w:rPr>
              <w:t>EBS</w:t>
            </w:r>
            <w:r>
              <w:rPr>
                <w:rFonts w:hint="eastAsia" w:ascii="宋体" w:hAnsi="宋体" w:cs="宋体"/>
                <w:sz w:val="18"/>
                <w:szCs w:val="18"/>
              </w:rPr>
              <w:t>、ESC</w:t>
            </w:r>
          </w:p>
        </w:tc>
      </w:tr>
      <w:tr w14:paraId="7B9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04049E1">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625C0A93">
            <w:pPr>
              <w:spacing w:line="280" w:lineRule="exact"/>
              <w:jc w:val="left"/>
              <w:rPr>
                <w:rFonts w:hint="eastAsia" w:ascii="宋体" w:hAnsi="宋体" w:cs="宋体"/>
                <w:sz w:val="18"/>
                <w:szCs w:val="18"/>
              </w:rPr>
            </w:pPr>
            <w:r>
              <w:rPr>
                <w:rFonts w:hint="eastAsia" w:ascii="宋体" w:hAnsi="宋体" w:cs="宋体"/>
                <w:sz w:val="18"/>
                <w:szCs w:val="18"/>
              </w:rPr>
              <w:t>变速箱</w:t>
            </w:r>
            <w:r>
              <w:rPr>
                <w:rFonts w:ascii="宋体" w:hAnsi="宋体" w:cs="宋体"/>
                <w:sz w:val="18"/>
                <w:szCs w:val="18"/>
              </w:rPr>
              <w:t>：</w:t>
            </w:r>
            <w:r>
              <w:rPr>
                <w:rFonts w:hint="eastAsia" w:ascii="宋体" w:hAnsi="宋体" w:cs="宋体"/>
                <w:sz w:val="18"/>
                <w:szCs w:val="18"/>
              </w:rPr>
              <w:t>手动机械，9个前进档/1个倒车档</w:t>
            </w:r>
          </w:p>
        </w:tc>
      </w:tr>
      <w:tr w14:paraId="3616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5787B3B">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70D8EC8A">
            <w:pPr>
              <w:spacing w:line="280" w:lineRule="exact"/>
              <w:jc w:val="left"/>
              <w:rPr>
                <w:rFonts w:ascii="宋体" w:hAnsi="宋体" w:cs="宋体"/>
                <w:sz w:val="18"/>
                <w:szCs w:val="18"/>
              </w:rPr>
            </w:pPr>
            <w:r>
              <w:rPr>
                <w:rFonts w:hint="eastAsia" w:ascii="宋体" w:hAnsi="宋体" w:cs="宋体"/>
                <w:sz w:val="18"/>
                <w:szCs w:val="18"/>
              </w:rPr>
              <w:t>配置胎压监测功能</w:t>
            </w:r>
          </w:p>
        </w:tc>
      </w:tr>
      <w:tr w14:paraId="47CF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1ECF95B">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60F7B1F4">
            <w:pPr>
              <w:spacing w:line="280" w:lineRule="exact"/>
              <w:jc w:val="left"/>
              <w:rPr>
                <w:rFonts w:ascii="宋体" w:hAnsi="宋体" w:cs="宋体"/>
                <w:sz w:val="18"/>
                <w:szCs w:val="18"/>
              </w:rPr>
            </w:pPr>
            <w:r>
              <w:rPr>
                <w:rFonts w:hint="eastAsia" w:ascii="宋体" w:hAnsi="宋体" w:cs="宋体"/>
                <w:sz w:val="18"/>
                <w:szCs w:val="18"/>
              </w:rPr>
              <w:t>钢丝轮胎</w:t>
            </w:r>
          </w:p>
        </w:tc>
      </w:tr>
      <w:tr w14:paraId="422C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1A03888">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24962EA9">
            <w:pPr>
              <w:spacing w:line="280" w:lineRule="exact"/>
              <w:jc w:val="left"/>
              <w:rPr>
                <w:rFonts w:ascii="宋体" w:hAnsi="宋体" w:cs="宋体"/>
                <w:sz w:val="18"/>
                <w:szCs w:val="18"/>
              </w:rPr>
            </w:pPr>
            <w:r>
              <w:rPr>
                <w:rFonts w:hint="eastAsia" w:ascii="宋体" w:hAnsi="宋体" w:cs="宋体"/>
                <w:sz w:val="18"/>
                <w:szCs w:val="18"/>
              </w:rPr>
              <w:t>座位设置：</w:t>
            </w:r>
            <w:r>
              <w:rPr>
                <w:rFonts w:ascii="宋体" w:hAnsi="宋体" w:cs="宋体"/>
                <w:sz w:val="18"/>
                <w:szCs w:val="18"/>
              </w:rPr>
              <w:t>2</w:t>
            </w:r>
            <w:r>
              <w:rPr>
                <w:rFonts w:hint="eastAsia" w:ascii="宋体" w:hAnsi="宋体" w:cs="宋体"/>
                <w:sz w:val="18"/>
                <w:szCs w:val="18"/>
              </w:rPr>
              <w:t>+4（含驾驶员）</w:t>
            </w:r>
          </w:p>
        </w:tc>
      </w:tr>
      <w:tr w14:paraId="415C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153851E">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40C352F4">
            <w:pPr>
              <w:spacing w:line="280" w:lineRule="exact"/>
              <w:jc w:val="left"/>
              <w:rPr>
                <w:rFonts w:ascii="宋体" w:hAnsi="宋体" w:cs="宋体"/>
                <w:sz w:val="18"/>
                <w:szCs w:val="18"/>
              </w:rPr>
            </w:pPr>
            <w:r>
              <w:rPr>
                <w:rFonts w:hint="eastAsia" w:ascii="宋体" w:hAnsi="宋体" w:cs="宋体"/>
                <w:sz w:val="18"/>
                <w:szCs w:val="18"/>
              </w:rPr>
              <w:t>驾驶室内配置：</w:t>
            </w:r>
            <w:r>
              <w:rPr>
                <w:rFonts w:ascii="宋体" w:hAnsi="宋体" w:cs="宋体"/>
                <w:sz w:val="18"/>
                <w:szCs w:val="18"/>
              </w:rPr>
              <w:t xml:space="preserve"> </w:t>
            </w:r>
          </w:p>
          <w:p w14:paraId="7CCC68DE">
            <w:pPr>
              <w:spacing w:line="280" w:lineRule="exact"/>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00W</w:t>
            </w:r>
            <w:r>
              <w:rPr>
                <w:rFonts w:hint="eastAsia" w:ascii="宋体" w:hAnsi="宋体" w:cs="宋体"/>
                <w:sz w:val="18"/>
                <w:szCs w:val="18"/>
              </w:rPr>
              <w:t>带有扩音、</w:t>
            </w:r>
            <w:r>
              <w:rPr>
                <w:rFonts w:ascii="宋体" w:hAnsi="宋体" w:cs="宋体"/>
                <w:sz w:val="18"/>
                <w:szCs w:val="18"/>
              </w:rPr>
              <w:t>警报</w:t>
            </w:r>
            <w:r>
              <w:rPr>
                <w:rFonts w:hint="eastAsia" w:ascii="宋体" w:hAnsi="宋体" w:cs="宋体"/>
                <w:sz w:val="18"/>
                <w:szCs w:val="18"/>
              </w:rPr>
              <w:t>功能</w:t>
            </w:r>
            <w:r>
              <w:rPr>
                <w:rFonts w:ascii="宋体" w:hAnsi="宋体" w:cs="宋体"/>
                <w:sz w:val="18"/>
                <w:szCs w:val="18"/>
              </w:rPr>
              <w:t>控制系</w:t>
            </w:r>
            <w:r>
              <w:rPr>
                <w:rFonts w:hint="eastAsia" w:ascii="宋体" w:hAnsi="宋体" w:cs="宋体"/>
                <w:sz w:val="18"/>
                <w:szCs w:val="18"/>
              </w:rPr>
              <w:t>统；</w:t>
            </w:r>
          </w:p>
          <w:p w14:paraId="3F9F68D2">
            <w:pPr>
              <w:spacing w:line="280" w:lineRule="exact"/>
              <w:jc w:val="left"/>
              <w:rPr>
                <w:rFonts w:ascii="宋体" w:hAnsi="宋体" w:cs="宋体"/>
                <w:sz w:val="18"/>
                <w:szCs w:val="18"/>
              </w:rPr>
            </w:pPr>
            <w:r>
              <w:rPr>
                <w:rFonts w:hint="eastAsia" w:ascii="宋体" w:hAnsi="宋体" w:cs="宋体"/>
                <w:sz w:val="18"/>
                <w:szCs w:val="18"/>
              </w:rPr>
              <w:t>前仪表板加装消防控制开关；</w:t>
            </w:r>
          </w:p>
          <w:p w14:paraId="7A0C9B5A">
            <w:pPr>
              <w:spacing w:line="280" w:lineRule="exact"/>
              <w:jc w:val="left"/>
              <w:rPr>
                <w:rFonts w:ascii="宋体" w:hAnsi="宋体" w:cs="宋体"/>
                <w:sz w:val="18"/>
                <w:szCs w:val="18"/>
              </w:rPr>
            </w:pPr>
            <w:r>
              <w:rPr>
                <w:rFonts w:hint="eastAsia" w:ascii="宋体" w:hAnsi="宋体" w:cs="宋体"/>
                <w:sz w:val="18"/>
                <w:szCs w:val="18"/>
              </w:rPr>
              <w:t>360全景车载监控系统（128G内存），带GPS/北斗双模定位功能，车载导航功能、行车记录仪功能、蓝牙通讯功能、实时监控、轨迹回放功能，360度环视功能、支持SD卡/U盘存储/外挂硬盘语言唤醒功能倒车影像辅助功能；</w:t>
            </w:r>
          </w:p>
          <w:p w14:paraId="41D0FF04">
            <w:pPr>
              <w:spacing w:line="280" w:lineRule="exact"/>
              <w:jc w:val="left"/>
              <w:rPr>
                <w:rFonts w:ascii="宋体" w:hAnsi="宋体" w:cs="宋体"/>
                <w:sz w:val="18"/>
                <w:szCs w:val="18"/>
              </w:rPr>
            </w:pPr>
            <w:r>
              <w:rPr>
                <w:rFonts w:hint="eastAsia" w:ascii="宋体" w:hAnsi="宋体" w:cs="宋体"/>
                <w:sz w:val="18"/>
                <w:szCs w:val="18"/>
              </w:rPr>
              <w:t>后排座靠背设有4具通用空气呼吸器架和安全带；</w:t>
            </w:r>
          </w:p>
          <w:p w14:paraId="4B010E7B">
            <w:pPr>
              <w:spacing w:line="280" w:lineRule="exact"/>
              <w:jc w:val="left"/>
              <w:rPr>
                <w:rFonts w:ascii="宋体"/>
                <w:sz w:val="18"/>
                <w:szCs w:val="18"/>
              </w:rPr>
            </w:pPr>
            <w:r>
              <w:rPr>
                <w:rFonts w:hint="eastAsia" w:ascii="宋体" w:hAnsi="宋体" w:cs="宋体"/>
                <w:sz w:val="18"/>
                <w:szCs w:val="18"/>
              </w:rPr>
              <w:t>预留消防通讯、</w:t>
            </w:r>
            <w:r>
              <w:rPr>
                <w:rFonts w:ascii="宋体" w:hAnsi="宋体" w:cs="宋体"/>
                <w:sz w:val="18"/>
                <w:szCs w:val="18"/>
              </w:rPr>
              <w:t>车载电台电源</w:t>
            </w:r>
            <w:r>
              <w:rPr>
                <w:rFonts w:hint="eastAsia" w:ascii="宋体" w:hAnsi="宋体" w:cs="宋体"/>
                <w:sz w:val="18"/>
                <w:szCs w:val="18"/>
              </w:rPr>
              <w:t>桩头。</w:t>
            </w:r>
          </w:p>
        </w:tc>
      </w:tr>
      <w:tr w14:paraId="07AD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71CD944">
            <w:pPr>
              <w:numPr>
                <w:ilvl w:val="0"/>
                <w:numId w:val="8"/>
              </w:numPr>
              <w:adjustRightInd w:val="0"/>
              <w:snapToGrid w:val="0"/>
              <w:spacing w:line="300" w:lineRule="exact"/>
              <w:jc w:val="left"/>
              <w:rPr>
                <w:rFonts w:ascii="宋体"/>
                <w:color w:val="000000"/>
                <w:sz w:val="18"/>
                <w:szCs w:val="18"/>
              </w:rPr>
            </w:pPr>
          </w:p>
        </w:tc>
        <w:tc>
          <w:tcPr>
            <w:tcW w:w="8755" w:type="dxa"/>
            <w:vAlign w:val="center"/>
          </w:tcPr>
          <w:p w14:paraId="5BAAB951">
            <w:pPr>
              <w:spacing w:line="280" w:lineRule="exact"/>
              <w:jc w:val="left"/>
              <w:rPr>
                <w:rFonts w:ascii="宋体"/>
                <w:color w:val="000000"/>
                <w:sz w:val="18"/>
                <w:szCs w:val="18"/>
              </w:rPr>
            </w:pPr>
            <w:r>
              <w:rPr>
                <w:rFonts w:hint="eastAsia" w:ascii="宋体" w:hAnsi="宋体" w:cs="宋体"/>
                <w:color w:val="000000"/>
                <w:sz w:val="18"/>
                <w:szCs w:val="18"/>
              </w:rPr>
              <w:t>排放标准：国Ⅵ</w:t>
            </w:r>
          </w:p>
        </w:tc>
      </w:tr>
      <w:tr w14:paraId="2CE7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23FAF670">
            <w:pPr>
              <w:spacing w:line="300" w:lineRule="exact"/>
              <w:jc w:val="left"/>
              <w:rPr>
                <w:rFonts w:ascii="宋体"/>
                <w:color w:val="000000"/>
                <w:sz w:val="18"/>
                <w:szCs w:val="18"/>
              </w:rPr>
            </w:pPr>
            <w:r>
              <w:rPr>
                <w:rFonts w:hint="eastAsia" w:ascii="宋体" w:hAnsi="宋体" w:cs="宋体"/>
                <w:color w:val="000000"/>
                <w:sz w:val="18"/>
                <w:szCs w:val="18"/>
              </w:rPr>
              <w:t>（三）取力器</w:t>
            </w:r>
          </w:p>
        </w:tc>
      </w:tr>
      <w:tr w14:paraId="2DDE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6239491">
            <w:pPr>
              <w:numPr>
                <w:ilvl w:val="0"/>
                <w:numId w:val="9"/>
              </w:numPr>
              <w:adjustRightInd w:val="0"/>
              <w:snapToGrid w:val="0"/>
              <w:spacing w:line="300" w:lineRule="exact"/>
              <w:jc w:val="left"/>
              <w:rPr>
                <w:rFonts w:ascii="宋体"/>
                <w:color w:val="000000"/>
                <w:sz w:val="18"/>
                <w:szCs w:val="18"/>
              </w:rPr>
            </w:pPr>
          </w:p>
        </w:tc>
        <w:tc>
          <w:tcPr>
            <w:tcW w:w="8755" w:type="dxa"/>
            <w:vAlign w:val="center"/>
          </w:tcPr>
          <w:p w14:paraId="4F163B42">
            <w:pPr>
              <w:spacing w:line="300" w:lineRule="exact"/>
              <w:jc w:val="left"/>
              <w:rPr>
                <w:rFonts w:ascii="宋体"/>
                <w:color w:val="000000"/>
                <w:sz w:val="18"/>
                <w:szCs w:val="18"/>
              </w:rPr>
            </w:pPr>
            <w:r>
              <w:rPr>
                <w:rFonts w:hint="eastAsia" w:ascii="宋体" w:hAnsi="宋体" w:cs="宋体"/>
                <w:color w:val="000000"/>
                <w:sz w:val="18"/>
                <w:szCs w:val="18"/>
              </w:rPr>
              <w:t>取力器：底盘原装自带</w:t>
            </w:r>
          </w:p>
        </w:tc>
      </w:tr>
      <w:tr w14:paraId="24BB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CAE2E16">
            <w:pPr>
              <w:numPr>
                <w:ilvl w:val="0"/>
                <w:numId w:val="9"/>
              </w:numPr>
              <w:adjustRightInd w:val="0"/>
              <w:snapToGrid w:val="0"/>
              <w:spacing w:line="300" w:lineRule="exact"/>
              <w:jc w:val="left"/>
              <w:rPr>
                <w:rFonts w:ascii="宋体"/>
                <w:color w:val="auto"/>
                <w:sz w:val="18"/>
                <w:szCs w:val="18"/>
              </w:rPr>
            </w:pPr>
          </w:p>
        </w:tc>
        <w:tc>
          <w:tcPr>
            <w:tcW w:w="8755" w:type="dxa"/>
            <w:vAlign w:val="center"/>
          </w:tcPr>
          <w:p w14:paraId="267435C8">
            <w:pPr>
              <w:spacing w:line="300" w:lineRule="exact"/>
              <w:jc w:val="left"/>
              <w:rPr>
                <w:rFonts w:ascii="宋体"/>
                <w:color w:val="auto"/>
                <w:sz w:val="18"/>
                <w:szCs w:val="18"/>
              </w:rPr>
            </w:pPr>
            <w:r>
              <w:rPr>
                <w:rFonts w:hint="eastAsia" w:ascii="宋体" w:hAnsi="宋体" w:cs="宋体"/>
                <w:color w:val="auto"/>
                <w:sz w:val="18"/>
                <w:szCs w:val="18"/>
              </w:rPr>
              <w:t>结合方式：电控气操纵</w:t>
            </w:r>
          </w:p>
        </w:tc>
      </w:tr>
      <w:tr w14:paraId="4D50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D110354">
            <w:pPr>
              <w:spacing w:line="300" w:lineRule="exact"/>
              <w:jc w:val="left"/>
              <w:rPr>
                <w:rFonts w:ascii="宋体"/>
                <w:color w:val="auto"/>
                <w:sz w:val="18"/>
                <w:szCs w:val="18"/>
              </w:rPr>
            </w:pPr>
            <w:r>
              <w:rPr>
                <w:rFonts w:hint="eastAsia" w:ascii="宋体" w:hAnsi="宋体" w:cs="宋体"/>
                <w:color w:val="auto"/>
                <w:sz w:val="18"/>
                <w:szCs w:val="18"/>
              </w:rPr>
              <w:t>（四）臂架</w:t>
            </w:r>
          </w:p>
        </w:tc>
      </w:tr>
      <w:tr w14:paraId="3381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F5D2A83">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3718BECC">
            <w:pPr>
              <w:spacing w:line="300" w:lineRule="exact"/>
              <w:jc w:val="left"/>
              <w:rPr>
                <w:rFonts w:ascii="宋体"/>
                <w:color w:val="auto"/>
                <w:sz w:val="18"/>
                <w:szCs w:val="18"/>
              </w:rPr>
            </w:pPr>
            <w:r>
              <w:rPr>
                <w:rFonts w:hint="eastAsia" w:ascii="宋体" w:hAnsi="宋体" w:eastAsia="宋体" w:cs="宋体"/>
                <w:bCs/>
                <w:color w:val="auto"/>
                <w:sz w:val="24"/>
              </w:rPr>
              <w:t>★</w:t>
            </w:r>
            <w:r>
              <w:rPr>
                <w:rFonts w:hint="eastAsia" w:ascii="宋体"/>
                <w:color w:val="auto"/>
                <w:sz w:val="18"/>
                <w:szCs w:val="18"/>
              </w:rPr>
              <w:t>型式：4节同步伸缩式臂+1节折叠臂，可跨过障碍物进行多角度作业</w:t>
            </w:r>
          </w:p>
        </w:tc>
      </w:tr>
      <w:tr w14:paraId="2BD2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BD1894F">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3475E678">
            <w:pPr>
              <w:spacing w:line="300" w:lineRule="exact"/>
              <w:jc w:val="left"/>
              <w:rPr>
                <w:rFonts w:ascii="宋体"/>
                <w:color w:val="auto"/>
                <w:sz w:val="18"/>
                <w:szCs w:val="18"/>
              </w:rPr>
            </w:pPr>
            <w:r>
              <w:rPr>
                <w:rFonts w:hint="eastAsia" w:ascii="宋体"/>
                <w:color w:val="auto"/>
                <w:sz w:val="18"/>
                <w:szCs w:val="18"/>
              </w:rPr>
              <w:t>结构：多边形箱型焊接结构</w:t>
            </w:r>
          </w:p>
        </w:tc>
      </w:tr>
      <w:tr w14:paraId="46D0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C22B5B2">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37E9C705">
            <w:pPr>
              <w:spacing w:line="300" w:lineRule="exact"/>
              <w:jc w:val="left"/>
              <w:rPr>
                <w:rFonts w:ascii="宋体"/>
                <w:color w:val="auto"/>
                <w:sz w:val="18"/>
                <w:szCs w:val="18"/>
              </w:rPr>
            </w:pPr>
            <w:r>
              <w:rPr>
                <w:rFonts w:hint="eastAsia" w:ascii="宋体"/>
                <w:color w:val="auto"/>
                <w:sz w:val="18"/>
                <w:szCs w:val="18"/>
              </w:rPr>
              <w:t>材质：高强度焊接结构钢</w:t>
            </w:r>
          </w:p>
        </w:tc>
      </w:tr>
      <w:tr w14:paraId="69F0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F6CDB31">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7F62602D">
            <w:pPr>
              <w:spacing w:line="300" w:lineRule="exact"/>
              <w:jc w:val="left"/>
              <w:rPr>
                <w:rFonts w:ascii="宋体"/>
                <w:color w:val="auto"/>
                <w:sz w:val="18"/>
                <w:szCs w:val="18"/>
              </w:rPr>
            </w:pPr>
            <w:r>
              <w:rPr>
                <w:rFonts w:hint="eastAsia" w:ascii="宋体"/>
                <w:color w:val="auto"/>
                <w:sz w:val="18"/>
                <w:szCs w:val="18"/>
              </w:rPr>
              <w:t>伸缩系统：伸缩机构由油缸、钢丝绳、导轮等组成。伸缩时油缸推动二节臂，二节臂通过钢丝绳、导轮等拉动其余臂来实现同步伸缩。软链伸缩机构由软链、电缆、油管等组成。内置于臂内，结构紧凑美观，臂架伸缩时带动软链同步伸缩，以实现液压油及电源的远距离传输。</w:t>
            </w:r>
          </w:p>
        </w:tc>
      </w:tr>
      <w:tr w14:paraId="6F72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542385D">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248196E7">
            <w:pPr>
              <w:spacing w:line="300" w:lineRule="exact"/>
              <w:jc w:val="left"/>
              <w:rPr>
                <w:rFonts w:ascii="宋体"/>
                <w:color w:val="auto"/>
                <w:sz w:val="18"/>
                <w:szCs w:val="18"/>
              </w:rPr>
            </w:pPr>
            <w:r>
              <w:rPr>
                <w:rFonts w:hint="eastAsia" w:ascii="宋体"/>
                <w:color w:val="auto"/>
                <w:sz w:val="18"/>
                <w:szCs w:val="18"/>
              </w:rPr>
              <w:t>伸缩臂变幅：0～80</w:t>
            </w:r>
            <w:r>
              <w:rPr>
                <w:rFonts w:ascii="宋体"/>
                <w:color w:val="auto"/>
                <w:sz w:val="18"/>
                <w:szCs w:val="18"/>
              </w:rPr>
              <w:t xml:space="preserve"> °</w:t>
            </w:r>
            <w:r>
              <w:rPr>
                <w:rFonts w:hint="eastAsia" w:ascii="宋体"/>
                <w:color w:val="auto"/>
                <w:sz w:val="18"/>
                <w:szCs w:val="18"/>
              </w:rPr>
              <w:t>（相对水平面）</w:t>
            </w:r>
          </w:p>
        </w:tc>
      </w:tr>
      <w:tr w14:paraId="5E7A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8A24B25">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6DC6DC64">
            <w:pPr>
              <w:spacing w:line="300" w:lineRule="exact"/>
              <w:jc w:val="left"/>
              <w:rPr>
                <w:rFonts w:ascii="宋体"/>
                <w:color w:val="auto"/>
                <w:sz w:val="18"/>
                <w:szCs w:val="18"/>
              </w:rPr>
            </w:pPr>
            <w:r>
              <w:rPr>
                <w:rFonts w:hint="eastAsia" w:ascii="宋体"/>
                <w:color w:val="auto"/>
                <w:sz w:val="18"/>
                <w:szCs w:val="18"/>
              </w:rPr>
              <w:t>折叠臂变幅范围： 0～180°（相对伸缩臂）</w:t>
            </w:r>
          </w:p>
        </w:tc>
      </w:tr>
      <w:tr w14:paraId="74AD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67FC7BD">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48A2573A">
            <w:pPr>
              <w:spacing w:line="300" w:lineRule="exact"/>
              <w:jc w:val="left"/>
              <w:rPr>
                <w:rFonts w:ascii="宋体"/>
                <w:color w:val="auto"/>
                <w:sz w:val="18"/>
                <w:szCs w:val="18"/>
              </w:rPr>
            </w:pPr>
            <w:r>
              <w:rPr>
                <w:rFonts w:hint="eastAsia" w:ascii="宋体"/>
                <w:color w:val="auto"/>
                <w:sz w:val="18"/>
                <w:szCs w:val="18"/>
              </w:rPr>
              <w:t xml:space="preserve">回转速度：0～2 </w:t>
            </w:r>
            <w:r>
              <w:rPr>
                <w:rFonts w:ascii="宋体"/>
                <w:color w:val="auto"/>
                <w:sz w:val="18"/>
                <w:szCs w:val="18"/>
              </w:rPr>
              <w:t>r/min</w:t>
            </w:r>
            <w:r>
              <w:rPr>
                <w:rFonts w:hint="eastAsia" w:ascii="宋体"/>
                <w:color w:val="auto"/>
                <w:sz w:val="18"/>
                <w:szCs w:val="18"/>
              </w:rPr>
              <w:t>（360°连续）</w:t>
            </w:r>
          </w:p>
        </w:tc>
      </w:tr>
      <w:tr w14:paraId="489D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3D0B43C">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6230204C">
            <w:pPr>
              <w:spacing w:line="300" w:lineRule="exact"/>
              <w:jc w:val="left"/>
              <w:rPr>
                <w:rFonts w:ascii="宋体"/>
                <w:color w:val="auto"/>
                <w:sz w:val="18"/>
                <w:szCs w:val="18"/>
              </w:rPr>
            </w:pPr>
            <w:r>
              <w:rPr>
                <w:rFonts w:hint="eastAsia" w:ascii="宋体"/>
                <w:color w:val="auto"/>
                <w:sz w:val="18"/>
                <w:szCs w:val="18"/>
              </w:rPr>
              <w:t>最大作业高度：</w:t>
            </w:r>
            <w:r>
              <w:rPr>
                <w:rFonts w:ascii="宋体"/>
                <w:color w:val="auto"/>
                <w:sz w:val="18"/>
                <w:szCs w:val="18"/>
              </w:rPr>
              <w:t>≥</w:t>
            </w:r>
            <w:r>
              <w:rPr>
                <w:rFonts w:hint="eastAsia" w:ascii="宋体"/>
                <w:color w:val="auto"/>
                <w:sz w:val="18"/>
                <w:szCs w:val="18"/>
              </w:rPr>
              <w:t>20m</w:t>
            </w:r>
          </w:p>
        </w:tc>
      </w:tr>
      <w:tr w14:paraId="208A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037AC10">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20876485">
            <w:pPr>
              <w:spacing w:line="300" w:lineRule="exact"/>
              <w:jc w:val="left"/>
              <w:rPr>
                <w:rFonts w:ascii="宋体"/>
                <w:color w:val="auto"/>
                <w:sz w:val="18"/>
                <w:szCs w:val="18"/>
              </w:rPr>
            </w:pPr>
            <w:r>
              <w:rPr>
                <w:rFonts w:hint="eastAsia" w:ascii="宋体"/>
                <w:color w:val="auto"/>
                <w:sz w:val="18"/>
                <w:szCs w:val="18"/>
              </w:rPr>
              <w:t>最大作业幅度：</w:t>
            </w:r>
            <w:r>
              <w:rPr>
                <w:rFonts w:ascii="宋体"/>
                <w:color w:val="auto"/>
                <w:sz w:val="18"/>
                <w:szCs w:val="18"/>
              </w:rPr>
              <w:t>≥</w:t>
            </w:r>
            <w:r>
              <w:rPr>
                <w:rFonts w:hint="eastAsia" w:ascii="宋体"/>
                <w:color w:val="auto"/>
                <w:sz w:val="18"/>
                <w:szCs w:val="18"/>
              </w:rPr>
              <w:t>13m</w:t>
            </w:r>
          </w:p>
        </w:tc>
      </w:tr>
      <w:tr w14:paraId="0BF5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F411964">
            <w:pPr>
              <w:numPr>
                <w:ilvl w:val="0"/>
                <w:numId w:val="10"/>
              </w:numPr>
              <w:adjustRightInd w:val="0"/>
              <w:snapToGrid w:val="0"/>
              <w:spacing w:line="300" w:lineRule="exact"/>
              <w:jc w:val="left"/>
              <w:rPr>
                <w:rFonts w:ascii="宋体"/>
                <w:color w:val="auto"/>
                <w:sz w:val="18"/>
                <w:szCs w:val="18"/>
              </w:rPr>
            </w:pPr>
          </w:p>
        </w:tc>
        <w:tc>
          <w:tcPr>
            <w:tcW w:w="8755" w:type="dxa"/>
            <w:vAlign w:val="center"/>
          </w:tcPr>
          <w:p w14:paraId="0526EF32">
            <w:pPr>
              <w:spacing w:line="300" w:lineRule="exact"/>
              <w:jc w:val="left"/>
              <w:rPr>
                <w:rFonts w:ascii="宋体"/>
                <w:color w:val="auto"/>
                <w:sz w:val="18"/>
                <w:szCs w:val="18"/>
              </w:rPr>
            </w:pPr>
            <w:r>
              <w:rPr>
                <w:rFonts w:hint="eastAsia" w:ascii="宋体"/>
                <w:color w:val="auto"/>
                <w:sz w:val="18"/>
                <w:szCs w:val="18"/>
              </w:rPr>
              <w:t>臂架举升至最大高度并旋转90°时间：</w:t>
            </w:r>
            <w:r>
              <w:rPr>
                <w:rFonts w:ascii="宋体"/>
                <w:color w:val="auto"/>
                <w:sz w:val="18"/>
                <w:szCs w:val="18"/>
              </w:rPr>
              <w:t>≤</w:t>
            </w:r>
            <w:r>
              <w:rPr>
                <w:rFonts w:hint="eastAsia" w:ascii="宋体"/>
                <w:color w:val="auto"/>
                <w:sz w:val="18"/>
                <w:szCs w:val="18"/>
              </w:rPr>
              <w:t>100s</w:t>
            </w:r>
          </w:p>
        </w:tc>
      </w:tr>
      <w:tr w14:paraId="32CE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18663910">
            <w:pPr>
              <w:spacing w:line="300" w:lineRule="exact"/>
              <w:jc w:val="left"/>
              <w:rPr>
                <w:rFonts w:ascii="宋体"/>
                <w:color w:val="auto"/>
                <w:sz w:val="18"/>
                <w:szCs w:val="18"/>
              </w:rPr>
            </w:pPr>
            <w:r>
              <w:rPr>
                <w:rFonts w:hint="eastAsia" w:ascii="宋体" w:hAnsi="宋体" w:cs="宋体"/>
                <w:color w:val="auto"/>
                <w:sz w:val="18"/>
                <w:szCs w:val="18"/>
              </w:rPr>
              <w:t>（五）工作斗</w:t>
            </w:r>
          </w:p>
        </w:tc>
      </w:tr>
      <w:tr w14:paraId="326D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DBACD46">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471B246C">
            <w:pPr>
              <w:spacing w:line="300" w:lineRule="exact"/>
              <w:jc w:val="left"/>
              <w:rPr>
                <w:rFonts w:ascii="宋体"/>
                <w:color w:val="auto"/>
                <w:sz w:val="18"/>
                <w:szCs w:val="18"/>
              </w:rPr>
            </w:pPr>
            <w:r>
              <w:rPr>
                <w:rFonts w:hint="eastAsia" w:ascii="宋体"/>
                <w:color w:val="auto"/>
                <w:sz w:val="18"/>
                <w:szCs w:val="18"/>
              </w:rPr>
              <w:t>尺寸：</w:t>
            </w:r>
            <w:r>
              <w:rPr>
                <w:rFonts w:ascii="宋体"/>
                <w:color w:val="auto"/>
                <w:sz w:val="18"/>
                <w:szCs w:val="18"/>
              </w:rPr>
              <w:t>≥</w:t>
            </w:r>
            <w:r>
              <w:rPr>
                <w:rFonts w:hint="eastAsia" w:ascii="宋体"/>
                <w:color w:val="auto"/>
                <w:sz w:val="18"/>
                <w:szCs w:val="18"/>
              </w:rPr>
              <w:t>长2100mm×宽710mm×高1300mm</w:t>
            </w:r>
          </w:p>
        </w:tc>
      </w:tr>
      <w:tr w14:paraId="6883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E027CC2">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5591C614">
            <w:pPr>
              <w:spacing w:line="300" w:lineRule="exact"/>
              <w:jc w:val="left"/>
              <w:rPr>
                <w:rFonts w:ascii="宋体"/>
                <w:color w:val="auto"/>
                <w:sz w:val="18"/>
                <w:szCs w:val="18"/>
              </w:rPr>
            </w:pPr>
            <w:r>
              <w:rPr>
                <w:rFonts w:hint="eastAsia" w:ascii="宋体"/>
                <w:color w:val="auto"/>
                <w:sz w:val="18"/>
                <w:szCs w:val="18"/>
              </w:rPr>
              <w:t>工作斗额定载荷：</w:t>
            </w:r>
            <w:r>
              <w:rPr>
                <w:rFonts w:hint="eastAsia" w:ascii="宋体" w:hAnsi="宋体"/>
                <w:color w:val="auto"/>
                <w:sz w:val="18"/>
                <w:szCs w:val="18"/>
              </w:rPr>
              <w:t>≥</w:t>
            </w:r>
            <w:r>
              <w:rPr>
                <w:rFonts w:hint="eastAsia" w:ascii="宋体"/>
                <w:color w:val="auto"/>
                <w:sz w:val="18"/>
                <w:szCs w:val="18"/>
              </w:rPr>
              <w:t>300kg</w:t>
            </w:r>
          </w:p>
        </w:tc>
      </w:tr>
      <w:tr w14:paraId="2327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B470320">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3EE8303A">
            <w:pPr>
              <w:spacing w:line="300" w:lineRule="exact"/>
              <w:jc w:val="left"/>
              <w:rPr>
                <w:rFonts w:ascii="宋体"/>
                <w:color w:val="auto"/>
                <w:sz w:val="18"/>
                <w:szCs w:val="18"/>
              </w:rPr>
            </w:pPr>
            <w:r>
              <w:rPr>
                <w:rFonts w:hint="eastAsia" w:ascii="宋体"/>
                <w:color w:val="auto"/>
                <w:sz w:val="18"/>
                <w:szCs w:val="18"/>
              </w:rPr>
              <w:t>结构材质：铝合金焊接结构，底板防滑冲孔铝板，</w:t>
            </w:r>
            <w:r>
              <w:rPr>
                <w:rFonts w:ascii="宋体"/>
                <w:color w:val="auto"/>
                <w:sz w:val="18"/>
                <w:szCs w:val="18"/>
              </w:rPr>
              <w:t>下部螺栓联接钢制托架</w:t>
            </w:r>
          </w:p>
        </w:tc>
      </w:tr>
      <w:tr w14:paraId="3254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EC9448D">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0DE8C8BE">
            <w:pPr>
              <w:spacing w:line="300" w:lineRule="exact"/>
              <w:jc w:val="left"/>
              <w:rPr>
                <w:rFonts w:ascii="宋体"/>
                <w:color w:val="auto"/>
                <w:sz w:val="18"/>
                <w:szCs w:val="18"/>
              </w:rPr>
            </w:pPr>
            <w:r>
              <w:rPr>
                <w:rFonts w:hint="eastAsia" w:ascii="宋体"/>
                <w:color w:val="auto"/>
                <w:sz w:val="18"/>
                <w:szCs w:val="18"/>
              </w:rPr>
              <w:t>回转角度：±45°</w:t>
            </w:r>
          </w:p>
        </w:tc>
      </w:tr>
      <w:tr w14:paraId="17F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DDBBF05">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0511DB4D">
            <w:pPr>
              <w:spacing w:line="300" w:lineRule="exact"/>
              <w:jc w:val="left"/>
              <w:rPr>
                <w:rFonts w:ascii="宋体"/>
                <w:color w:val="auto"/>
                <w:sz w:val="18"/>
                <w:szCs w:val="18"/>
              </w:rPr>
            </w:pPr>
            <w:r>
              <w:rPr>
                <w:rFonts w:hint="eastAsia" w:ascii="宋体" w:hAnsi="宋体" w:eastAsia="宋体" w:cs="宋体"/>
                <w:bCs/>
                <w:color w:val="auto"/>
                <w:sz w:val="24"/>
              </w:rPr>
              <w:t>★</w:t>
            </w:r>
            <w:r>
              <w:rPr>
                <w:rFonts w:hint="eastAsia" w:ascii="宋体"/>
                <w:color w:val="auto"/>
                <w:sz w:val="18"/>
                <w:szCs w:val="18"/>
              </w:rPr>
              <w:t>辅助平台：前置联动翻转辅助平台</w:t>
            </w:r>
          </w:p>
        </w:tc>
      </w:tr>
      <w:tr w14:paraId="2986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E07659F">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484C1D1E">
            <w:pPr>
              <w:spacing w:line="300" w:lineRule="exact"/>
              <w:jc w:val="left"/>
              <w:rPr>
                <w:rFonts w:ascii="宋体"/>
                <w:color w:val="auto"/>
                <w:sz w:val="18"/>
                <w:szCs w:val="18"/>
              </w:rPr>
            </w:pPr>
            <w:r>
              <w:rPr>
                <w:rFonts w:hint="eastAsia" w:ascii="宋体"/>
                <w:color w:val="auto"/>
                <w:sz w:val="18"/>
                <w:szCs w:val="18"/>
              </w:rPr>
              <w:t>门：侧置内开式安全门，带爬梯</w:t>
            </w:r>
          </w:p>
        </w:tc>
      </w:tr>
      <w:tr w14:paraId="10F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DFFCF28">
            <w:pPr>
              <w:numPr>
                <w:ilvl w:val="0"/>
                <w:numId w:val="11"/>
              </w:numPr>
              <w:adjustRightInd w:val="0"/>
              <w:snapToGrid w:val="0"/>
              <w:spacing w:line="300" w:lineRule="exact"/>
              <w:jc w:val="left"/>
              <w:rPr>
                <w:rFonts w:ascii="宋体"/>
                <w:color w:val="auto"/>
                <w:sz w:val="18"/>
                <w:szCs w:val="18"/>
              </w:rPr>
            </w:pPr>
          </w:p>
        </w:tc>
        <w:tc>
          <w:tcPr>
            <w:tcW w:w="8755" w:type="dxa"/>
            <w:vAlign w:val="center"/>
          </w:tcPr>
          <w:p w14:paraId="47EF2BE6">
            <w:pPr>
              <w:spacing w:line="300" w:lineRule="exact"/>
              <w:jc w:val="left"/>
              <w:rPr>
                <w:rFonts w:ascii="宋体"/>
                <w:color w:val="auto"/>
                <w:sz w:val="18"/>
                <w:szCs w:val="18"/>
              </w:rPr>
            </w:pPr>
            <w:r>
              <w:rPr>
                <w:rFonts w:hint="eastAsia" w:ascii="宋体"/>
                <w:color w:val="auto"/>
                <w:sz w:val="18"/>
                <w:szCs w:val="18"/>
              </w:rPr>
              <w:t>其他配置及功能：</w:t>
            </w:r>
            <w:r>
              <w:rPr>
                <w:rFonts w:ascii="宋体"/>
                <w:color w:val="auto"/>
                <w:sz w:val="18"/>
                <w:szCs w:val="18"/>
              </w:rPr>
              <w:t>风速仪</w:t>
            </w:r>
            <w:r>
              <w:rPr>
                <w:rFonts w:hint="eastAsia" w:ascii="宋体"/>
                <w:color w:val="auto"/>
                <w:sz w:val="18"/>
                <w:szCs w:val="18"/>
              </w:rPr>
              <w:t>、</w:t>
            </w:r>
            <w:r>
              <w:rPr>
                <w:rFonts w:ascii="宋体"/>
                <w:color w:val="auto"/>
                <w:sz w:val="18"/>
                <w:szCs w:val="18"/>
              </w:rPr>
              <w:t>称重</w:t>
            </w:r>
            <w:r>
              <w:rPr>
                <w:rFonts w:hint="eastAsia" w:ascii="宋体"/>
                <w:color w:val="auto"/>
                <w:sz w:val="18"/>
                <w:szCs w:val="18"/>
              </w:rPr>
              <w:t>传感器、</w:t>
            </w:r>
            <w:r>
              <w:rPr>
                <w:rFonts w:ascii="宋体"/>
                <w:color w:val="auto"/>
                <w:sz w:val="18"/>
                <w:szCs w:val="18"/>
              </w:rPr>
              <w:t>超声波防碰</w:t>
            </w:r>
            <w:r>
              <w:rPr>
                <w:rFonts w:hint="eastAsia" w:ascii="宋体"/>
                <w:color w:val="auto"/>
                <w:sz w:val="18"/>
                <w:szCs w:val="18"/>
              </w:rPr>
              <w:t>雷达、</w:t>
            </w:r>
            <w:r>
              <w:rPr>
                <w:rFonts w:ascii="宋体"/>
                <w:color w:val="auto"/>
                <w:sz w:val="18"/>
                <w:szCs w:val="18"/>
              </w:rPr>
              <w:t>喷淋自保</w:t>
            </w:r>
            <w:r>
              <w:rPr>
                <w:rFonts w:hint="eastAsia" w:ascii="宋体"/>
                <w:color w:val="auto"/>
                <w:sz w:val="18"/>
                <w:szCs w:val="18"/>
              </w:rPr>
              <w:t>、照明灯</w:t>
            </w:r>
          </w:p>
        </w:tc>
      </w:tr>
      <w:tr w14:paraId="6880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52BD744">
            <w:pPr>
              <w:spacing w:line="300" w:lineRule="exact"/>
              <w:jc w:val="left"/>
              <w:rPr>
                <w:rFonts w:ascii="宋体"/>
                <w:color w:val="auto"/>
                <w:sz w:val="18"/>
                <w:szCs w:val="18"/>
              </w:rPr>
            </w:pPr>
            <w:r>
              <w:rPr>
                <w:rFonts w:hint="eastAsia" w:ascii="宋体" w:hAnsi="宋体" w:cs="宋体"/>
                <w:color w:val="auto"/>
                <w:sz w:val="18"/>
                <w:szCs w:val="18"/>
              </w:rPr>
              <w:t>（六）转</w:t>
            </w:r>
            <w:r>
              <w:rPr>
                <w:rFonts w:ascii="宋体" w:hAnsi="宋体" w:cs="宋体"/>
                <w:color w:val="auto"/>
                <w:sz w:val="18"/>
                <w:szCs w:val="18"/>
              </w:rPr>
              <w:t>台</w:t>
            </w:r>
          </w:p>
        </w:tc>
      </w:tr>
      <w:tr w14:paraId="56C7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DBC8506">
            <w:pPr>
              <w:numPr>
                <w:ilvl w:val="0"/>
                <w:numId w:val="12"/>
              </w:numPr>
              <w:adjustRightInd w:val="0"/>
              <w:snapToGrid w:val="0"/>
              <w:spacing w:line="300" w:lineRule="exact"/>
              <w:jc w:val="left"/>
              <w:rPr>
                <w:rFonts w:ascii="宋体"/>
                <w:color w:val="auto"/>
                <w:sz w:val="18"/>
                <w:szCs w:val="18"/>
              </w:rPr>
            </w:pPr>
          </w:p>
        </w:tc>
        <w:tc>
          <w:tcPr>
            <w:tcW w:w="8755" w:type="dxa"/>
            <w:vAlign w:val="center"/>
          </w:tcPr>
          <w:p w14:paraId="327833EC">
            <w:pPr>
              <w:spacing w:line="300" w:lineRule="exact"/>
              <w:jc w:val="left"/>
              <w:rPr>
                <w:rFonts w:ascii="宋体"/>
                <w:color w:val="auto"/>
                <w:sz w:val="18"/>
                <w:szCs w:val="18"/>
              </w:rPr>
            </w:pPr>
            <w:r>
              <w:rPr>
                <w:rFonts w:hint="eastAsia" w:ascii="宋体"/>
                <w:color w:val="auto"/>
                <w:sz w:val="18"/>
                <w:szCs w:val="18"/>
              </w:rPr>
              <w:t>材质：高强度焊接结构钢</w:t>
            </w:r>
          </w:p>
        </w:tc>
      </w:tr>
      <w:tr w14:paraId="7792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7BE2618">
            <w:pPr>
              <w:numPr>
                <w:ilvl w:val="0"/>
                <w:numId w:val="12"/>
              </w:numPr>
              <w:adjustRightInd w:val="0"/>
              <w:snapToGrid w:val="0"/>
              <w:spacing w:line="300" w:lineRule="exact"/>
              <w:jc w:val="left"/>
              <w:rPr>
                <w:rFonts w:ascii="宋体"/>
                <w:color w:val="auto"/>
                <w:sz w:val="18"/>
                <w:szCs w:val="18"/>
              </w:rPr>
            </w:pPr>
          </w:p>
        </w:tc>
        <w:tc>
          <w:tcPr>
            <w:tcW w:w="8755" w:type="dxa"/>
            <w:vAlign w:val="center"/>
          </w:tcPr>
          <w:p w14:paraId="510C531E">
            <w:pPr>
              <w:spacing w:line="300" w:lineRule="exact"/>
              <w:jc w:val="left"/>
              <w:rPr>
                <w:rFonts w:ascii="宋体"/>
                <w:color w:val="auto"/>
                <w:sz w:val="18"/>
                <w:szCs w:val="18"/>
              </w:rPr>
            </w:pPr>
            <w:r>
              <w:rPr>
                <w:rFonts w:hint="eastAsia" w:ascii="宋体"/>
                <w:color w:val="auto"/>
                <w:sz w:val="18"/>
                <w:szCs w:val="18"/>
              </w:rPr>
              <w:t>转台为呈上启下之部件，上部装有臂架、变幅油缸、操作附件等，下部通过回转支承、中心回转接头装在下车副车架上，因此设计为钢板焊接成箱型结构以满足其强度及刚度的需要。</w:t>
            </w:r>
          </w:p>
        </w:tc>
      </w:tr>
      <w:tr w14:paraId="549F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37E0B91">
            <w:pPr>
              <w:spacing w:line="300" w:lineRule="exact"/>
              <w:jc w:val="left"/>
              <w:rPr>
                <w:rFonts w:ascii="宋体"/>
                <w:color w:val="auto"/>
                <w:sz w:val="18"/>
                <w:szCs w:val="18"/>
              </w:rPr>
            </w:pPr>
            <w:r>
              <w:rPr>
                <w:rFonts w:hint="eastAsia" w:ascii="宋体" w:hAnsi="宋体" w:cs="宋体"/>
                <w:color w:val="auto"/>
                <w:sz w:val="18"/>
                <w:szCs w:val="18"/>
              </w:rPr>
              <w:t>（七）回</w:t>
            </w:r>
            <w:r>
              <w:rPr>
                <w:rFonts w:ascii="宋体" w:hAnsi="宋体" w:cs="宋体"/>
                <w:color w:val="auto"/>
                <w:sz w:val="18"/>
                <w:szCs w:val="18"/>
              </w:rPr>
              <w:t>转装置</w:t>
            </w:r>
          </w:p>
        </w:tc>
      </w:tr>
      <w:tr w14:paraId="2D71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A33B479">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51B2A6F8">
            <w:pPr>
              <w:spacing w:line="300" w:lineRule="exact"/>
              <w:jc w:val="left"/>
              <w:rPr>
                <w:rFonts w:ascii="宋体"/>
                <w:color w:val="auto"/>
                <w:sz w:val="18"/>
                <w:szCs w:val="18"/>
              </w:rPr>
            </w:pPr>
            <w:r>
              <w:rPr>
                <w:rFonts w:hint="eastAsia" w:ascii="宋体"/>
                <w:color w:val="auto"/>
                <w:sz w:val="18"/>
                <w:szCs w:val="18"/>
              </w:rPr>
              <w:t>回转支承：选用四点接触球式回转支承，具有强大的承载能力，稳定性好。</w:t>
            </w:r>
          </w:p>
        </w:tc>
      </w:tr>
      <w:tr w14:paraId="57D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A287303">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12D26B08">
            <w:pPr>
              <w:spacing w:line="300" w:lineRule="exact"/>
              <w:jc w:val="left"/>
              <w:rPr>
                <w:rFonts w:ascii="宋体"/>
                <w:color w:val="auto"/>
                <w:sz w:val="18"/>
                <w:szCs w:val="18"/>
              </w:rPr>
            </w:pPr>
            <w:r>
              <w:rPr>
                <w:rFonts w:hint="eastAsia" w:ascii="宋体"/>
                <w:color w:val="auto"/>
                <w:sz w:val="18"/>
                <w:szCs w:val="18"/>
              </w:rPr>
              <w:t>中心回转体：由回转体、固定体和滑环等组成。用以实现液压能、电能和水上下车传输之功效。回转体固定在转台上与转台同转，固定体固定于下车。液压油以O形圈、方形圈环密封，电源输送有良好的绝缘保护。</w:t>
            </w:r>
          </w:p>
        </w:tc>
      </w:tr>
      <w:tr w14:paraId="430F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FCF8100">
            <w:pPr>
              <w:numPr>
                <w:ilvl w:val="0"/>
                <w:numId w:val="13"/>
              </w:numPr>
              <w:adjustRightInd w:val="0"/>
              <w:snapToGrid w:val="0"/>
              <w:spacing w:line="300" w:lineRule="exact"/>
              <w:jc w:val="left"/>
              <w:rPr>
                <w:rFonts w:ascii="宋体"/>
                <w:color w:val="auto"/>
                <w:sz w:val="18"/>
                <w:szCs w:val="18"/>
              </w:rPr>
            </w:pPr>
          </w:p>
        </w:tc>
        <w:tc>
          <w:tcPr>
            <w:tcW w:w="8755" w:type="dxa"/>
            <w:vAlign w:val="center"/>
          </w:tcPr>
          <w:p w14:paraId="56D6606B">
            <w:pPr>
              <w:spacing w:line="300" w:lineRule="exact"/>
              <w:jc w:val="left"/>
              <w:rPr>
                <w:rFonts w:ascii="宋体"/>
                <w:color w:val="auto"/>
                <w:sz w:val="18"/>
                <w:szCs w:val="18"/>
              </w:rPr>
            </w:pPr>
            <w:r>
              <w:rPr>
                <w:rFonts w:hint="eastAsia" w:ascii="宋体"/>
                <w:color w:val="auto"/>
                <w:sz w:val="18"/>
                <w:szCs w:val="18"/>
              </w:rPr>
              <w:t>回转机构：回转机构由液压马达、减速机构、回转齿轮等组成。减速机构由采用行星齿轮减速器和常闭式制动器组成，在回转系统中设有回转平衡阀，回转平稳可靠，具有良好微动性能。由高压油驱动液压马达通过减速机减速增扭和回转齿轮、回转支承带动转台旋转从而实现举高部分的平稳准确的旋转运动。</w:t>
            </w:r>
          </w:p>
        </w:tc>
      </w:tr>
      <w:tr w14:paraId="044B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1F356529">
            <w:pPr>
              <w:spacing w:line="300" w:lineRule="exact"/>
              <w:jc w:val="left"/>
              <w:rPr>
                <w:rFonts w:ascii="宋体"/>
                <w:color w:val="auto"/>
                <w:sz w:val="18"/>
                <w:szCs w:val="18"/>
              </w:rPr>
            </w:pPr>
            <w:r>
              <w:rPr>
                <w:rFonts w:hint="eastAsia" w:ascii="宋体" w:hAnsi="宋体" w:cs="宋体"/>
                <w:color w:val="auto"/>
                <w:sz w:val="18"/>
                <w:szCs w:val="18"/>
              </w:rPr>
              <w:t>（八）副车架</w:t>
            </w:r>
          </w:p>
        </w:tc>
      </w:tr>
      <w:tr w14:paraId="700B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01B2738">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3EB6B289">
            <w:pPr>
              <w:spacing w:line="300" w:lineRule="exact"/>
              <w:jc w:val="left"/>
              <w:rPr>
                <w:rFonts w:ascii="宋体"/>
                <w:color w:val="auto"/>
                <w:sz w:val="18"/>
                <w:szCs w:val="18"/>
              </w:rPr>
            </w:pPr>
            <w:r>
              <w:rPr>
                <w:rFonts w:hint="eastAsia" w:ascii="宋体"/>
                <w:color w:val="auto"/>
                <w:sz w:val="18"/>
                <w:szCs w:val="18"/>
              </w:rPr>
              <w:t>结构：封闭式双箱型焊接结构</w:t>
            </w:r>
          </w:p>
        </w:tc>
      </w:tr>
      <w:tr w14:paraId="79C0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4D78981">
            <w:pPr>
              <w:numPr>
                <w:ilvl w:val="0"/>
                <w:numId w:val="14"/>
              </w:numPr>
              <w:adjustRightInd w:val="0"/>
              <w:snapToGrid w:val="0"/>
              <w:spacing w:line="300" w:lineRule="exact"/>
              <w:jc w:val="left"/>
              <w:rPr>
                <w:rFonts w:ascii="宋体"/>
                <w:color w:val="auto"/>
                <w:sz w:val="18"/>
                <w:szCs w:val="18"/>
              </w:rPr>
            </w:pPr>
          </w:p>
        </w:tc>
        <w:tc>
          <w:tcPr>
            <w:tcW w:w="8755" w:type="dxa"/>
            <w:vAlign w:val="center"/>
          </w:tcPr>
          <w:p w14:paraId="1F45C0E4">
            <w:pPr>
              <w:spacing w:line="300" w:lineRule="exact"/>
              <w:jc w:val="left"/>
              <w:rPr>
                <w:rFonts w:ascii="宋体"/>
                <w:color w:val="auto"/>
                <w:sz w:val="18"/>
                <w:szCs w:val="18"/>
              </w:rPr>
            </w:pPr>
            <w:r>
              <w:rPr>
                <w:rFonts w:hint="eastAsia" w:ascii="宋体"/>
                <w:color w:val="auto"/>
                <w:sz w:val="18"/>
                <w:szCs w:val="18"/>
              </w:rPr>
              <w:t>材质：高强度焊接结构钢</w:t>
            </w:r>
          </w:p>
        </w:tc>
      </w:tr>
      <w:tr w14:paraId="415E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269D5005">
            <w:pPr>
              <w:spacing w:line="300" w:lineRule="exact"/>
              <w:jc w:val="left"/>
              <w:rPr>
                <w:rFonts w:ascii="宋体"/>
                <w:color w:val="auto"/>
                <w:sz w:val="18"/>
                <w:szCs w:val="18"/>
              </w:rPr>
            </w:pPr>
            <w:r>
              <w:rPr>
                <w:rFonts w:hint="eastAsia" w:ascii="宋体" w:hAnsi="宋体" w:cs="宋体"/>
                <w:color w:val="auto"/>
                <w:sz w:val="18"/>
                <w:szCs w:val="18"/>
              </w:rPr>
              <w:t>（九）支腿</w:t>
            </w:r>
          </w:p>
        </w:tc>
      </w:tr>
      <w:tr w14:paraId="3153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6034846">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264B202B">
            <w:pPr>
              <w:spacing w:line="300" w:lineRule="exact"/>
              <w:jc w:val="left"/>
              <w:rPr>
                <w:rFonts w:ascii="宋体"/>
                <w:color w:val="auto"/>
                <w:sz w:val="18"/>
                <w:szCs w:val="18"/>
              </w:rPr>
            </w:pPr>
            <w:r>
              <w:rPr>
                <w:rFonts w:hint="eastAsia" w:ascii="宋体"/>
                <w:color w:val="auto"/>
                <w:sz w:val="18"/>
                <w:szCs w:val="18"/>
              </w:rPr>
              <w:t>型式：</w:t>
            </w:r>
            <w:r>
              <w:rPr>
                <w:rFonts w:ascii="宋体"/>
                <w:color w:val="auto"/>
                <w:sz w:val="18"/>
                <w:szCs w:val="18"/>
              </w:rPr>
              <w:t>H</w:t>
            </w:r>
            <w:r>
              <w:rPr>
                <w:rFonts w:hint="eastAsia" w:ascii="宋体"/>
                <w:color w:val="auto"/>
                <w:sz w:val="18"/>
                <w:szCs w:val="18"/>
              </w:rPr>
              <w:t>型</w:t>
            </w:r>
          </w:p>
        </w:tc>
      </w:tr>
      <w:tr w14:paraId="641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BD8157A">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20776F6E">
            <w:pPr>
              <w:spacing w:line="300" w:lineRule="exact"/>
              <w:jc w:val="left"/>
              <w:rPr>
                <w:rFonts w:ascii="宋体"/>
                <w:color w:val="auto"/>
                <w:sz w:val="18"/>
                <w:szCs w:val="18"/>
              </w:rPr>
            </w:pPr>
            <w:r>
              <w:rPr>
                <w:rFonts w:hint="eastAsia" w:ascii="宋体"/>
                <w:color w:val="auto"/>
                <w:sz w:val="18"/>
                <w:szCs w:val="18"/>
              </w:rPr>
              <w:t>结构：封闭式箱型焊接结构件</w:t>
            </w:r>
          </w:p>
        </w:tc>
      </w:tr>
      <w:tr w14:paraId="2F94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C5F35FF">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10C54605">
            <w:pPr>
              <w:spacing w:line="300" w:lineRule="exact"/>
              <w:jc w:val="left"/>
              <w:rPr>
                <w:rFonts w:ascii="宋体"/>
                <w:color w:val="auto"/>
                <w:sz w:val="18"/>
                <w:szCs w:val="18"/>
              </w:rPr>
            </w:pPr>
            <w:r>
              <w:rPr>
                <w:rFonts w:hint="eastAsia" w:ascii="宋体"/>
                <w:color w:val="auto"/>
                <w:sz w:val="18"/>
                <w:szCs w:val="18"/>
              </w:rPr>
              <w:t>材质：高强度焊接结构钢</w:t>
            </w:r>
          </w:p>
        </w:tc>
      </w:tr>
      <w:tr w14:paraId="1A17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3EF441E">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389823E7">
            <w:pPr>
              <w:spacing w:line="300" w:lineRule="exact"/>
              <w:jc w:val="left"/>
              <w:rPr>
                <w:rFonts w:ascii="宋体"/>
                <w:color w:val="auto"/>
                <w:sz w:val="18"/>
                <w:szCs w:val="18"/>
              </w:rPr>
            </w:pPr>
            <w:r>
              <w:rPr>
                <w:rFonts w:hint="eastAsia" w:ascii="宋体"/>
                <w:color w:val="auto"/>
                <w:sz w:val="18"/>
                <w:szCs w:val="18"/>
              </w:rPr>
              <w:t>支腿展开时间：≤25s</w:t>
            </w:r>
          </w:p>
        </w:tc>
      </w:tr>
      <w:tr w14:paraId="4592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19D7B71">
            <w:pPr>
              <w:numPr>
                <w:ilvl w:val="0"/>
                <w:numId w:val="15"/>
              </w:numPr>
              <w:adjustRightInd w:val="0"/>
              <w:snapToGrid w:val="0"/>
              <w:spacing w:line="300" w:lineRule="exact"/>
              <w:jc w:val="left"/>
              <w:rPr>
                <w:rFonts w:ascii="宋体"/>
                <w:color w:val="auto"/>
                <w:sz w:val="18"/>
                <w:szCs w:val="18"/>
              </w:rPr>
            </w:pPr>
          </w:p>
        </w:tc>
        <w:tc>
          <w:tcPr>
            <w:tcW w:w="8755" w:type="dxa"/>
            <w:vAlign w:val="center"/>
          </w:tcPr>
          <w:p w14:paraId="48CB01BF">
            <w:pPr>
              <w:spacing w:line="300" w:lineRule="exact"/>
              <w:jc w:val="left"/>
              <w:rPr>
                <w:rFonts w:ascii="宋体"/>
                <w:color w:val="auto"/>
                <w:sz w:val="18"/>
                <w:szCs w:val="18"/>
              </w:rPr>
            </w:pPr>
            <w:r>
              <w:rPr>
                <w:rFonts w:hint="eastAsia" w:ascii="宋体"/>
                <w:color w:val="auto"/>
                <w:sz w:val="18"/>
                <w:szCs w:val="18"/>
              </w:rPr>
              <w:t>最大跨距：</w:t>
            </w:r>
            <w:r>
              <w:rPr>
                <w:rFonts w:hint="eastAsia" w:ascii="宋体" w:hAnsi="宋体"/>
                <w:color w:val="auto"/>
                <w:sz w:val="18"/>
                <w:szCs w:val="18"/>
              </w:rPr>
              <w:t>≥</w:t>
            </w:r>
            <w:r>
              <w:rPr>
                <w:rFonts w:hint="eastAsia" w:ascii="宋体"/>
                <w:color w:val="auto"/>
                <w:sz w:val="18"/>
                <w:szCs w:val="18"/>
              </w:rPr>
              <w:t>纵向3945mm×横向4010mm</w:t>
            </w:r>
          </w:p>
        </w:tc>
      </w:tr>
      <w:tr w14:paraId="7E0F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74797BB">
            <w:pPr>
              <w:spacing w:line="300" w:lineRule="exact"/>
              <w:jc w:val="left"/>
              <w:rPr>
                <w:rFonts w:ascii="宋体"/>
                <w:color w:val="auto"/>
                <w:sz w:val="18"/>
                <w:szCs w:val="18"/>
              </w:rPr>
            </w:pPr>
            <w:r>
              <w:rPr>
                <w:rFonts w:hint="eastAsia" w:ascii="宋体" w:hAnsi="宋体" w:cs="宋体"/>
                <w:color w:val="auto"/>
                <w:sz w:val="18"/>
                <w:szCs w:val="18"/>
              </w:rPr>
              <w:t>（十）容</w:t>
            </w:r>
            <w:r>
              <w:rPr>
                <w:rFonts w:ascii="宋体" w:hAnsi="宋体" w:cs="宋体"/>
                <w:color w:val="auto"/>
                <w:sz w:val="18"/>
                <w:szCs w:val="18"/>
              </w:rPr>
              <w:t xml:space="preserve">  </w:t>
            </w:r>
            <w:r>
              <w:rPr>
                <w:rFonts w:hint="eastAsia" w:ascii="宋体" w:hAnsi="宋体" w:cs="宋体"/>
                <w:color w:val="auto"/>
                <w:sz w:val="18"/>
                <w:szCs w:val="18"/>
              </w:rPr>
              <w:t>罐</w:t>
            </w:r>
          </w:p>
        </w:tc>
      </w:tr>
      <w:tr w14:paraId="256A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F03D7CB">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5B4738AB">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型式：内置式，与副车架采用柔性连接</w:t>
            </w:r>
          </w:p>
        </w:tc>
      </w:tr>
      <w:tr w14:paraId="696E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5953636">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2AD2EF1B">
            <w:pPr>
              <w:adjustRightInd w:val="0"/>
              <w:snapToGrid w:val="0"/>
              <w:spacing w:line="300" w:lineRule="exact"/>
              <w:jc w:val="left"/>
              <w:rPr>
                <w:rFonts w:ascii="宋体"/>
                <w:color w:val="auto"/>
                <w:sz w:val="18"/>
                <w:szCs w:val="18"/>
              </w:rPr>
            </w:pPr>
            <w:r>
              <w:rPr>
                <w:rFonts w:hint="eastAsia" w:ascii="宋体" w:hAnsi="宋体" w:cs="等线 Light"/>
                <w:bCs/>
                <w:color w:val="auto"/>
                <w:sz w:val="24"/>
              </w:rPr>
              <w:t>▲</w:t>
            </w:r>
            <w:r>
              <w:rPr>
                <w:rFonts w:hint="eastAsia" w:ascii="宋体" w:hAnsi="宋体" w:cs="宋体"/>
                <w:color w:val="auto"/>
                <w:sz w:val="18"/>
                <w:szCs w:val="18"/>
              </w:rPr>
              <w:t>装</w:t>
            </w:r>
            <w:r>
              <w:rPr>
                <w:rFonts w:ascii="宋体" w:hAnsi="宋体" w:cs="宋体"/>
                <w:color w:val="auto"/>
                <w:sz w:val="18"/>
                <w:szCs w:val="18"/>
              </w:rPr>
              <w:t xml:space="preserve"> </w:t>
            </w:r>
            <w:r>
              <w:rPr>
                <w:rFonts w:hint="eastAsia" w:ascii="宋体" w:hAnsi="宋体" w:cs="宋体"/>
                <w:color w:val="auto"/>
                <w:sz w:val="18"/>
                <w:szCs w:val="18"/>
              </w:rPr>
              <w:t>置</w:t>
            </w:r>
            <w:r>
              <w:rPr>
                <w:rFonts w:ascii="宋体" w:hAnsi="宋体" w:cs="宋体"/>
                <w:color w:val="auto"/>
                <w:sz w:val="18"/>
                <w:szCs w:val="18"/>
              </w:rPr>
              <w:t xml:space="preserve"> </w:t>
            </w:r>
            <w:r>
              <w:rPr>
                <w:rFonts w:hint="eastAsia" w:ascii="宋体" w:hAnsi="宋体" w:cs="宋体"/>
                <w:color w:val="auto"/>
                <w:sz w:val="18"/>
                <w:szCs w:val="18"/>
              </w:rPr>
              <w:t>量：≥3</w:t>
            </w:r>
            <w:r>
              <w:rPr>
                <w:rFonts w:ascii="宋体" w:hAnsi="宋体" w:cs="宋体"/>
                <w:color w:val="auto"/>
                <w:sz w:val="18"/>
                <w:szCs w:val="18"/>
              </w:rPr>
              <w:t>0</w:t>
            </w:r>
            <w:r>
              <w:rPr>
                <w:rFonts w:hint="eastAsia" w:ascii="宋体" w:hAnsi="宋体" w:cs="宋体"/>
                <w:color w:val="auto"/>
                <w:sz w:val="18"/>
                <w:szCs w:val="18"/>
              </w:rPr>
              <w:t>5</w:t>
            </w:r>
            <w:r>
              <w:rPr>
                <w:rFonts w:ascii="宋体" w:cs="宋体"/>
                <w:color w:val="auto"/>
                <w:sz w:val="18"/>
                <w:szCs w:val="18"/>
              </w:rPr>
              <w:t>0</w:t>
            </w:r>
            <w:r>
              <w:rPr>
                <w:rFonts w:ascii="宋体" w:hAnsi="宋体" w:cs="宋体"/>
                <w:color w:val="auto"/>
                <w:sz w:val="18"/>
                <w:szCs w:val="18"/>
              </w:rPr>
              <w:t>kg</w:t>
            </w:r>
            <w:r>
              <w:rPr>
                <w:rFonts w:hint="eastAsia" w:ascii="宋体" w:hAnsi="宋体" w:cs="宋体"/>
                <w:color w:val="auto"/>
                <w:sz w:val="18"/>
                <w:szCs w:val="18"/>
              </w:rPr>
              <w:t>；（水：≥25</w:t>
            </w:r>
            <w:r>
              <w:rPr>
                <w:rFonts w:ascii="宋体" w:hAnsi="宋体" w:cs="宋体"/>
                <w:color w:val="auto"/>
                <w:sz w:val="18"/>
                <w:szCs w:val="18"/>
              </w:rPr>
              <w:t>00kg</w:t>
            </w:r>
            <w:r>
              <w:rPr>
                <w:rFonts w:hint="eastAsia" w:ascii="宋体" w:hAnsi="宋体" w:cs="宋体"/>
                <w:color w:val="auto"/>
                <w:sz w:val="18"/>
                <w:szCs w:val="18"/>
              </w:rPr>
              <w:t>，</w:t>
            </w:r>
            <w:r>
              <w:rPr>
                <w:rFonts w:ascii="宋体" w:hAnsi="宋体" w:cs="宋体"/>
                <w:color w:val="auto"/>
                <w:sz w:val="18"/>
                <w:szCs w:val="18"/>
              </w:rPr>
              <w:t>B</w:t>
            </w:r>
            <w:r>
              <w:rPr>
                <w:rFonts w:hint="eastAsia" w:ascii="宋体" w:hAnsi="宋体" w:cs="宋体"/>
                <w:color w:val="auto"/>
                <w:sz w:val="18"/>
                <w:szCs w:val="18"/>
              </w:rPr>
              <w:t>类泡沫≥55</w:t>
            </w:r>
            <w:r>
              <w:rPr>
                <w:rFonts w:ascii="宋体" w:hAnsi="宋体" w:cs="宋体"/>
                <w:color w:val="auto"/>
                <w:sz w:val="18"/>
                <w:szCs w:val="18"/>
              </w:rPr>
              <w:t>0k</w:t>
            </w:r>
            <w:r>
              <w:rPr>
                <w:rFonts w:hint="eastAsia" w:ascii="宋体" w:hAnsi="宋体" w:cs="宋体"/>
                <w:color w:val="auto"/>
                <w:sz w:val="18"/>
                <w:szCs w:val="18"/>
              </w:rPr>
              <w:t>g）（可按用户要求按不同比例配置）</w:t>
            </w:r>
          </w:p>
        </w:tc>
      </w:tr>
      <w:tr w14:paraId="0B6B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493375D">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333B198B">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材质：304不锈钢板，罐体顶部人员站立面采用防滑处理。</w:t>
            </w:r>
          </w:p>
        </w:tc>
      </w:tr>
      <w:tr w14:paraId="4768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736E4F7">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303A76E9">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结构：全缝焊接罐体，底板4mm、侧板4mm、隔板4mm、顶板3mm、封板等均设有提高罐体强度的梯形或三角形加强筋，内设纵横网格式隔防荡板3mm以减少水的冲击力</w:t>
            </w:r>
            <w:r>
              <w:rPr>
                <w:rFonts w:ascii="宋体" w:hAnsi="宋体" w:cs="宋体"/>
                <w:color w:val="auto"/>
                <w:sz w:val="18"/>
                <w:szCs w:val="18"/>
              </w:rPr>
              <w:t xml:space="preserve">. </w:t>
            </w:r>
            <w:r>
              <w:rPr>
                <w:rFonts w:hint="eastAsia" w:ascii="宋体" w:hAnsi="宋体" w:cs="宋体"/>
                <w:color w:val="auto"/>
                <w:sz w:val="18"/>
                <w:szCs w:val="18"/>
              </w:rPr>
              <w:t>罐体经多道防腐处理；格间留有人孔，便于保养和维修。</w:t>
            </w:r>
          </w:p>
        </w:tc>
      </w:tr>
      <w:tr w14:paraId="150E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479F00A">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76839E2D">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水罐配置：外注水口：左右各1个DN80上翻式注水管路，配卡式雄接口</w:t>
            </w:r>
          </w:p>
          <w:p w14:paraId="36C908EF">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人孔：罐顶配1个快速锁紧、开启并具有卸压功能的Φ450 mm人孔盖</w:t>
            </w:r>
          </w:p>
          <w:p w14:paraId="31113FF7">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其他：1个液位传感器，1个DN80溢水管带溢水帽，1个DN50排污口，配手动球阀</w:t>
            </w:r>
          </w:p>
        </w:tc>
      </w:tr>
      <w:tr w14:paraId="3C41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9D641AE">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1CDD62B5">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泡沫罐配置：人孔：罐顶配1个快速锁紧、开启并具有卸压功能的Φ450 mm人孔盖</w:t>
            </w:r>
          </w:p>
          <w:p w14:paraId="06FCE483">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其他：1个液位传感器，1个呼吸阀，1个DN50手动球阀控制的排污口配内扣式接口及闷盖兼做泡沫罐注液口</w:t>
            </w:r>
          </w:p>
        </w:tc>
      </w:tr>
      <w:tr w14:paraId="1BBE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BD1AF63">
            <w:pPr>
              <w:numPr>
                <w:ilvl w:val="0"/>
                <w:numId w:val="16"/>
              </w:numPr>
              <w:adjustRightInd w:val="0"/>
              <w:snapToGrid w:val="0"/>
              <w:spacing w:line="300" w:lineRule="exact"/>
              <w:jc w:val="left"/>
              <w:rPr>
                <w:rFonts w:ascii="宋体"/>
                <w:color w:val="auto"/>
                <w:sz w:val="18"/>
                <w:szCs w:val="18"/>
              </w:rPr>
            </w:pPr>
          </w:p>
        </w:tc>
        <w:tc>
          <w:tcPr>
            <w:tcW w:w="8755" w:type="dxa"/>
            <w:vAlign w:val="center"/>
          </w:tcPr>
          <w:p w14:paraId="3C58C592">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技术要求：符合GB7956</w:t>
            </w:r>
            <w:r>
              <w:rPr>
                <w:rFonts w:ascii="宋体" w:hAnsi="宋体" w:cs="宋体"/>
                <w:color w:val="auto"/>
                <w:sz w:val="18"/>
                <w:szCs w:val="18"/>
              </w:rPr>
              <w:t>.</w:t>
            </w:r>
            <w:r>
              <w:rPr>
                <w:rFonts w:hint="eastAsia" w:ascii="宋体" w:hAnsi="宋体" w:cs="宋体"/>
                <w:color w:val="auto"/>
                <w:sz w:val="18"/>
                <w:szCs w:val="18"/>
              </w:rPr>
              <w:t>3</w:t>
            </w:r>
            <w:r>
              <w:rPr>
                <w:rFonts w:ascii="宋体" w:hAnsi="宋体" w:cs="宋体"/>
                <w:color w:val="auto"/>
                <w:sz w:val="18"/>
                <w:szCs w:val="18"/>
              </w:rPr>
              <w:t>-2014</w:t>
            </w:r>
            <w:r>
              <w:rPr>
                <w:rFonts w:hint="eastAsia" w:ascii="宋体" w:hAnsi="宋体" w:cs="宋体"/>
                <w:color w:val="auto"/>
                <w:sz w:val="18"/>
                <w:szCs w:val="18"/>
              </w:rPr>
              <w:t>的有关规定</w:t>
            </w:r>
          </w:p>
        </w:tc>
      </w:tr>
      <w:tr w14:paraId="3E2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6CBB5CA">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w:t>
            </w:r>
            <w:r>
              <w:rPr>
                <w:rFonts w:ascii="宋体" w:hAnsi="宋体" w:cs="宋体"/>
                <w:color w:val="auto"/>
                <w:sz w:val="18"/>
                <w:szCs w:val="18"/>
              </w:rPr>
              <w:t>一</w:t>
            </w:r>
            <w:r>
              <w:rPr>
                <w:rFonts w:hint="eastAsia" w:ascii="宋体" w:hAnsi="宋体" w:cs="宋体"/>
                <w:color w:val="auto"/>
                <w:sz w:val="18"/>
                <w:szCs w:val="18"/>
              </w:rPr>
              <w:t>）水泵系统</w:t>
            </w:r>
          </w:p>
        </w:tc>
      </w:tr>
      <w:tr w14:paraId="3AE2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A21D673">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0D1D529F">
            <w:pPr>
              <w:spacing w:line="300" w:lineRule="exact"/>
              <w:jc w:val="left"/>
              <w:rPr>
                <w:rFonts w:ascii="宋体"/>
                <w:color w:val="auto"/>
                <w:sz w:val="18"/>
                <w:szCs w:val="18"/>
              </w:rPr>
            </w:pPr>
            <w:r>
              <w:rPr>
                <w:rFonts w:hint="eastAsia" w:ascii="宋体" w:hAnsi="宋体" w:cs="宋体"/>
                <w:color w:val="auto"/>
                <w:sz w:val="18"/>
                <w:szCs w:val="18"/>
              </w:rPr>
              <w:t>消防泵：国际知名品牌（参考美国HALE、美国DARLEY或同档次国际知名品牌）</w:t>
            </w:r>
          </w:p>
        </w:tc>
      </w:tr>
      <w:tr w14:paraId="6D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8C26BDA">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47156660">
            <w:pPr>
              <w:spacing w:line="300" w:lineRule="exact"/>
              <w:jc w:val="left"/>
              <w:rPr>
                <w:rFonts w:ascii="宋体"/>
                <w:color w:val="auto"/>
                <w:sz w:val="18"/>
                <w:szCs w:val="18"/>
              </w:rPr>
            </w:pPr>
            <w:r>
              <w:rPr>
                <w:rFonts w:hint="eastAsia" w:ascii="宋体" w:hAnsi="宋体" w:cs="宋体"/>
                <w:color w:val="auto"/>
                <w:sz w:val="18"/>
                <w:szCs w:val="18"/>
              </w:rPr>
              <w:t>额定流量： ≥60</w:t>
            </w:r>
            <w:r>
              <w:rPr>
                <w:rFonts w:ascii="宋体" w:hAnsi="宋体" w:cs="宋体"/>
                <w:color w:val="auto"/>
                <w:sz w:val="18"/>
                <w:szCs w:val="18"/>
              </w:rPr>
              <w:t>L/s</w:t>
            </w:r>
            <w:r>
              <w:rPr>
                <w:rFonts w:hint="eastAsia" w:ascii="宋体" w:hAnsi="宋体" w:cs="宋体"/>
                <w:color w:val="auto"/>
                <w:sz w:val="18"/>
                <w:szCs w:val="18"/>
              </w:rPr>
              <w:t>，</w:t>
            </w:r>
          </w:p>
        </w:tc>
      </w:tr>
      <w:tr w14:paraId="29F0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648CD07">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2C60BA20">
            <w:pPr>
              <w:spacing w:line="300" w:lineRule="exact"/>
              <w:jc w:val="left"/>
              <w:rPr>
                <w:rFonts w:ascii="宋体"/>
                <w:color w:val="auto"/>
                <w:sz w:val="18"/>
                <w:szCs w:val="18"/>
              </w:rPr>
            </w:pPr>
            <w:r>
              <w:rPr>
                <w:rFonts w:hint="eastAsia" w:ascii="宋体" w:hAnsi="宋体" w:cs="宋体"/>
                <w:color w:val="auto"/>
                <w:sz w:val="18"/>
                <w:szCs w:val="18"/>
              </w:rPr>
              <w:t>工作压力： 1</w:t>
            </w:r>
            <w:r>
              <w:rPr>
                <w:rFonts w:ascii="宋体" w:hAnsi="宋体" w:cs="宋体"/>
                <w:color w:val="auto"/>
                <w:sz w:val="18"/>
                <w:szCs w:val="18"/>
              </w:rPr>
              <w:t>.0MPa</w:t>
            </w:r>
            <w:r>
              <w:rPr>
                <w:rFonts w:hint="eastAsia" w:ascii="宋体" w:hAnsi="宋体" w:cs="宋体"/>
                <w:color w:val="auto"/>
                <w:sz w:val="18"/>
                <w:szCs w:val="18"/>
              </w:rPr>
              <w:t>，</w:t>
            </w:r>
          </w:p>
        </w:tc>
      </w:tr>
      <w:tr w14:paraId="3B4D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6091B98">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34036D79">
            <w:pPr>
              <w:spacing w:line="300" w:lineRule="exact"/>
              <w:jc w:val="left"/>
              <w:rPr>
                <w:rFonts w:ascii="宋体"/>
                <w:color w:val="auto"/>
                <w:sz w:val="18"/>
                <w:szCs w:val="18"/>
              </w:rPr>
            </w:pPr>
            <w:r>
              <w:rPr>
                <w:rFonts w:hint="eastAsia" w:ascii="宋体" w:hAnsi="宋体" w:cs="宋体"/>
                <w:color w:val="auto"/>
                <w:sz w:val="18"/>
                <w:szCs w:val="18"/>
              </w:rPr>
              <w:t>安装形式：中置式</w:t>
            </w:r>
          </w:p>
        </w:tc>
      </w:tr>
      <w:tr w14:paraId="4B3B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4FFF992">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426E78D9">
            <w:pPr>
              <w:spacing w:line="300" w:lineRule="exact"/>
              <w:jc w:val="left"/>
              <w:rPr>
                <w:rFonts w:ascii="宋体"/>
                <w:color w:val="auto"/>
                <w:sz w:val="18"/>
                <w:szCs w:val="18"/>
              </w:rPr>
            </w:pPr>
            <w:r>
              <w:rPr>
                <w:rFonts w:hint="eastAsia" w:ascii="宋体" w:hAnsi="宋体" w:cs="宋体"/>
                <w:color w:val="auto"/>
                <w:sz w:val="18"/>
                <w:szCs w:val="18"/>
              </w:rPr>
              <w:t>引水器：电动刮片引水装置</w:t>
            </w:r>
          </w:p>
        </w:tc>
      </w:tr>
      <w:tr w14:paraId="4AC8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AD4C079">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04ED8DE9">
            <w:pPr>
              <w:spacing w:line="300" w:lineRule="exact"/>
              <w:jc w:val="left"/>
              <w:rPr>
                <w:rFonts w:ascii="宋体" w:hAnsi="宋体" w:cs="宋体"/>
                <w:color w:val="auto"/>
                <w:sz w:val="18"/>
                <w:szCs w:val="18"/>
              </w:rPr>
            </w:pPr>
            <w:r>
              <w:rPr>
                <w:rFonts w:hint="eastAsia" w:ascii="宋体" w:hAnsi="宋体" w:cs="宋体"/>
                <w:color w:val="auto"/>
                <w:sz w:val="18"/>
                <w:szCs w:val="18"/>
              </w:rPr>
              <w:t>最大真空度：≥</w:t>
            </w:r>
            <w:r>
              <w:rPr>
                <w:rFonts w:ascii="宋体" w:hAnsi="宋体" w:cs="宋体"/>
                <w:color w:val="auto"/>
                <w:sz w:val="18"/>
                <w:szCs w:val="18"/>
              </w:rPr>
              <w:t>85kpa</w:t>
            </w:r>
          </w:p>
        </w:tc>
      </w:tr>
      <w:tr w14:paraId="10F7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D007404">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2E1A402B">
            <w:pPr>
              <w:spacing w:line="300" w:lineRule="exact"/>
              <w:jc w:val="left"/>
              <w:rPr>
                <w:rFonts w:ascii="宋体" w:hAnsi="宋体" w:cs="宋体"/>
                <w:color w:val="auto"/>
                <w:sz w:val="18"/>
                <w:szCs w:val="18"/>
              </w:rPr>
            </w:pPr>
            <w:r>
              <w:rPr>
                <w:rFonts w:hint="eastAsia" w:ascii="宋体" w:hAnsi="宋体" w:cs="宋体"/>
                <w:color w:val="auto"/>
                <w:sz w:val="18"/>
                <w:szCs w:val="18"/>
              </w:rPr>
              <w:t>吸深：</w:t>
            </w:r>
            <w:r>
              <w:rPr>
                <w:rFonts w:ascii="宋体" w:hAnsi="宋体" w:cs="宋体"/>
                <w:color w:val="auto"/>
                <w:sz w:val="18"/>
                <w:szCs w:val="18"/>
              </w:rPr>
              <w:t>7 m</w:t>
            </w:r>
          </w:p>
        </w:tc>
      </w:tr>
      <w:tr w14:paraId="6716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3D69260">
            <w:pPr>
              <w:numPr>
                <w:ilvl w:val="0"/>
                <w:numId w:val="17"/>
              </w:numPr>
              <w:adjustRightInd w:val="0"/>
              <w:snapToGrid w:val="0"/>
              <w:spacing w:line="300" w:lineRule="exact"/>
              <w:jc w:val="left"/>
              <w:rPr>
                <w:rFonts w:ascii="宋体"/>
                <w:color w:val="auto"/>
                <w:sz w:val="18"/>
                <w:szCs w:val="18"/>
              </w:rPr>
            </w:pPr>
          </w:p>
        </w:tc>
        <w:tc>
          <w:tcPr>
            <w:tcW w:w="8755" w:type="dxa"/>
            <w:vAlign w:val="center"/>
          </w:tcPr>
          <w:p w14:paraId="1009FFB4">
            <w:pPr>
              <w:spacing w:line="300" w:lineRule="exact"/>
              <w:jc w:val="left"/>
              <w:rPr>
                <w:rFonts w:ascii="宋体" w:hAnsi="宋体" w:cs="宋体"/>
                <w:color w:val="auto"/>
                <w:sz w:val="18"/>
                <w:szCs w:val="18"/>
              </w:rPr>
            </w:pPr>
            <w:r>
              <w:rPr>
                <w:rFonts w:hint="eastAsia" w:ascii="宋体" w:hAnsi="宋体" w:cs="宋体"/>
                <w:color w:val="auto"/>
                <w:sz w:val="18"/>
                <w:szCs w:val="18"/>
              </w:rPr>
              <w:t>引水时间：≤50</w:t>
            </w:r>
            <w:r>
              <w:rPr>
                <w:rFonts w:ascii="宋体" w:hAnsi="宋体" w:cs="宋体"/>
                <w:color w:val="auto"/>
                <w:sz w:val="18"/>
                <w:szCs w:val="18"/>
              </w:rPr>
              <w:t>s</w:t>
            </w:r>
          </w:p>
        </w:tc>
      </w:tr>
      <w:tr w14:paraId="4FF8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55B0DB11">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（十二）水泵管路系统</w:t>
            </w:r>
          </w:p>
        </w:tc>
      </w:tr>
      <w:tr w14:paraId="1B37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0E5532B">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34227C0A">
            <w:pPr>
              <w:spacing w:line="300" w:lineRule="exact"/>
              <w:jc w:val="left"/>
              <w:rPr>
                <w:rFonts w:ascii="宋体"/>
                <w:color w:val="auto"/>
                <w:sz w:val="18"/>
                <w:szCs w:val="18"/>
              </w:rPr>
            </w:pPr>
            <w:r>
              <w:rPr>
                <w:rFonts w:hint="eastAsia" w:ascii="宋体"/>
                <w:color w:val="auto"/>
                <w:sz w:val="18"/>
                <w:szCs w:val="18"/>
              </w:rPr>
              <w:t>管路材质：优质碳钢经严格防腐处理+铝合金伸缩管</w:t>
            </w:r>
          </w:p>
        </w:tc>
      </w:tr>
      <w:tr w14:paraId="3617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BF3B287">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631933BB">
            <w:pPr>
              <w:spacing w:line="300" w:lineRule="exact"/>
              <w:jc w:val="left"/>
              <w:rPr>
                <w:rFonts w:ascii="宋体"/>
                <w:color w:val="auto"/>
                <w:sz w:val="18"/>
                <w:szCs w:val="18"/>
              </w:rPr>
            </w:pPr>
            <w:r>
              <w:rPr>
                <w:rFonts w:hint="eastAsia" w:ascii="宋体" w:hAnsi="宋体" w:cs="宋体"/>
                <w:color w:val="auto"/>
                <w:sz w:val="18"/>
                <w:szCs w:val="18"/>
              </w:rPr>
              <w:t>吸水管路：左右各</w:t>
            </w:r>
            <w:r>
              <w:rPr>
                <w:rFonts w:ascii="宋体" w:hAnsi="宋体" w:cs="宋体"/>
                <w:color w:val="auto"/>
                <w:sz w:val="18"/>
                <w:szCs w:val="18"/>
              </w:rPr>
              <w:t>1</w:t>
            </w:r>
            <w:r>
              <w:rPr>
                <w:rFonts w:hint="eastAsia" w:ascii="宋体" w:hAnsi="宋体" w:cs="宋体"/>
                <w:color w:val="auto"/>
                <w:sz w:val="18"/>
                <w:szCs w:val="18"/>
              </w:rPr>
              <w:t>个</w:t>
            </w:r>
            <w:r>
              <w:rPr>
                <w:rFonts w:ascii="宋体" w:hAnsi="宋体" w:cs="宋体"/>
                <w:color w:val="auto"/>
                <w:sz w:val="18"/>
                <w:szCs w:val="18"/>
              </w:rPr>
              <w:t>D</w:t>
            </w:r>
            <w:r>
              <w:rPr>
                <w:rFonts w:hint="eastAsia" w:ascii="宋体" w:hAnsi="宋体" w:cs="宋体"/>
                <w:color w:val="auto"/>
                <w:sz w:val="18"/>
                <w:szCs w:val="18"/>
              </w:rPr>
              <w:t>N</w:t>
            </w:r>
            <w:r>
              <w:rPr>
                <w:rFonts w:ascii="宋体" w:hAnsi="宋体" w:cs="宋体"/>
                <w:color w:val="auto"/>
                <w:sz w:val="18"/>
                <w:szCs w:val="18"/>
              </w:rPr>
              <w:t>150</w:t>
            </w:r>
            <w:r>
              <w:rPr>
                <w:rFonts w:hint="eastAsia" w:ascii="宋体" w:hAnsi="宋体" w:cs="宋体"/>
                <w:color w:val="auto"/>
                <w:sz w:val="18"/>
                <w:szCs w:val="18"/>
              </w:rPr>
              <w:t>水泵外吸口，位于车身中部；2个DN125后进水管路，由气动蝶阀控制</w:t>
            </w:r>
          </w:p>
        </w:tc>
      </w:tr>
      <w:tr w14:paraId="5E72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F9B08F5">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3397E68F">
            <w:pPr>
              <w:spacing w:line="300" w:lineRule="exact"/>
              <w:jc w:val="left"/>
              <w:rPr>
                <w:rFonts w:ascii="宋体"/>
                <w:color w:val="auto"/>
                <w:sz w:val="18"/>
                <w:szCs w:val="18"/>
              </w:rPr>
            </w:pPr>
            <w:r>
              <w:rPr>
                <w:rFonts w:hint="eastAsia" w:ascii="宋体" w:hAnsi="宋体" w:cs="宋体"/>
                <w:color w:val="auto"/>
                <w:sz w:val="18"/>
                <w:szCs w:val="18"/>
              </w:rPr>
              <w:t>出水管路：车身两侧各设有2个</w:t>
            </w:r>
            <w:r>
              <w:rPr>
                <w:rFonts w:ascii="宋体" w:hAnsi="宋体" w:cs="宋体"/>
                <w:color w:val="auto"/>
                <w:sz w:val="18"/>
                <w:szCs w:val="18"/>
              </w:rPr>
              <w:t>DN80</w:t>
            </w:r>
            <w:r>
              <w:rPr>
                <w:rFonts w:hint="eastAsia" w:ascii="宋体" w:hAnsi="宋体" w:cs="宋体"/>
                <w:color w:val="auto"/>
                <w:sz w:val="18"/>
                <w:szCs w:val="18"/>
              </w:rPr>
              <w:t>出水口，配旋转式手动球阀、卡式接口；1个炮管路，配DN80气动蝶阀控制</w:t>
            </w:r>
          </w:p>
        </w:tc>
      </w:tr>
      <w:tr w14:paraId="198E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F321E6C">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33669C6A">
            <w:pPr>
              <w:spacing w:line="300" w:lineRule="exact"/>
              <w:jc w:val="left"/>
              <w:rPr>
                <w:rFonts w:ascii="宋体"/>
                <w:color w:val="auto"/>
                <w:sz w:val="18"/>
                <w:szCs w:val="18"/>
              </w:rPr>
            </w:pPr>
            <w:r>
              <w:rPr>
                <w:rFonts w:hint="eastAsia" w:ascii="宋体" w:hAnsi="宋体" w:cs="宋体"/>
                <w:color w:val="auto"/>
                <w:sz w:val="18"/>
                <w:szCs w:val="18"/>
              </w:rPr>
              <w:t>水泵至水罐注水管路：由DN65电控气动蝶阀控制</w:t>
            </w:r>
          </w:p>
        </w:tc>
      </w:tr>
      <w:tr w14:paraId="3E04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AC8FBAF">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0B35F698">
            <w:pPr>
              <w:spacing w:line="300" w:lineRule="exact"/>
              <w:jc w:val="left"/>
              <w:rPr>
                <w:rFonts w:ascii="宋体" w:hAnsi="宋体" w:cs="宋体"/>
                <w:color w:val="auto"/>
                <w:sz w:val="18"/>
                <w:szCs w:val="18"/>
              </w:rPr>
            </w:pPr>
            <w:r>
              <w:rPr>
                <w:rFonts w:hint="eastAsia" w:ascii="宋体" w:hAnsi="宋体" w:cs="宋体"/>
                <w:color w:val="auto"/>
                <w:sz w:val="18"/>
                <w:szCs w:val="18"/>
              </w:rPr>
              <w:t>泡沫管路：DN50泡沫引射管路，配DN50气动球阀；</w:t>
            </w:r>
          </w:p>
          <w:p w14:paraId="638D8F7A">
            <w:pPr>
              <w:spacing w:line="300" w:lineRule="exact"/>
              <w:jc w:val="left"/>
              <w:rPr>
                <w:rFonts w:ascii="宋体" w:hAnsi="宋体" w:cs="宋体"/>
                <w:color w:val="auto"/>
                <w:sz w:val="18"/>
                <w:szCs w:val="18"/>
              </w:rPr>
            </w:pPr>
            <w:r>
              <w:rPr>
                <w:rFonts w:hint="eastAsia" w:ascii="宋体" w:hAnsi="宋体" w:cs="宋体"/>
                <w:color w:val="auto"/>
                <w:sz w:val="18"/>
                <w:szCs w:val="18"/>
              </w:rPr>
              <w:t>DN50泡沫出液管路，配DN50气动蝶阀；</w:t>
            </w:r>
          </w:p>
          <w:p w14:paraId="49F164B0">
            <w:pPr>
              <w:spacing w:line="300" w:lineRule="exact"/>
              <w:jc w:val="left"/>
              <w:rPr>
                <w:rFonts w:ascii="宋体" w:hAnsi="宋体" w:cs="宋体"/>
                <w:color w:val="auto"/>
                <w:sz w:val="18"/>
                <w:szCs w:val="18"/>
              </w:rPr>
            </w:pPr>
            <w:r>
              <w:rPr>
                <w:rFonts w:hint="eastAsia" w:ascii="宋体" w:hAnsi="宋体" w:cs="宋体"/>
                <w:color w:val="auto"/>
                <w:sz w:val="18"/>
                <w:szCs w:val="18"/>
              </w:rPr>
              <w:t>DN50泡沫外吸液管路，配DN50内扣式接口及闷盖；</w:t>
            </w:r>
          </w:p>
        </w:tc>
      </w:tr>
      <w:tr w14:paraId="02CB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0D6C203">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5397EB57">
            <w:pPr>
              <w:spacing w:line="300" w:lineRule="exact"/>
              <w:jc w:val="left"/>
              <w:rPr>
                <w:rFonts w:ascii="宋体"/>
                <w:color w:val="auto"/>
                <w:sz w:val="18"/>
                <w:szCs w:val="18"/>
              </w:rPr>
            </w:pPr>
            <w:r>
              <w:rPr>
                <w:rFonts w:hint="eastAsia" w:ascii="宋体" w:hAnsi="宋体" w:cs="宋体"/>
                <w:color w:val="auto"/>
                <w:sz w:val="18"/>
                <w:szCs w:val="18"/>
              </w:rPr>
              <w:t>放余水管路：在水泵、</w:t>
            </w:r>
            <w:r>
              <w:rPr>
                <w:rFonts w:ascii="宋体" w:hAnsi="宋体" w:cs="宋体"/>
                <w:color w:val="auto"/>
                <w:sz w:val="18"/>
                <w:szCs w:val="18"/>
              </w:rPr>
              <w:t>管路</w:t>
            </w:r>
            <w:r>
              <w:rPr>
                <w:rFonts w:hint="eastAsia" w:ascii="宋体" w:hAnsi="宋体" w:cs="宋体"/>
                <w:color w:val="auto"/>
                <w:sz w:val="18"/>
                <w:szCs w:val="18"/>
              </w:rPr>
              <w:t>最低处均设有放余水旋塞，需要时可快速放净系统中的余水</w:t>
            </w:r>
          </w:p>
        </w:tc>
      </w:tr>
      <w:tr w14:paraId="671F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66EF8BF">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3EAF9A29">
            <w:pPr>
              <w:spacing w:line="300" w:lineRule="exact"/>
              <w:jc w:val="left"/>
              <w:rPr>
                <w:rFonts w:ascii="宋体"/>
                <w:color w:val="auto"/>
                <w:sz w:val="18"/>
                <w:szCs w:val="18"/>
              </w:rPr>
            </w:pPr>
            <w:r>
              <w:rPr>
                <w:rFonts w:hint="eastAsia" w:ascii="宋体" w:hAnsi="宋体" w:cs="宋体"/>
                <w:color w:val="auto"/>
                <w:sz w:val="18"/>
                <w:szCs w:val="18"/>
              </w:rPr>
              <w:t>冷却水管路：取力器冷却管路，水泵工作时自动进行循环冷却；</w:t>
            </w:r>
          </w:p>
        </w:tc>
      </w:tr>
      <w:tr w14:paraId="6248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28601DB">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39BA1594">
            <w:pPr>
              <w:spacing w:line="300" w:lineRule="exact"/>
              <w:jc w:val="left"/>
              <w:rPr>
                <w:rFonts w:ascii="宋体" w:hAnsi="宋体" w:cs="宋体"/>
                <w:color w:val="auto"/>
                <w:sz w:val="18"/>
                <w:szCs w:val="18"/>
              </w:rPr>
            </w:pPr>
            <w:r>
              <w:rPr>
                <w:rFonts w:hint="eastAsia" w:ascii="宋体" w:hAnsi="宋体" w:cs="宋体"/>
                <w:color w:val="auto"/>
                <w:sz w:val="18"/>
                <w:szCs w:val="18"/>
              </w:rPr>
              <w:t>臂架管路：设有4节铝合金伸缩式水管，臂架活动处采用优质橡胶管</w:t>
            </w:r>
          </w:p>
        </w:tc>
      </w:tr>
      <w:tr w14:paraId="4476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4A42680">
            <w:pPr>
              <w:numPr>
                <w:ilvl w:val="0"/>
                <w:numId w:val="18"/>
              </w:numPr>
              <w:adjustRightInd w:val="0"/>
              <w:snapToGrid w:val="0"/>
              <w:spacing w:line="300" w:lineRule="exact"/>
              <w:jc w:val="left"/>
              <w:rPr>
                <w:rFonts w:ascii="宋体"/>
                <w:color w:val="auto"/>
                <w:sz w:val="18"/>
                <w:szCs w:val="18"/>
              </w:rPr>
            </w:pPr>
          </w:p>
        </w:tc>
        <w:tc>
          <w:tcPr>
            <w:tcW w:w="8755" w:type="dxa"/>
            <w:vAlign w:val="center"/>
          </w:tcPr>
          <w:p w14:paraId="51D924C7">
            <w:pPr>
              <w:spacing w:line="300" w:lineRule="exact"/>
              <w:jc w:val="left"/>
              <w:rPr>
                <w:rFonts w:ascii="宋体" w:hAnsi="宋体" w:cs="宋体"/>
                <w:color w:val="auto"/>
                <w:sz w:val="18"/>
                <w:szCs w:val="18"/>
              </w:rPr>
            </w:pPr>
            <w:r>
              <w:rPr>
                <w:rFonts w:hint="eastAsia" w:ascii="宋体" w:hAnsi="宋体" w:cs="宋体"/>
                <w:color w:val="auto"/>
                <w:sz w:val="18"/>
                <w:szCs w:val="18"/>
              </w:rPr>
              <w:t>工作斗自保管路：不锈钢管路，不锈钢喷头布置在工作斗下方</w:t>
            </w:r>
          </w:p>
        </w:tc>
      </w:tr>
      <w:tr w14:paraId="6085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9AD142A">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（十三）泡沫比例混合系统</w:t>
            </w:r>
          </w:p>
        </w:tc>
      </w:tr>
      <w:tr w14:paraId="2EF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13837CE">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0C421D11">
            <w:pPr>
              <w:spacing w:line="300" w:lineRule="exact"/>
              <w:jc w:val="left"/>
              <w:rPr>
                <w:rFonts w:ascii="宋体"/>
                <w:color w:val="auto"/>
                <w:sz w:val="18"/>
                <w:szCs w:val="18"/>
              </w:rPr>
            </w:pPr>
            <w:r>
              <w:rPr>
                <w:rFonts w:hint="eastAsia" w:ascii="宋体" w:hAnsi="宋体" w:cs="宋体"/>
                <w:color w:val="auto"/>
                <w:sz w:val="18"/>
                <w:szCs w:val="18"/>
              </w:rPr>
              <w:t>型式：环泵负压式泡沫比例混合器</w:t>
            </w:r>
          </w:p>
        </w:tc>
      </w:tr>
      <w:tr w14:paraId="19C3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9EA3235">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42AEBCD3">
            <w:pPr>
              <w:spacing w:line="300" w:lineRule="exact"/>
              <w:jc w:val="left"/>
              <w:rPr>
                <w:rFonts w:ascii="宋体"/>
                <w:color w:val="auto"/>
                <w:sz w:val="18"/>
                <w:szCs w:val="18"/>
              </w:rPr>
            </w:pPr>
            <w:r>
              <w:rPr>
                <w:rFonts w:hint="eastAsia" w:ascii="宋体" w:hAnsi="宋体" w:cs="宋体"/>
                <w:color w:val="auto"/>
                <w:sz w:val="18"/>
                <w:szCs w:val="18"/>
              </w:rPr>
              <w:t>流量（L/S）：</w:t>
            </w:r>
            <w:r>
              <w:rPr>
                <w:rFonts w:ascii="宋体" w:hAnsi="宋体" w:cs="宋体"/>
                <w:color w:val="auto"/>
                <w:sz w:val="18"/>
                <w:szCs w:val="18"/>
              </w:rPr>
              <w:t>16</w:t>
            </w:r>
            <w:r>
              <w:rPr>
                <w:rFonts w:hint="eastAsia" w:ascii="宋体" w:hAnsi="宋体" w:cs="宋体"/>
                <w:color w:val="auto"/>
                <w:sz w:val="18"/>
                <w:szCs w:val="18"/>
              </w:rPr>
              <w:t>～64</w:t>
            </w:r>
          </w:p>
        </w:tc>
      </w:tr>
      <w:tr w14:paraId="6127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72EC6C8">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304729F2">
            <w:pPr>
              <w:spacing w:line="300" w:lineRule="exact"/>
              <w:jc w:val="left"/>
              <w:rPr>
                <w:rFonts w:ascii="宋体" w:hAnsi="宋体" w:cs="宋体"/>
                <w:color w:val="auto"/>
                <w:sz w:val="18"/>
                <w:szCs w:val="18"/>
              </w:rPr>
            </w:pPr>
            <w:r>
              <w:rPr>
                <w:rFonts w:hint="eastAsia" w:ascii="宋体" w:hAnsi="宋体" w:cs="宋体"/>
                <w:color w:val="auto"/>
                <w:sz w:val="18"/>
                <w:szCs w:val="18"/>
              </w:rPr>
              <w:t>工作压力（MPa）:0.6～1.4</w:t>
            </w:r>
          </w:p>
        </w:tc>
      </w:tr>
      <w:tr w14:paraId="3376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AE44DF0">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3C6CA8CA">
            <w:pPr>
              <w:spacing w:line="300" w:lineRule="exact"/>
              <w:jc w:val="left"/>
              <w:rPr>
                <w:rFonts w:ascii="宋体"/>
                <w:color w:val="auto"/>
                <w:sz w:val="18"/>
                <w:szCs w:val="18"/>
              </w:rPr>
            </w:pPr>
            <w:r>
              <w:rPr>
                <w:rFonts w:hint="eastAsia" w:ascii="宋体" w:hAnsi="宋体" w:cs="宋体"/>
                <w:color w:val="auto"/>
                <w:sz w:val="18"/>
                <w:szCs w:val="18"/>
              </w:rPr>
              <w:t>混合比：</w:t>
            </w:r>
            <w:r>
              <w:rPr>
                <w:rFonts w:ascii="宋体" w:hAnsi="宋体" w:cs="宋体"/>
                <w:color w:val="auto"/>
                <w:sz w:val="18"/>
                <w:szCs w:val="18"/>
              </w:rPr>
              <w:t xml:space="preserve"> 6%</w:t>
            </w:r>
          </w:p>
        </w:tc>
      </w:tr>
      <w:tr w14:paraId="44CD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A679D43">
            <w:pPr>
              <w:numPr>
                <w:ilvl w:val="0"/>
                <w:numId w:val="19"/>
              </w:numPr>
              <w:adjustRightInd w:val="0"/>
              <w:snapToGrid w:val="0"/>
              <w:spacing w:line="300" w:lineRule="exact"/>
              <w:jc w:val="left"/>
              <w:rPr>
                <w:rFonts w:ascii="宋体"/>
                <w:color w:val="auto"/>
                <w:sz w:val="18"/>
                <w:szCs w:val="18"/>
              </w:rPr>
            </w:pPr>
          </w:p>
        </w:tc>
        <w:tc>
          <w:tcPr>
            <w:tcW w:w="8755" w:type="dxa"/>
            <w:vAlign w:val="center"/>
          </w:tcPr>
          <w:p w14:paraId="39629B4E">
            <w:pPr>
              <w:spacing w:line="300" w:lineRule="exact"/>
              <w:jc w:val="left"/>
              <w:rPr>
                <w:rFonts w:ascii="宋体"/>
                <w:color w:val="auto"/>
                <w:sz w:val="18"/>
                <w:szCs w:val="18"/>
              </w:rPr>
            </w:pPr>
            <w:r>
              <w:rPr>
                <w:rFonts w:hint="eastAsia" w:ascii="宋体" w:hAnsi="宋体" w:cs="宋体"/>
                <w:color w:val="auto"/>
                <w:sz w:val="18"/>
                <w:szCs w:val="18"/>
              </w:rPr>
              <w:t>操作控制：手动控制</w:t>
            </w:r>
          </w:p>
        </w:tc>
      </w:tr>
      <w:tr w14:paraId="63C6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4B6F69A0">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（十四）消防炮</w:t>
            </w:r>
          </w:p>
        </w:tc>
      </w:tr>
      <w:tr w14:paraId="2F36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F243E22">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237F2EC9">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型</w:t>
            </w:r>
            <w:r>
              <w:rPr>
                <w:rFonts w:ascii="宋体" w:hAnsi="宋体" w:cs="宋体"/>
                <w:color w:val="auto"/>
                <w:sz w:val="18"/>
                <w:szCs w:val="18"/>
              </w:rPr>
              <w:t xml:space="preserve">    </w:t>
            </w:r>
            <w:r>
              <w:rPr>
                <w:rFonts w:hint="eastAsia" w:ascii="宋体" w:hAnsi="宋体" w:cs="宋体"/>
                <w:color w:val="auto"/>
                <w:sz w:val="18"/>
                <w:szCs w:val="18"/>
              </w:rPr>
              <w:t>号：国际知名品牌（参考美国</w:t>
            </w:r>
            <w:r>
              <w:rPr>
                <w:rFonts w:ascii="宋体" w:hAnsi="宋体" w:cs="宋体"/>
                <w:color w:val="auto"/>
                <w:sz w:val="18"/>
                <w:szCs w:val="18"/>
              </w:rPr>
              <w:t>ELKHART</w:t>
            </w:r>
            <w:r>
              <w:rPr>
                <w:rFonts w:hint="eastAsia" w:ascii="宋体" w:hAnsi="宋体" w:cs="宋体"/>
                <w:color w:val="auto"/>
                <w:sz w:val="18"/>
                <w:szCs w:val="18"/>
              </w:rPr>
              <w:t>、美国TFT、美国AKRON、法国POK或同档次国际知名品牌）</w:t>
            </w:r>
          </w:p>
        </w:tc>
      </w:tr>
      <w:tr w14:paraId="7BA3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21999C6">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55059134">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流量：≥32</w:t>
            </w:r>
            <w:r>
              <w:rPr>
                <w:rFonts w:ascii="宋体" w:hAnsi="宋体" w:cs="宋体"/>
                <w:color w:val="auto"/>
                <w:sz w:val="18"/>
                <w:szCs w:val="18"/>
              </w:rPr>
              <w:t>L</w:t>
            </w:r>
            <w:r>
              <w:rPr>
                <w:rFonts w:hint="eastAsia" w:ascii="宋体" w:hAnsi="宋体" w:cs="宋体"/>
                <w:color w:val="auto"/>
                <w:sz w:val="18"/>
                <w:szCs w:val="18"/>
              </w:rPr>
              <w:t>／</w:t>
            </w:r>
            <w:r>
              <w:rPr>
                <w:rFonts w:ascii="宋体" w:hAnsi="宋体" w:cs="宋体"/>
                <w:color w:val="auto"/>
                <w:sz w:val="18"/>
                <w:szCs w:val="18"/>
              </w:rPr>
              <w:t>s</w:t>
            </w:r>
          </w:p>
        </w:tc>
      </w:tr>
      <w:tr w14:paraId="6949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AB1075A">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4B1F2D6B">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压力：≤</w:t>
            </w:r>
            <w:r>
              <w:rPr>
                <w:rFonts w:ascii="宋体" w:hAnsi="宋体" w:cs="宋体"/>
                <w:color w:val="auto"/>
                <w:sz w:val="18"/>
                <w:szCs w:val="18"/>
              </w:rPr>
              <w:t xml:space="preserve"> </w:t>
            </w:r>
            <w:r>
              <w:rPr>
                <w:rFonts w:hint="eastAsia" w:ascii="宋体" w:hAnsi="宋体" w:cs="宋体"/>
                <w:color w:val="auto"/>
                <w:sz w:val="18"/>
                <w:szCs w:val="18"/>
              </w:rPr>
              <w:t>1</w:t>
            </w:r>
            <w:r>
              <w:rPr>
                <w:rFonts w:ascii="宋体" w:hAnsi="宋体" w:cs="宋体"/>
                <w:color w:val="auto"/>
                <w:sz w:val="18"/>
                <w:szCs w:val="18"/>
              </w:rPr>
              <w:t>.</w:t>
            </w:r>
            <w:r>
              <w:rPr>
                <w:rFonts w:hint="eastAsia" w:ascii="宋体" w:hAnsi="宋体" w:cs="宋体"/>
                <w:color w:val="auto"/>
                <w:sz w:val="18"/>
                <w:szCs w:val="18"/>
              </w:rPr>
              <w:t>0</w:t>
            </w:r>
            <w:r>
              <w:rPr>
                <w:rFonts w:ascii="宋体" w:hAnsi="宋体" w:cs="宋体"/>
                <w:color w:val="auto"/>
                <w:sz w:val="18"/>
                <w:szCs w:val="18"/>
              </w:rPr>
              <w:t>MPa</w:t>
            </w:r>
          </w:p>
        </w:tc>
      </w:tr>
      <w:tr w14:paraId="462B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EBB71DF">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1BB8514E">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回转角度：水平±45°，俯仰</w:t>
            </w:r>
            <w:r>
              <w:rPr>
                <w:rFonts w:ascii="宋体" w:cs="宋体"/>
                <w:color w:val="auto"/>
                <w:sz w:val="18"/>
                <w:szCs w:val="18"/>
              </w:rPr>
              <w:t>-</w:t>
            </w:r>
            <w:r>
              <w:rPr>
                <w:rFonts w:hint="eastAsia" w:ascii="宋体" w:hAnsi="宋体" w:cs="宋体"/>
                <w:color w:val="auto"/>
                <w:sz w:val="18"/>
                <w:szCs w:val="18"/>
              </w:rPr>
              <w:t>45°</w:t>
            </w:r>
            <w:r>
              <w:rPr>
                <w:rFonts w:ascii="宋体" w:hAnsi="宋体" w:cs="宋体"/>
                <w:color w:val="auto"/>
                <w:sz w:val="18"/>
                <w:szCs w:val="18"/>
              </w:rPr>
              <w:t>+</w:t>
            </w:r>
            <w:r>
              <w:rPr>
                <w:rFonts w:hint="eastAsia" w:ascii="宋体" w:hAnsi="宋体" w:cs="宋体"/>
                <w:color w:val="auto"/>
                <w:sz w:val="18"/>
                <w:szCs w:val="18"/>
              </w:rPr>
              <w:t>9</w:t>
            </w:r>
            <w:r>
              <w:rPr>
                <w:rFonts w:ascii="宋体" w:cs="宋体"/>
                <w:color w:val="auto"/>
                <w:sz w:val="18"/>
                <w:szCs w:val="18"/>
              </w:rPr>
              <w:t>0</w:t>
            </w:r>
            <w:r>
              <w:rPr>
                <w:rFonts w:hint="eastAsia" w:ascii="宋体" w:hAnsi="宋体" w:cs="宋体"/>
                <w:color w:val="auto"/>
                <w:sz w:val="18"/>
                <w:szCs w:val="18"/>
              </w:rPr>
              <w:t>°</w:t>
            </w:r>
          </w:p>
        </w:tc>
      </w:tr>
      <w:tr w14:paraId="5368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FD83DBD">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10014F6B">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射</w:t>
            </w:r>
            <w:r>
              <w:rPr>
                <w:rFonts w:ascii="宋体" w:hAnsi="宋体" w:cs="宋体"/>
                <w:color w:val="auto"/>
                <w:sz w:val="18"/>
                <w:szCs w:val="18"/>
              </w:rPr>
              <w:t xml:space="preserve">    </w:t>
            </w:r>
            <w:r>
              <w:rPr>
                <w:rFonts w:hint="eastAsia" w:ascii="宋体" w:hAnsi="宋体" w:cs="宋体"/>
                <w:color w:val="auto"/>
                <w:sz w:val="18"/>
                <w:szCs w:val="18"/>
              </w:rPr>
              <w:t>程：水≥</w:t>
            </w:r>
            <w:r>
              <w:rPr>
                <w:rFonts w:ascii="宋体" w:hAnsi="宋体" w:cs="宋体"/>
                <w:color w:val="auto"/>
                <w:sz w:val="18"/>
                <w:szCs w:val="18"/>
              </w:rPr>
              <w:t>5</w:t>
            </w:r>
            <w:r>
              <w:rPr>
                <w:rFonts w:hint="eastAsia" w:ascii="宋体" w:hAnsi="宋体" w:cs="宋体"/>
                <w:color w:val="auto"/>
                <w:sz w:val="18"/>
                <w:szCs w:val="18"/>
              </w:rPr>
              <w:t>5</w:t>
            </w:r>
            <w:r>
              <w:rPr>
                <w:rFonts w:ascii="宋体" w:hAnsi="宋体" w:cs="宋体"/>
                <w:color w:val="auto"/>
                <w:sz w:val="18"/>
                <w:szCs w:val="18"/>
              </w:rPr>
              <w:t>m</w:t>
            </w:r>
            <w:r>
              <w:rPr>
                <w:rFonts w:hint="eastAsia" w:ascii="宋体" w:hAnsi="宋体" w:cs="宋体"/>
                <w:color w:val="auto"/>
                <w:sz w:val="18"/>
                <w:szCs w:val="18"/>
              </w:rPr>
              <w:t>；泡沫≥4</w:t>
            </w:r>
            <w:r>
              <w:rPr>
                <w:rFonts w:ascii="宋体" w:hAnsi="宋体" w:cs="宋体"/>
                <w:color w:val="auto"/>
                <w:sz w:val="18"/>
                <w:szCs w:val="18"/>
              </w:rPr>
              <w:t>5m</w:t>
            </w:r>
          </w:p>
        </w:tc>
      </w:tr>
      <w:tr w14:paraId="389E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1C1F237">
            <w:pPr>
              <w:numPr>
                <w:ilvl w:val="0"/>
                <w:numId w:val="20"/>
              </w:numPr>
              <w:adjustRightInd w:val="0"/>
              <w:snapToGrid w:val="0"/>
              <w:spacing w:line="300" w:lineRule="exact"/>
              <w:jc w:val="left"/>
              <w:rPr>
                <w:rFonts w:ascii="宋体"/>
                <w:color w:val="auto"/>
                <w:sz w:val="18"/>
                <w:szCs w:val="18"/>
              </w:rPr>
            </w:pPr>
          </w:p>
        </w:tc>
        <w:tc>
          <w:tcPr>
            <w:tcW w:w="8755" w:type="dxa"/>
            <w:vAlign w:val="center"/>
          </w:tcPr>
          <w:p w14:paraId="4FCD7477">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控制方式：电控/无线遥控（遥控距离150m）</w:t>
            </w:r>
          </w:p>
        </w:tc>
      </w:tr>
      <w:tr w14:paraId="4A52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2CD68190">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（十五）器材箱、泵房</w:t>
            </w:r>
          </w:p>
        </w:tc>
      </w:tr>
      <w:tr w14:paraId="41F3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D9EC14F">
            <w:pPr>
              <w:numPr>
                <w:ilvl w:val="0"/>
                <w:numId w:val="21"/>
              </w:numPr>
              <w:adjustRightInd w:val="0"/>
              <w:snapToGrid w:val="0"/>
              <w:spacing w:line="300" w:lineRule="exact"/>
              <w:jc w:val="left"/>
              <w:rPr>
                <w:rFonts w:ascii="宋体"/>
                <w:color w:val="auto"/>
                <w:sz w:val="18"/>
                <w:szCs w:val="18"/>
              </w:rPr>
            </w:pPr>
          </w:p>
        </w:tc>
        <w:tc>
          <w:tcPr>
            <w:tcW w:w="8755" w:type="dxa"/>
            <w:vAlign w:val="center"/>
          </w:tcPr>
          <w:p w14:paraId="48257F80">
            <w:pPr>
              <w:tabs>
                <w:tab w:val="left" w:pos="540"/>
                <w:tab w:val="left" w:pos="854"/>
              </w:tabs>
              <w:spacing w:line="300" w:lineRule="exact"/>
              <w:jc w:val="left"/>
              <w:rPr>
                <w:rFonts w:ascii="宋体"/>
                <w:color w:val="auto"/>
                <w:sz w:val="18"/>
                <w:szCs w:val="18"/>
              </w:rPr>
            </w:pPr>
            <w:r>
              <w:rPr>
                <w:rFonts w:hint="eastAsia" w:ascii="宋体" w:hAnsi="宋体" w:cs="宋体"/>
                <w:color w:val="auto"/>
                <w:sz w:val="18"/>
                <w:szCs w:val="18"/>
              </w:rPr>
              <w:t>材质：骨架为铝合金型材搭接。蒙皮选用平铝板和花纹铝板，底板均为铝合金花纹板，内饰板采用阳极化处理平面铝板。</w:t>
            </w:r>
          </w:p>
        </w:tc>
      </w:tr>
      <w:tr w14:paraId="0A34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EB5AB6F">
            <w:pPr>
              <w:numPr>
                <w:ilvl w:val="0"/>
                <w:numId w:val="21"/>
              </w:numPr>
              <w:adjustRightInd w:val="0"/>
              <w:snapToGrid w:val="0"/>
              <w:spacing w:line="300" w:lineRule="exact"/>
              <w:jc w:val="left"/>
              <w:rPr>
                <w:rFonts w:ascii="宋体"/>
                <w:color w:val="auto"/>
                <w:sz w:val="18"/>
                <w:szCs w:val="18"/>
              </w:rPr>
            </w:pPr>
          </w:p>
        </w:tc>
        <w:tc>
          <w:tcPr>
            <w:tcW w:w="8755" w:type="dxa"/>
            <w:vAlign w:val="center"/>
          </w:tcPr>
          <w:p w14:paraId="472E652D">
            <w:pPr>
              <w:tabs>
                <w:tab w:val="left" w:pos="540"/>
                <w:tab w:val="left" w:pos="854"/>
              </w:tabs>
              <w:spacing w:line="300" w:lineRule="exact"/>
              <w:jc w:val="left"/>
              <w:rPr>
                <w:rFonts w:ascii="宋体"/>
                <w:color w:val="auto"/>
                <w:sz w:val="18"/>
                <w:szCs w:val="18"/>
              </w:rPr>
            </w:pPr>
            <w:r>
              <w:rPr>
                <w:rFonts w:hint="eastAsia" w:ascii="宋体" w:hAnsi="宋体" w:cs="宋体"/>
                <w:color w:val="auto"/>
                <w:sz w:val="18"/>
                <w:szCs w:val="18"/>
              </w:rPr>
              <w:t>结构：整体式铝型材搭接结构，蒙皮、封板等采用硅胶与框架粘接，内骨架为铝合金型材搭接技术，内部空间可调整。</w:t>
            </w:r>
          </w:p>
        </w:tc>
      </w:tr>
      <w:tr w14:paraId="4BD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9CAF49C">
            <w:pPr>
              <w:numPr>
                <w:ilvl w:val="0"/>
                <w:numId w:val="21"/>
              </w:numPr>
              <w:adjustRightInd w:val="0"/>
              <w:snapToGrid w:val="0"/>
              <w:spacing w:line="300" w:lineRule="exact"/>
              <w:jc w:val="left"/>
              <w:rPr>
                <w:rFonts w:ascii="宋体"/>
                <w:color w:val="auto"/>
                <w:sz w:val="18"/>
                <w:szCs w:val="18"/>
              </w:rPr>
            </w:pPr>
          </w:p>
        </w:tc>
        <w:tc>
          <w:tcPr>
            <w:tcW w:w="8755" w:type="dxa"/>
            <w:vAlign w:val="center"/>
          </w:tcPr>
          <w:p w14:paraId="13BA0700">
            <w:pPr>
              <w:spacing w:line="300" w:lineRule="exact"/>
              <w:jc w:val="left"/>
              <w:rPr>
                <w:rFonts w:ascii="宋体"/>
                <w:color w:val="auto"/>
                <w:sz w:val="18"/>
                <w:szCs w:val="18"/>
              </w:rPr>
            </w:pPr>
            <w:r>
              <w:rPr>
                <w:rFonts w:hint="eastAsia" w:ascii="宋体" w:hAnsi="宋体" w:eastAsia="宋体" w:cs="宋体"/>
                <w:bCs/>
                <w:color w:val="auto"/>
                <w:sz w:val="24"/>
              </w:rPr>
              <w:t>★</w:t>
            </w:r>
            <w:r>
              <w:rPr>
                <w:rFonts w:hint="eastAsia" w:ascii="宋体" w:hAnsi="宋体" w:cs="宋体"/>
                <w:color w:val="auto"/>
                <w:sz w:val="18"/>
                <w:szCs w:val="18"/>
              </w:rPr>
              <w:t>器材厢及泵房4个门：采用轻型优质铝合金卷帘门，启闭灵活、密封性好、噪音低、外形美观、轻便可靠，所有卷帘门采用拉杆式门锁，均可通用一把钥匙开启，每个器材箱内有LED照明灯带，由卷帘门启闭控制。</w:t>
            </w:r>
          </w:p>
        </w:tc>
      </w:tr>
      <w:tr w14:paraId="1DC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3540A53">
            <w:pPr>
              <w:numPr>
                <w:ilvl w:val="0"/>
                <w:numId w:val="21"/>
              </w:numPr>
              <w:adjustRightInd w:val="0"/>
              <w:snapToGrid w:val="0"/>
              <w:spacing w:line="300" w:lineRule="exact"/>
              <w:jc w:val="left"/>
              <w:rPr>
                <w:rFonts w:ascii="宋体"/>
                <w:color w:val="auto"/>
                <w:sz w:val="18"/>
                <w:szCs w:val="18"/>
              </w:rPr>
            </w:pPr>
          </w:p>
        </w:tc>
        <w:tc>
          <w:tcPr>
            <w:tcW w:w="8755" w:type="dxa"/>
            <w:vAlign w:val="center"/>
          </w:tcPr>
          <w:p w14:paraId="79E9B147">
            <w:pPr>
              <w:tabs>
                <w:tab w:val="left" w:pos="540"/>
                <w:tab w:val="left" w:pos="854"/>
              </w:tabs>
              <w:spacing w:line="300" w:lineRule="exact"/>
              <w:jc w:val="left"/>
              <w:rPr>
                <w:rFonts w:ascii="宋体"/>
                <w:color w:val="auto"/>
                <w:sz w:val="18"/>
                <w:szCs w:val="18"/>
              </w:rPr>
            </w:pPr>
            <w:r>
              <w:rPr>
                <w:rFonts w:hint="eastAsia" w:ascii="宋体" w:hAnsi="宋体" w:cs="宋体"/>
                <w:color w:val="auto"/>
                <w:sz w:val="18"/>
                <w:szCs w:val="18"/>
              </w:rPr>
              <w:t>其他配置：折叠可翻转式踏板，行车时为轮胎翼子板，驻车时可翻转作为踏板，方便取放器材，承载能力</w:t>
            </w:r>
            <w:r>
              <w:rPr>
                <w:rFonts w:ascii="宋体" w:hAnsi="宋体" w:cs="宋体"/>
                <w:color w:val="auto"/>
                <w:sz w:val="18"/>
                <w:szCs w:val="18"/>
              </w:rPr>
              <w:t>≥</w:t>
            </w:r>
            <w:r>
              <w:rPr>
                <w:rFonts w:hint="eastAsia" w:ascii="宋体" w:hAnsi="宋体" w:cs="宋体"/>
                <w:color w:val="auto"/>
                <w:sz w:val="18"/>
                <w:szCs w:val="18"/>
              </w:rPr>
              <w:t>180kg；车厢前部安装折叠式铝合金翻转爬梯，可方便的登上车顶；拖钩位于车尾；车顶部防滑处理，两侧挡墙式护栏；车顶可放置吸水管、拉梯架，方便取拿。</w:t>
            </w:r>
          </w:p>
        </w:tc>
      </w:tr>
      <w:tr w14:paraId="38A0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01EC3A8D">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（十六）翻板踏脚</w:t>
            </w:r>
          </w:p>
        </w:tc>
      </w:tr>
      <w:tr w14:paraId="1668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477B299">
            <w:pPr>
              <w:numPr>
                <w:ilvl w:val="0"/>
                <w:numId w:val="22"/>
              </w:numPr>
              <w:adjustRightInd w:val="0"/>
              <w:snapToGrid w:val="0"/>
              <w:spacing w:line="300" w:lineRule="exact"/>
              <w:jc w:val="left"/>
              <w:rPr>
                <w:rFonts w:ascii="宋体"/>
                <w:color w:val="auto"/>
                <w:sz w:val="18"/>
                <w:szCs w:val="18"/>
              </w:rPr>
            </w:pPr>
          </w:p>
        </w:tc>
        <w:tc>
          <w:tcPr>
            <w:tcW w:w="8755" w:type="dxa"/>
            <w:vAlign w:val="center"/>
          </w:tcPr>
          <w:p w14:paraId="4301DA4E">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材质：铝合金型材整体拉伸成型，无拼接、无焊缝，踏脚面处防滑处理，型材两侧为非金属型材，可嵌琥珀色LED警示闪灯。</w:t>
            </w:r>
          </w:p>
        </w:tc>
      </w:tr>
      <w:tr w14:paraId="7B9D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59E5F92">
            <w:pPr>
              <w:numPr>
                <w:ilvl w:val="0"/>
                <w:numId w:val="22"/>
              </w:numPr>
              <w:adjustRightInd w:val="0"/>
              <w:snapToGrid w:val="0"/>
              <w:spacing w:line="300" w:lineRule="exact"/>
              <w:jc w:val="left"/>
              <w:rPr>
                <w:rFonts w:ascii="宋体"/>
                <w:color w:val="auto"/>
                <w:sz w:val="18"/>
                <w:szCs w:val="18"/>
              </w:rPr>
            </w:pPr>
          </w:p>
        </w:tc>
        <w:tc>
          <w:tcPr>
            <w:tcW w:w="8755" w:type="dxa"/>
            <w:vAlign w:val="center"/>
          </w:tcPr>
          <w:p w14:paraId="2CF338CB">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结构：采用弹簧和门止口双重锁定，安全可靠。</w:t>
            </w:r>
          </w:p>
        </w:tc>
      </w:tr>
      <w:tr w14:paraId="7FD3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3869377">
            <w:pPr>
              <w:numPr>
                <w:ilvl w:val="0"/>
                <w:numId w:val="22"/>
              </w:numPr>
              <w:adjustRightInd w:val="0"/>
              <w:snapToGrid w:val="0"/>
              <w:spacing w:line="300" w:lineRule="exact"/>
              <w:jc w:val="left"/>
              <w:rPr>
                <w:rFonts w:ascii="宋体"/>
                <w:color w:val="auto"/>
                <w:sz w:val="18"/>
                <w:szCs w:val="18"/>
              </w:rPr>
            </w:pPr>
          </w:p>
        </w:tc>
        <w:tc>
          <w:tcPr>
            <w:tcW w:w="8755" w:type="dxa"/>
            <w:vAlign w:val="center"/>
          </w:tcPr>
          <w:p w14:paraId="23338C10">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说明：踏脚翻板翻下时高度不大于</w:t>
            </w:r>
            <w:r>
              <w:rPr>
                <w:rFonts w:ascii="宋体" w:hAnsi="宋体" w:cs="宋体"/>
                <w:color w:val="auto"/>
                <w:sz w:val="18"/>
                <w:szCs w:val="18"/>
              </w:rPr>
              <w:t>450mm</w:t>
            </w:r>
            <w:r>
              <w:rPr>
                <w:rFonts w:hint="eastAsia" w:ascii="宋体" w:hAnsi="宋体" w:cs="宋体"/>
                <w:color w:val="auto"/>
                <w:sz w:val="18"/>
                <w:szCs w:val="18"/>
              </w:rPr>
              <w:t>，静载荷≥</w:t>
            </w:r>
            <w:r>
              <w:rPr>
                <w:rFonts w:ascii="宋体" w:hAnsi="宋体" w:cs="宋体"/>
                <w:color w:val="auto"/>
                <w:sz w:val="18"/>
                <w:szCs w:val="18"/>
              </w:rPr>
              <w:t>180kg</w:t>
            </w:r>
            <w:r>
              <w:rPr>
                <w:rFonts w:hint="eastAsia" w:ascii="宋体" w:hAnsi="宋体" w:cs="宋体"/>
                <w:color w:val="auto"/>
                <w:sz w:val="18"/>
                <w:szCs w:val="18"/>
              </w:rPr>
              <w:t>，翻上时符合</w:t>
            </w:r>
            <w:r>
              <w:rPr>
                <w:rFonts w:ascii="宋体" w:hAnsi="宋体" w:cs="宋体"/>
                <w:color w:val="auto"/>
                <w:sz w:val="18"/>
                <w:szCs w:val="18"/>
              </w:rPr>
              <w:t>GB11567-2017</w:t>
            </w:r>
            <w:r>
              <w:rPr>
                <w:rFonts w:hint="eastAsia" w:ascii="宋体" w:hAnsi="宋体" w:cs="宋体"/>
                <w:color w:val="auto"/>
                <w:sz w:val="18"/>
                <w:szCs w:val="18"/>
              </w:rPr>
              <w:t>的规定。</w:t>
            </w:r>
          </w:p>
        </w:tc>
      </w:tr>
      <w:tr w14:paraId="5EC5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1B2AB690">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（十七）仪表板及板上设备</w:t>
            </w:r>
          </w:p>
        </w:tc>
      </w:tr>
      <w:tr w14:paraId="622F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A51B414">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3D280C41">
            <w:pPr>
              <w:spacing w:line="300" w:lineRule="exact"/>
              <w:jc w:val="left"/>
              <w:rPr>
                <w:rFonts w:ascii="宋体"/>
                <w:color w:val="auto"/>
                <w:sz w:val="18"/>
                <w:szCs w:val="18"/>
              </w:rPr>
            </w:pPr>
            <w:r>
              <w:rPr>
                <w:rFonts w:hint="eastAsia" w:ascii="宋体" w:hAnsi="宋体" w:cs="宋体"/>
                <w:color w:val="auto"/>
                <w:sz w:val="18"/>
                <w:szCs w:val="18"/>
              </w:rPr>
              <w:t>驾驶室前仪表加装消防控制开关：上装总电源开关、上电提醒、卷门提醒、充电警示、取力开关等，集成面板安装</w:t>
            </w:r>
          </w:p>
        </w:tc>
      </w:tr>
      <w:tr w14:paraId="2A39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0E11590">
            <w:pPr>
              <w:numPr>
                <w:ilvl w:val="0"/>
                <w:numId w:val="23"/>
              </w:numPr>
              <w:adjustRightInd w:val="0"/>
              <w:snapToGrid w:val="0"/>
              <w:spacing w:line="300" w:lineRule="exact"/>
              <w:jc w:val="left"/>
              <w:rPr>
                <w:rFonts w:ascii="宋体"/>
                <w:color w:val="auto"/>
                <w:sz w:val="18"/>
                <w:szCs w:val="18"/>
              </w:rPr>
            </w:pPr>
          </w:p>
        </w:tc>
        <w:tc>
          <w:tcPr>
            <w:tcW w:w="8755" w:type="dxa"/>
            <w:vAlign w:val="center"/>
          </w:tcPr>
          <w:p w14:paraId="750ADBB8">
            <w:pPr>
              <w:spacing w:line="300" w:lineRule="exact"/>
              <w:jc w:val="left"/>
              <w:rPr>
                <w:rFonts w:ascii="宋体" w:hAnsi="宋体" w:cs="宋体"/>
                <w:color w:val="auto"/>
                <w:sz w:val="18"/>
                <w:szCs w:val="18"/>
              </w:rPr>
            </w:pPr>
            <w:r>
              <w:rPr>
                <w:rFonts w:hint="eastAsia" w:ascii="宋体" w:hAnsi="宋体" w:cs="宋体"/>
                <w:color w:val="auto"/>
                <w:sz w:val="18"/>
                <w:szCs w:val="18"/>
              </w:rPr>
              <w:t>泵房仪表板上设有消防泵性能参数、简要操作说明、水路操作开关、发动机转速控制旋钮、显示器、紧急停止按钮和工作指示灯等。显示器上显示水位、泡沫液位、消防泵转速、进出水口压力、水泵油泵工作累积计时等参数，还可进行故障提醒与指示。</w:t>
            </w:r>
          </w:p>
        </w:tc>
      </w:tr>
      <w:tr w14:paraId="44C6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D4EC79E">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（十八）液压</w:t>
            </w:r>
            <w:r>
              <w:rPr>
                <w:rFonts w:ascii="宋体" w:hAnsi="宋体" w:cs="宋体"/>
                <w:color w:val="auto"/>
                <w:sz w:val="18"/>
                <w:szCs w:val="18"/>
              </w:rPr>
              <w:t>系统</w:t>
            </w:r>
          </w:p>
        </w:tc>
      </w:tr>
      <w:tr w14:paraId="7F72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FF3E4C4">
            <w:pPr>
              <w:numPr>
                <w:ilvl w:val="0"/>
                <w:numId w:val="24"/>
              </w:numPr>
              <w:adjustRightInd w:val="0"/>
              <w:snapToGrid w:val="0"/>
              <w:spacing w:line="300" w:lineRule="exact"/>
              <w:jc w:val="left"/>
              <w:rPr>
                <w:rFonts w:ascii="宋体"/>
                <w:color w:val="auto"/>
                <w:sz w:val="18"/>
                <w:szCs w:val="18"/>
              </w:rPr>
            </w:pPr>
          </w:p>
        </w:tc>
        <w:tc>
          <w:tcPr>
            <w:tcW w:w="8755" w:type="dxa"/>
            <w:vAlign w:val="center"/>
          </w:tcPr>
          <w:p w14:paraId="6A2DC451">
            <w:pPr>
              <w:adjustRightInd w:val="0"/>
              <w:snapToGrid w:val="0"/>
              <w:spacing w:line="300" w:lineRule="exact"/>
              <w:jc w:val="left"/>
              <w:rPr>
                <w:rFonts w:ascii="宋体"/>
                <w:color w:val="auto"/>
                <w:sz w:val="18"/>
                <w:szCs w:val="18"/>
              </w:rPr>
            </w:pPr>
            <w:r>
              <w:rPr>
                <w:rFonts w:hint="eastAsia" w:ascii="宋体"/>
                <w:color w:val="auto"/>
                <w:sz w:val="18"/>
                <w:szCs w:val="18"/>
              </w:rPr>
              <w:t>电液比例控制采用国际知名品牌控制元件。液压系统选用最先进的负载敏感泵+负载敏感电液比例阀组系统，节能环保，臂架多个动作可同时进行且速度互不影响，实现了对支腿、臂架动作的精准平稳操作。支腿操纵为多路电液比例阀，可以对水平及垂直支腿同时或单独操纵。上车选用进口的多路电液比例阀，通过操纵电控手柄实现臂架的变幅、伸缩、回转等动作；为使臂架可靠的停止在任意一个工作位置，每个油缸上装有平衡阀使之动作平稳闭锁可靠；配备应急泵，在主液压泵出现问题时，可以将整车收回到行驶状态。</w:t>
            </w:r>
          </w:p>
        </w:tc>
      </w:tr>
      <w:tr w14:paraId="14CC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6923DF20">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（十九）电器系统</w:t>
            </w:r>
          </w:p>
        </w:tc>
      </w:tr>
      <w:tr w14:paraId="5FA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6733C69">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436803A2">
            <w:pPr>
              <w:spacing w:line="300" w:lineRule="exact"/>
              <w:jc w:val="left"/>
              <w:rPr>
                <w:rFonts w:ascii="宋体"/>
                <w:color w:val="auto"/>
                <w:sz w:val="18"/>
                <w:szCs w:val="18"/>
              </w:rPr>
            </w:pPr>
            <w:r>
              <w:rPr>
                <w:rFonts w:hint="eastAsia" w:ascii="宋体" w:hAnsi="宋体" w:cs="宋体"/>
                <w:color w:val="auto"/>
                <w:sz w:val="18"/>
                <w:szCs w:val="18"/>
              </w:rPr>
              <w:t>位于驾驶室顶端的主警灯为长排频闪警灯</w:t>
            </w:r>
            <w:r>
              <w:rPr>
                <w:rFonts w:ascii="宋体" w:cs="宋体"/>
                <w:color w:val="auto"/>
                <w:sz w:val="18"/>
                <w:szCs w:val="18"/>
              </w:rPr>
              <w:t>,</w:t>
            </w:r>
            <w:r>
              <w:rPr>
                <w:rFonts w:hint="eastAsia" w:ascii="宋体" w:hAnsi="宋体" w:cs="宋体"/>
                <w:color w:val="auto"/>
                <w:sz w:val="18"/>
                <w:szCs w:val="18"/>
              </w:rPr>
              <w:t>配置2</w:t>
            </w:r>
            <w:r>
              <w:rPr>
                <w:rFonts w:ascii="宋体" w:hAnsi="宋体" w:cs="宋体"/>
                <w:color w:val="auto"/>
                <w:sz w:val="18"/>
                <w:szCs w:val="18"/>
              </w:rPr>
              <w:t>00W</w:t>
            </w:r>
            <w:r>
              <w:rPr>
                <w:rFonts w:hint="eastAsia" w:ascii="宋体" w:hAnsi="宋体" w:cs="宋体"/>
                <w:color w:val="auto"/>
                <w:sz w:val="18"/>
                <w:szCs w:val="18"/>
              </w:rPr>
              <w:t>警报控制系统，配手持式喊话器；车厢两侧上方安装红色频闪灯与车头警灯同步工作；车厢后部上方两侧安装频闪灯；工作斗上安装有警示灯和照明灯，踏板两侧安装提示警示灯，卷帘门开启后自动闪烁，按国标要求配备前后有视廊灯及示宽灯等。</w:t>
            </w:r>
          </w:p>
        </w:tc>
      </w:tr>
      <w:tr w14:paraId="0E41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4DB6C44">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3DC0E6C6">
            <w:pPr>
              <w:spacing w:line="300" w:lineRule="exact"/>
              <w:jc w:val="left"/>
              <w:rPr>
                <w:rFonts w:ascii="宋体" w:hAnsi="宋体" w:cs="宋体"/>
                <w:color w:val="auto"/>
                <w:sz w:val="18"/>
                <w:szCs w:val="18"/>
              </w:rPr>
            </w:pPr>
            <w:r>
              <w:rPr>
                <w:rFonts w:hint="eastAsia" w:ascii="宋体" w:hAnsi="宋体" w:cs="宋体"/>
                <w:color w:val="auto"/>
                <w:sz w:val="18"/>
                <w:szCs w:val="18"/>
              </w:rPr>
              <w:t>泵房、器材箱内部设有LED照明灯；</w:t>
            </w:r>
          </w:p>
        </w:tc>
      </w:tr>
      <w:tr w14:paraId="0FDF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D36C601">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464D1DF1">
            <w:pPr>
              <w:spacing w:line="300" w:lineRule="exact"/>
              <w:jc w:val="left"/>
              <w:rPr>
                <w:rFonts w:ascii="宋体" w:hAnsi="宋体" w:cs="宋体"/>
                <w:color w:val="auto"/>
                <w:sz w:val="18"/>
                <w:szCs w:val="18"/>
              </w:rPr>
            </w:pPr>
            <w:r>
              <w:rPr>
                <w:rFonts w:hint="eastAsia" w:ascii="宋体" w:hAnsi="宋体" w:cs="宋体"/>
                <w:color w:val="auto"/>
                <w:sz w:val="18"/>
                <w:szCs w:val="18"/>
              </w:rPr>
              <w:t>卷帘门上方设有LED外照明灯；</w:t>
            </w:r>
          </w:p>
        </w:tc>
      </w:tr>
      <w:tr w14:paraId="74F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9D203EF">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158BD996">
            <w:pPr>
              <w:spacing w:line="300" w:lineRule="exact"/>
              <w:jc w:val="left"/>
              <w:rPr>
                <w:rFonts w:ascii="宋体" w:hAnsi="宋体" w:cs="宋体"/>
                <w:color w:val="auto"/>
                <w:sz w:val="18"/>
                <w:szCs w:val="18"/>
              </w:rPr>
            </w:pPr>
            <w:r>
              <w:rPr>
                <w:rFonts w:hint="eastAsia" w:ascii="宋体" w:hAnsi="宋体" w:cs="宋体"/>
                <w:color w:val="auto"/>
                <w:sz w:val="18"/>
                <w:szCs w:val="18"/>
              </w:rPr>
              <w:t>转台遥控盒：密封手持遥控盒，模具制作符合人体工程学，配置背带操作方便、手持握感舒适。</w:t>
            </w:r>
          </w:p>
          <w:p w14:paraId="4D7A3F67">
            <w:pPr>
              <w:spacing w:line="300" w:lineRule="exact"/>
              <w:jc w:val="left"/>
              <w:rPr>
                <w:rFonts w:ascii="宋体" w:hAnsi="宋体" w:cs="宋体"/>
                <w:color w:val="auto"/>
                <w:sz w:val="18"/>
                <w:szCs w:val="18"/>
              </w:rPr>
            </w:pPr>
            <w:r>
              <w:rPr>
                <w:rFonts w:hint="eastAsia" w:ascii="宋体" w:hAnsi="宋体" w:cs="宋体"/>
                <w:color w:val="auto"/>
                <w:sz w:val="18"/>
                <w:szCs w:val="18"/>
              </w:rPr>
              <w:t>遥控器面板上设置有臂架动作控制比例手柄、水炮控制开关、发动机启动熄火开关，平台调平开关等。</w:t>
            </w:r>
          </w:p>
          <w:p w14:paraId="3738676F">
            <w:pPr>
              <w:spacing w:line="300" w:lineRule="exact"/>
              <w:jc w:val="left"/>
              <w:rPr>
                <w:rFonts w:ascii="宋体" w:hAnsi="宋体" w:cs="宋体"/>
                <w:color w:val="auto"/>
                <w:sz w:val="18"/>
                <w:szCs w:val="18"/>
              </w:rPr>
            </w:pPr>
            <w:r>
              <w:rPr>
                <w:rFonts w:hint="eastAsia" w:ascii="宋体" w:hAnsi="宋体" w:cs="宋体"/>
                <w:color w:val="auto"/>
                <w:sz w:val="18"/>
                <w:szCs w:val="18"/>
              </w:rPr>
              <w:t>配置外接弹簧控制线，自由拉伸与收缩方便人员操作时观察周围环境。</w:t>
            </w:r>
          </w:p>
        </w:tc>
      </w:tr>
      <w:tr w14:paraId="650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725F066">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6972C6D0">
            <w:pPr>
              <w:spacing w:line="300" w:lineRule="exact"/>
              <w:jc w:val="left"/>
              <w:rPr>
                <w:rFonts w:ascii="宋体" w:hAnsi="宋体" w:cs="宋体"/>
                <w:color w:val="auto"/>
                <w:sz w:val="18"/>
                <w:szCs w:val="18"/>
              </w:rPr>
            </w:pPr>
            <w:r>
              <w:rPr>
                <w:rFonts w:hint="eastAsia" w:ascii="宋体" w:hAnsi="宋体" w:cs="宋体"/>
                <w:color w:val="auto"/>
                <w:sz w:val="18"/>
                <w:szCs w:val="18"/>
              </w:rPr>
              <w:t>平台控制盒：密封盒，配置翻转防护遮阳盖。设置有臂架动作控制比例手柄、水炮控制开关、发动机启动熄火开关，平台调平开关及显示器等。显示器可显示臂架动态画面、状态参数，还可进行故障提醒与指示。</w:t>
            </w:r>
          </w:p>
        </w:tc>
      </w:tr>
      <w:tr w14:paraId="1DF3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8DE71BB">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2805C68E">
            <w:pPr>
              <w:spacing w:line="300" w:lineRule="exact"/>
              <w:jc w:val="left"/>
              <w:rPr>
                <w:rFonts w:ascii="宋体" w:hAnsi="宋体" w:cs="宋体"/>
                <w:color w:val="auto"/>
                <w:sz w:val="18"/>
                <w:szCs w:val="18"/>
              </w:rPr>
            </w:pPr>
            <w:r>
              <w:rPr>
                <w:rFonts w:hint="eastAsia" w:ascii="宋体" w:hAnsi="宋体" w:cs="宋体"/>
                <w:color w:val="auto"/>
                <w:sz w:val="18"/>
                <w:szCs w:val="18"/>
              </w:rPr>
              <w:t>支腿遥控盒：密封手持遥控盒，模具制作符合人体工程学，配置背带操作方便、手持握感舒适。遥控器面板上设置有支腿动作控制比例手柄、发动机启动熄火开关等。遥控器上配置有电控操作摇杆、各类操作选择开关及指示灯等。配置外接弹簧控制线，自由拉伸与收缩方便人员操作时观察周围环境。</w:t>
            </w:r>
          </w:p>
        </w:tc>
      </w:tr>
      <w:tr w14:paraId="4679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984BE8E">
            <w:pPr>
              <w:numPr>
                <w:ilvl w:val="0"/>
                <w:numId w:val="25"/>
              </w:numPr>
              <w:adjustRightInd w:val="0"/>
              <w:snapToGrid w:val="0"/>
              <w:spacing w:line="300" w:lineRule="exact"/>
              <w:jc w:val="left"/>
              <w:rPr>
                <w:rFonts w:ascii="宋体"/>
                <w:color w:val="auto"/>
                <w:sz w:val="18"/>
                <w:szCs w:val="18"/>
              </w:rPr>
            </w:pPr>
          </w:p>
        </w:tc>
        <w:tc>
          <w:tcPr>
            <w:tcW w:w="8755" w:type="dxa"/>
            <w:vAlign w:val="center"/>
          </w:tcPr>
          <w:p w14:paraId="1F4EAAC4">
            <w:pPr>
              <w:spacing w:line="300" w:lineRule="exact"/>
              <w:jc w:val="left"/>
              <w:rPr>
                <w:rFonts w:ascii="宋体" w:hAnsi="宋体" w:cs="宋体"/>
                <w:color w:val="auto"/>
                <w:sz w:val="18"/>
                <w:szCs w:val="18"/>
              </w:rPr>
            </w:pPr>
            <w:r>
              <w:rPr>
                <w:rFonts w:hint="eastAsia" w:ascii="宋体" w:hAnsi="宋体" w:cs="宋体"/>
                <w:color w:val="auto"/>
                <w:sz w:val="18"/>
                <w:szCs w:val="18"/>
              </w:rPr>
              <w:t>配置自动充电装置；</w:t>
            </w:r>
          </w:p>
        </w:tc>
      </w:tr>
      <w:tr w14:paraId="0D95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176A3241">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（二十）器材及装夹</w:t>
            </w:r>
          </w:p>
        </w:tc>
      </w:tr>
      <w:tr w14:paraId="1707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BB13038">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4D9B5C79">
            <w:pPr>
              <w:spacing w:line="300" w:lineRule="exact"/>
              <w:jc w:val="left"/>
              <w:rPr>
                <w:rFonts w:ascii="宋体"/>
                <w:color w:val="auto"/>
                <w:sz w:val="18"/>
                <w:szCs w:val="18"/>
              </w:rPr>
            </w:pPr>
            <w:r>
              <w:rPr>
                <w:rFonts w:hint="eastAsia" w:ascii="宋体"/>
                <w:color w:val="auto"/>
                <w:sz w:val="18"/>
                <w:szCs w:val="18"/>
              </w:rPr>
              <w:t>器材布置原则：按器材使用频率布置，器材布局紧凑、取用方便，站在地面或踏板上可取用任何器材。</w:t>
            </w:r>
          </w:p>
        </w:tc>
      </w:tr>
      <w:tr w14:paraId="26FC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E45629C">
            <w:pPr>
              <w:numPr>
                <w:ilvl w:val="0"/>
                <w:numId w:val="26"/>
              </w:numPr>
              <w:adjustRightInd w:val="0"/>
              <w:snapToGrid w:val="0"/>
              <w:spacing w:line="300" w:lineRule="exact"/>
              <w:jc w:val="left"/>
              <w:rPr>
                <w:rFonts w:ascii="宋体"/>
                <w:color w:val="auto"/>
                <w:sz w:val="18"/>
                <w:szCs w:val="18"/>
              </w:rPr>
            </w:pPr>
          </w:p>
        </w:tc>
        <w:tc>
          <w:tcPr>
            <w:tcW w:w="8755" w:type="dxa"/>
            <w:vAlign w:val="center"/>
          </w:tcPr>
          <w:p w14:paraId="2148CACD">
            <w:pPr>
              <w:spacing w:line="300" w:lineRule="exact"/>
              <w:jc w:val="left"/>
              <w:rPr>
                <w:rFonts w:ascii="宋体" w:hAnsi="宋体" w:cs="宋体"/>
                <w:color w:val="auto"/>
                <w:sz w:val="18"/>
                <w:szCs w:val="18"/>
              </w:rPr>
            </w:pPr>
            <w:r>
              <w:rPr>
                <w:rFonts w:hint="eastAsia" w:ascii="宋体" w:hAnsi="宋体" w:cs="宋体"/>
                <w:color w:val="auto"/>
                <w:sz w:val="18"/>
                <w:szCs w:val="18"/>
              </w:rPr>
              <w:t>器材固定原则：采用防锈、防振、防脱落、防划伤专用夹具固定，器材固定牢靠、安全，结构简单，取放方便。</w:t>
            </w:r>
          </w:p>
        </w:tc>
      </w:tr>
      <w:tr w14:paraId="184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32F61A7B">
            <w:pPr>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（二</w:t>
            </w:r>
            <w:r>
              <w:rPr>
                <w:rFonts w:ascii="宋体" w:hAnsi="宋体" w:cs="宋体"/>
                <w:color w:val="auto"/>
                <w:sz w:val="18"/>
                <w:szCs w:val="18"/>
              </w:rPr>
              <w:t>十</w:t>
            </w:r>
            <w:r>
              <w:rPr>
                <w:rFonts w:hint="eastAsia" w:ascii="宋体" w:hAnsi="宋体" w:cs="宋体"/>
                <w:color w:val="auto"/>
                <w:sz w:val="18"/>
                <w:szCs w:val="18"/>
              </w:rPr>
              <w:t>一）安全保护</w:t>
            </w:r>
          </w:p>
        </w:tc>
      </w:tr>
      <w:tr w14:paraId="3F84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E152E4C">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457B629D">
            <w:pPr>
              <w:spacing w:line="300" w:lineRule="exact"/>
              <w:jc w:val="left"/>
              <w:rPr>
                <w:rFonts w:ascii="宋体"/>
                <w:color w:val="auto"/>
                <w:sz w:val="18"/>
                <w:szCs w:val="18"/>
              </w:rPr>
            </w:pPr>
            <w:r>
              <w:rPr>
                <w:rFonts w:hint="eastAsia" w:ascii="宋体"/>
                <w:color w:val="auto"/>
                <w:sz w:val="18"/>
                <w:szCs w:val="18"/>
              </w:rPr>
              <w:t>自动调平：支腿具有自动调平功能，控制偏差为±0.5°，以保证上车作业在安全。</w:t>
            </w:r>
          </w:p>
        </w:tc>
      </w:tr>
      <w:tr w14:paraId="3078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391F5E4">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0A0212F2">
            <w:pPr>
              <w:spacing w:line="300" w:lineRule="exact"/>
              <w:jc w:val="left"/>
              <w:rPr>
                <w:rFonts w:ascii="宋体" w:hAnsi="宋体" w:cs="宋体"/>
                <w:color w:val="auto"/>
                <w:sz w:val="18"/>
                <w:szCs w:val="18"/>
              </w:rPr>
            </w:pPr>
            <w:r>
              <w:rPr>
                <w:rFonts w:hint="eastAsia" w:ascii="宋体" w:hAnsi="宋体" w:cs="宋体"/>
                <w:color w:val="auto"/>
                <w:sz w:val="18"/>
                <w:szCs w:val="18"/>
              </w:rPr>
              <w:t>上下车互锁：在下车支腿未打开调平之前,上车不能操作。在上车没有收好之前，支腿不能收回以防误操作。</w:t>
            </w:r>
          </w:p>
        </w:tc>
      </w:tr>
      <w:tr w14:paraId="583C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D5B5ED6">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30A122E2">
            <w:pPr>
              <w:spacing w:line="300" w:lineRule="exact"/>
              <w:jc w:val="left"/>
              <w:rPr>
                <w:rFonts w:ascii="宋体" w:hAnsi="宋体" w:cs="宋体"/>
                <w:color w:val="auto"/>
                <w:sz w:val="18"/>
                <w:szCs w:val="18"/>
              </w:rPr>
            </w:pPr>
            <w:r>
              <w:rPr>
                <w:rFonts w:hint="eastAsia" w:ascii="宋体" w:hAnsi="宋体" w:cs="宋体"/>
                <w:color w:val="auto"/>
                <w:sz w:val="18"/>
                <w:szCs w:val="18"/>
              </w:rPr>
              <w:t>幅度限制：采用角度传感器，以保证作业时伸缩臂始终在安全角度范围内工作。</w:t>
            </w:r>
          </w:p>
        </w:tc>
      </w:tr>
      <w:tr w14:paraId="6CDC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BEA38EF">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15B3A87B">
            <w:pPr>
              <w:spacing w:line="300" w:lineRule="exact"/>
              <w:jc w:val="left"/>
              <w:rPr>
                <w:rFonts w:ascii="宋体" w:hAnsi="宋体" w:cs="宋体"/>
                <w:color w:val="auto"/>
                <w:sz w:val="18"/>
                <w:szCs w:val="18"/>
              </w:rPr>
            </w:pPr>
            <w:r>
              <w:rPr>
                <w:rFonts w:hint="eastAsia" w:ascii="宋体" w:hAnsi="宋体" w:cs="宋体"/>
                <w:color w:val="auto"/>
                <w:sz w:val="18"/>
                <w:szCs w:val="18"/>
              </w:rPr>
              <w:t>软腿保护：工作中某一支腿因地面塌陷或油管泄露等原因造成支腿松动，可实现软腿自动声光报警，同时限制臂架动作。</w:t>
            </w:r>
          </w:p>
        </w:tc>
      </w:tr>
      <w:tr w14:paraId="08E0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E43B575">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3B7B9B83">
            <w:pPr>
              <w:spacing w:line="300" w:lineRule="exact"/>
              <w:jc w:val="left"/>
              <w:rPr>
                <w:rFonts w:ascii="宋体" w:hAnsi="宋体" w:cs="宋体"/>
                <w:color w:val="auto"/>
                <w:sz w:val="18"/>
                <w:szCs w:val="18"/>
              </w:rPr>
            </w:pPr>
            <w:r>
              <w:rPr>
                <w:rFonts w:hint="eastAsia" w:ascii="宋体" w:hAnsi="宋体" w:cs="宋体"/>
                <w:color w:val="auto"/>
                <w:sz w:val="18"/>
                <w:szCs w:val="18"/>
              </w:rPr>
              <w:t>断链保护：臂架伸缩系统配备两套链缆传动机构，可实时监测其状态，任何一套出现断裂故障将停止臂架动作，并有声音报警信号，报警声不小于90dB（A）。</w:t>
            </w:r>
          </w:p>
        </w:tc>
      </w:tr>
      <w:tr w14:paraId="3050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46A0938">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1E82D73A">
            <w:pPr>
              <w:spacing w:line="300" w:lineRule="exact"/>
              <w:jc w:val="left"/>
              <w:rPr>
                <w:rFonts w:ascii="宋体" w:hAnsi="宋体" w:cs="宋体"/>
                <w:color w:val="auto"/>
                <w:sz w:val="18"/>
                <w:szCs w:val="18"/>
              </w:rPr>
            </w:pPr>
            <w:r>
              <w:rPr>
                <w:rFonts w:hint="eastAsia" w:ascii="宋体" w:hAnsi="宋体" w:cs="宋体"/>
                <w:color w:val="auto"/>
                <w:sz w:val="18"/>
                <w:szCs w:val="18"/>
              </w:rPr>
              <w:t>转台中位保护：当转台不在中位时，下臂就不能落回到行驶位置，以便夜间操作或不慎时保护下臂不受损坏。</w:t>
            </w:r>
          </w:p>
        </w:tc>
      </w:tr>
      <w:tr w14:paraId="4446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0A1034B">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05EF798B">
            <w:pPr>
              <w:spacing w:line="300" w:lineRule="exact"/>
              <w:jc w:val="left"/>
              <w:rPr>
                <w:rFonts w:ascii="宋体" w:hAnsi="宋体" w:cs="宋体"/>
                <w:color w:val="auto"/>
                <w:sz w:val="18"/>
                <w:szCs w:val="18"/>
              </w:rPr>
            </w:pPr>
            <w:r>
              <w:rPr>
                <w:rFonts w:hint="eastAsia" w:ascii="宋体" w:hAnsi="宋体" w:cs="宋体"/>
                <w:color w:val="auto"/>
                <w:sz w:val="18"/>
                <w:szCs w:val="18"/>
              </w:rPr>
              <w:t>车体防撞保护：在除转台中位（车辆正后方）的区域内，主臂不能落至仰角25度以下。</w:t>
            </w:r>
          </w:p>
        </w:tc>
      </w:tr>
      <w:tr w14:paraId="6AFB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96BDE1C">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3DF1236A">
            <w:pPr>
              <w:spacing w:line="300" w:lineRule="exact"/>
              <w:jc w:val="left"/>
              <w:rPr>
                <w:rFonts w:ascii="宋体" w:hAnsi="宋体" w:cs="宋体"/>
                <w:color w:val="auto"/>
                <w:sz w:val="18"/>
                <w:szCs w:val="18"/>
              </w:rPr>
            </w:pPr>
            <w:r>
              <w:rPr>
                <w:rFonts w:hint="eastAsia" w:ascii="宋体" w:hAnsi="宋体" w:cs="宋体"/>
                <w:color w:val="auto"/>
                <w:sz w:val="18"/>
                <w:szCs w:val="18"/>
              </w:rPr>
              <w:t>应急动力装置：当主发动机出现故障时,启动该装置可把整机收回到行驶状态，以避免各种意外事故的发生。</w:t>
            </w:r>
          </w:p>
        </w:tc>
      </w:tr>
      <w:tr w14:paraId="3137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BD46231">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6B00BA32">
            <w:pPr>
              <w:spacing w:line="300" w:lineRule="exact"/>
              <w:jc w:val="left"/>
              <w:rPr>
                <w:rFonts w:ascii="宋体" w:hAnsi="宋体" w:cs="宋体"/>
                <w:color w:val="auto"/>
                <w:sz w:val="18"/>
                <w:szCs w:val="18"/>
              </w:rPr>
            </w:pPr>
            <w:r>
              <w:rPr>
                <w:rFonts w:hint="eastAsia" w:ascii="宋体" w:hAnsi="宋体" w:cs="宋体"/>
                <w:color w:val="auto"/>
                <w:sz w:val="18"/>
                <w:szCs w:val="18"/>
              </w:rPr>
              <w:t>自动减速：当臂架的变幅、伸缩运动到极限位置之前能自动减速，保证臂架的运动平稳。</w:t>
            </w:r>
          </w:p>
        </w:tc>
      </w:tr>
      <w:tr w14:paraId="0AA1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A8A0049">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727BB1D1">
            <w:pPr>
              <w:spacing w:line="300" w:lineRule="exact"/>
              <w:jc w:val="left"/>
              <w:rPr>
                <w:rFonts w:ascii="宋体" w:hAnsi="宋体" w:cs="宋体"/>
                <w:color w:val="auto"/>
                <w:sz w:val="18"/>
                <w:szCs w:val="18"/>
              </w:rPr>
            </w:pPr>
            <w:r>
              <w:rPr>
                <w:rFonts w:hint="eastAsia" w:ascii="宋体" w:hAnsi="宋体" w:cs="宋体"/>
                <w:color w:val="auto"/>
                <w:sz w:val="18"/>
                <w:szCs w:val="18"/>
              </w:rPr>
              <w:t>防碰撞保护：工作斗的前部与下部配有防碰撞装置，装置接近或碰到障碍物时自动停止臂架的动作，并有声音报警信号，报警声不小于90dB（A）。</w:t>
            </w:r>
          </w:p>
        </w:tc>
      </w:tr>
      <w:tr w14:paraId="7701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5CA292D">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3FFAF39B">
            <w:pPr>
              <w:spacing w:line="300" w:lineRule="exact"/>
              <w:jc w:val="left"/>
              <w:rPr>
                <w:rFonts w:ascii="宋体" w:hAnsi="宋体" w:cs="宋体"/>
                <w:color w:val="auto"/>
                <w:sz w:val="18"/>
                <w:szCs w:val="18"/>
              </w:rPr>
            </w:pPr>
            <w:r>
              <w:rPr>
                <w:rFonts w:hint="eastAsia" w:ascii="宋体" w:hAnsi="宋体" w:cs="宋体"/>
                <w:color w:val="auto"/>
                <w:sz w:val="18"/>
                <w:szCs w:val="18"/>
              </w:rPr>
              <w:t>平台调平保护：当工作斗底板与水平面倾角超过规定范围时会自动停止臂架动作。</w:t>
            </w:r>
          </w:p>
        </w:tc>
      </w:tr>
      <w:tr w14:paraId="09C8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CD08866">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6EF9C258">
            <w:pPr>
              <w:spacing w:line="300" w:lineRule="exact"/>
              <w:jc w:val="left"/>
              <w:rPr>
                <w:rFonts w:ascii="宋体" w:hAnsi="宋体" w:cs="宋体"/>
                <w:color w:val="auto"/>
                <w:sz w:val="18"/>
                <w:szCs w:val="18"/>
              </w:rPr>
            </w:pPr>
            <w:r>
              <w:rPr>
                <w:rFonts w:hint="eastAsia" w:ascii="宋体" w:hAnsi="宋体" w:cs="宋体"/>
                <w:color w:val="auto"/>
                <w:sz w:val="18"/>
                <w:szCs w:val="18"/>
              </w:rPr>
              <w:t>过载安全保护：若超过预设工作斗负载，具有声光报警及限制动作功能。</w:t>
            </w:r>
          </w:p>
        </w:tc>
      </w:tr>
      <w:tr w14:paraId="69DC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E8AE1EC">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685B296E">
            <w:pPr>
              <w:spacing w:line="300" w:lineRule="exact"/>
              <w:jc w:val="left"/>
              <w:rPr>
                <w:rFonts w:ascii="宋体" w:hAnsi="宋体" w:cs="宋体"/>
                <w:color w:val="auto"/>
                <w:sz w:val="18"/>
                <w:szCs w:val="18"/>
              </w:rPr>
            </w:pPr>
            <w:r>
              <w:rPr>
                <w:rFonts w:hint="eastAsia" w:ascii="宋体" w:hAnsi="宋体" w:cs="宋体"/>
                <w:color w:val="auto"/>
                <w:sz w:val="18"/>
                <w:szCs w:val="18"/>
              </w:rPr>
              <w:t>超风速保护：当风速超过12.5m/s时自动停止臂架动作，并有声音报警信号，报警声不小于90dB（A）。</w:t>
            </w:r>
          </w:p>
        </w:tc>
      </w:tr>
      <w:tr w14:paraId="47F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2DEBCA3">
            <w:pPr>
              <w:numPr>
                <w:ilvl w:val="0"/>
                <w:numId w:val="27"/>
              </w:numPr>
              <w:adjustRightInd w:val="0"/>
              <w:snapToGrid w:val="0"/>
              <w:spacing w:line="300" w:lineRule="exact"/>
              <w:jc w:val="left"/>
              <w:rPr>
                <w:rFonts w:ascii="宋体"/>
                <w:color w:val="auto"/>
                <w:sz w:val="18"/>
                <w:szCs w:val="18"/>
              </w:rPr>
            </w:pPr>
          </w:p>
        </w:tc>
        <w:tc>
          <w:tcPr>
            <w:tcW w:w="8755" w:type="dxa"/>
            <w:vAlign w:val="center"/>
          </w:tcPr>
          <w:p w14:paraId="5D7404AE">
            <w:pPr>
              <w:spacing w:line="300" w:lineRule="exact"/>
              <w:jc w:val="left"/>
              <w:rPr>
                <w:rFonts w:ascii="宋体" w:hAnsi="宋体" w:cs="宋体"/>
                <w:color w:val="auto"/>
                <w:sz w:val="18"/>
                <w:szCs w:val="18"/>
              </w:rPr>
            </w:pPr>
            <w:r>
              <w:rPr>
                <w:rFonts w:hint="eastAsia" w:ascii="宋体" w:hAnsi="宋体" w:cs="宋体"/>
                <w:color w:val="auto"/>
                <w:sz w:val="18"/>
                <w:szCs w:val="18"/>
              </w:rPr>
              <w:t>低液位保护：罐内水位低于设定值时，发动机自动降至怠速，防止水泵无水高速运转，提高了水泵的使用寿命。</w:t>
            </w:r>
          </w:p>
        </w:tc>
      </w:tr>
      <w:tr w14:paraId="7CE4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489A553">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（二十二）涂装</w:t>
            </w:r>
            <w:r>
              <w:rPr>
                <w:rFonts w:ascii="宋体" w:hAnsi="宋体" w:cs="宋体"/>
                <w:color w:val="auto"/>
                <w:sz w:val="18"/>
                <w:szCs w:val="18"/>
              </w:rPr>
              <w:t>及标识</w:t>
            </w:r>
          </w:p>
        </w:tc>
      </w:tr>
      <w:tr w14:paraId="770B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F3896E2">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4F1652D9">
            <w:pPr>
              <w:spacing w:line="300" w:lineRule="exact"/>
              <w:jc w:val="left"/>
              <w:rPr>
                <w:rFonts w:ascii="宋体"/>
                <w:color w:val="auto"/>
                <w:sz w:val="18"/>
                <w:szCs w:val="18"/>
              </w:rPr>
            </w:pPr>
            <w:r>
              <w:rPr>
                <w:rFonts w:hint="eastAsia" w:ascii="宋体" w:hAnsi="宋体" w:cs="宋体"/>
                <w:color w:val="auto"/>
                <w:sz w:val="18"/>
                <w:szCs w:val="18"/>
              </w:rPr>
              <w:t>工艺要求：驾驶室及上装所有黑色金属表面均经除污、除油、除锈和喷漆等防腐处理。所有板材、骨架、零部件和结构件，均经过防锈防腐处理，铝型材、铝板和花纹板均进行氧化处理，罐体采用最新防腐技术。车身外表面在喷涂最后一道漆前均作打磨处理；</w:t>
            </w:r>
          </w:p>
        </w:tc>
      </w:tr>
      <w:tr w14:paraId="54A3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B007D96">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403BC1E0">
            <w:pPr>
              <w:spacing w:line="300" w:lineRule="exact"/>
              <w:jc w:val="left"/>
              <w:rPr>
                <w:rFonts w:ascii="宋体" w:hAnsi="宋体" w:cs="宋体"/>
                <w:color w:val="auto"/>
                <w:sz w:val="18"/>
                <w:szCs w:val="18"/>
              </w:rPr>
            </w:pPr>
            <w:r>
              <w:rPr>
                <w:rFonts w:hint="eastAsia" w:ascii="宋体" w:hAnsi="宋体" w:cs="宋体"/>
                <w:color w:val="auto"/>
                <w:sz w:val="18"/>
                <w:szCs w:val="18"/>
              </w:rPr>
              <w:t>油漆品牌：采用国际品牌优质烤漆；</w:t>
            </w:r>
          </w:p>
        </w:tc>
      </w:tr>
      <w:tr w14:paraId="6E6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F929BF9">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5CE817E8">
            <w:pPr>
              <w:spacing w:line="300" w:lineRule="exact"/>
              <w:jc w:val="left"/>
              <w:rPr>
                <w:rFonts w:ascii="宋体"/>
                <w:color w:val="auto"/>
                <w:sz w:val="18"/>
                <w:szCs w:val="18"/>
              </w:rPr>
            </w:pPr>
            <w:r>
              <w:rPr>
                <w:rFonts w:hint="eastAsia" w:ascii="宋体" w:hAnsi="宋体" w:cs="宋体"/>
                <w:color w:val="auto"/>
                <w:sz w:val="18"/>
                <w:szCs w:val="18"/>
              </w:rPr>
              <w:t>喷漆颜色：</w:t>
            </w:r>
          </w:p>
          <w:p w14:paraId="48443EE2">
            <w:pPr>
              <w:spacing w:line="300" w:lineRule="exact"/>
              <w:jc w:val="left"/>
              <w:rPr>
                <w:rFonts w:ascii="宋体" w:hAnsi="宋体" w:cs="宋体"/>
                <w:color w:val="auto"/>
                <w:sz w:val="18"/>
                <w:szCs w:val="18"/>
              </w:rPr>
            </w:pPr>
            <w:r>
              <w:rPr>
                <w:rFonts w:hint="eastAsia" w:ascii="宋体" w:hAnsi="宋体" w:cs="宋体"/>
                <w:color w:val="auto"/>
                <w:sz w:val="18"/>
                <w:szCs w:val="18"/>
              </w:rPr>
              <w:t>驾驶室和车体</w:t>
            </w:r>
            <w:r>
              <w:rPr>
                <w:rFonts w:ascii="宋体" w:hAnsi="宋体" w:cs="宋体"/>
                <w:color w:val="auto"/>
                <w:sz w:val="18"/>
                <w:szCs w:val="18"/>
              </w:rPr>
              <w:t>-------------------R03</w:t>
            </w:r>
            <w:r>
              <w:rPr>
                <w:rFonts w:hint="eastAsia" w:ascii="宋体" w:hAnsi="宋体" w:cs="宋体"/>
                <w:color w:val="auto"/>
                <w:sz w:val="18"/>
                <w:szCs w:val="18"/>
              </w:rPr>
              <w:t>消防红色</w:t>
            </w:r>
          </w:p>
          <w:p w14:paraId="541DEA3D">
            <w:pPr>
              <w:spacing w:line="300" w:lineRule="exact"/>
              <w:jc w:val="left"/>
              <w:rPr>
                <w:rFonts w:ascii="宋体"/>
                <w:color w:val="auto"/>
                <w:sz w:val="18"/>
                <w:szCs w:val="18"/>
              </w:rPr>
            </w:pPr>
            <w:r>
              <w:rPr>
                <w:rFonts w:hint="eastAsia" w:ascii="宋体"/>
                <w:color w:val="auto"/>
                <w:sz w:val="18"/>
                <w:szCs w:val="18"/>
              </w:rPr>
              <w:t>上车转台与臂架</w:t>
            </w:r>
            <w:r>
              <w:rPr>
                <w:rFonts w:ascii="宋体"/>
                <w:color w:val="auto"/>
                <w:sz w:val="18"/>
                <w:szCs w:val="18"/>
              </w:rPr>
              <w:t xml:space="preserve">-----------------Y11 </w:t>
            </w:r>
            <w:r>
              <w:rPr>
                <w:rFonts w:hint="eastAsia" w:ascii="宋体"/>
                <w:color w:val="auto"/>
                <w:sz w:val="18"/>
                <w:szCs w:val="18"/>
              </w:rPr>
              <w:t>乳白色</w:t>
            </w:r>
          </w:p>
          <w:p w14:paraId="48DD1267">
            <w:pPr>
              <w:spacing w:line="300" w:lineRule="exact"/>
              <w:jc w:val="left"/>
              <w:rPr>
                <w:rFonts w:ascii="宋体"/>
                <w:color w:val="auto"/>
                <w:sz w:val="18"/>
                <w:szCs w:val="18"/>
              </w:rPr>
            </w:pPr>
            <w:r>
              <w:rPr>
                <w:rFonts w:hint="eastAsia" w:ascii="宋体" w:hAnsi="宋体" w:cs="宋体"/>
                <w:color w:val="auto"/>
                <w:sz w:val="18"/>
                <w:szCs w:val="18"/>
              </w:rPr>
              <w:t>铝制卷帘门</w:t>
            </w:r>
            <w:r>
              <w:rPr>
                <w:rFonts w:ascii="宋体" w:cs="宋体"/>
                <w:color w:val="auto"/>
                <w:sz w:val="18"/>
                <w:szCs w:val="18"/>
              </w:rPr>
              <w:t>---------------------</w:t>
            </w:r>
            <w:r>
              <w:rPr>
                <w:rFonts w:hint="eastAsia" w:ascii="宋体" w:hAnsi="宋体" w:cs="宋体"/>
                <w:color w:val="auto"/>
                <w:sz w:val="18"/>
                <w:szCs w:val="18"/>
              </w:rPr>
              <w:t>铝本色</w:t>
            </w:r>
          </w:p>
          <w:p w14:paraId="4D10D566">
            <w:pPr>
              <w:spacing w:line="300" w:lineRule="exact"/>
              <w:jc w:val="left"/>
              <w:rPr>
                <w:rFonts w:ascii="宋体"/>
                <w:color w:val="auto"/>
                <w:sz w:val="18"/>
                <w:szCs w:val="18"/>
              </w:rPr>
            </w:pPr>
            <w:r>
              <w:rPr>
                <w:rFonts w:hint="eastAsia" w:ascii="宋体" w:hAnsi="宋体" w:cs="宋体"/>
                <w:color w:val="auto"/>
                <w:sz w:val="18"/>
                <w:szCs w:val="18"/>
              </w:rPr>
              <w:t>底盘、副大梁及罐底部</w:t>
            </w:r>
            <w:r>
              <w:rPr>
                <w:rFonts w:ascii="宋体" w:cs="宋体"/>
                <w:color w:val="auto"/>
                <w:sz w:val="18"/>
                <w:szCs w:val="18"/>
              </w:rPr>
              <w:t>-----------</w:t>
            </w:r>
            <w:r>
              <w:rPr>
                <w:rFonts w:hint="eastAsia" w:ascii="宋体" w:hAnsi="宋体" w:cs="宋体"/>
                <w:color w:val="auto"/>
                <w:sz w:val="18"/>
                <w:szCs w:val="18"/>
              </w:rPr>
              <w:t>黑色或灰色</w:t>
            </w:r>
          </w:p>
          <w:p w14:paraId="529162AB">
            <w:pPr>
              <w:spacing w:line="300" w:lineRule="exact"/>
              <w:jc w:val="left"/>
              <w:rPr>
                <w:rFonts w:ascii="宋体"/>
                <w:color w:val="auto"/>
                <w:sz w:val="18"/>
                <w:szCs w:val="18"/>
              </w:rPr>
            </w:pPr>
            <w:r>
              <w:rPr>
                <w:rFonts w:hint="eastAsia" w:ascii="宋体" w:hAnsi="宋体" w:cs="宋体"/>
                <w:color w:val="auto"/>
                <w:sz w:val="18"/>
                <w:szCs w:val="18"/>
              </w:rPr>
              <w:t>消防泵进水管路</w:t>
            </w:r>
            <w:r>
              <w:rPr>
                <w:rFonts w:ascii="宋体" w:cs="宋体"/>
                <w:color w:val="auto"/>
                <w:sz w:val="18"/>
                <w:szCs w:val="18"/>
              </w:rPr>
              <w:t>-----------------</w:t>
            </w:r>
            <w:r>
              <w:rPr>
                <w:rFonts w:ascii="宋体" w:hAnsi="宋体" w:cs="宋体"/>
                <w:color w:val="auto"/>
                <w:sz w:val="18"/>
                <w:szCs w:val="18"/>
              </w:rPr>
              <w:t>G05</w:t>
            </w:r>
            <w:r>
              <w:rPr>
                <w:rFonts w:hint="eastAsia" w:ascii="宋体" w:hAnsi="宋体" w:cs="宋体"/>
                <w:color w:val="auto"/>
                <w:sz w:val="18"/>
                <w:szCs w:val="18"/>
              </w:rPr>
              <w:t>深绿色</w:t>
            </w:r>
          </w:p>
          <w:p w14:paraId="4E36138A">
            <w:pPr>
              <w:spacing w:line="300" w:lineRule="exact"/>
              <w:jc w:val="left"/>
              <w:rPr>
                <w:rFonts w:ascii="宋体"/>
                <w:color w:val="auto"/>
                <w:sz w:val="18"/>
                <w:szCs w:val="18"/>
              </w:rPr>
            </w:pPr>
            <w:r>
              <w:rPr>
                <w:rFonts w:hint="eastAsia" w:ascii="宋体" w:hAnsi="宋体" w:cs="宋体"/>
                <w:color w:val="auto"/>
                <w:sz w:val="18"/>
                <w:szCs w:val="18"/>
              </w:rPr>
              <w:t>消防泵出水管路</w:t>
            </w:r>
            <w:r>
              <w:rPr>
                <w:rFonts w:ascii="宋体" w:cs="宋体"/>
                <w:color w:val="auto"/>
                <w:sz w:val="18"/>
                <w:szCs w:val="18"/>
              </w:rPr>
              <w:t>----------------</w:t>
            </w:r>
            <w:r>
              <w:rPr>
                <w:rFonts w:ascii="宋体" w:hAnsi="宋体" w:cs="宋体"/>
                <w:color w:val="auto"/>
                <w:sz w:val="18"/>
                <w:szCs w:val="18"/>
              </w:rPr>
              <w:t>R03</w:t>
            </w:r>
            <w:r>
              <w:rPr>
                <w:rFonts w:hint="eastAsia" w:ascii="宋体" w:hAnsi="宋体" w:cs="宋体"/>
                <w:color w:val="auto"/>
                <w:sz w:val="18"/>
                <w:szCs w:val="18"/>
              </w:rPr>
              <w:t>大红色</w:t>
            </w:r>
          </w:p>
          <w:p w14:paraId="1417D0F9">
            <w:pPr>
              <w:spacing w:line="300" w:lineRule="exact"/>
              <w:jc w:val="left"/>
              <w:rPr>
                <w:rFonts w:ascii="宋体"/>
                <w:color w:val="auto"/>
                <w:sz w:val="18"/>
                <w:szCs w:val="18"/>
              </w:rPr>
            </w:pPr>
            <w:r>
              <w:rPr>
                <w:rFonts w:hint="eastAsia" w:ascii="宋体" w:hAnsi="宋体" w:cs="宋体"/>
                <w:color w:val="auto"/>
                <w:sz w:val="18"/>
                <w:szCs w:val="18"/>
              </w:rPr>
              <w:t>泡沫液管路</w:t>
            </w:r>
            <w:r>
              <w:rPr>
                <w:rFonts w:ascii="宋体" w:cs="宋体"/>
                <w:color w:val="auto"/>
                <w:sz w:val="18"/>
                <w:szCs w:val="18"/>
              </w:rPr>
              <w:t>--------------------</w:t>
            </w:r>
            <w:r>
              <w:rPr>
                <w:rFonts w:ascii="宋体" w:hAnsi="宋体" w:cs="宋体"/>
                <w:color w:val="auto"/>
                <w:sz w:val="18"/>
                <w:szCs w:val="18"/>
              </w:rPr>
              <w:t>Y08</w:t>
            </w:r>
            <w:r>
              <w:rPr>
                <w:rFonts w:hint="eastAsia" w:ascii="宋体" w:hAnsi="宋体" w:cs="宋体"/>
                <w:color w:val="auto"/>
                <w:sz w:val="18"/>
                <w:szCs w:val="18"/>
              </w:rPr>
              <w:t>深黄色</w:t>
            </w:r>
          </w:p>
        </w:tc>
      </w:tr>
      <w:tr w14:paraId="338C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C2015B4">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72F08EDD">
            <w:pPr>
              <w:spacing w:line="300" w:lineRule="exact"/>
              <w:jc w:val="left"/>
              <w:rPr>
                <w:rFonts w:ascii="宋体"/>
                <w:color w:val="auto"/>
                <w:sz w:val="18"/>
                <w:szCs w:val="18"/>
              </w:rPr>
            </w:pPr>
            <w:r>
              <w:rPr>
                <w:rFonts w:hint="eastAsia" w:ascii="宋体" w:hAnsi="宋体" w:cs="宋体"/>
                <w:color w:val="auto"/>
                <w:sz w:val="18"/>
                <w:szCs w:val="18"/>
              </w:rPr>
              <w:t>标识：所有仪表及开关、按钮均配有醒目的中文标识和指示方向，并在车载设备的显眼处均有永久性操作说明及警告标识，在所有器材的放置位置标注器材名称。</w:t>
            </w:r>
          </w:p>
        </w:tc>
      </w:tr>
      <w:tr w14:paraId="04B8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4A2CCF6">
            <w:pPr>
              <w:numPr>
                <w:ilvl w:val="0"/>
                <w:numId w:val="28"/>
              </w:numPr>
              <w:adjustRightInd w:val="0"/>
              <w:snapToGrid w:val="0"/>
              <w:spacing w:line="300" w:lineRule="exact"/>
              <w:jc w:val="left"/>
              <w:rPr>
                <w:rFonts w:ascii="宋体"/>
                <w:color w:val="auto"/>
                <w:sz w:val="18"/>
                <w:szCs w:val="18"/>
              </w:rPr>
            </w:pPr>
          </w:p>
        </w:tc>
        <w:tc>
          <w:tcPr>
            <w:tcW w:w="8755" w:type="dxa"/>
            <w:vAlign w:val="center"/>
          </w:tcPr>
          <w:p w14:paraId="4D1FF385">
            <w:pPr>
              <w:spacing w:line="300" w:lineRule="exact"/>
              <w:jc w:val="left"/>
              <w:rPr>
                <w:rFonts w:ascii="宋体"/>
                <w:color w:val="auto"/>
                <w:sz w:val="18"/>
                <w:szCs w:val="18"/>
              </w:rPr>
            </w:pPr>
            <w:r>
              <w:rPr>
                <w:rFonts w:hint="eastAsia" w:ascii="宋体" w:hAnsi="宋体" w:cs="宋体"/>
                <w:color w:val="auto"/>
                <w:sz w:val="18"/>
                <w:szCs w:val="18"/>
              </w:rPr>
              <w:t>符合</w:t>
            </w:r>
            <w:r>
              <w:rPr>
                <w:rFonts w:ascii="宋体" w:hAnsi="宋体" w:cs="宋体"/>
                <w:color w:val="auto"/>
                <w:sz w:val="18"/>
                <w:szCs w:val="18"/>
              </w:rPr>
              <w:t>GB7258-2017</w:t>
            </w:r>
            <w:r>
              <w:rPr>
                <w:rFonts w:hint="eastAsia" w:ascii="宋体" w:hAnsi="宋体" w:cs="宋体"/>
                <w:color w:val="auto"/>
                <w:sz w:val="18"/>
                <w:szCs w:val="18"/>
              </w:rPr>
              <w:t>规定的</w:t>
            </w:r>
            <w:r>
              <w:rPr>
                <w:rFonts w:ascii="宋体" w:hAnsi="宋体" w:cs="宋体"/>
                <w:color w:val="auto"/>
                <w:sz w:val="18"/>
                <w:szCs w:val="18"/>
              </w:rPr>
              <w:t>GB/T3181</w:t>
            </w:r>
            <w:r>
              <w:rPr>
                <w:rFonts w:hint="eastAsia" w:ascii="宋体" w:hAnsi="宋体" w:cs="宋体"/>
                <w:color w:val="auto"/>
                <w:sz w:val="18"/>
                <w:szCs w:val="18"/>
              </w:rPr>
              <w:t>《漆膜颜色标准》中</w:t>
            </w:r>
            <w:r>
              <w:rPr>
                <w:rFonts w:ascii="宋体" w:hAnsi="宋体" w:cs="宋体"/>
                <w:color w:val="auto"/>
                <w:sz w:val="18"/>
                <w:szCs w:val="18"/>
              </w:rPr>
              <w:t>R03</w:t>
            </w:r>
            <w:r>
              <w:rPr>
                <w:rFonts w:hint="eastAsia" w:ascii="宋体" w:hAnsi="宋体" w:cs="宋体"/>
                <w:color w:val="auto"/>
                <w:sz w:val="18"/>
                <w:szCs w:val="18"/>
              </w:rPr>
              <w:t>大红色。</w:t>
            </w:r>
          </w:p>
        </w:tc>
      </w:tr>
      <w:tr w14:paraId="77BB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3788A57C">
            <w:pPr>
              <w:adjustRightInd w:val="0"/>
              <w:snapToGrid w:val="0"/>
              <w:spacing w:line="300" w:lineRule="exact"/>
              <w:jc w:val="left"/>
              <w:rPr>
                <w:rFonts w:ascii="宋体"/>
                <w:color w:val="auto"/>
                <w:sz w:val="18"/>
                <w:szCs w:val="18"/>
              </w:rPr>
            </w:pPr>
            <w:r>
              <w:rPr>
                <w:rFonts w:hint="eastAsia" w:ascii="宋体" w:hAnsi="宋体" w:cs="宋体"/>
                <w:color w:val="auto"/>
                <w:sz w:val="18"/>
                <w:szCs w:val="18"/>
              </w:rPr>
              <w:t>（二十三）总体技术标准和要求</w:t>
            </w:r>
          </w:p>
        </w:tc>
      </w:tr>
      <w:tr w14:paraId="40D8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F770E2E">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38D81368">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所有操作开关、仪表、器材架及车辆均有符合规范的铭牌标志；</w:t>
            </w:r>
          </w:p>
        </w:tc>
      </w:tr>
      <w:tr w14:paraId="183A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FB5384B">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297CCEF0">
            <w:pPr>
              <w:spacing w:line="300" w:lineRule="exact"/>
              <w:jc w:val="left"/>
              <w:rPr>
                <w:rFonts w:ascii="宋体" w:hAnsi="宋体" w:cs="宋体"/>
                <w:color w:val="auto"/>
                <w:sz w:val="18"/>
                <w:szCs w:val="18"/>
              </w:rPr>
            </w:pPr>
            <w:r>
              <w:rPr>
                <w:rFonts w:hint="eastAsia" w:ascii="宋体" w:hAnsi="宋体" w:cs="宋体"/>
                <w:color w:val="auto"/>
                <w:sz w:val="18"/>
                <w:szCs w:val="18"/>
              </w:rPr>
              <w:t>整车性能符合GB1589</w:t>
            </w:r>
            <w:r>
              <w:rPr>
                <w:rFonts w:ascii="宋体" w:hAnsi="宋体" w:cs="宋体"/>
                <w:color w:val="auto"/>
                <w:sz w:val="18"/>
                <w:szCs w:val="18"/>
              </w:rPr>
              <w:t>-2016</w:t>
            </w:r>
            <w:r>
              <w:rPr>
                <w:rFonts w:hint="eastAsia" w:ascii="宋体" w:hAnsi="宋体" w:cs="宋体"/>
                <w:color w:val="auto"/>
                <w:sz w:val="18"/>
                <w:szCs w:val="18"/>
              </w:rPr>
              <w:t>《道路车辆外廓尺寸、轴荷及质量限值》的规定；</w:t>
            </w:r>
          </w:p>
        </w:tc>
      </w:tr>
      <w:tr w14:paraId="09D9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5B1E9ED">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5FB28792">
            <w:pPr>
              <w:spacing w:line="300" w:lineRule="exact"/>
              <w:jc w:val="left"/>
              <w:rPr>
                <w:rFonts w:ascii="宋体"/>
                <w:color w:val="auto"/>
                <w:sz w:val="18"/>
                <w:szCs w:val="18"/>
              </w:rPr>
            </w:pPr>
            <w:r>
              <w:rPr>
                <w:rFonts w:hint="eastAsia" w:ascii="宋体" w:hAnsi="宋体" w:cs="宋体"/>
                <w:color w:val="auto"/>
                <w:sz w:val="18"/>
                <w:szCs w:val="18"/>
              </w:rPr>
              <w:t>整车消防性能符合</w:t>
            </w:r>
            <w:r>
              <w:rPr>
                <w:rFonts w:ascii="宋体" w:hAnsi="宋体" w:cs="宋体"/>
                <w:color w:val="auto"/>
                <w:sz w:val="18"/>
                <w:szCs w:val="18"/>
              </w:rPr>
              <w:t>GB7956.1-2014</w:t>
            </w:r>
            <w:r>
              <w:rPr>
                <w:rFonts w:hint="eastAsia" w:ascii="宋体" w:hAnsi="宋体" w:cs="宋体"/>
                <w:color w:val="auto"/>
                <w:sz w:val="18"/>
                <w:szCs w:val="18"/>
              </w:rPr>
              <w:t>《消防车</w:t>
            </w:r>
            <w:r>
              <w:rPr>
                <w:rFonts w:ascii="宋体" w:hAnsi="宋体" w:cs="宋体"/>
                <w:color w:val="auto"/>
                <w:sz w:val="18"/>
                <w:szCs w:val="18"/>
              </w:rPr>
              <w:t xml:space="preserve"> </w:t>
            </w:r>
            <w:r>
              <w:rPr>
                <w:rFonts w:hint="eastAsia" w:ascii="宋体" w:hAnsi="宋体" w:cs="宋体"/>
                <w:color w:val="auto"/>
                <w:sz w:val="18"/>
                <w:szCs w:val="18"/>
              </w:rPr>
              <w:t>第</w:t>
            </w:r>
            <w:r>
              <w:rPr>
                <w:rFonts w:ascii="宋体" w:hAnsi="宋体" w:cs="宋体"/>
                <w:color w:val="auto"/>
                <w:sz w:val="18"/>
                <w:szCs w:val="18"/>
              </w:rPr>
              <w:t>1</w:t>
            </w:r>
            <w:r>
              <w:rPr>
                <w:rFonts w:hint="eastAsia" w:ascii="宋体" w:hAnsi="宋体" w:cs="宋体"/>
                <w:color w:val="auto"/>
                <w:sz w:val="18"/>
                <w:szCs w:val="18"/>
              </w:rPr>
              <w:t>部分：通用技术条件》的规定和</w:t>
            </w:r>
            <w:r>
              <w:rPr>
                <w:rFonts w:ascii="宋体" w:hAnsi="宋体" w:cs="宋体"/>
                <w:color w:val="auto"/>
                <w:sz w:val="18"/>
                <w:szCs w:val="18"/>
              </w:rPr>
              <w:t>GB6245-2006</w:t>
            </w:r>
            <w:r>
              <w:rPr>
                <w:rFonts w:hint="eastAsia" w:ascii="宋体" w:hAnsi="宋体" w:cs="宋体"/>
                <w:color w:val="auto"/>
                <w:sz w:val="18"/>
                <w:szCs w:val="18"/>
              </w:rPr>
              <w:t>《消防泵》及GB19156-2019《消防炮通用技术条件》的规定，还要符合</w:t>
            </w:r>
            <w:r>
              <w:rPr>
                <w:rFonts w:ascii="宋体" w:hAnsi="宋体" w:cs="宋体"/>
                <w:color w:val="auto"/>
                <w:sz w:val="18"/>
                <w:szCs w:val="18"/>
              </w:rPr>
              <w:t>GB7956.</w:t>
            </w:r>
            <w:r>
              <w:rPr>
                <w:rFonts w:hint="eastAsia" w:ascii="宋体" w:hAnsi="宋体" w:cs="宋体"/>
                <w:color w:val="auto"/>
                <w:sz w:val="18"/>
                <w:szCs w:val="18"/>
              </w:rPr>
              <w:t>3</w:t>
            </w:r>
            <w:r>
              <w:rPr>
                <w:rFonts w:ascii="宋体" w:hAnsi="宋体" w:cs="宋体"/>
                <w:color w:val="auto"/>
                <w:sz w:val="18"/>
                <w:szCs w:val="18"/>
              </w:rPr>
              <w:t>-2014</w:t>
            </w:r>
            <w:r>
              <w:rPr>
                <w:rFonts w:hint="eastAsia" w:ascii="宋体" w:hAnsi="宋体" w:cs="宋体"/>
                <w:color w:val="auto"/>
                <w:sz w:val="18"/>
                <w:szCs w:val="18"/>
              </w:rPr>
              <w:t>《消防车</w:t>
            </w:r>
            <w:r>
              <w:rPr>
                <w:rFonts w:ascii="宋体" w:hAnsi="宋体" w:cs="宋体"/>
                <w:color w:val="auto"/>
                <w:sz w:val="18"/>
                <w:szCs w:val="18"/>
              </w:rPr>
              <w:t xml:space="preserve"> </w:t>
            </w:r>
            <w:r>
              <w:rPr>
                <w:rFonts w:hint="eastAsia" w:ascii="宋体" w:hAnsi="宋体" w:cs="宋体"/>
                <w:color w:val="auto"/>
                <w:sz w:val="18"/>
                <w:szCs w:val="18"/>
              </w:rPr>
              <w:t>第3部分：泡沫消防车》的规定；</w:t>
            </w:r>
          </w:p>
        </w:tc>
      </w:tr>
      <w:tr w14:paraId="2849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442A8D8">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01ED9840">
            <w:pPr>
              <w:spacing w:line="300" w:lineRule="exact"/>
              <w:jc w:val="left"/>
              <w:rPr>
                <w:rFonts w:ascii="宋体" w:hAnsi="宋体" w:cs="宋体"/>
                <w:color w:val="auto"/>
                <w:sz w:val="18"/>
                <w:szCs w:val="18"/>
              </w:rPr>
            </w:pPr>
            <w:r>
              <w:rPr>
                <w:rFonts w:hint="eastAsia" w:ascii="宋体" w:hAnsi="宋体" w:cs="宋体"/>
                <w:color w:val="auto"/>
                <w:sz w:val="18"/>
                <w:szCs w:val="18"/>
              </w:rPr>
              <w:t>整车消防性能符合</w:t>
            </w:r>
            <w:r>
              <w:rPr>
                <w:rFonts w:ascii="宋体" w:hAnsi="宋体" w:cs="宋体"/>
                <w:color w:val="auto"/>
                <w:sz w:val="18"/>
                <w:szCs w:val="18"/>
              </w:rPr>
              <w:t>GB7956.</w:t>
            </w:r>
            <w:r>
              <w:rPr>
                <w:rFonts w:hint="eastAsia" w:ascii="宋体" w:hAnsi="宋体" w:cs="宋体"/>
                <w:color w:val="auto"/>
                <w:sz w:val="18"/>
                <w:szCs w:val="18"/>
              </w:rPr>
              <w:t>12</w:t>
            </w:r>
            <w:r>
              <w:rPr>
                <w:rFonts w:ascii="宋体" w:hAnsi="宋体" w:cs="宋体"/>
                <w:color w:val="auto"/>
                <w:sz w:val="18"/>
                <w:szCs w:val="18"/>
              </w:rPr>
              <w:t>-2015</w:t>
            </w:r>
            <w:r>
              <w:rPr>
                <w:rFonts w:hint="eastAsia" w:ascii="宋体" w:hAnsi="宋体" w:cs="宋体"/>
                <w:color w:val="auto"/>
                <w:sz w:val="18"/>
                <w:szCs w:val="18"/>
              </w:rPr>
              <w:t>《消防车</w:t>
            </w:r>
            <w:r>
              <w:rPr>
                <w:rFonts w:ascii="宋体" w:hAnsi="宋体" w:cs="宋体"/>
                <w:color w:val="auto"/>
                <w:sz w:val="18"/>
                <w:szCs w:val="18"/>
              </w:rPr>
              <w:t xml:space="preserve"> </w:t>
            </w:r>
            <w:r>
              <w:rPr>
                <w:rFonts w:hint="eastAsia" w:ascii="宋体" w:hAnsi="宋体" w:cs="宋体"/>
                <w:color w:val="auto"/>
                <w:sz w:val="18"/>
                <w:szCs w:val="18"/>
              </w:rPr>
              <w:t>第12部分：举高消防车》的规定；</w:t>
            </w:r>
          </w:p>
        </w:tc>
      </w:tr>
      <w:tr w14:paraId="3983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896A44C">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4A6E8ED6">
            <w:pPr>
              <w:spacing w:line="300" w:lineRule="exact"/>
              <w:jc w:val="left"/>
              <w:rPr>
                <w:rFonts w:ascii="宋体" w:hAnsi="宋体" w:cs="宋体"/>
                <w:color w:val="auto"/>
                <w:sz w:val="18"/>
                <w:szCs w:val="18"/>
              </w:rPr>
            </w:pPr>
            <w:r>
              <w:rPr>
                <w:rFonts w:hint="eastAsia" w:ascii="宋体" w:hAnsi="宋体" w:cs="宋体"/>
                <w:color w:val="auto"/>
                <w:sz w:val="18"/>
                <w:szCs w:val="18"/>
              </w:rPr>
              <w:t>机动车运行安全符合GB7258</w:t>
            </w:r>
            <w:r>
              <w:rPr>
                <w:rFonts w:ascii="宋体" w:hAnsi="宋体" w:cs="宋体"/>
                <w:color w:val="auto"/>
                <w:sz w:val="18"/>
                <w:szCs w:val="18"/>
              </w:rPr>
              <w:t>-2017</w:t>
            </w:r>
            <w:r>
              <w:rPr>
                <w:rFonts w:hint="eastAsia" w:ascii="宋体" w:hAnsi="宋体" w:cs="宋体"/>
                <w:color w:val="auto"/>
                <w:sz w:val="18"/>
                <w:szCs w:val="18"/>
              </w:rPr>
              <w:t>《机动车运行安全技术条件》的规定；</w:t>
            </w:r>
          </w:p>
        </w:tc>
      </w:tr>
      <w:tr w14:paraId="4C07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F1EF75A">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71210FF8">
            <w:pPr>
              <w:spacing w:line="300" w:lineRule="exact"/>
              <w:jc w:val="left"/>
              <w:rPr>
                <w:rFonts w:ascii="宋体" w:hAnsi="宋体" w:cs="宋体"/>
                <w:color w:val="auto"/>
                <w:sz w:val="18"/>
                <w:szCs w:val="18"/>
              </w:rPr>
            </w:pPr>
            <w:r>
              <w:rPr>
                <w:rFonts w:hint="eastAsia" w:ascii="宋体" w:hAnsi="宋体" w:cs="宋体"/>
                <w:color w:val="auto"/>
                <w:sz w:val="18"/>
                <w:szCs w:val="18"/>
              </w:rPr>
              <w:t>整车标志灯具符合GB13954-2009《警车、消防车、救护车、工程救险车标志灯具》的规定；</w:t>
            </w:r>
          </w:p>
        </w:tc>
      </w:tr>
      <w:tr w14:paraId="00CD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A1B2F40">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76A6DC16">
            <w:pPr>
              <w:spacing w:line="300" w:lineRule="exact"/>
              <w:jc w:val="left"/>
              <w:rPr>
                <w:rFonts w:ascii="宋体" w:hAnsi="宋体" w:cs="宋体"/>
                <w:color w:val="auto"/>
                <w:sz w:val="18"/>
                <w:szCs w:val="18"/>
              </w:rPr>
            </w:pPr>
            <w:r>
              <w:rPr>
                <w:rFonts w:hint="eastAsia" w:ascii="宋体" w:hAnsi="宋体" w:cs="宋体"/>
                <w:color w:val="auto"/>
                <w:sz w:val="18"/>
                <w:szCs w:val="18"/>
              </w:rPr>
              <w:t>整车防护要求符合GB11567-2017《汽车及挂车侧面和后下部防护要求》的规定；</w:t>
            </w:r>
          </w:p>
        </w:tc>
      </w:tr>
      <w:tr w14:paraId="45B5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3D3F82E">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6C9A7852">
            <w:pPr>
              <w:tabs>
                <w:tab w:val="left" w:pos="980"/>
              </w:tabs>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整车技术条件符合应急管理部XF39</w:t>
            </w:r>
            <w:r>
              <w:rPr>
                <w:rFonts w:ascii="宋体" w:hAnsi="宋体" w:cs="宋体"/>
                <w:color w:val="auto"/>
                <w:sz w:val="18"/>
                <w:szCs w:val="18"/>
              </w:rPr>
              <w:t>-2016</w:t>
            </w:r>
            <w:r>
              <w:rPr>
                <w:rFonts w:hint="eastAsia" w:ascii="宋体" w:hAnsi="宋体" w:cs="宋体"/>
                <w:color w:val="auto"/>
                <w:sz w:val="18"/>
                <w:szCs w:val="18"/>
              </w:rPr>
              <w:t>《消防车 消防要求和试验方法》的规定；</w:t>
            </w:r>
          </w:p>
        </w:tc>
      </w:tr>
      <w:tr w14:paraId="3C31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40ABD4EF">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51E2F063">
            <w:pPr>
              <w:tabs>
                <w:tab w:val="left" w:pos="980"/>
              </w:tabs>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整车警报器要求符合GB8108-1999《车用电子警报器》的规定；</w:t>
            </w:r>
          </w:p>
        </w:tc>
      </w:tr>
      <w:tr w14:paraId="50CD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BFEE9B3">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23004EFF">
            <w:pPr>
              <w:tabs>
                <w:tab w:val="left" w:pos="980"/>
              </w:tabs>
              <w:adjustRightInd w:val="0"/>
              <w:snapToGrid w:val="0"/>
              <w:spacing w:line="300" w:lineRule="exact"/>
              <w:jc w:val="left"/>
              <w:rPr>
                <w:rFonts w:ascii="宋体" w:hAnsi="宋体" w:cs="宋体"/>
                <w:color w:val="auto"/>
                <w:sz w:val="18"/>
                <w:szCs w:val="18"/>
              </w:rPr>
            </w:pPr>
            <w:r>
              <w:rPr>
                <w:rFonts w:hint="eastAsia" w:ascii="宋体" w:hAnsi="宋体" w:cs="宋体"/>
                <w:color w:val="auto"/>
                <w:sz w:val="18"/>
                <w:szCs w:val="18"/>
              </w:rPr>
              <w:t>照明和信号符合GB4785</w:t>
            </w:r>
            <w:r>
              <w:rPr>
                <w:rFonts w:ascii="宋体" w:hAnsi="宋体" w:cs="宋体"/>
                <w:color w:val="auto"/>
                <w:sz w:val="18"/>
                <w:szCs w:val="18"/>
              </w:rPr>
              <w:t>-2019</w:t>
            </w:r>
            <w:r>
              <w:rPr>
                <w:rFonts w:hint="eastAsia" w:ascii="宋体" w:hAnsi="宋体" w:cs="宋体"/>
                <w:color w:val="auto"/>
                <w:sz w:val="18"/>
                <w:szCs w:val="18"/>
              </w:rPr>
              <w:t>《汽车及挂车外部照明和信号装置的安装规定》；</w:t>
            </w:r>
          </w:p>
        </w:tc>
      </w:tr>
      <w:tr w14:paraId="319E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6C8F3982">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686A09D1">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所有粘接保证一定的强度，符合国家相关标准；</w:t>
            </w:r>
          </w:p>
        </w:tc>
      </w:tr>
      <w:tr w14:paraId="39ED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9C6B549">
            <w:pPr>
              <w:numPr>
                <w:ilvl w:val="0"/>
                <w:numId w:val="29"/>
              </w:numPr>
              <w:adjustRightInd w:val="0"/>
              <w:snapToGrid w:val="0"/>
              <w:spacing w:line="300" w:lineRule="exact"/>
              <w:jc w:val="left"/>
              <w:rPr>
                <w:rFonts w:ascii="宋体"/>
                <w:color w:val="auto"/>
                <w:sz w:val="18"/>
                <w:szCs w:val="18"/>
              </w:rPr>
            </w:pPr>
          </w:p>
        </w:tc>
        <w:tc>
          <w:tcPr>
            <w:tcW w:w="8755" w:type="dxa"/>
            <w:vAlign w:val="center"/>
          </w:tcPr>
          <w:p w14:paraId="6FCF5976">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所有焊接牢固、光洁、平整、无锈迹，符合国家相关标准。</w:t>
            </w:r>
          </w:p>
        </w:tc>
      </w:tr>
      <w:tr w14:paraId="220E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4" w:type="dxa"/>
            <w:gridSpan w:val="3"/>
            <w:vAlign w:val="center"/>
          </w:tcPr>
          <w:p w14:paraId="7DC65DA3">
            <w:pPr>
              <w:tabs>
                <w:tab w:val="left" w:pos="980"/>
              </w:tabs>
              <w:adjustRightInd w:val="0"/>
              <w:snapToGrid w:val="0"/>
              <w:spacing w:line="300" w:lineRule="exact"/>
              <w:jc w:val="left"/>
              <w:rPr>
                <w:rFonts w:ascii="宋体"/>
                <w:color w:val="auto"/>
                <w:sz w:val="18"/>
                <w:szCs w:val="18"/>
              </w:rPr>
            </w:pPr>
            <w:r>
              <w:rPr>
                <w:rFonts w:hint="eastAsia" w:ascii="宋体" w:hAnsi="宋体" w:cs="宋体"/>
                <w:color w:val="auto"/>
                <w:sz w:val="18"/>
                <w:szCs w:val="18"/>
              </w:rPr>
              <w:t>（二十四）随车文件</w:t>
            </w:r>
          </w:p>
        </w:tc>
      </w:tr>
      <w:tr w14:paraId="46F3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79BA3C6">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6DA09B54">
            <w:pPr>
              <w:spacing w:line="300" w:lineRule="exact"/>
              <w:jc w:val="left"/>
              <w:rPr>
                <w:rFonts w:ascii="宋体"/>
                <w:color w:val="auto"/>
                <w:sz w:val="18"/>
                <w:szCs w:val="18"/>
              </w:rPr>
            </w:pPr>
            <w:r>
              <w:rPr>
                <w:rFonts w:hint="eastAsia" w:ascii="宋体" w:hAnsi="宋体" w:cs="宋体"/>
                <w:color w:val="auto"/>
                <w:sz w:val="18"/>
                <w:szCs w:val="18"/>
              </w:rPr>
              <w:t>产品使用维护说明书（中文）1份</w:t>
            </w:r>
          </w:p>
        </w:tc>
      </w:tr>
      <w:tr w14:paraId="5213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C059F61">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0FC16B60">
            <w:pPr>
              <w:spacing w:line="300" w:lineRule="exact"/>
              <w:jc w:val="left"/>
              <w:rPr>
                <w:rFonts w:ascii="宋体"/>
                <w:color w:val="auto"/>
                <w:sz w:val="18"/>
                <w:szCs w:val="18"/>
              </w:rPr>
            </w:pPr>
            <w:r>
              <w:rPr>
                <w:rFonts w:hint="eastAsia" w:ascii="宋体" w:hAnsi="宋体" w:cs="宋体"/>
                <w:color w:val="auto"/>
                <w:sz w:val="18"/>
                <w:szCs w:val="18"/>
              </w:rPr>
              <w:t>底盘使用说明书（中文）1份</w:t>
            </w:r>
          </w:p>
        </w:tc>
      </w:tr>
      <w:tr w14:paraId="74D8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59EDFE46">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5291B263">
            <w:pPr>
              <w:spacing w:line="300" w:lineRule="exact"/>
              <w:jc w:val="left"/>
              <w:rPr>
                <w:rFonts w:ascii="宋体"/>
                <w:color w:val="auto"/>
                <w:sz w:val="18"/>
                <w:szCs w:val="18"/>
              </w:rPr>
            </w:pPr>
            <w:r>
              <w:rPr>
                <w:rFonts w:hint="eastAsia" w:ascii="宋体" w:hAnsi="宋体" w:cs="宋体"/>
                <w:color w:val="auto"/>
                <w:sz w:val="18"/>
                <w:szCs w:val="18"/>
              </w:rPr>
              <w:t>装箱单1份</w:t>
            </w:r>
          </w:p>
        </w:tc>
      </w:tr>
      <w:tr w14:paraId="5A19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3BF9B5E3">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5CE9E665">
            <w:pPr>
              <w:spacing w:line="300" w:lineRule="exact"/>
              <w:jc w:val="left"/>
              <w:rPr>
                <w:rFonts w:ascii="宋体"/>
                <w:color w:val="auto"/>
                <w:sz w:val="18"/>
                <w:szCs w:val="18"/>
              </w:rPr>
            </w:pPr>
            <w:r>
              <w:rPr>
                <w:rFonts w:hint="eastAsia" w:ascii="宋体" w:hAnsi="宋体" w:cs="宋体"/>
                <w:color w:val="auto"/>
                <w:sz w:val="18"/>
                <w:szCs w:val="18"/>
              </w:rPr>
              <w:t>消防车保修手册1份</w:t>
            </w:r>
          </w:p>
        </w:tc>
      </w:tr>
      <w:tr w14:paraId="1862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73EA19D4">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0E5A48BB">
            <w:pPr>
              <w:spacing w:line="300" w:lineRule="exact"/>
              <w:jc w:val="left"/>
              <w:rPr>
                <w:rFonts w:ascii="宋体"/>
                <w:color w:val="auto"/>
                <w:sz w:val="18"/>
                <w:szCs w:val="18"/>
              </w:rPr>
            </w:pPr>
            <w:r>
              <w:rPr>
                <w:rFonts w:hint="eastAsia" w:ascii="宋体" w:hAnsi="宋体" w:cs="宋体"/>
                <w:color w:val="auto"/>
                <w:sz w:val="18"/>
                <w:szCs w:val="18"/>
              </w:rPr>
              <w:t>底盘合格证、整车合格证各1份</w:t>
            </w:r>
          </w:p>
        </w:tc>
      </w:tr>
      <w:tr w14:paraId="6F4E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9D5C0BC">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480DD705">
            <w:pPr>
              <w:spacing w:line="300" w:lineRule="exact"/>
              <w:jc w:val="left"/>
              <w:rPr>
                <w:rFonts w:ascii="宋体"/>
                <w:color w:val="auto"/>
                <w:sz w:val="18"/>
                <w:szCs w:val="18"/>
              </w:rPr>
            </w:pPr>
            <w:r>
              <w:rPr>
                <w:rFonts w:hint="eastAsia" w:ascii="宋体" w:hAnsi="宋体" w:cs="宋体"/>
                <w:color w:val="auto"/>
                <w:sz w:val="18"/>
                <w:szCs w:val="18"/>
              </w:rPr>
              <w:t>发动机号码拓印件2份</w:t>
            </w:r>
          </w:p>
        </w:tc>
      </w:tr>
      <w:tr w14:paraId="7DF9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141B92D1">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6B86A8A5">
            <w:pPr>
              <w:spacing w:line="300" w:lineRule="exact"/>
              <w:jc w:val="left"/>
              <w:rPr>
                <w:rFonts w:ascii="宋体"/>
                <w:color w:val="auto"/>
                <w:sz w:val="18"/>
                <w:szCs w:val="18"/>
              </w:rPr>
            </w:pPr>
            <w:r>
              <w:rPr>
                <w:rFonts w:hint="eastAsia" w:ascii="宋体" w:hAnsi="宋体" w:cs="宋体"/>
                <w:color w:val="auto"/>
                <w:sz w:val="18"/>
                <w:szCs w:val="18"/>
              </w:rPr>
              <w:t>底盘号码拓印件2份</w:t>
            </w:r>
          </w:p>
        </w:tc>
      </w:tr>
      <w:tr w14:paraId="14DE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298A45FA">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7498808B">
            <w:pPr>
              <w:spacing w:line="300" w:lineRule="exact"/>
              <w:jc w:val="left"/>
              <w:rPr>
                <w:rFonts w:ascii="宋体"/>
                <w:color w:val="auto"/>
                <w:sz w:val="18"/>
                <w:szCs w:val="18"/>
              </w:rPr>
            </w:pPr>
            <w:r>
              <w:rPr>
                <w:rFonts w:hint="eastAsia" w:ascii="宋体" w:hAnsi="宋体" w:cs="宋体"/>
                <w:color w:val="auto"/>
                <w:sz w:val="18"/>
                <w:szCs w:val="18"/>
              </w:rPr>
              <w:t>用户满意度调查表1份</w:t>
            </w:r>
          </w:p>
        </w:tc>
      </w:tr>
      <w:tr w14:paraId="1796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gridSpan w:val="2"/>
            <w:vAlign w:val="center"/>
          </w:tcPr>
          <w:p w14:paraId="0D976E09">
            <w:pPr>
              <w:numPr>
                <w:ilvl w:val="0"/>
                <w:numId w:val="30"/>
              </w:numPr>
              <w:adjustRightInd w:val="0"/>
              <w:snapToGrid w:val="0"/>
              <w:spacing w:line="300" w:lineRule="exact"/>
              <w:jc w:val="left"/>
              <w:rPr>
                <w:rFonts w:ascii="宋体"/>
                <w:color w:val="auto"/>
                <w:sz w:val="18"/>
                <w:szCs w:val="18"/>
              </w:rPr>
            </w:pPr>
          </w:p>
        </w:tc>
        <w:tc>
          <w:tcPr>
            <w:tcW w:w="8755" w:type="dxa"/>
            <w:vAlign w:val="center"/>
          </w:tcPr>
          <w:p w14:paraId="6F874BF9">
            <w:pPr>
              <w:spacing w:line="300" w:lineRule="exact"/>
              <w:jc w:val="left"/>
              <w:rPr>
                <w:rFonts w:ascii="宋体"/>
                <w:color w:val="auto"/>
                <w:sz w:val="18"/>
                <w:szCs w:val="18"/>
              </w:rPr>
            </w:pPr>
            <w:r>
              <w:rPr>
                <w:rFonts w:hint="eastAsia" w:ascii="宋体" w:hAnsi="宋体" w:cs="宋体"/>
                <w:color w:val="auto"/>
                <w:sz w:val="18"/>
                <w:szCs w:val="18"/>
              </w:rPr>
              <w:t>消防车交接清单1份</w:t>
            </w:r>
          </w:p>
        </w:tc>
      </w:tr>
      <w:tr w14:paraId="3EAE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4" w:type="dxa"/>
            <w:gridSpan w:val="3"/>
            <w:vAlign w:val="center"/>
          </w:tcPr>
          <w:p w14:paraId="3A98EFC0">
            <w:pPr>
              <w:tabs>
                <w:tab w:val="left" w:pos="980"/>
              </w:tabs>
              <w:adjustRightInd w:val="0"/>
              <w:snapToGrid w:val="0"/>
              <w:spacing w:before="156" w:beforeLines="50" w:after="156" w:afterLines="50" w:line="300" w:lineRule="exact"/>
              <w:rPr>
                <w:rFonts w:ascii="宋体"/>
                <w:color w:val="auto"/>
                <w:sz w:val="18"/>
                <w:szCs w:val="18"/>
              </w:rPr>
            </w:pPr>
            <w:r>
              <w:rPr>
                <w:rFonts w:hint="eastAsia" w:ascii="宋体" w:hAnsi="宋体" w:cs="宋体"/>
                <w:color w:val="auto"/>
                <w:sz w:val="18"/>
                <w:szCs w:val="18"/>
              </w:rPr>
              <w:t>二十五</w:t>
            </w:r>
            <w:r>
              <w:rPr>
                <w:rFonts w:ascii="宋体" w:cs="宋体"/>
                <w:color w:val="auto"/>
                <w:sz w:val="18"/>
                <w:szCs w:val="18"/>
              </w:rPr>
              <w:t>.</w:t>
            </w:r>
            <w:r>
              <w:rPr>
                <w:rFonts w:hint="eastAsia" w:ascii="宋体" w:hAnsi="宋体" w:cs="宋体"/>
                <w:color w:val="auto"/>
                <w:sz w:val="18"/>
                <w:szCs w:val="18"/>
              </w:rPr>
              <w:t>随车器材</w:t>
            </w:r>
          </w:p>
          <w:tbl>
            <w:tblPr>
              <w:tblStyle w:val="40"/>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952"/>
              <w:gridCol w:w="1904"/>
              <w:gridCol w:w="1237"/>
              <w:gridCol w:w="3499"/>
            </w:tblGrid>
            <w:tr w14:paraId="7D3F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6" w:type="pct"/>
                  <w:shd w:val="clear" w:color="auto" w:fill="auto"/>
                  <w:vAlign w:val="center"/>
                </w:tcPr>
                <w:p w14:paraId="0B01D962">
                  <w:pPr>
                    <w:widowControl w:val="0"/>
                    <w:jc w:val="center"/>
                    <w:rPr>
                      <w:rFonts w:ascii="宋体" w:hAnsi="宋体" w:eastAsiaTheme="minorEastAsia" w:cstheme="minorBidi"/>
                      <w:b/>
                      <w:color w:val="auto"/>
                    </w:rPr>
                  </w:pPr>
                  <w:r>
                    <w:rPr>
                      <w:rFonts w:hint="eastAsia" w:ascii="宋体" w:hAnsi="宋体" w:eastAsiaTheme="minorEastAsia" w:cstheme="minorBidi"/>
                      <w:b/>
                      <w:color w:val="auto"/>
                    </w:rPr>
                    <w:t>序号</w:t>
                  </w:r>
                </w:p>
              </w:tc>
              <w:tc>
                <w:tcPr>
                  <w:tcW w:w="1036" w:type="pct"/>
                  <w:shd w:val="clear" w:color="auto" w:fill="auto"/>
                  <w:vAlign w:val="center"/>
                </w:tcPr>
                <w:p w14:paraId="29DA3A1B">
                  <w:pPr>
                    <w:widowControl w:val="0"/>
                    <w:jc w:val="center"/>
                    <w:rPr>
                      <w:rFonts w:asciiTheme="minorHAnsi" w:hAnsiTheme="minorHAnsi" w:eastAsiaTheme="minorEastAsia" w:cstheme="minorBidi"/>
                      <w:b/>
                      <w:color w:val="auto"/>
                    </w:rPr>
                  </w:pPr>
                  <w:r>
                    <w:rPr>
                      <w:rFonts w:hint="eastAsia" w:asciiTheme="minorHAnsi" w:hAnsiTheme="minorHAnsi" w:eastAsiaTheme="minorEastAsia" w:cstheme="minorBidi"/>
                      <w:b/>
                      <w:color w:val="auto"/>
                    </w:rPr>
                    <w:t>规格型号</w:t>
                  </w:r>
                </w:p>
              </w:tc>
              <w:tc>
                <w:tcPr>
                  <w:tcW w:w="1011" w:type="pct"/>
                  <w:shd w:val="clear" w:color="auto" w:fill="auto"/>
                  <w:vAlign w:val="center"/>
                </w:tcPr>
                <w:p w14:paraId="05F92AA7">
                  <w:pPr>
                    <w:widowControl w:val="0"/>
                    <w:jc w:val="center"/>
                    <w:rPr>
                      <w:rFonts w:ascii="宋体" w:hAnsi="宋体" w:eastAsiaTheme="minorEastAsia" w:cstheme="minorBidi"/>
                      <w:b/>
                      <w:color w:val="auto"/>
                    </w:rPr>
                  </w:pPr>
                  <w:r>
                    <w:rPr>
                      <w:rFonts w:hint="eastAsia" w:ascii="宋体" w:hAnsi="宋体" w:eastAsiaTheme="minorEastAsia" w:cstheme="minorBidi"/>
                      <w:b/>
                      <w:color w:val="auto"/>
                    </w:rPr>
                    <w:t>名称</w:t>
                  </w:r>
                </w:p>
              </w:tc>
              <w:tc>
                <w:tcPr>
                  <w:tcW w:w="656" w:type="pct"/>
                  <w:shd w:val="clear" w:color="auto" w:fill="auto"/>
                  <w:vAlign w:val="center"/>
                </w:tcPr>
                <w:p w14:paraId="5967FECD">
                  <w:pPr>
                    <w:widowControl w:val="0"/>
                    <w:jc w:val="center"/>
                    <w:rPr>
                      <w:rFonts w:hint="default" w:ascii="宋体" w:hAnsi="宋体" w:eastAsiaTheme="minorEastAsia" w:cstheme="minorBidi"/>
                      <w:b/>
                      <w:color w:val="auto"/>
                      <w:lang w:val="en-US" w:eastAsia="zh-CN"/>
                    </w:rPr>
                  </w:pPr>
                  <w:r>
                    <w:rPr>
                      <w:rFonts w:hint="eastAsia" w:ascii="宋体" w:hAnsi="宋体" w:eastAsiaTheme="minorEastAsia" w:cstheme="minorBidi"/>
                      <w:b/>
                      <w:color w:val="auto"/>
                    </w:rPr>
                    <w:t>数量</w:t>
                  </w:r>
                  <w:r>
                    <w:rPr>
                      <w:rFonts w:hint="eastAsia" w:ascii="宋体" w:hAnsi="宋体" w:eastAsiaTheme="minorEastAsia" w:cstheme="minorBidi"/>
                      <w:b/>
                      <w:color w:val="auto"/>
                      <w:lang w:val="en-US" w:eastAsia="zh-CN"/>
                    </w:rPr>
                    <w:t>/单位</w:t>
                  </w:r>
                </w:p>
              </w:tc>
              <w:tc>
                <w:tcPr>
                  <w:tcW w:w="1858" w:type="pct"/>
                  <w:shd w:val="clear" w:color="auto" w:fill="auto"/>
                  <w:vAlign w:val="center"/>
                </w:tcPr>
                <w:p w14:paraId="72D0125B">
                  <w:pPr>
                    <w:widowControl w:val="0"/>
                    <w:jc w:val="center"/>
                    <w:rPr>
                      <w:rFonts w:hint="default" w:ascii="宋体" w:hAnsi="宋体" w:eastAsiaTheme="minorEastAsia" w:cstheme="minorBidi"/>
                      <w:b/>
                      <w:color w:val="auto"/>
                      <w:lang w:val="en-US" w:eastAsia="zh-CN"/>
                    </w:rPr>
                  </w:pPr>
                  <w:r>
                    <w:rPr>
                      <w:rFonts w:hint="eastAsia" w:ascii="宋体" w:hAnsi="宋体" w:eastAsiaTheme="minorEastAsia" w:cstheme="minorBidi"/>
                      <w:b/>
                      <w:color w:val="auto"/>
                      <w:lang w:val="en-US" w:eastAsia="zh-CN"/>
                    </w:rPr>
                    <w:t>技术要求</w:t>
                  </w:r>
                </w:p>
              </w:tc>
            </w:tr>
            <w:tr w14:paraId="6AEF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FF720E8">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7C59A2EB">
                  <w:pPr>
                    <w:widowControl w:val="0"/>
                    <w:jc w:val="center"/>
                    <w:rPr>
                      <w:rFonts w:ascii="宋体" w:hAnsi="宋体" w:eastAsiaTheme="minorEastAsia" w:cstheme="minorBidi"/>
                      <w:bCs/>
                      <w:color w:val="auto"/>
                    </w:rPr>
                  </w:pPr>
                </w:p>
              </w:tc>
              <w:tc>
                <w:tcPr>
                  <w:tcW w:w="1011" w:type="pct"/>
                  <w:vAlign w:val="bottom"/>
                </w:tcPr>
                <w:p w14:paraId="09F19E95">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泡沫外吸液管</w:t>
                  </w:r>
                </w:p>
              </w:tc>
              <w:tc>
                <w:tcPr>
                  <w:tcW w:w="656" w:type="pct"/>
                  <w:vAlign w:val="center"/>
                </w:tcPr>
                <w:p w14:paraId="7F11A38B">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根</w:t>
                  </w:r>
                </w:p>
              </w:tc>
              <w:tc>
                <w:tcPr>
                  <w:tcW w:w="1858" w:type="pct"/>
                  <w:vAlign w:val="center"/>
                </w:tcPr>
                <w:p w14:paraId="1581B597">
                  <w:pPr>
                    <w:widowControl w:val="0"/>
                    <w:jc w:val="center"/>
                    <w:rPr>
                      <w:rFonts w:ascii="宋体" w:hAnsi="宋体" w:eastAsiaTheme="minorEastAsia" w:cstheme="minorBidi"/>
                      <w:bCs/>
                      <w:color w:val="auto"/>
                    </w:rPr>
                  </w:pPr>
                </w:p>
              </w:tc>
            </w:tr>
            <w:tr w14:paraId="1B3E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08CA17A">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741030C4">
                  <w:pPr>
                    <w:widowControl w:val="0"/>
                    <w:jc w:val="center"/>
                    <w:rPr>
                      <w:rFonts w:ascii="宋体" w:hAnsi="宋体" w:eastAsiaTheme="minorEastAsia" w:cstheme="minorBidi"/>
                      <w:bCs/>
                      <w:color w:val="auto"/>
                    </w:rPr>
                  </w:pPr>
                </w:p>
              </w:tc>
              <w:tc>
                <w:tcPr>
                  <w:tcW w:w="1011" w:type="pct"/>
                  <w:vAlign w:val="bottom"/>
                </w:tcPr>
                <w:p w14:paraId="744EE8A7">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全身式安全带</w:t>
                  </w:r>
                </w:p>
              </w:tc>
              <w:tc>
                <w:tcPr>
                  <w:tcW w:w="656" w:type="pct"/>
                  <w:vAlign w:val="center"/>
                </w:tcPr>
                <w:p w14:paraId="0C96F162">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4</w:t>
                  </w:r>
                  <w:r>
                    <w:rPr>
                      <w:rFonts w:hint="eastAsia" w:ascii="宋体" w:hAnsi="宋体" w:eastAsiaTheme="minorEastAsia" w:cstheme="minorBidi"/>
                      <w:bCs/>
                      <w:color w:val="auto"/>
                      <w:lang w:val="en-US" w:eastAsia="zh-CN"/>
                    </w:rPr>
                    <w:t>套</w:t>
                  </w:r>
                </w:p>
              </w:tc>
              <w:tc>
                <w:tcPr>
                  <w:tcW w:w="1858" w:type="pct"/>
                  <w:vAlign w:val="center"/>
                </w:tcPr>
                <w:p w14:paraId="0E13C8BE">
                  <w:pPr>
                    <w:widowControl w:val="0"/>
                    <w:jc w:val="center"/>
                    <w:rPr>
                      <w:rFonts w:ascii="宋体" w:hAnsi="宋体" w:eastAsiaTheme="minorEastAsia" w:cstheme="minorBidi"/>
                      <w:bCs/>
                      <w:color w:val="auto"/>
                    </w:rPr>
                  </w:pPr>
                </w:p>
              </w:tc>
            </w:tr>
            <w:tr w14:paraId="213E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E641688">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61ADA18E">
                  <w:pPr>
                    <w:widowControl w:val="0"/>
                    <w:jc w:val="center"/>
                    <w:rPr>
                      <w:rFonts w:ascii="宋体" w:hAnsi="宋体" w:eastAsiaTheme="minorEastAsia" w:cstheme="minorBidi"/>
                      <w:bCs/>
                      <w:color w:val="auto"/>
                    </w:rPr>
                  </w:pPr>
                </w:p>
              </w:tc>
              <w:tc>
                <w:tcPr>
                  <w:tcW w:w="1011" w:type="pct"/>
                  <w:vAlign w:val="bottom"/>
                </w:tcPr>
                <w:p w14:paraId="31CE24CB">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三角警示牌</w:t>
                  </w:r>
                </w:p>
              </w:tc>
              <w:tc>
                <w:tcPr>
                  <w:tcW w:w="656" w:type="pct"/>
                  <w:vAlign w:val="center"/>
                </w:tcPr>
                <w:p w14:paraId="3D24D440">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副</w:t>
                  </w:r>
                </w:p>
              </w:tc>
              <w:tc>
                <w:tcPr>
                  <w:tcW w:w="1858" w:type="pct"/>
                  <w:vAlign w:val="center"/>
                </w:tcPr>
                <w:p w14:paraId="344CD0CF">
                  <w:pPr>
                    <w:widowControl w:val="0"/>
                    <w:jc w:val="center"/>
                    <w:rPr>
                      <w:rFonts w:ascii="宋体" w:hAnsi="宋体" w:eastAsiaTheme="minorEastAsia" w:cstheme="minorBidi"/>
                      <w:bCs/>
                      <w:color w:val="auto"/>
                    </w:rPr>
                  </w:pPr>
                </w:p>
              </w:tc>
            </w:tr>
            <w:tr w14:paraId="41DD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2918C9B">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34A0BCD0">
                  <w:pPr>
                    <w:widowControl w:val="0"/>
                    <w:jc w:val="center"/>
                    <w:rPr>
                      <w:rFonts w:ascii="宋体" w:hAnsi="宋体" w:eastAsiaTheme="minorEastAsia" w:cstheme="minorBidi"/>
                      <w:bCs/>
                      <w:color w:val="auto"/>
                    </w:rPr>
                  </w:pPr>
                </w:p>
              </w:tc>
              <w:tc>
                <w:tcPr>
                  <w:tcW w:w="1011" w:type="pct"/>
                  <w:vAlign w:val="bottom"/>
                </w:tcPr>
                <w:p w14:paraId="194A5946">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水带护桥</w:t>
                  </w:r>
                </w:p>
              </w:tc>
              <w:tc>
                <w:tcPr>
                  <w:tcW w:w="656" w:type="pct"/>
                  <w:vAlign w:val="center"/>
                </w:tcPr>
                <w:p w14:paraId="0C8F9155">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4副</w:t>
                  </w:r>
                </w:p>
              </w:tc>
              <w:tc>
                <w:tcPr>
                  <w:tcW w:w="1858" w:type="pct"/>
                  <w:vAlign w:val="center"/>
                </w:tcPr>
                <w:p w14:paraId="3C2EAE70">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 xml:space="preserve">  </w:t>
                  </w:r>
                </w:p>
              </w:tc>
            </w:tr>
            <w:tr w14:paraId="741B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CFC2287">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5738C93B">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MFZ/ABC8</w:t>
                  </w:r>
                </w:p>
              </w:tc>
              <w:tc>
                <w:tcPr>
                  <w:tcW w:w="1011" w:type="pct"/>
                  <w:vAlign w:val="bottom"/>
                </w:tcPr>
                <w:p w14:paraId="7FF5E732">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干粉灭火器</w:t>
                  </w:r>
                </w:p>
              </w:tc>
              <w:tc>
                <w:tcPr>
                  <w:tcW w:w="656" w:type="pct"/>
                  <w:vAlign w:val="center"/>
                </w:tcPr>
                <w:p w14:paraId="0D6CA4DE">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78A648EB">
                  <w:pPr>
                    <w:widowControl w:val="0"/>
                    <w:jc w:val="center"/>
                    <w:rPr>
                      <w:rFonts w:ascii="宋体" w:hAnsi="宋体" w:eastAsiaTheme="minorEastAsia" w:cstheme="minorBidi"/>
                      <w:bCs/>
                      <w:color w:val="auto"/>
                    </w:rPr>
                  </w:pPr>
                </w:p>
              </w:tc>
            </w:tr>
            <w:tr w14:paraId="656B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21F088B">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516B556C">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KJ65/80</w:t>
                  </w:r>
                </w:p>
              </w:tc>
              <w:tc>
                <w:tcPr>
                  <w:tcW w:w="1011" w:type="pct"/>
                  <w:vAlign w:val="bottom"/>
                </w:tcPr>
                <w:p w14:paraId="48B6F220">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异径接口</w:t>
                  </w:r>
                </w:p>
              </w:tc>
              <w:tc>
                <w:tcPr>
                  <w:tcW w:w="656" w:type="pct"/>
                  <w:vAlign w:val="center"/>
                </w:tcPr>
                <w:p w14:paraId="238ABE3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335E8116">
                  <w:pPr>
                    <w:widowControl w:val="0"/>
                    <w:jc w:val="center"/>
                    <w:rPr>
                      <w:rFonts w:ascii="宋体" w:hAnsi="宋体" w:eastAsiaTheme="minorEastAsia" w:cstheme="minorBidi"/>
                      <w:bCs/>
                      <w:color w:val="auto"/>
                    </w:rPr>
                  </w:pPr>
                </w:p>
              </w:tc>
            </w:tr>
            <w:tr w14:paraId="4371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F2D3388">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32C5273">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KJK65/80AZ</w:t>
                  </w:r>
                </w:p>
              </w:tc>
              <w:tc>
                <w:tcPr>
                  <w:tcW w:w="1011" w:type="pct"/>
                  <w:vAlign w:val="bottom"/>
                </w:tcPr>
                <w:p w14:paraId="0B040F4D">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异径接口</w:t>
                  </w:r>
                </w:p>
              </w:tc>
              <w:tc>
                <w:tcPr>
                  <w:tcW w:w="656" w:type="pct"/>
                  <w:vAlign w:val="center"/>
                </w:tcPr>
                <w:p w14:paraId="09891445">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个</w:t>
                  </w:r>
                </w:p>
              </w:tc>
              <w:tc>
                <w:tcPr>
                  <w:tcW w:w="1858" w:type="pct"/>
                  <w:vAlign w:val="center"/>
                </w:tcPr>
                <w:p w14:paraId="6E14A49B">
                  <w:pPr>
                    <w:widowControl w:val="0"/>
                    <w:jc w:val="center"/>
                    <w:rPr>
                      <w:rFonts w:ascii="宋体" w:hAnsi="宋体" w:eastAsiaTheme="minorEastAsia" w:cstheme="minorBidi"/>
                      <w:bCs/>
                      <w:color w:val="auto"/>
                    </w:rPr>
                  </w:pPr>
                </w:p>
              </w:tc>
            </w:tr>
            <w:tr w14:paraId="5845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575FA4E">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34119F01">
                  <w:pPr>
                    <w:widowControl w:val="0"/>
                    <w:jc w:val="center"/>
                    <w:rPr>
                      <w:rFonts w:ascii="宋体" w:hAnsi="宋体" w:eastAsiaTheme="minorEastAsia" w:cstheme="minorBidi"/>
                      <w:bCs/>
                      <w:color w:val="auto"/>
                    </w:rPr>
                  </w:pPr>
                  <w:r>
                    <w:rPr>
                      <w:rFonts w:ascii="宋体" w:hAnsi="宋体" w:eastAsiaTheme="minorEastAsia" w:cstheme="minorBidi"/>
                      <w:bCs/>
                      <w:color w:val="auto"/>
                    </w:rPr>
                    <w:t>KJK</w:t>
                  </w:r>
                  <w:r>
                    <w:rPr>
                      <w:rFonts w:hint="eastAsia" w:ascii="宋体" w:hAnsi="宋体" w:eastAsiaTheme="minorEastAsia" w:cstheme="minorBidi"/>
                      <w:bCs/>
                      <w:color w:val="auto"/>
                    </w:rPr>
                    <w:t>65</w:t>
                  </w:r>
                  <w:r>
                    <w:rPr>
                      <w:rFonts w:ascii="宋体" w:hAnsi="宋体" w:eastAsiaTheme="minorEastAsia" w:cstheme="minorBidi"/>
                      <w:bCs/>
                      <w:color w:val="auto"/>
                    </w:rPr>
                    <w:t>/80AZ</w:t>
                  </w:r>
                </w:p>
              </w:tc>
              <w:tc>
                <w:tcPr>
                  <w:tcW w:w="1011" w:type="pct"/>
                  <w:vAlign w:val="center"/>
                </w:tcPr>
                <w:p w14:paraId="44052A95">
                  <w:pPr>
                    <w:widowControl w:val="0"/>
                    <w:contextualSpacing/>
                    <w:jc w:val="center"/>
                    <w:rPr>
                      <w:rFonts w:ascii="宋体" w:hAnsi="宋体" w:eastAsiaTheme="minorEastAsia" w:cstheme="minorBidi"/>
                      <w:bCs/>
                      <w:color w:val="auto"/>
                    </w:rPr>
                  </w:pPr>
                  <w:r>
                    <w:rPr>
                      <w:rFonts w:ascii="宋体" w:hAnsi="宋体" w:eastAsiaTheme="minorEastAsia" w:cstheme="minorBidi"/>
                      <w:bCs/>
                      <w:color w:val="auto"/>
                    </w:rPr>
                    <w:t>水带异型接口</w:t>
                  </w:r>
                </w:p>
              </w:tc>
              <w:tc>
                <w:tcPr>
                  <w:tcW w:w="656" w:type="pct"/>
                  <w:vAlign w:val="center"/>
                </w:tcPr>
                <w:p w14:paraId="11330A7C">
                  <w:pPr>
                    <w:widowControl w:val="0"/>
                    <w:jc w:val="center"/>
                    <w:rPr>
                      <w:rFonts w:ascii="宋体" w:hAnsi="宋体" w:eastAsiaTheme="minorEastAsia" w:cstheme="minorBidi"/>
                      <w:bCs/>
                      <w:color w:val="auto"/>
                    </w:rPr>
                  </w:pPr>
                  <w:r>
                    <w:rPr>
                      <w:rFonts w:ascii="宋体" w:hAnsi="宋体" w:eastAsiaTheme="minorEastAsia" w:cstheme="minorBidi"/>
                      <w:bCs/>
                      <w:color w:val="auto"/>
                    </w:rPr>
                    <w:t>2</w:t>
                  </w:r>
                  <w:r>
                    <w:rPr>
                      <w:rFonts w:hint="eastAsia" w:ascii="宋体" w:hAnsi="宋体" w:eastAsiaTheme="minorEastAsia" w:cstheme="minorBidi"/>
                      <w:bCs/>
                      <w:color w:val="auto"/>
                      <w:lang w:val="en-US" w:eastAsia="zh-CN"/>
                    </w:rPr>
                    <w:t>个</w:t>
                  </w:r>
                </w:p>
              </w:tc>
              <w:tc>
                <w:tcPr>
                  <w:tcW w:w="1858" w:type="pct"/>
                  <w:vAlign w:val="center"/>
                </w:tcPr>
                <w:p w14:paraId="68C6F194">
                  <w:pPr>
                    <w:widowControl w:val="0"/>
                    <w:jc w:val="center"/>
                    <w:rPr>
                      <w:rFonts w:ascii="宋体" w:hAnsi="宋体" w:eastAsiaTheme="minorEastAsia" w:cstheme="minorBidi"/>
                      <w:bCs/>
                      <w:color w:val="auto"/>
                    </w:rPr>
                  </w:pPr>
                </w:p>
              </w:tc>
            </w:tr>
            <w:tr w14:paraId="5E4E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4FF7A62">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F31D83D">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KY150/KT100</w:t>
                  </w:r>
                </w:p>
              </w:tc>
              <w:tc>
                <w:tcPr>
                  <w:tcW w:w="1011" w:type="pct"/>
                  <w:vAlign w:val="bottom"/>
                </w:tcPr>
                <w:p w14:paraId="696D999C">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异型异径接口</w:t>
                  </w:r>
                </w:p>
              </w:tc>
              <w:tc>
                <w:tcPr>
                  <w:tcW w:w="656" w:type="pct"/>
                  <w:vAlign w:val="center"/>
                </w:tcPr>
                <w:p w14:paraId="154BD8B6">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2FC75F4A">
                  <w:pPr>
                    <w:widowControl w:val="0"/>
                    <w:jc w:val="center"/>
                    <w:rPr>
                      <w:rFonts w:ascii="宋体" w:hAnsi="宋体" w:eastAsiaTheme="minorEastAsia" w:cstheme="minorBidi"/>
                      <w:bCs/>
                      <w:color w:val="auto"/>
                    </w:rPr>
                  </w:pPr>
                </w:p>
              </w:tc>
            </w:tr>
            <w:tr w14:paraId="6F6E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76E0839">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75F2903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FLF150</w:t>
                  </w:r>
                </w:p>
              </w:tc>
              <w:tc>
                <w:tcPr>
                  <w:tcW w:w="1011" w:type="pct"/>
                  <w:vAlign w:val="bottom"/>
                </w:tcPr>
                <w:p w14:paraId="681554B0">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滤水器(内扣式)</w:t>
                  </w:r>
                </w:p>
              </w:tc>
              <w:tc>
                <w:tcPr>
                  <w:tcW w:w="656" w:type="pct"/>
                  <w:vAlign w:val="center"/>
                </w:tcPr>
                <w:p w14:paraId="41A8C673">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3F8F181E">
                  <w:pPr>
                    <w:widowControl w:val="0"/>
                    <w:jc w:val="center"/>
                    <w:rPr>
                      <w:rFonts w:ascii="宋体" w:hAnsi="宋体" w:eastAsiaTheme="minorEastAsia" w:cstheme="minorBidi"/>
                      <w:bCs/>
                      <w:color w:val="auto"/>
                    </w:rPr>
                  </w:pPr>
                </w:p>
              </w:tc>
            </w:tr>
            <w:tr w14:paraId="32A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8565C65">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0ED5D934">
                  <w:pPr>
                    <w:widowControl w:val="0"/>
                    <w:jc w:val="center"/>
                    <w:rPr>
                      <w:rFonts w:ascii="宋体" w:hAnsi="宋体" w:eastAsiaTheme="minorEastAsia" w:cstheme="minorBidi"/>
                      <w:bCs/>
                      <w:color w:val="auto"/>
                    </w:rPr>
                  </w:pPr>
                </w:p>
              </w:tc>
              <w:tc>
                <w:tcPr>
                  <w:tcW w:w="1011" w:type="pct"/>
                  <w:vAlign w:val="bottom"/>
                </w:tcPr>
                <w:p w14:paraId="07B3242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吸水管</w:t>
                  </w:r>
                </w:p>
              </w:tc>
              <w:tc>
                <w:tcPr>
                  <w:tcW w:w="656" w:type="pct"/>
                  <w:vAlign w:val="center"/>
                </w:tcPr>
                <w:p w14:paraId="72F3B39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4</w:t>
                  </w:r>
                  <w:r>
                    <w:rPr>
                      <w:rFonts w:hint="eastAsia" w:ascii="宋体" w:hAnsi="宋体" w:eastAsiaTheme="minorEastAsia" w:cstheme="minorBidi"/>
                      <w:bCs/>
                      <w:color w:val="auto"/>
                      <w:lang w:val="en-US" w:eastAsia="zh-CN"/>
                    </w:rPr>
                    <w:t>个</w:t>
                  </w:r>
                </w:p>
              </w:tc>
              <w:tc>
                <w:tcPr>
                  <w:tcW w:w="1858" w:type="pct"/>
                  <w:vAlign w:val="center"/>
                </w:tcPr>
                <w:p w14:paraId="064D3618">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内扣接口、DN150、2m</w:t>
                  </w:r>
                </w:p>
              </w:tc>
            </w:tr>
            <w:tr w14:paraId="7E5C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7C65DC1">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1E861E97">
                  <w:pPr>
                    <w:widowControl w:val="0"/>
                    <w:jc w:val="center"/>
                    <w:rPr>
                      <w:rFonts w:ascii="宋体" w:hAnsi="宋体" w:eastAsiaTheme="minorEastAsia" w:cstheme="minorBidi"/>
                      <w:bCs/>
                      <w:color w:val="auto"/>
                    </w:rPr>
                  </w:pPr>
                </w:p>
              </w:tc>
              <w:tc>
                <w:tcPr>
                  <w:tcW w:w="1011" w:type="pct"/>
                  <w:vAlign w:val="bottom"/>
                </w:tcPr>
                <w:p w14:paraId="7183CCDD">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吸水管扳手</w:t>
                  </w:r>
                </w:p>
              </w:tc>
              <w:tc>
                <w:tcPr>
                  <w:tcW w:w="656" w:type="pct"/>
                  <w:vAlign w:val="center"/>
                </w:tcPr>
                <w:p w14:paraId="242364AA">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个</w:t>
                  </w:r>
                </w:p>
              </w:tc>
              <w:tc>
                <w:tcPr>
                  <w:tcW w:w="1858" w:type="pct"/>
                  <w:vAlign w:val="center"/>
                </w:tcPr>
                <w:p w14:paraId="1227909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和吸水管匹配</w:t>
                  </w:r>
                </w:p>
              </w:tc>
            </w:tr>
            <w:tr w14:paraId="03F4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A6911DC">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642FDAFF">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JⅡ150/80×2-1.0</w:t>
                  </w:r>
                </w:p>
              </w:tc>
              <w:tc>
                <w:tcPr>
                  <w:tcW w:w="1011" w:type="pct"/>
                  <w:vAlign w:val="bottom"/>
                </w:tcPr>
                <w:p w14:paraId="0BA5789E">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集水器（卡式）</w:t>
                  </w:r>
                </w:p>
              </w:tc>
              <w:tc>
                <w:tcPr>
                  <w:tcW w:w="656" w:type="pct"/>
                  <w:vAlign w:val="center"/>
                </w:tcPr>
                <w:p w14:paraId="1E3B8B5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56413FD4">
                  <w:pPr>
                    <w:widowControl w:val="0"/>
                    <w:jc w:val="center"/>
                    <w:rPr>
                      <w:rFonts w:ascii="宋体" w:hAnsi="宋体" w:eastAsiaTheme="minorEastAsia" w:cstheme="minorBidi"/>
                      <w:bCs/>
                      <w:color w:val="auto"/>
                    </w:rPr>
                  </w:pPr>
                </w:p>
              </w:tc>
            </w:tr>
            <w:tr w14:paraId="1AAC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D69D45B">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5484B4F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PU16-80-20</w:t>
                  </w:r>
                </w:p>
              </w:tc>
              <w:tc>
                <w:tcPr>
                  <w:tcW w:w="1011" w:type="pct"/>
                  <w:vAlign w:val="bottom"/>
                </w:tcPr>
                <w:p w14:paraId="420D07C1">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消防水带</w:t>
                  </w:r>
                </w:p>
              </w:tc>
              <w:tc>
                <w:tcPr>
                  <w:tcW w:w="656" w:type="pct"/>
                  <w:vAlign w:val="center"/>
                </w:tcPr>
                <w:p w14:paraId="19A4A838">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20盘</w:t>
                  </w:r>
                </w:p>
              </w:tc>
              <w:tc>
                <w:tcPr>
                  <w:tcW w:w="1858" w:type="pct"/>
                  <w:vAlign w:val="center"/>
                </w:tcPr>
                <w:p w14:paraId="45CBD32B">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卡式接口</w:t>
                  </w:r>
                </w:p>
              </w:tc>
            </w:tr>
            <w:tr w14:paraId="604E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79B9526">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301BCF2B">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PU16-65-20</w:t>
                  </w:r>
                </w:p>
              </w:tc>
              <w:tc>
                <w:tcPr>
                  <w:tcW w:w="1011" w:type="pct"/>
                  <w:vAlign w:val="bottom"/>
                </w:tcPr>
                <w:p w14:paraId="19923139">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消防水带</w:t>
                  </w:r>
                </w:p>
              </w:tc>
              <w:tc>
                <w:tcPr>
                  <w:tcW w:w="656" w:type="pct"/>
                  <w:vAlign w:val="center"/>
                </w:tcPr>
                <w:p w14:paraId="115F6432">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50盘</w:t>
                  </w:r>
                </w:p>
              </w:tc>
              <w:tc>
                <w:tcPr>
                  <w:tcW w:w="1858" w:type="pct"/>
                  <w:vAlign w:val="center"/>
                </w:tcPr>
                <w:p w14:paraId="6DF4AF2C">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卡式接口</w:t>
                  </w:r>
                </w:p>
              </w:tc>
            </w:tr>
            <w:tr w14:paraId="0AB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24E2ADF">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15895F9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13-80-5A</w:t>
                  </w:r>
                </w:p>
              </w:tc>
              <w:tc>
                <w:tcPr>
                  <w:tcW w:w="1011" w:type="pct"/>
                  <w:vAlign w:val="bottom"/>
                </w:tcPr>
                <w:p w14:paraId="601D7B7D">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注液水带</w:t>
                  </w:r>
                </w:p>
              </w:tc>
              <w:tc>
                <w:tcPr>
                  <w:tcW w:w="656" w:type="pct"/>
                  <w:vAlign w:val="center"/>
                </w:tcPr>
                <w:p w14:paraId="00EE0797">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盘</w:t>
                  </w:r>
                </w:p>
              </w:tc>
              <w:tc>
                <w:tcPr>
                  <w:tcW w:w="1858" w:type="pct"/>
                  <w:vAlign w:val="center"/>
                </w:tcPr>
                <w:p w14:paraId="2A0C782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一端卡式雌，一端内扣</w:t>
                  </w:r>
                </w:p>
              </w:tc>
            </w:tr>
            <w:tr w14:paraId="415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296177E">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D0AB4CE">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QP8</w:t>
                  </w:r>
                </w:p>
              </w:tc>
              <w:tc>
                <w:tcPr>
                  <w:tcW w:w="1011" w:type="pct"/>
                  <w:vAlign w:val="bottom"/>
                </w:tcPr>
                <w:p w14:paraId="202B86D5">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空气泡沫枪(卡式)</w:t>
                  </w:r>
                </w:p>
              </w:tc>
              <w:tc>
                <w:tcPr>
                  <w:tcW w:w="656" w:type="pct"/>
                  <w:vAlign w:val="center"/>
                </w:tcPr>
                <w:p w14:paraId="417F74F4">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把</w:t>
                  </w:r>
                </w:p>
              </w:tc>
              <w:tc>
                <w:tcPr>
                  <w:tcW w:w="1858" w:type="pct"/>
                  <w:vAlign w:val="center"/>
                </w:tcPr>
                <w:p w14:paraId="524F16F4">
                  <w:pPr>
                    <w:widowControl w:val="0"/>
                    <w:jc w:val="center"/>
                    <w:rPr>
                      <w:rFonts w:ascii="宋体" w:hAnsi="宋体" w:eastAsiaTheme="minorEastAsia" w:cstheme="minorBidi"/>
                      <w:bCs/>
                      <w:color w:val="auto"/>
                    </w:rPr>
                  </w:pPr>
                </w:p>
              </w:tc>
            </w:tr>
            <w:tr w14:paraId="7376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6996096">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4703C43B">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QLD6.0/8Ⅲ-BE</w:t>
                  </w:r>
                </w:p>
              </w:tc>
              <w:tc>
                <w:tcPr>
                  <w:tcW w:w="1011" w:type="pct"/>
                  <w:vAlign w:val="center"/>
                </w:tcPr>
                <w:p w14:paraId="0F640118">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多功能水枪</w:t>
                  </w:r>
                </w:p>
              </w:tc>
              <w:tc>
                <w:tcPr>
                  <w:tcW w:w="656" w:type="pct"/>
                  <w:vAlign w:val="center"/>
                </w:tcPr>
                <w:p w14:paraId="50129F2E">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把</w:t>
                  </w:r>
                </w:p>
              </w:tc>
              <w:tc>
                <w:tcPr>
                  <w:tcW w:w="1858" w:type="pct"/>
                  <w:vAlign w:val="center"/>
                </w:tcPr>
                <w:p w14:paraId="79712FD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DN65、卡式接口</w:t>
                  </w:r>
                </w:p>
              </w:tc>
            </w:tr>
            <w:tr w14:paraId="4C12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 w:type="pct"/>
                  <w:vAlign w:val="center"/>
                </w:tcPr>
                <w:p w14:paraId="28212EDF">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0B07171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LED-KN-8795</w:t>
                  </w:r>
                </w:p>
              </w:tc>
              <w:tc>
                <w:tcPr>
                  <w:tcW w:w="1011" w:type="pct"/>
                  <w:vAlign w:val="center"/>
                </w:tcPr>
                <w:p w14:paraId="13CCC8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Theme="minorEastAsia" w:cstheme="minorBidi"/>
                      <w:bCs/>
                      <w:color w:val="auto"/>
                    </w:rPr>
                  </w:pPr>
                  <w:r>
                    <w:rPr>
                      <w:rFonts w:hint="eastAsia" w:ascii="宋体" w:hAnsi="宋体" w:eastAsiaTheme="minorEastAsia" w:cstheme="minorBidi"/>
                      <w:bCs/>
                      <w:color w:val="auto"/>
                    </w:rPr>
                    <w:t>充电手提照明灯</w:t>
                  </w:r>
                </w:p>
              </w:tc>
              <w:tc>
                <w:tcPr>
                  <w:tcW w:w="656" w:type="pct"/>
                  <w:vAlign w:val="center"/>
                </w:tcPr>
                <w:p w14:paraId="60116ED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6盏</w:t>
                  </w:r>
                </w:p>
              </w:tc>
              <w:tc>
                <w:tcPr>
                  <w:tcW w:w="1858" w:type="pct"/>
                  <w:vAlign w:val="center"/>
                </w:tcPr>
                <w:p w14:paraId="706A7423">
                  <w:pPr>
                    <w:widowControl w:val="0"/>
                    <w:jc w:val="center"/>
                    <w:rPr>
                      <w:rFonts w:ascii="宋体" w:hAnsi="宋体" w:eastAsiaTheme="minorEastAsia" w:cstheme="minorBidi"/>
                      <w:bCs/>
                      <w:color w:val="auto"/>
                    </w:rPr>
                  </w:pPr>
                </w:p>
              </w:tc>
            </w:tr>
            <w:tr w14:paraId="5976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666F322">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5F6BD224">
                  <w:pPr>
                    <w:widowControl w:val="0"/>
                    <w:jc w:val="center"/>
                    <w:rPr>
                      <w:rFonts w:ascii="宋体" w:hAnsi="宋体" w:eastAsiaTheme="minorEastAsia" w:cstheme="minorBidi"/>
                      <w:bCs/>
                      <w:color w:val="auto"/>
                    </w:rPr>
                  </w:pPr>
                </w:p>
              </w:tc>
              <w:tc>
                <w:tcPr>
                  <w:tcW w:w="1011" w:type="pct"/>
                  <w:vAlign w:val="bottom"/>
                </w:tcPr>
                <w:p w14:paraId="255ADD50">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轮挡280×200</w:t>
                  </w:r>
                </w:p>
              </w:tc>
              <w:tc>
                <w:tcPr>
                  <w:tcW w:w="656" w:type="pct"/>
                  <w:vAlign w:val="center"/>
                </w:tcPr>
                <w:p w14:paraId="04E8CB30">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2</w:t>
                  </w:r>
                  <w:r>
                    <w:rPr>
                      <w:rFonts w:hint="eastAsia" w:ascii="宋体" w:hAnsi="宋体" w:eastAsiaTheme="minorEastAsia" w:cstheme="minorBidi"/>
                      <w:bCs/>
                      <w:color w:val="auto"/>
                      <w:lang w:val="en-US" w:eastAsia="zh-CN"/>
                    </w:rPr>
                    <w:t>副</w:t>
                  </w:r>
                </w:p>
              </w:tc>
              <w:tc>
                <w:tcPr>
                  <w:tcW w:w="1858" w:type="pct"/>
                  <w:vAlign w:val="center"/>
                </w:tcPr>
                <w:p w14:paraId="4639C805">
                  <w:pPr>
                    <w:widowControl w:val="0"/>
                    <w:jc w:val="center"/>
                    <w:rPr>
                      <w:rFonts w:ascii="宋体" w:hAnsi="宋体" w:eastAsiaTheme="minorEastAsia" w:cstheme="minorBidi"/>
                      <w:bCs/>
                      <w:color w:val="auto"/>
                    </w:rPr>
                  </w:pPr>
                </w:p>
              </w:tc>
            </w:tr>
            <w:tr w14:paraId="0767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03CF86B">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34F3151B">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FB400</w:t>
                  </w:r>
                </w:p>
              </w:tc>
              <w:tc>
                <w:tcPr>
                  <w:tcW w:w="1011" w:type="pct"/>
                  <w:vAlign w:val="bottom"/>
                </w:tcPr>
                <w:p w14:paraId="771059C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地上消火栓扳手</w:t>
                  </w:r>
                </w:p>
              </w:tc>
              <w:tc>
                <w:tcPr>
                  <w:tcW w:w="656" w:type="pct"/>
                  <w:vAlign w:val="center"/>
                </w:tcPr>
                <w:p w14:paraId="00A84599">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把</w:t>
                  </w:r>
                </w:p>
              </w:tc>
              <w:tc>
                <w:tcPr>
                  <w:tcW w:w="1858" w:type="pct"/>
                  <w:vAlign w:val="center"/>
                </w:tcPr>
                <w:p w14:paraId="7D085C98">
                  <w:pPr>
                    <w:widowControl w:val="0"/>
                    <w:jc w:val="center"/>
                    <w:rPr>
                      <w:rFonts w:ascii="宋体" w:hAnsi="宋体" w:eastAsiaTheme="minorEastAsia" w:cstheme="minorBidi"/>
                      <w:bCs/>
                      <w:color w:val="auto"/>
                    </w:rPr>
                  </w:pPr>
                </w:p>
              </w:tc>
            </w:tr>
            <w:tr w14:paraId="2E40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3745080">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58F0BD3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FBA1000</w:t>
                  </w:r>
                </w:p>
              </w:tc>
              <w:tc>
                <w:tcPr>
                  <w:tcW w:w="1011" w:type="pct"/>
                  <w:vAlign w:val="bottom"/>
                </w:tcPr>
                <w:p w14:paraId="43D91693">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地下消火栓扳手</w:t>
                  </w:r>
                </w:p>
              </w:tc>
              <w:tc>
                <w:tcPr>
                  <w:tcW w:w="656" w:type="pct"/>
                  <w:vAlign w:val="center"/>
                </w:tcPr>
                <w:p w14:paraId="0B92837D">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把</w:t>
                  </w:r>
                </w:p>
              </w:tc>
              <w:tc>
                <w:tcPr>
                  <w:tcW w:w="1858" w:type="pct"/>
                  <w:vAlign w:val="center"/>
                </w:tcPr>
                <w:p w14:paraId="116D7CB6">
                  <w:pPr>
                    <w:widowControl w:val="0"/>
                    <w:jc w:val="center"/>
                    <w:rPr>
                      <w:rFonts w:ascii="宋体" w:hAnsi="宋体" w:eastAsiaTheme="minorEastAsia" w:cstheme="minorBidi"/>
                      <w:bCs/>
                      <w:color w:val="auto"/>
                    </w:rPr>
                  </w:pPr>
                </w:p>
              </w:tc>
            </w:tr>
            <w:tr w14:paraId="7719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0DE7DDF">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335FC4C7">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rPr>
                    <w:t xml:space="preserve"> </w:t>
                  </w:r>
                </w:p>
              </w:tc>
              <w:tc>
                <w:tcPr>
                  <w:tcW w:w="1011" w:type="pct"/>
                  <w:vAlign w:val="bottom"/>
                </w:tcPr>
                <w:p w14:paraId="182C012D">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橡皮锤</w:t>
                  </w:r>
                </w:p>
              </w:tc>
              <w:tc>
                <w:tcPr>
                  <w:tcW w:w="656" w:type="pct"/>
                  <w:vAlign w:val="center"/>
                </w:tcPr>
                <w:p w14:paraId="2A51714A">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1</w:t>
                  </w:r>
                  <w:r>
                    <w:rPr>
                      <w:rFonts w:hint="eastAsia" w:ascii="宋体" w:hAnsi="宋体" w:eastAsiaTheme="minorEastAsia" w:cstheme="minorBidi"/>
                      <w:bCs/>
                      <w:color w:val="auto"/>
                      <w:lang w:val="en-US" w:eastAsia="zh-CN"/>
                    </w:rPr>
                    <w:t>个</w:t>
                  </w:r>
                </w:p>
              </w:tc>
              <w:tc>
                <w:tcPr>
                  <w:tcW w:w="1858" w:type="pct"/>
                  <w:vAlign w:val="center"/>
                </w:tcPr>
                <w:p w14:paraId="26A58E4D">
                  <w:pPr>
                    <w:widowControl w:val="0"/>
                    <w:jc w:val="center"/>
                    <w:rPr>
                      <w:rFonts w:ascii="宋体" w:hAnsi="宋体" w:eastAsiaTheme="minorEastAsia" w:cstheme="minorBidi"/>
                      <w:bCs/>
                      <w:color w:val="auto"/>
                    </w:rPr>
                  </w:pPr>
                </w:p>
              </w:tc>
            </w:tr>
            <w:tr w14:paraId="091A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2045F33">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0FAF9971">
                  <w:pPr>
                    <w:widowControl w:val="0"/>
                    <w:jc w:val="center"/>
                    <w:rPr>
                      <w:rFonts w:ascii="宋体" w:hAnsi="宋体" w:eastAsiaTheme="minorEastAsia" w:cstheme="minorBidi"/>
                      <w:bCs/>
                      <w:color w:val="auto"/>
                    </w:rPr>
                  </w:pPr>
                </w:p>
              </w:tc>
              <w:tc>
                <w:tcPr>
                  <w:tcW w:w="1011" w:type="pct"/>
                  <w:vAlign w:val="bottom"/>
                </w:tcPr>
                <w:p w14:paraId="58B92228">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水带包布</w:t>
                  </w:r>
                </w:p>
              </w:tc>
              <w:tc>
                <w:tcPr>
                  <w:tcW w:w="656" w:type="pct"/>
                  <w:vAlign w:val="center"/>
                </w:tcPr>
                <w:p w14:paraId="00C57E1F">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8</w:t>
                  </w:r>
                  <w:r>
                    <w:rPr>
                      <w:rFonts w:hint="eastAsia" w:ascii="宋体" w:hAnsi="宋体" w:eastAsiaTheme="minorEastAsia" w:cstheme="minorBidi"/>
                      <w:bCs/>
                      <w:color w:val="auto"/>
                      <w:lang w:val="en-US" w:eastAsia="zh-CN"/>
                    </w:rPr>
                    <w:t>个</w:t>
                  </w:r>
                </w:p>
              </w:tc>
              <w:tc>
                <w:tcPr>
                  <w:tcW w:w="1858" w:type="pct"/>
                  <w:vAlign w:val="center"/>
                </w:tcPr>
                <w:p w14:paraId="76622CE5">
                  <w:pPr>
                    <w:widowControl w:val="0"/>
                    <w:jc w:val="center"/>
                    <w:rPr>
                      <w:rFonts w:ascii="宋体" w:hAnsi="宋体" w:eastAsiaTheme="minorEastAsia" w:cstheme="minorBidi"/>
                      <w:bCs/>
                      <w:color w:val="auto"/>
                    </w:rPr>
                  </w:pPr>
                </w:p>
              </w:tc>
            </w:tr>
            <w:tr w14:paraId="47A2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8F6707E">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4FEDF5F9">
                  <w:pPr>
                    <w:widowControl w:val="0"/>
                    <w:jc w:val="center"/>
                    <w:rPr>
                      <w:rFonts w:ascii="宋体" w:hAnsi="宋体" w:eastAsiaTheme="minorEastAsia" w:cstheme="minorBidi"/>
                      <w:bCs/>
                      <w:color w:val="auto"/>
                    </w:rPr>
                  </w:pPr>
                </w:p>
              </w:tc>
              <w:tc>
                <w:tcPr>
                  <w:tcW w:w="1011" w:type="pct"/>
                  <w:vAlign w:val="bottom"/>
                </w:tcPr>
                <w:p w14:paraId="05CFCAE7">
                  <w:pPr>
                    <w:widowControl w:val="0"/>
                    <w:spacing w:before="100" w:beforeAutospacing="1" w:after="100" w:afterAutospacing="1"/>
                    <w:jc w:val="center"/>
                    <w:rPr>
                      <w:rFonts w:ascii="宋体" w:hAnsi="宋体" w:eastAsiaTheme="minorEastAsia" w:cstheme="minorBidi"/>
                      <w:bCs/>
                      <w:color w:val="auto"/>
                    </w:rPr>
                  </w:pPr>
                  <w:r>
                    <w:rPr>
                      <w:rFonts w:hint="eastAsia" w:ascii="宋体" w:hAnsi="宋体" w:eastAsiaTheme="minorEastAsia" w:cstheme="minorBidi"/>
                      <w:bCs/>
                      <w:color w:val="auto"/>
                    </w:rPr>
                    <w:t>水带挂钩</w:t>
                  </w:r>
                </w:p>
              </w:tc>
              <w:tc>
                <w:tcPr>
                  <w:tcW w:w="656" w:type="pct"/>
                  <w:vAlign w:val="center"/>
                </w:tcPr>
                <w:p w14:paraId="7F6F7315">
                  <w:pPr>
                    <w:widowControl w:val="0"/>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rPr>
                    <w:t>8</w:t>
                  </w:r>
                  <w:r>
                    <w:rPr>
                      <w:rFonts w:hint="eastAsia" w:ascii="宋体" w:hAnsi="宋体" w:eastAsiaTheme="minorEastAsia" w:cstheme="minorBidi"/>
                      <w:bCs/>
                      <w:color w:val="auto"/>
                      <w:lang w:val="en-US" w:eastAsia="zh-CN"/>
                    </w:rPr>
                    <w:t>个</w:t>
                  </w:r>
                </w:p>
              </w:tc>
              <w:tc>
                <w:tcPr>
                  <w:tcW w:w="1858" w:type="pct"/>
                  <w:vAlign w:val="center"/>
                </w:tcPr>
                <w:p w14:paraId="0D769A8E">
                  <w:pPr>
                    <w:widowControl w:val="0"/>
                    <w:jc w:val="center"/>
                    <w:rPr>
                      <w:rFonts w:ascii="宋体" w:hAnsi="宋体" w:eastAsiaTheme="minorEastAsia" w:cstheme="minorBidi"/>
                      <w:bCs/>
                      <w:color w:val="auto"/>
                    </w:rPr>
                  </w:pPr>
                </w:p>
              </w:tc>
            </w:tr>
            <w:tr w14:paraId="207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3EBB045">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FBFB924">
                  <w:pPr>
                    <w:widowControl w:val="0"/>
                    <w:jc w:val="center"/>
                    <w:rPr>
                      <w:rFonts w:ascii="宋体" w:hAnsi="宋体" w:eastAsiaTheme="minorEastAsia" w:cstheme="minorBidi"/>
                      <w:bCs/>
                      <w:color w:val="auto"/>
                    </w:rPr>
                  </w:pPr>
                </w:p>
              </w:tc>
              <w:tc>
                <w:tcPr>
                  <w:tcW w:w="1011" w:type="pct"/>
                  <w:vAlign w:val="bottom"/>
                </w:tcPr>
                <w:p w14:paraId="4A2C5220">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三分水器</w:t>
                  </w:r>
                </w:p>
              </w:tc>
              <w:tc>
                <w:tcPr>
                  <w:tcW w:w="656" w:type="pct"/>
                  <w:vAlign w:val="center"/>
                </w:tcPr>
                <w:p w14:paraId="16C75DB6">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2个</w:t>
                  </w:r>
                </w:p>
              </w:tc>
              <w:tc>
                <w:tcPr>
                  <w:tcW w:w="1858" w:type="pct"/>
                  <w:vAlign w:val="center"/>
                </w:tcPr>
                <w:p w14:paraId="77572B7A">
                  <w:pPr>
                    <w:widowControl w:val="0"/>
                    <w:jc w:val="center"/>
                    <w:rPr>
                      <w:rFonts w:ascii="宋体" w:hAnsi="宋体" w:eastAsiaTheme="minorEastAsia" w:cstheme="minorBidi"/>
                      <w:bCs/>
                      <w:color w:val="auto"/>
                    </w:rPr>
                  </w:pPr>
                </w:p>
              </w:tc>
            </w:tr>
            <w:tr w14:paraId="226D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6019260">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6A06D30F">
                  <w:pPr>
                    <w:widowControl w:val="0"/>
                    <w:jc w:val="both"/>
                    <w:rPr>
                      <w:rFonts w:hint="default" w:ascii="宋体" w:hAnsi="宋体" w:eastAsiaTheme="minorEastAsia" w:cstheme="minorBidi"/>
                      <w:bCs/>
                      <w:color w:val="auto"/>
                      <w:lang w:val="en-US" w:eastAsia="zh-CN"/>
                    </w:rPr>
                  </w:pPr>
                </w:p>
              </w:tc>
              <w:tc>
                <w:tcPr>
                  <w:tcW w:w="1011" w:type="pct"/>
                  <w:vAlign w:val="bottom"/>
                </w:tcPr>
                <w:p w14:paraId="483EEC1E">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水幕发生器</w:t>
                  </w:r>
                </w:p>
              </w:tc>
              <w:tc>
                <w:tcPr>
                  <w:tcW w:w="656" w:type="pct"/>
                  <w:vAlign w:val="center"/>
                </w:tcPr>
                <w:p w14:paraId="67E11B9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1个</w:t>
                  </w:r>
                </w:p>
              </w:tc>
              <w:tc>
                <w:tcPr>
                  <w:tcW w:w="1858" w:type="pct"/>
                  <w:vAlign w:val="center"/>
                </w:tcPr>
                <w:p w14:paraId="20227065">
                  <w:pPr>
                    <w:widowControl w:val="0"/>
                    <w:jc w:val="center"/>
                    <w:rPr>
                      <w:rFonts w:ascii="宋体" w:hAnsi="宋体" w:eastAsiaTheme="minorEastAsia" w:cstheme="minorBidi"/>
                      <w:bCs/>
                      <w:color w:val="auto"/>
                    </w:rPr>
                  </w:pPr>
                </w:p>
              </w:tc>
            </w:tr>
            <w:tr w14:paraId="7706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3792646">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1181071D">
                  <w:pPr>
                    <w:widowControl w:val="0"/>
                    <w:jc w:val="center"/>
                    <w:rPr>
                      <w:rFonts w:hint="default" w:ascii="宋体" w:hAnsi="宋体" w:eastAsiaTheme="minorEastAsia" w:cstheme="minorBidi"/>
                      <w:bCs/>
                      <w:color w:val="auto"/>
                      <w:lang w:val="en-US" w:eastAsia="zh-CN"/>
                    </w:rPr>
                  </w:pPr>
                </w:p>
              </w:tc>
              <w:tc>
                <w:tcPr>
                  <w:tcW w:w="1011" w:type="pct"/>
                  <w:vAlign w:val="bottom"/>
                </w:tcPr>
                <w:p w14:paraId="2F83F125">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O型安全钩</w:t>
                  </w:r>
                </w:p>
              </w:tc>
              <w:tc>
                <w:tcPr>
                  <w:tcW w:w="656" w:type="pct"/>
                  <w:vAlign w:val="center"/>
                </w:tcPr>
                <w:p w14:paraId="77E90405">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10个</w:t>
                  </w:r>
                </w:p>
              </w:tc>
              <w:tc>
                <w:tcPr>
                  <w:tcW w:w="1858" w:type="pct"/>
                  <w:vAlign w:val="center"/>
                </w:tcPr>
                <w:p w14:paraId="3CBCC904">
                  <w:pPr>
                    <w:widowControl w:val="0"/>
                    <w:jc w:val="center"/>
                    <w:rPr>
                      <w:rFonts w:ascii="宋体" w:hAnsi="宋体" w:eastAsiaTheme="minorEastAsia" w:cstheme="minorBidi"/>
                      <w:bCs/>
                      <w:color w:val="auto"/>
                    </w:rPr>
                  </w:pPr>
                </w:p>
              </w:tc>
            </w:tr>
            <w:tr w14:paraId="2035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1AAF142">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CA58B47">
                  <w:pPr>
                    <w:widowControl w:val="0"/>
                    <w:jc w:val="center"/>
                    <w:rPr>
                      <w:rFonts w:ascii="宋体" w:hAnsi="宋体" w:eastAsiaTheme="minorEastAsia" w:cstheme="minorBidi"/>
                      <w:bCs/>
                      <w:color w:val="auto"/>
                    </w:rPr>
                  </w:pPr>
                </w:p>
              </w:tc>
              <w:tc>
                <w:tcPr>
                  <w:tcW w:w="1011" w:type="pct"/>
                  <w:vAlign w:val="bottom"/>
                </w:tcPr>
                <w:p w14:paraId="50EA805A">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D型安全钩</w:t>
                  </w:r>
                </w:p>
              </w:tc>
              <w:tc>
                <w:tcPr>
                  <w:tcW w:w="656" w:type="pct"/>
                  <w:vAlign w:val="center"/>
                </w:tcPr>
                <w:p w14:paraId="37FBC081">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10个</w:t>
                  </w:r>
                </w:p>
              </w:tc>
              <w:tc>
                <w:tcPr>
                  <w:tcW w:w="1858" w:type="pct"/>
                  <w:vAlign w:val="center"/>
                </w:tcPr>
                <w:p w14:paraId="725969FA">
                  <w:pPr>
                    <w:widowControl w:val="0"/>
                    <w:jc w:val="center"/>
                    <w:rPr>
                      <w:rFonts w:ascii="宋体" w:hAnsi="宋体" w:eastAsiaTheme="minorEastAsia" w:cstheme="minorBidi"/>
                      <w:bCs/>
                      <w:color w:val="auto"/>
                    </w:rPr>
                  </w:pPr>
                </w:p>
              </w:tc>
            </w:tr>
            <w:tr w14:paraId="71A0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0E3637B">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6EEA3CF9">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50M</w:t>
                  </w:r>
                </w:p>
              </w:tc>
              <w:tc>
                <w:tcPr>
                  <w:tcW w:w="1011" w:type="pct"/>
                  <w:vAlign w:val="bottom"/>
                </w:tcPr>
                <w:p w14:paraId="309F0551">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静力绳</w:t>
                  </w:r>
                </w:p>
              </w:tc>
              <w:tc>
                <w:tcPr>
                  <w:tcW w:w="656" w:type="pct"/>
                  <w:vAlign w:val="center"/>
                </w:tcPr>
                <w:p w14:paraId="4B281C81">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1根</w:t>
                  </w:r>
                </w:p>
              </w:tc>
              <w:tc>
                <w:tcPr>
                  <w:tcW w:w="1858" w:type="pct"/>
                  <w:vAlign w:val="center"/>
                </w:tcPr>
                <w:p w14:paraId="010F92DC">
                  <w:pPr>
                    <w:widowControl w:val="0"/>
                    <w:jc w:val="center"/>
                    <w:rPr>
                      <w:rFonts w:ascii="宋体" w:hAnsi="宋体" w:eastAsiaTheme="minorEastAsia" w:cstheme="minorBidi"/>
                      <w:bCs/>
                      <w:color w:val="auto"/>
                    </w:rPr>
                  </w:pPr>
                </w:p>
              </w:tc>
            </w:tr>
            <w:tr w14:paraId="55B9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3E5004D">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6ECB4EC2">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lang w:val="en-US" w:eastAsia="zh-CN"/>
                    </w:rPr>
                    <w:t>20M</w:t>
                  </w:r>
                </w:p>
              </w:tc>
              <w:tc>
                <w:tcPr>
                  <w:tcW w:w="1011" w:type="pct"/>
                  <w:vAlign w:val="bottom"/>
                </w:tcPr>
                <w:p w14:paraId="68A289C8">
                  <w:pPr>
                    <w:widowControl w:val="0"/>
                    <w:spacing w:before="100" w:beforeAutospacing="1" w:after="100" w:afterAutospacing="1"/>
                    <w:jc w:val="center"/>
                    <w:rPr>
                      <w:rFonts w:hint="eastAsia" w:ascii="宋体" w:hAnsi="宋体" w:eastAsiaTheme="minorEastAsia" w:cstheme="minorBidi"/>
                      <w:bCs/>
                      <w:color w:val="auto"/>
                    </w:rPr>
                  </w:pPr>
                  <w:r>
                    <w:rPr>
                      <w:rFonts w:hint="eastAsia" w:ascii="宋体" w:hAnsi="宋体" w:eastAsiaTheme="minorEastAsia" w:cstheme="minorBidi"/>
                      <w:bCs/>
                      <w:color w:val="auto"/>
                      <w:lang w:val="en-US" w:eastAsia="zh-CN"/>
                    </w:rPr>
                    <w:t>静力绳</w:t>
                  </w:r>
                </w:p>
              </w:tc>
              <w:tc>
                <w:tcPr>
                  <w:tcW w:w="656" w:type="pct"/>
                  <w:vAlign w:val="center"/>
                </w:tcPr>
                <w:p w14:paraId="642FC255">
                  <w:pPr>
                    <w:widowControl w:val="0"/>
                    <w:jc w:val="center"/>
                    <w:rPr>
                      <w:rFonts w:hint="default" w:ascii="宋体" w:hAnsi="宋体" w:eastAsiaTheme="minorEastAsia" w:cstheme="minorBidi"/>
                      <w:bCs/>
                      <w:color w:val="auto"/>
                      <w:lang w:val="en-US"/>
                    </w:rPr>
                  </w:pPr>
                  <w:r>
                    <w:rPr>
                      <w:rFonts w:hint="eastAsia" w:ascii="宋体" w:hAnsi="宋体" w:eastAsiaTheme="minorEastAsia" w:cstheme="minorBidi"/>
                      <w:bCs/>
                      <w:color w:val="auto"/>
                      <w:lang w:val="en-US" w:eastAsia="zh-CN"/>
                    </w:rPr>
                    <w:t>1根</w:t>
                  </w:r>
                </w:p>
              </w:tc>
              <w:tc>
                <w:tcPr>
                  <w:tcW w:w="1858" w:type="pct"/>
                  <w:vAlign w:val="center"/>
                </w:tcPr>
                <w:p w14:paraId="25483296">
                  <w:pPr>
                    <w:widowControl w:val="0"/>
                    <w:jc w:val="center"/>
                    <w:rPr>
                      <w:rFonts w:ascii="宋体" w:hAnsi="宋体" w:eastAsiaTheme="minorEastAsia" w:cstheme="minorBidi"/>
                      <w:bCs/>
                      <w:color w:val="auto"/>
                    </w:rPr>
                  </w:pPr>
                </w:p>
              </w:tc>
            </w:tr>
            <w:tr w14:paraId="2BE1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D5C3042">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4F7B73A8">
                  <w:pPr>
                    <w:widowControl w:val="0"/>
                    <w:jc w:val="center"/>
                    <w:rPr>
                      <w:rFonts w:ascii="宋体" w:hAnsi="宋体" w:eastAsiaTheme="minorEastAsia" w:cstheme="minorBidi"/>
                      <w:bCs/>
                      <w:color w:val="auto"/>
                    </w:rPr>
                  </w:pPr>
                </w:p>
              </w:tc>
              <w:tc>
                <w:tcPr>
                  <w:tcW w:w="1011" w:type="pct"/>
                  <w:vAlign w:val="bottom"/>
                </w:tcPr>
                <w:p w14:paraId="343DE4E2">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水成膜泡沫灭火剂</w:t>
                  </w:r>
                </w:p>
              </w:tc>
              <w:tc>
                <w:tcPr>
                  <w:tcW w:w="656" w:type="pct"/>
                  <w:vAlign w:val="center"/>
                </w:tcPr>
                <w:p w14:paraId="067894EF">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3吨</w:t>
                  </w:r>
                </w:p>
              </w:tc>
              <w:tc>
                <w:tcPr>
                  <w:tcW w:w="1858" w:type="pct"/>
                  <w:vAlign w:val="center"/>
                </w:tcPr>
                <w:p w14:paraId="4247C840">
                  <w:pPr>
                    <w:widowControl w:val="0"/>
                    <w:jc w:val="center"/>
                    <w:rPr>
                      <w:rFonts w:ascii="宋体" w:hAnsi="宋体" w:eastAsiaTheme="minorEastAsia" w:cstheme="minorBidi"/>
                      <w:bCs/>
                      <w:color w:val="auto"/>
                    </w:rPr>
                  </w:pPr>
                </w:p>
              </w:tc>
            </w:tr>
            <w:tr w14:paraId="7FDD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CE6A7F6">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46679D5C">
                  <w:pPr>
                    <w:widowControl w:val="0"/>
                    <w:jc w:val="center"/>
                    <w:rPr>
                      <w:rFonts w:ascii="宋体" w:hAnsi="宋体" w:eastAsiaTheme="minorEastAsia" w:cstheme="minorBidi"/>
                      <w:bCs/>
                      <w:color w:val="auto"/>
                    </w:rPr>
                  </w:pPr>
                </w:p>
              </w:tc>
              <w:tc>
                <w:tcPr>
                  <w:tcW w:w="1011" w:type="pct"/>
                  <w:vAlign w:val="bottom"/>
                </w:tcPr>
                <w:p w14:paraId="0D3864E8">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战斗服</w:t>
                  </w:r>
                </w:p>
              </w:tc>
              <w:tc>
                <w:tcPr>
                  <w:tcW w:w="656" w:type="pct"/>
                  <w:vAlign w:val="center"/>
                </w:tcPr>
                <w:p w14:paraId="1972264D">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10套</w:t>
                  </w:r>
                </w:p>
              </w:tc>
              <w:tc>
                <w:tcPr>
                  <w:tcW w:w="1858" w:type="pct"/>
                  <w:vAlign w:val="center"/>
                </w:tcPr>
                <w:p w14:paraId="596EB188">
                  <w:pPr>
                    <w:widowControl w:val="0"/>
                    <w:jc w:val="center"/>
                    <w:rPr>
                      <w:rFonts w:ascii="宋体" w:hAnsi="宋体" w:eastAsiaTheme="minorEastAsia" w:cstheme="minorBidi"/>
                      <w:bCs/>
                      <w:color w:val="auto"/>
                    </w:rPr>
                  </w:pPr>
                </w:p>
              </w:tc>
            </w:tr>
            <w:tr w14:paraId="7657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462D753">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49689FF3">
                  <w:pPr>
                    <w:widowControl w:val="0"/>
                    <w:jc w:val="center"/>
                    <w:rPr>
                      <w:rFonts w:ascii="宋体" w:hAnsi="宋体" w:eastAsiaTheme="minorEastAsia" w:cstheme="minorBidi"/>
                      <w:bCs/>
                      <w:color w:val="auto"/>
                    </w:rPr>
                  </w:pPr>
                </w:p>
              </w:tc>
              <w:tc>
                <w:tcPr>
                  <w:tcW w:w="1011" w:type="pct"/>
                  <w:vAlign w:val="bottom"/>
                </w:tcPr>
                <w:p w14:paraId="19067400">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对讲机</w:t>
                  </w:r>
                </w:p>
              </w:tc>
              <w:tc>
                <w:tcPr>
                  <w:tcW w:w="656" w:type="pct"/>
                  <w:vAlign w:val="center"/>
                </w:tcPr>
                <w:p w14:paraId="6FC664BE">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2台</w:t>
                  </w:r>
                </w:p>
              </w:tc>
              <w:tc>
                <w:tcPr>
                  <w:tcW w:w="1858" w:type="pct"/>
                  <w:vAlign w:val="center"/>
                </w:tcPr>
                <w:p w14:paraId="14A2B034">
                  <w:pPr>
                    <w:widowControl w:val="0"/>
                    <w:jc w:val="center"/>
                    <w:rPr>
                      <w:rFonts w:ascii="宋体" w:hAnsi="宋体" w:eastAsiaTheme="minorEastAsia" w:cstheme="minorBidi"/>
                      <w:bCs/>
                      <w:color w:val="auto"/>
                    </w:rPr>
                  </w:pPr>
                </w:p>
              </w:tc>
            </w:tr>
            <w:tr w14:paraId="58EB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DBEB066">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0A0CD67A">
                  <w:pPr>
                    <w:widowControl w:val="0"/>
                    <w:jc w:val="center"/>
                    <w:rPr>
                      <w:rFonts w:ascii="宋体" w:hAnsi="宋体" w:eastAsiaTheme="minorEastAsia" w:cstheme="minorBidi"/>
                      <w:bCs/>
                      <w:color w:val="auto"/>
                    </w:rPr>
                  </w:pPr>
                </w:p>
              </w:tc>
              <w:tc>
                <w:tcPr>
                  <w:tcW w:w="1011" w:type="pct"/>
                  <w:vAlign w:val="bottom"/>
                </w:tcPr>
                <w:p w14:paraId="3F964C51">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车载电台</w:t>
                  </w:r>
                </w:p>
              </w:tc>
              <w:tc>
                <w:tcPr>
                  <w:tcW w:w="656" w:type="pct"/>
                  <w:vAlign w:val="center"/>
                </w:tcPr>
                <w:p w14:paraId="03DF3364">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1台</w:t>
                  </w:r>
                </w:p>
              </w:tc>
              <w:tc>
                <w:tcPr>
                  <w:tcW w:w="1858" w:type="pct"/>
                  <w:vAlign w:val="center"/>
                </w:tcPr>
                <w:p w14:paraId="0271A219">
                  <w:pPr>
                    <w:widowControl w:val="0"/>
                    <w:jc w:val="center"/>
                    <w:rPr>
                      <w:rFonts w:ascii="宋体" w:hAnsi="宋体" w:eastAsiaTheme="minorEastAsia" w:cstheme="minorBidi"/>
                      <w:bCs/>
                      <w:color w:val="auto"/>
                    </w:rPr>
                  </w:pPr>
                </w:p>
              </w:tc>
            </w:tr>
            <w:tr w14:paraId="1591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3CEF8928">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6B6F04A">
                  <w:pPr>
                    <w:widowControl w:val="0"/>
                    <w:jc w:val="center"/>
                    <w:rPr>
                      <w:rFonts w:ascii="宋体" w:hAnsi="宋体" w:eastAsiaTheme="minorEastAsia" w:cstheme="minorBidi"/>
                      <w:bCs/>
                      <w:color w:val="auto"/>
                    </w:rPr>
                  </w:pPr>
                </w:p>
              </w:tc>
              <w:tc>
                <w:tcPr>
                  <w:tcW w:w="1011" w:type="pct"/>
                  <w:vAlign w:val="bottom"/>
                </w:tcPr>
                <w:p w14:paraId="444B5639">
                  <w:pPr>
                    <w:widowControl w:val="0"/>
                    <w:spacing w:before="100" w:beforeAutospacing="1" w:after="100" w:afterAutospacing="1"/>
                    <w:jc w:val="center"/>
                    <w:rPr>
                      <w:rFonts w:hint="eastAsia"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抢险救援头盔</w:t>
                  </w:r>
                </w:p>
              </w:tc>
              <w:tc>
                <w:tcPr>
                  <w:tcW w:w="656" w:type="pct"/>
                  <w:vAlign w:val="center"/>
                </w:tcPr>
                <w:p w14:paraId="12B286B5">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10顶</w:t>
                  </w:r>
                </w:p>
              </w:tc>
              <w:tc>
                <w:tcPr>
                  <w:tcW w:w="1858" w:type="pct"/>
                  <w:vAlign w:val="center"/>
                </w:tcPr>
                <w:p w14:paraId="6CF67265">
                  <w:pPr>
                    <w:widowControl w:val="0"/>
                    <w:jc w:val="center"/>
                    <w:rPr>
                      <w:rFonts w:ascii="宋体" w:hAnsi="宋体" w:eastAsiaTheme="minorEastAsia" w:cstheme="minorBidi"/>
                      <w:bCs/>
                      <w:color w:val="auto"/>
                    </w:rPr>
                  </w:pPr>
                </w:p>
              </w:tc>
            </w:tr>
            <w:tr w14:paraId="3FB1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8BDFA9B">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38C77FC">
                  <w:pPr>
                    <w:widowControl w:val="0"/>
                    <w:jc w:val="center"/>
                    <w:rPr>
                      <w:rFonts w:ascii="宋体" w:hAnsi="宋体" w:eastAsiaTheme="minorEastAsia" w:cstheme="minorBidi"/>
                      <w:bCs/>
                      <w:color w:val="auto"/>
                    </w:rPr>
                  </w:pPr>
                </w:p>
              </w:tc>
              <w:tc>
                <w:tcPr>
                  <w:tcW w:w="1011" w:type="pct"/>
                  <w:vAlign w:val="bottom"/>
                </w:tcPr>
                <w:p w14:paraId="704BA781">
                  <w:pPr>
                    <w:widowControl w:val="0"/>
                    <w:spacing w:before="100" w:beforeAutospacing="1" w:after="100" w:afterAutospacing="1"/>
                    <w:jc w:val="center"/>
                    <w:rPr>
                      <w:rFonts w:hint="default" w:ascii="宋体" w:hAnsi="宋体" w:eastAsiaTheme="minorEastAsia" w:cstheme="minorBidi"/>
                      <w:bCs/>
                      <w:color w:val="auto"/>
                      <w:lang w:val="en-US"/>
                    </w:rPr>
                  </w:pPr>
                  <w:r>
                    <w:rPr>
                      <w:rFonts w:hint="eastAsia" w:ascii="宋体" w:hAnsi="宋体" w:eastAsiaTheme="minorEastAsia" w:cstheme="minorBidi"/>
                      <w:bCs/>
                      <w:color w:val="auto"/>
                      <w:lang w:val="en-US" w:eastAsia="zh-CN"/>
                    </w:rPr>
                    <w:t>抢险救援靴</w:t>
                  </w:r>
                </w:p>
              </w:tc>
              <w:tc>
                <w:tcPr>
                  <w:tcW w:w="656" w:type="pct"/>
                  <w:vAlign w:val="center"/>
                </w:tcPr>
                <w:p w14:paraId="399069E1">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10双</w:t>
                  </w:r>
                </w:p>
              </w:tc>
              <w:tc>
                <w:tcPr>
                  <w:tcW w:w="1858" w:type="pct"/>
                  <w:vAlign w:val="center"/>
                </w:tcPr>
                <w:p w14:paraId="6082D6E1">
                  <w:pPr>
                    <w:widowControl w:val="0"/>
                    <w:jc w:val="center"/>
                    <w:rPr>
                      <w:rFonts w:ascii="宋体" w:hAnsi="宋体" w:eastAsiaTheme="minorEastAsia" w:cstheme="minorBidi"/>
                      <w:bCs/>
                      <w:color w:val="auto"/>
                    </w:rPr>
                  </w:pPr>
                </w:p>
              </w:tc>
            </w:tr>
            <w:tr w14:paraId="49C5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989D62D">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4C8E03BE">
                  <w:pPr>
                    <w:widowControl w:val="0"/>
                    <w:jc w:val="center"/>
                    <w:rPr>
                      <w:rFonts w:ascii="宋体" w:hAnsi="宋体" w:eastAsiaTheme="minorEastAsia" w:cstheme="minorBidi"/>
                      <w:bCs/>
                      <w:color w:val="auto"/>
                    </w:rPr>
                  </w:pPr>
                </w:p>
              </w:tc>
              <w:tc>
                <w:tcPr>
                  <w:tcW w:w="1011" w:type="pct"/>
                  <w:vAlign w:val="bottom"/>
                </w:tcPr>
                <w:p w14:paraId="546E9BF4">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空呼器钢瓶充气泵</w:t>
                  </w:r>
                </w:p>
              </w:tc>
              <w:tc>
                <w:tcPr>
                  <w:tcW w:w="656" w:type="pct"/>
                  <w:vAlign w:val="center"/>
                </w:tcPr>
                <w:p w14:paraId="7440303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1台</w:t>
                  </w:r>
                </w:p>
              </w:tc>
              <w:tc>
                <w:tcPr>
                  <w:tcW w:w="1858" w:type="pct"/>
                  <w:vAlign w:val="center"/>
                </w:tcPr>
                <w:p w14:paraId="4EB5249D">
                  <w:pPr>
                    <w:widowControl w:val="0"/>
                    <w:jc w:val="center"/>
                    <w:rPr>
                      <w:rFonts w:ascii="宋体" w:hAnsi="宋体" w:eastAsiaTheme="minorEastAsia" w:cstheme="minorBidi"/>
                      <w:bCs/>
                      <w:color w:val="auto"/>
                    </w:rPr>
                  </w:pPr>
                </w:p>
              </w:tc>
            </w:tr>
            <w:tr w14:paraId="352D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F766378">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6AB3BF63">
                  <w:pPr>
                    <w:widowControl w:val="0"/>
                    <w:jc w:val="center"/>
                    <w:rPr>
                      <w:rFonts w:ascii="宋体" w:hAnsi="宋体" w:eastAsiaTheme="minorEastAsia" w:cstheme="minorBidi"/>
                      <w:bCs/>
                      <w:color w:val="auto"/>
                    </w:rPr>
                  </w:pPr>
                </w:p>
              </w:tc>
              <w:tc>
                <w:tcPr>
                  <w:tcW w:w="1011" w:type="pct"/>
                  <w:vAlign w:val="bottom"/>
                </w:tcPr>
                <w:p w14:paraId="5ECBD412">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Theme="minorEastAsia" w:cstheme="minorBidi"/>
                      <w:bCs/>
                      <w:color w:val="auto"/>
                      <w:lang w:val="en-US" w:eastAsia="zh-CN"/>
                    </w:rPr>
                    <w:t>多功能应急救援固定器</w:t>
                  </w:r>
                </w:p>
              </w:tc>
              <w:tc>
                <w:tcPr>
                  <w:tcW w:w="656" w:type="pct"/>
                  <w:vAlign w:val="center"/>
                </w:tcPr>
                <w:p w14:paraId="50D9626C">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1套</w:t>
                  </w:r>
                </w:p>
              </w:tc>
              <w:tc>
                <w:tcPr>
                  <w:tcW w:w="1858" w:type="pct"/>
                  <w:vAlign w:val="center"/>
                </w:tcPr>
                <w:p w14:paraId="193DDC33">
                  <w:pPr>
                    <w:widowControl w:val="0"/>
                    <w:jc w:val="center"/>
                    <w:rPr>
                      <w:rFonts w:ascii="宋体" w:hAnsi="宋体" w:eastAsiaTheme="minorEastAsia" w:cstheme="minorBidi"/>
                      <w:bCs/>
                      <w:color w:val="auto"/>
                    </w:rPr>
                  </w:pPr>
                  <w:r>
                    <w:rPr>
                      <w:rFonts w:hint="eastAsia" w:ascii="宋体" w:hAnsi="宋体" w:eastAsiaTheme="minorEastAsia" w:cstheme="minorBidi"/>
                      <w:bCs/>
                      <w:color w:val="auto"/>
                      <w:sz w:val="18"/>
                      <w:szCs w:val="16"/>
                      <w:lang w:val="en-US" w:eastAsia="zh-CN"/>
                    </w:rPr>
                    <w:t>外形尺寸与重量：1000×500×300（长×宽×高mm）；主体材质为不锈钢;主件和附件14 KG</w:t>
                  </w:r>
                </w:p>
              </w:tc>
            </w:tr>
            <w:tr w14:paraId="51DE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D65446C">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1EE4D79C">
                  <w:pPr>
                    <w:widowControl w:val="0"/>
                    <w:jc w:val="center"/>
                    <w:rPr>
                      <w:rFonts w:ascii="宋体" w:hAnsi="宋体" w:eastAsiaTheme="minorEastAsia" w:cstheme="minorBidi"/>
                      <w:bCs/>
                      <w:color w:val="auto"/>
                    </w:rPr>
                  </w:pPr>
                </w:p>
              </w:tc>
              <w:tc>
                <w:tcPr>
                  <w:tcW w:w="1011" w:type="pct"/>
                  <w:vAlign w:val="bottom"/>
                </w:tcPr>
                <w:p w14:paraId="66CF9E70">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训练假人</w:t>
                  </w:r>
                </w:p>
              </w:tc>
              <w:tc>
                <w:tcPr>
                  <w:tcW w:w="656" w:type="pct"/>
                  <w:vAlign w:val="center"/>
                </w:tcPr>
                <w:p w14:paraId="79998A9D">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1个</w:t>
                  </w:r>
                </w:p>
              </w:tc>
              <w:tc>
                <w:tcPr>
                  <w:tcW w:w="1858" w:type="pct"/>
                  <w:vAlign w:val="center"/>
                </w:tcPr>
                <w:p w14:paraId="211FA4C6">
                  <w:pPr>
                    <w:widowControl w:val="0"/>
                    <w:jc w:val="center"/>
                    <w:rPr>
                      <w:rFonts w:ascii="宋体" w:hAnsi="宋体" w:eastAsiaTheme="minorEastAsia" w:cstheme="minorBidi"/>
                      <w:bCs/>
                      <w:color w:val="auto"/>
                    </w:rPr>
                  </w:pPr>
                </w:p>
              </w:tc>
            </w:tr>
            <w:tr w14:paraId="70B5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319BC04">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7F083909">
                  <w:pPr>
                    <w:widowControl w:val="0"/>
                    <w:jc w:val="center"/>
                    <w:rPr>
                      <w:rFonts w:ascii="宋体" w:hAnsi="宋体" w:eastAsiaTheme="minorEastAsia" w:cstheme="minorBidi"/>
                      <w:bCs/>
                      <w:color w:val="auto"/>
                    </w:rPr>
                  </w:pPr>
                </w:p>
              </w:tc>
              <w:tc>
                <w:tcPr>
                  <w:tcW w:w="1011" w:type="pct"/>
                  <w:vAlign w:val="bottom"/>
                </w:tcPr>
                <w:p w14:paraId="3C62EF60">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消防腰带</w:t>
                  </w:r>
                </w:p>
              </w:tc>
              <w:tc>
                <w:tcPr>
                  <w:tcW w:w="656" w:type="pct"/>
                  <w:vAlign w:val="center"/>
                </w:tcPr>
                <w:p w14:paraId="5BA869B0">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10根</w:t>
                  </w:r>
                </w:p>
              </w:tc>
              <w:tc>
                <w:tcPr>
                  <w:tcW w:w="1858" w:type="pct"/>
                  <w:vAlign w:val="center"/>
                </w:tcPr>
                <w:p w14:paraId="3761DE25">
                  <w:pPr>
                    <w:widowControl w:val="0"/>
                    <w:jc w:val="center"/>
                    <w:rPr>
                      <w:rFonts w:ascii="宋体" w:hAnsi="宋体" w:eastAsiaTheme="minorEastAsia" w:cstheme="minorBidi"/>
                      <w:bCs/>
                      <w:color w:val="auto"/>
                    </w:rPr>
                  </w:pPr>
                </w:p>
              </w:tc>
            </w:tr>
            <w:tr w14:paraId="6A8C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70EA946">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2132D1A9">
                  <w:pPr>
                    <w:widowControl w:val="0"/>
                    <w:jc w:val="center"/>
                    <w:rPr>
                      <w:rFonts w:hint="default" w:ascii="宋体" w:hAnsi="宋体" w:eastAsiaTheme="minorEastAsia" w:cstheme="minorBidi"/>
                      <w:bCs/>
                      <w:color w:val="auto"/>
                      <w:lang w:val="en-US" w:eastAsia="zh-CN"/>
                    </w:rPr>
                  </w:pPr>
                </w:p>
              </w:tc>
              <w:tc>
                <w:tcPr>
                  <w:tcW w:w="1011" w:type="pct"/>
                  <w:vAlign w:val="bottom"/>
                </w:tcPr>
                <w:p w14:paraId="716B3ED8">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金属拉梯</w:t>
                  </w:r>
                </w:p>
              </w:tc>
              <w:tc>
                <w:tcPr>
                  <w:tcW w:w="656" w:type="pct"/>
                  <w:vAlign w:val="center"/>
                </w:tcPr>
                <w:p w14:paraId="2F902DEF">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1件</w:t>
                  </w:r>
                </w:p>
              </w:tc>
              <w:tc>
                <w:tcPr>
                  <w:tcW w:w="1858" w:type="pct"/>
                  <w:vAlign w:val="center"/>
                </w:tcPr>
                <w:p w14:paraId="22D1B458">
                  <w:pPr>
                    <w:widowControl w:val="0"/>
                    <w:jc w:val="center"/>
                    <w:rPr>
                      <w:rFonts w:hint="default" w:ascii="宋体" w:hAnsi="宋体" w:eastAsiaTheme="minorEastAsia" w:cstheme="minorBidi"/>
                      <w:bCs/>
                      <w:color w:val="auto"/>
                      <w:lang w:val="en-US"/>
                    </w:rPr>
                  </w:pPr>
                  <w:r>
                    <w:rPr>
                      <w:rFonts w:hint="eastAsia" w:ascii="宋体" w:hAnsi="宋体" w:eastAsiaTheme="minorEastAsia" w:cstheme="minorBidi"/>
                      <w:bCs/>
                      <w:color w:val="auto"/>
                      <w:lang w:val="en-US" w:eastAsia="zh-CN"/>
                    </w:rPr>
                    <w:t>9米</w:t>
                  </w:r>
                </w:p>
              </w:tc>
            </w:tr>
            <w:tr w14:paraId="08F2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27605AEC">
                  <w:pPr>
                    <w:pStyle w:val="97"/>
                    <w:widowControl w:val="0"/>
                    <w:numPr>
                      <w:ilvl w:val="0"/>
                      <w:numId w:val="31"/>
                    </w:numPr>
                    <w:ind w:firstLineChars="0"/>
                    <w:jc w:val="center"/>
                    <w:rPr>
                      <w:rFonts w:asciiTheme="minorHAnsi" w:hAnsiTheme="minorHAnsi" w:eastAsiaTheme="minorEastAsia" w:cstheme="minorBidi"/>
                      <w:color w:val="auto"/>
                    </w:rPr>
                  </w:pPr>
                </w:p>
              </w:tc>
              <w:tc>
                <w:tcPr>
                  <w:tcW w:w="1036" w:type="pct"/>
                  <w:vAlign w:val="center"/>
                </w:tcPr>
                <w:p w14:paraId="3C2D51C6">
                  <w:pPr>
                    <w:widowControl w:val="0"/>
                    <w:jc w:val="center"/>
                    <w:rPr>
                      <w:rFonts w:ascii="宋体" w:hAnsi="宋体" w:eastAsiaTheme="minorEastAsia" w:cstheme="minorBidi"/>
                      <w:bCs/>
                      <w:color w:val="auto"/>
                    </w:rPr>
                  </w:pPr>
                </w:p>
              </w:tc>
              <w:tc>
                <w:tcPr>
                  <w:tcW w:w="1011" w:type="pct"/>
                  <w:vAlign w:val="center"/>
                </w:tcPr>
                <w:p w14:paraId="622C2EB7">
                  <w:pPr>
                    <w:widowControl w:val="0"/>
                    <w:spacing w:before="100" w:beforeAutospacing="1" w:after="100" w:afterAutospacing="1"/>
                    <w:jc w:val="center"/>
                    <w:rPr>
                      <w:rFonts w:hint="default" w:ascii="宋体" w:hAnsi="宋体" w:eastAsiaTheme="minorEastAsia" w:cstheme="minorBidi"/>
                      <w:bCs/>
                      <w:color w:val="auto"/>
                      <w:lang w:val="en-US" w:eastAsia="zh-CN"/>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Theme="minorEastAsia" w:cstheme="minorBidi"/>
                      <w:bCs/>
                      <w:color w:val="auto"/>
                      <w:lang w:val="en-US" w:eastAsia="zh-CN"/>
                    </w:rPr>
                    <w:t>无线单兵图传指挥终端</w:t>
                  </w:r>
                </w:p>
              </w:tc>
              <w:tc>
                <w:tcPr>
                  <w:tcW w:w="656" w:type="pct"/>
                  <w:vAlign w:val="center"/>
                </w:tcPr>
                <w:p w14:paraId="6B925F46">
                  <w:pPr>
                    <w:widowControl w:val="0"/>
                    <w:jc w:val="center"/>
                    <w:rPr>
                      <w:rFonts w:hint="default" w:ascii="宋体" w:hAnsi="宋体" w:eastAsiaTheme="minorEastAsia" w:cstheme="minorBidi"/>
                      <w:bCs/>
                      <w:color w:val="auto"/>
                      <w:lang w:val="en-US" w:eastAsia="zh-CN"/>
                    </w:rPr>
                  </w:pPr>
                  <w:r>
                    <w:rPr>
                      <w:rFonts w:hint="eastAsia" w:ascii="宋体" w:hAnsi="宋体" w:eastAsiaTheme="minorEastAsia" w:cstheme="minorBidi"/>
                      <w:bCs/>
                      <w:color w:val="auto"/>
                      <w:lang w:val="en-US" w:eastAsia="zh-CN"/>
                    </w:rPr>
                    <w:t>2台</w:t>
                  </w:r>
                </w:p>
              </w:tc>
              <w:tc>
                <w:tcPr>
                  <w:tcW w:w="1858" w:type="pct"/>
                  <w:vAlign w:val="center"/>
                </w:tcPr>
                <w:p w14:paraId="4E07A72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★1.小巧轻便，</w:t>
                  </w:r>
                  <w:r>
                    <w:rPr>
                      <w:rFonts w:hint="eastAsia" w:ascii="宋体" w:hAnsi="宋体" w:cs="宋体"/>
                      <w:i w:val="0"/>
                      <w:iCs w:val="0"/>
                      <w:color w:val="auto"/>
                      <w:kern w:val="0"/>
                      <w:sz w:val="18"/>
                      <w:szCs w:val="18"/>
                      <w:u w:val="none"/>
                      <w:lang w:val="en-US" w:eastAsia="zh-CN" w:bidi="ar"/>
                    </w:rPr>
                    <w:t>大于2种佩戴方式</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2.具备实时音、视频传输功能，可在客户端实时查看现场图像；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★3.整机质量≤180g；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★4.外形尺寸≤85mm*55mm*35mm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5.工作时间≥4小时；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6.视频输入分辨率不低于1920*1080；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7.防护等级：≥IP66防水防尘；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★8.具备防爆功能；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★9.具备夜视功能及LED白光补光灯；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10.支持不少于4G与wifi两种网络模式；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★11.支持北斗定位且在后台能查询到轨迹运行；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★12.具备主副两个摄像头，可切换；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13.告警功能：手动报警、设备静止和受到撞击后台软件及本机自动报警，且后台软件可查看本机的实时视频画面；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14.支持TYPE-C接口充电器和导出数据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15.质保期：≥3年，供货周期：≤45天；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★16.提供国家检测机构的检测报告或具有 CNAS/CMA资质认证的第三方检测机构出具的产品检测报告</w:t>
                  </w:r>
                </w:p>
              </w:tc>
            </w:tr>
          </w:tbl>
          <w:p w14:paraId="56165EFD">
            <w:pPr>
              <w:tabs>
                <w:tab w:val="left" w:pos="980"/>
              </w:tabs>
              <w:adjustRightInd w:val="0"/>
              <w:snapToGrid w:val="0"/>
              <w:spacing w:line="300" w:lineRule="exact"/>
              <w:rPr>
                <w:rFonts w:ascii="宋体"/>
                <w:color w:val="auto"/>
                <w:sz w:val="18"/>
                <w:szCs w:val="18"/>
              </w:rPr>
            </w:pPr>
          </w:p>
        </w:tc>
      </w:tr>
      <w:tr w14:paraId="3251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64" w:type="dxa"/>
            <w:gridSpan w:val="3"/>
            <w:vAlign w:val="center"/>
          </w:tcPr>
          <w:p w14:paraId="516CD7BD">
            <w:pPr>
              <w:pStyle w:val="3"/>
              <w:keepNext w:val="0"/>
              <w:keepLines/>
              <w:pageBreakBefore w:val="0"/>
              <w:widowControl w:val="0"/>
              <w:tabs>
                <w:tab w:val="left" w:pos="432"/>
              </w:tabs>
              <w:kinsoku/>
              <w:wordWrap/>
              <w:overflowPunct/>
              <w:topLinePunct w:val="0"/>
              <w:autoSpaceDE/>
              <w:autoSpaceDN/>
              <w:bidi w:val="0"/>
              <w:adjustRightInd w:val="0"/>
              <w:snapToGrid/>
              <w:spacing w:before="0" w:after="0" w:line="360" w:lineRule="auto"/>
              <w:ind w:firstLine="482" w:firstLineChars="200"/>
              <w:jc w:val="left"/>
              <w:textAlignment w:val="auto"/>
              <w:rPr>
                <w:rFonts w:ascii="宋体"/>
                <w:color w:val="000000"/>
                <w:sz w:val="18"/>
                <w:szCs w:val="18"/>
              </w:rPr>
            </w:pPr>
            <w:r>
              <w:rPr>
                <w:rFonts w:hint="eastAsia" w:cs="宋体"/>
                <w:color w:val="auto"/>
                <w:sz w:val="24"/>
                <w:szCs w:val="24"/>
                <w:highlight w:val="none"/>
                <w:lang w:val="en-US" w:eastAsia="zh-CN"/>
              </w:rPr>
              <w:t>注：</w:t>
            </w:r>
            <w:r>
              <w:rPr>
                <w:rFonts w:hint="eastAsia" w:ascii="宋体" w:hAnsi="宋体"/>
                <w:b/>
                <w:color w:val="auto"/>
                <w:sz w:val="24"/>
                <w:highlight w:val="none"/>
                <w:lang w:val="en-US" w:eastAsia="zh-CN"/>
              </w:rPr>
              <w:t>以上证明报告等材料（评标办法有要求的除外），中标人须在签订合同前7个工作日内提供给采购人核查。</w:t>
            </w:r>
          </w:p>
        </w:tc>
      </w:tr>
    </w:tbl>
    <w:p w14:paraId="66F4F91F">
      <w:pPr>
        <w:keepNext w:val="0"/>
        <w:keepLines w:val="0"/>
        <w:pageBreakBefore w:val="0"/>
        <w:tabs>
          <w:tab w:val="left" w:pos="8280"/>
        </w:tabs>
        <w:kinsoku/>
        <w:wordWrap/>
        <w:overflowPunct/>
        <w:topLinePunct w:val="0"/>
        <w:autoSpaceDE w:val="0"/>
        <w:autoSpaceDN w:val="0"/>
        <w:bidi w:val="0"/>
        <w:adjustRightInd w:val="0"/>
        <w:spacing w:line="420" w:lineRule="exact"/>
        <w:ind w:right="25"/>
        <w:textAlignment w:val="auto"/>
        <w:rPr>
          <w:rFonts w:hint="eastAsia" w:ascii="宋体" w:hAnsi="宋体"/>
          <w:b/>
          <w:color w:val="auto"/>
          <w:sz w:val="24"/>
          <w:highlight w:val="none"/>
        </w:rPr>
      </w:pPr>
      <w:r>
        <w:rPr>
          <w:rFonts w:hint="eastAsia" w:ascii="宋体" w:hAnsi="宋体" w:eastAsia="宋体" w:cs="宋体"/>
          <w:color w:val="auto"/>
          <w:sz w:val="24"/>
          <w:szCs w:val="24"/>
          <w:highlight w:val="none"/>
        </w:rPr>
        <w:t>三、</w:t>
      </w:r>
      <w:r>
        <w:rPr>
          <w:rFonts w:hint="eastAsia" w:ascii="宋体" w:hAnsi="宋体"/>
          <w:b/>
          <w:color w:val="auto"/>
          <w:sz w:val="24"/>
          <w:highlight w:val="none"/>
        </w:rPr>
        <w:t>商务需求及其它：</w:t>
      </w:r>
    </w:p>
    <w:p w14:paraId="38DA73FB">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highlight w:val="none"/>
        </w:rPr>
        <w:t>1、</w:t>
      </w:r>
      <w:r>
        <w:rPr>
          <w:rFonts w:hint="eastAsia" w:ascii="宋体" w:hAnsi="宋体" w:cs="宋体"/>
          <w:color w:val="auto"/>
          <w:sz w:val="24"/>
          <w:szCs w:val="22"/>
          <w:highlight w:val="none"/>
        </w:rPr>
        <w:t>“▲”符号为实质性响应内容，不允许负偏离。投标人必须做出满足或者优于原要求和条件的承诺，否则作无效标处理。标注“</w:t>
      </w:r>
      <w:r>
        <w:rPr>
          <w:rFonts w:hint="eastAsia" w:ascii="Segoe UI" w:hAnsi="宋体"/>
          <w:color w:val="auto"/>
          <w:sz w:val="24"/>
          <w:highlight w:val="none"/>
          <w:shd w:val="clear" w:color="auto" w:fill="FFFFFF"/>
        </w:rPr>
        <w:t>★”为重要指标。</w:t>
      </w:r>
    </w:p>
    <w:p w14:paraId="74B3EB06">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r>
        <w:rPr>
          <w:rFonts w:hint="eastAsia" w:ascii="宋体" w:hAnsi="宋体" w:eastAsia="宋体" w:cs="宋体"/>
          <w:color w:val="auto"/>
          <w:sz w:val="24"/>
          <w:szCs w:val="24"/>
          <w:highlight w:val="none"/>
        </w:rPr>
        <w:t>为保证设备稳定运行、保障售后服务质量、保护甲方的合</w:t>
      </w:r>
      <w:r>
        <w:rPr>
          <w:rFonts w:hint="eastAsia" w:ascii="宋体" w:hAnsi="宋体" w:eastAsia="宋体" w:cs="宋体"/>
          <w:b w:val="0"/>
          <w:bCs w:val="0"/>
          <w:color w:val="auto"/>
          <w:sz w:val="24"/>
          <w:szCs w:val="24"/>
          <w:highlight w:val="none"/>
        </w:rPr>
        <w:t>法权益，投标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及厂商必须保证：本项目所有设备原厂售后服务权益方名称为</w:t>
      </w:r>
      <w:r>
        <w:rPr>
          <w:rFonts w:hint="eastAsia" w:ascii="宋体" w:hAnsi="宋体" w:cs="宋体"/>
          <w:b w:val="0"/>
          <w:bCs w:val="0"/>
          <w:color w:val="auto"/>
          <w:sz w:val="24"/>
          <w:szCs w:val="24"/>
          <w:highlight w:val="none"/>
          <w:u w:val="none"/>
          <w:lang w:eastAsia="zh-CN"/>
        </w:rPr>
        <w:t>台州市路桥区横街镇人民政府</w:t>
      </w:r>
      <w:r>
        <w:rPr>
          <w:rFonts w:hint="eastAsia" w:ascii="宋体" w:hAnsi="宋体" w:eastAsia="宋体" w:cs="宋体"/>
          <w:b w:val="0"/>
          <w:bCs w:val="0"/>
          <w:color w:val="auto"/>
          <w:sz w:val="24"/>
          <w:szCs w:val="24"/>
          <w:highlight w:val="none"/>
          <w:u w:val="none"/>
        </w:rPr>
        <w:t>。</w:t>
      </w:r>
      <w:r>
        <w:rPr>
          <w:rFonts w:hint="eastAsia" w:ascii="宋体" w:hAnsi="宋体" w:cs="宋体"/>
          <w:color w:val="auto"/>
          <w:sz w:val="24"/>
          <w:highlight w:val="none"/>
        </w:rPr>
        <w:t>投标人提供的中标产品，必须符合本招标文件要求</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及厂商必须保证所有投标产品均为中华人民共和国境内（不含港澳台地区）合法销售的产品，并保证所有投标参数真实可信，</w:t>
      </w:r>
      <w:r>
        <w:rPr>
          <w:rFonts w:ascii="宋体" w:hAnsi="宋体"/>
          <w:color w:val="auto"/>
          <w:kern w:val="0"/>
          <w:sz w:val="24"/>
          <w:highlight w:val="none"/>
        </w:rPr>
        <w:t>有产品合格证书、保修卡。</w:t>
      </w:r>
      <w:r>
        <w:rPr>
          <w:rFonts w:hint="eastAsia" w:ascii="宋体" w:hAnsi="宋体" w:cs="宋体"/>
          <w:color w:val="auto"/>
          <w:sz w:val="24"/>
          <w:highlight w:val="none"/>
        </w:rPr>
        <w:t>如有不符，采购人可以无条件退货，所造成的损失由中标人承担</w:t>
      </w:r>
      <w:r>
        <w:rPr>
          <w:rFonts w:hint="eastAsia" w:ascii="宋体" w:hAnsi="宋体" w:cs="宋体"/>
          <w:color w:val="auto"/>
          <w:sz w:val="24"/>
          <w:highlight w:val="none"/>
          <w:lang w:eastAsia="zh-CN"/>
        </w:rPr>
        <w:t>，</w:t>
      </w:r>
      <w:r>
        <w:rPr>
          <w:rFonts w:hint="eastAsia" w:ascii="宋体" w:hAnsi="宋体" w:eastAsia="宋体" w:cs="宋体"/>
          <w:b w:val="0"/>
          <w:bCs/>
          <w:color w:val="auto"/>
          <w:sz w:val="24"/>
          <w:szCs w:val="24"/>
          <w:highlight w:val="none"/>
        </w:rPr>
        <w:t>同时承担以非法产品或虚假参数应标所带来的一切法律风险。</w:t>
      </w:r>
    </w:p>
    <w:p w14:paraId="5865018E">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hAnsi="宋体"/>
          <w:color w:val="auto"/>
          <w:sz w:val="24"/>
          <w:highlight w:val="none"/>
        </w:rPr>
      </w:pPr>
      <w:r>
        <w:rPr>
          <w:rFonts w:hint="eastAsia" w:hAnsi="宋体" w:cs="宋体"/>
          <w:color w:val="auto"/>
          <w:sz w:val="24"/>
          <w:szCs w:val="22"/>
          <w:highlight w:val="none"/>
        </w:rPr>
        <w:t>▲</w:t>
      </w:r>
      <w:r>
        <w:rPr>
          <w:rFonts w:hint="eastAsia" w:hAnsi="宋体" w:cs="宋体"/>
          <w:b/>
          <w:bCs/>
          <w:color w:val="auto"/>
          <w:sz w:val="24"/>
          <w:szCs w:val="22"/>
          <w:highlight w:val="none"/>
          <w:lang w:val="en-US" w:eastAsia="zh-CN"/>
        </w:rPr>
        <w:t>3</w:t>
      </w:r>
      <w:r>
        <w:rPr>
          <w:rFonts w:hint="eastAsia" w:hAnsi="宋体" w:cs="宋体"/>
          <w:b/>
          <w:bCs/>
          <w:color w:val="auto"/>
          <w:sz w:val="24"/>
          <w:szCs w:val="22"/>
          <w:highlight w:val="none"/>
        </w:rPr>
        <w:t>、</w:t>
      </w:r>
      <w:r>
        <w:rPr>
          <w:rFonts w:hint="eastAsia" w:hAnsi="宋体"/>
          <w:b/>
          <w:bCs/>
          <w:color w:val="auto"/>
          <w:sz w:val="24"/>
          <w:highlight w:val="none"/>
        </w:rPr>
        <w:t>质保期要求：</w:t>
      </w:r>
      <w:r>
        <w:rPr>
          <w:rFonts w:hint="eastAsia" w:ascii="宋体" w:hAnsi="宋体" w:cs="宋体"/>
          <w:b/>
          <w:bCs/>
          <w:color w:val="auto"/>
          <w:sz w:val="24"/>
          <w:highlight w:val="none"/>
        </w:rPr>
        <w:t>提供</w:t>
      </w:r>
      <w:r>
        <w:rPr>
          <w:rFonts w:hint="eastAsia" w:ascii="宋体" w:hAnsi="宋体" w:cs="宋体"/>
          <w:b/>
          <w:bCs/>
          <w:color w:val="auto"/>
          <w:sz w:val="24"/>
          <w:highlight w:val="none"/>
          <w:lang w:eastAsia="zh-CN"/>
        </w:rPr>
        <w:t>整个项目不少于一</w:t>
      </w:r>
      <w:r>
        <w:rPr>
          <w:rFonts w:hint="eastAsia" w:ascii="宋体" w:hAnsi="宋体" w:cs="宋体"/>
          <w:b/>
          <w:bCs/>
          <w:color w:val="auto"/>
          <w:sz w:val="24"/>
          <w:highlight w:val="none"/>
        </w:rPr>
        <w:t>年免费质保服务</w:t>
      </w:r>
      <w:r>
        <w:rPr>
          <w:rFonts w:hint="eastAsia" w:ascii="宋体" w:hAnsi="宋体" w:cs="宋体"/>
          <w:color w:val="auto"/>
          <w:sz w:val="24"/>
          <w:highlight w:val="none"/>
          <w:lang w:eastAsia="zh-CN"/>
        </w:rPr>
        <w:t>（包含指挥终端的硬件设备）</w:t>
      </w:r>
      <w:r>
        <w:rPr>
          <w:rFonts w:hint="eastAsia" w:ascii="宋体" w:hAnsi="宋体" w:cs="宋体"/>
          <w:color w:val="auto"/>
          <w:sz w:val="24"/>
          <w:highlight w:val="none"/>
        </w:rPr>
        <w:t>。质保期从项目</w:t>
      </w:r>
      <w:r>
        <w:rPr>
          <w:rFonts w:hint="eastAsia" w:hAnsi="宋体" w:cs="宋体"/>
          <w:color w:val="auto"/>
          <w:sz w:val="24"/>
          <w:highlight w:val="none"/>
          <w:lang w:eastAsia="zh-CN"/>
        </w:rPr>
        <w:t>最终</w:t>
      </w:r>
      <w:r>
        <w:rPr>
          <w:rFonts w:hint="eastAsia" w:ascii="宋体" w:hAnsi="宋体" w:cs="宋体"/>
          <w:color w:val="auto"/>
          <w:sz w:val="24"/>
          <w:highlight w:val="none"/>
        </w:rPr>
        <w:t>验收合格之日起开始计算，在此保证期内，如在正常使用过程中出现的质量问题，供应商须负责免费维修或调换。质保期满后，成交供应商终身维护，仅收取零配件成本费用，免人工费、差旅费。</w:t>
      </w:r>
    </w:p>
    <w:p w14:paraId="6172B0E1">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cs="宋体"/>
          <w:b/>
          <w:bCs/>
          <w:color w:val="auto"/>
          <w:sz w:val="24"/>
          <w:szCs w:val="22"/>
          <w:highlight w:val="none"/>
          <w:lang w:val="en-US" w:eastAsia="zh-CN"/>
        </w:rPr>
        <w:t>4、响应时间要求：</w:t>
      </w:r>
      <w:r>
        <w:rPr>
          <w:rFonts w:hint="eastAsia" w:ascii="宋体" w:hAnsi="宋体" w:cs="宋体"/>
          <w:b w:val="0"/>
          <w:bCs w:val="0"/>
          <w:color w:val="auto"/>
          <w:sz w:val="24"/>
          <w:szCs w:val="22"/>
          <w:highlight w:val="none"/>
          <w:lang w:val="en-US" w:eastAsia="zh-CN"/>
        </w:rPr>
        <w:t>投标人能提供7×24小时电话服务；产品出现故障时，投标人需在1小时内响应，24小时内能提出解决方案；须至现场解决产品故障的，台州及附近地区4小时内，外地6小时内派人赴现场处理设备质量问题，24小时内不能修复的，则无偿提供备机或备用零件供采购单位使用。</w:t>
      </w:r>
    </w:p>
    <w:p w14:paraId="29D37411">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color w:val="auto"/>
          <w:sz w:val="24"/>
          <w:szCs w:val="22"/>
          <w:highlight w:val="none"/>
          <w:lang w:eastAsia="zh-CN"/>
        </w:rPr>
      </w:pPr>
      <w:r>
        <w:rPr>
          <w:rFonts w:hint="eastAsia" w:ascii="宋体" w:hAnsi="宋体" w:cs="宋体"/>
          <w:b/>
          <w:bCs/>
          <w:color w:val="auto"/>
          <w:sz w:val="24"/>
          <w:szCs w:val="22"/>
          <w:highlight w:val="none"/>
          <w:lang w:val="en-US" w:eastAsia="zh-CN"/>
        </w:rPr>
        <w:t>5、</w:t>
      </w:r>
      <w:r>
        <w:rPr>
          <w:rFonts w:hint="eastAsia" w:ascii="宋体" w:hAnsi="宋体" w:cs="宋体"/>
          <w:b/>
          <w:bCs/>
          <w:color w:val="auto"/>
          <w:sz w:val="24"/>
          <w:szCs w:val="22"/>
          <w:highlight w:val="none"/>
        </w:rPr>
        <w:t>交货时间</w:t>
      </w:r>
      <w:r>
        <w:rPr>
          <w:rFonts w:hint="eastAsia" w:ascii="宋体" w:hAnsi="宋体" w:cs="宋体"/>
          <w:b/>
          <w:bCs/>
          <w:color w:val="auto"/>
          <w:sz w:val="24"/>
          <w:szCs w:val="22"/>
          <w:highlight w:val="none"/>
          <w:lang w:eastAsia="zh-CN"/>
        </w:rPr>
        <w:t>：</w:t>
      </w:r>
      <w:r>
        <w:rPr>
          <w:rFonts w:hint="eastAsia" w:ascii="宋体" w:hAnsi="宋体" w:cs="宋体"/>
          <w:color w:val="auto"/>
          <w:sz w:val="24"/>
          <w:szCs w:val="22"/>
          <w:highlight w:val="none"/>
        </w:rPr>
        <w:t xml:space="preserve"> 合同签订后</w:t>
      </w:r>
      <w:r>
        <w:rPr>
          <w:rFonts w:hint="eastAsia" w:ascii="宋体" w:hAnsi="宋体" w:cs="宋体"/>
          <w:color w:val="auto"/>
          <w:sz w:val="24"/>
          <w:szCs w:val="22"/>
          <w:highlight w:val="none"/>
          <w:lang w:eastAsia="zh-CN"/>
        </w:rPr>
        <w:t>，在接到采购人要货通知之日起</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0天内完成全部货物供货安装调试完毕并通过验收。</w:t>
      </w:r>
    </w:p>
    <w:p w14:paraId="7B080190">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rPr>
      </w:pPr>
      <w:r>
        <w:rPr>
          <w:rFonts w:hint="eastAsia" w:ascii="宋体" w:hAnsi="宋体" w:cs="宋体"/>
          <w:b/>
          <w:bCs/>
          <w:color w:val="auto"/>
          <w:sz w:val="24"/>
          <w:szCs w:val="22"/>
          <w:highlight w:val="none"/>
          <w:lang w:val="en-US" w:eastAsia="zh-CN"/>
        </w:rPr>
        <w:t>6、</w:t>
      </w:r>
      <w:bookmarkStart w:id="53" w:name="_Toc256000054"/>
      <w:bookmarkStart w:id="54" w:name="_Toc76056484"/>
      <w:r>
        <w:rPr>
          <w:rFonts w:hint="eastAsia" w:ascii="宋体" w:hAnsi="宋体" w:cs="宋体"/>
          <w:b/>
          <w:bCs/>
          <w:color w:val="auto"/>
          <w:sz w:val="24"/>
          <w:szCs w:val="22"/>
          <w:highlight w:val="none"/>
          <w:lang w:val="en-US" w:eastAsia="zh-CN"/>
        </w:rPr>
        <w:t>技术培训：</w:t>
      </w:r>
      <w:bookmarkEnd w:id="53"/>
      <w:bookmarkEnd w:id="54"/>
      <w:r>
        <w:rPr>
          <w:rFonts w:hint="eastAsia" w:ascii="宋体" w:hAnsi="宋体" w:cs="宋体"/>
          <w:b w:val="0"/>
          <w:bCs w:val="0"/>
          <w:color w:val="auto"/>
          <w:sz w:val="24"/>
          <w:szCs w:val="22"/>
          <w:highlight w:val="none"/>
          <w:lang w:val="en-US" w:eastAsia="zh-CN"/>
        </w:rPr>
        <w:t>中标方应科学制定相配套的培训计划，对采购人的使用操作人员进行切实有效的培训，确保产品能良好地运作；在采购人指定场所进行安装、调试完成后，需中标方自备试件完成设备所有参数的测试，提供培训手册，并进行现场全过程操作培训。</w:t>
      </w:r>
    </w:p>
    <w:p w14:paraId="5AB16FEB">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rPr>
      </w:pPr>
      <w:r>
        <w:rPr>
          <w:rFonts w:hint="eastAsia" w:ascii="宋体" w:hAnsi="宋体" w:cs="宋体"/>
          <w:b/>
          <w:bCs/>
          <w:color w:val="auto"/>
          <w:sz w:val="24"/>
          <w:szCs w:val="22"/>
          <w:highlight w:val="none"/>
          <w:lang w:val="en-US" w:eastAsia="zh-CN"/>
        </w:rPr>
        <w:t>7</w:t>
      </w:r>
      <w:r>
        <w:rPr>
          <w:rFonts w:hint="eastAsia" w:ascii="宋体" w:hAnsi="宋体" w:cs="宋体"/>
          <w:b/>
          <w:bCs/>
          <w:color w:val="auto"/>
          <w:sz w:val="24"/>
          <w:szCs w:val="22"/>
          <w:highlight w:val="none"/>
        </w:rPr>
        <w:t>、付款</w:t>
      </w:r>
      <w:r>
        <w:rPr>
          <w:rFonts w:hint="eastAsia" w:ascii="宋体" w:hAnsi="宋体" w:cs="宋体"/>
          <w:b/>
          <w:bCs/>
          <w:color w:val="auto"/>
          <w:sz w:val="24"/>
          <w:szCs w:val="22"/>
          <w:highlight w:val="none"/>
          <w:lang w:eastAsia="zh-CN"/>
        </w:rPr>
        <w:t>方式</w:t>
      </w:r>
      <w:r>
        <w:rPr>
          <w:rFonts w:hint="eastAsia" w:ascii="宋体" w:hAnsi="宋体" w:cs="宋体"/>
          <w:b/>
          <w:bCs/>
          <w:color w:val="auto"/>
          <w:sz w:val="24"/>
          <w:szCs w:val="22"/>
          <w:highlight w:val="none"/>
        </w:rPr>
        <w:t>：</w:t>
      </w:r>
      <w:r>
        <w:rPr>
          <w:rFonts w:hint="eastAsia" w:ascii="宋体" w:hAnsi="宋体" w:cs="宋体"/>
          <w:b w:val="0"/>
          <w:bCs w:val="0"/>
          <w:color w:val="auto"/>
          <w:sz w:val="24"/>
          <w:szCs w:val="22"/>
          <w:highlight w:val="none"/>
          <w:lang w:val="en-US" w:eastAsia="zh-CN"/>
        </w:rPr>
        <w:t>合同签订</w:t>
      </w:r>
      <w:r>
        <w:rPr>
          <w:rFonts w:hint="eastAsia" w:ascii="宋体" w:hAnsi="宋体" w:cs="宋体"/>
          <w:color w:val="auto"/>
          <w:sz w:val="24"/>
          <w:szCs w:val="24"/>
          <w:highlight w:val="none"/>
          <w:lang w:val="en-US" w:eastAsia="zh-CN"/>
        </w:rPr>
        <w:t>以及具备实施条件后</w:t>
      </w:r>
      <w:r>
        <w:rPr>
          <w:rFonts w:hint="eastAsia" w:ascii="宋体" w:hAnsi="宋体" w:cs="宋体"/>
          <w:b w:val="0"/>
          <w:bCs w:val="0"/>
          <w:color w:val="auto"/>
          <w:sz w:val="24"/>
          <w:szCs w:val="22"/>
          <w:highlight w:val="none"/>
          <w:lang w:val="en-US" w:eastAsia="zh-CN"/>
        </w:rPr>
        <w:t>7个工作日内预付合同款项的40%，完成供货、安装、调试并完成验收后且经通过结算审定后10个工作日内支付至合同结算价的100%，发票随付款进度一并提交。</w:t>
      </w:r>
    </w:p>
    <w:p w14:paraId="46FBC584">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eastAsia="宋体" w:cs="宋体"/>
          <w:b w:val="0"/>
          <w:bCs w:val="0"/>
          <w:color w:val="auto"/>
          <w:kern w:val="0"/>
          <w:sz w:val="24"/>
          <w:highlight w:val="none"/>
          <w:lang w:val="zh-CN"/>
        </w:rPr>
      </w:pPr>
      <w:r>
        <w:rPr>
          <w:rFonts w:hint="eastAsia" w:ascii="宋体" w:hAnsi="宋体" w:cs="宋体"/>
          <w:b/>
          <w:bCs/>
          <w:color w:val="auto"/>
          <w:sz w:val="24"/>
          <w:szCs w:val="22"/>
          <w:highlight w:val="none"/>
          <w:lang w:val="en-US" w:eastAsia="zh-CN"/>
        </w:rPr>
        <w:t>8</w:t>
      </w:r>
      <w:r>
        <w:rPr>
          <w:rFonts w:hint="eastAsia" w:ascii="宋体" w:hAnsi="宋体" w:cs="宋体"/>
          <w:b/>
          <w:bCs/>
          <w:color w:val="auto"/>
          <w:sz w:val="24"/>
          <w:szCs w:val="22"/>
          <w:highlight w:val="none"/>
        </w:rPr>
        <w:t>、投标报价：</w:t>
      </w:r>
      <w:r>
        <w:rPr>
          <w:rFonts w:hint="eastAsia" w:ascii="宋体" w:hAnsi="宋体" w:eastAsia="宋体" w:cs="宋体"/>
          <w:b w:val="0"/>
          <w:bCs w:val="0"/>
          <w:color w:val="auto"/>
          <w:kern w:val="0"/>
          <w:sz w:val="24"/>
          <w:highlight w:val="none"/>
          <w:lang w:eastAsia="zh-CN"/>
        </w:rPr>
        <w:t>投标报价</w:t>
      </w:r>
      <w:r>
        <w:rPr>
          <w:rFonts w:hint="eastAsia" w:ascii="宋体" w:hAnsi="宋体" w:cs="宋体"/>
          <w:b w:val="0"/>
          <w:bCs w:val="0"/>
          <w:color w:val="auto"/>
          <w:kern w:val="0"/>
          <w:sz w:val="24"/>
          <w:highlight w:val="none"/>
          <w:lang w:eastAsia="zh-CN"/>
        </w:rPr>
        <w:t>是指</w:t>
      </w:r>
      <w:r>
        <w:rPr>
          <w:rFonts w:hint="eastAsia" w:ascii="宋体" w:hAnsi="宋体" w:eastAsia="宋体" w:cs="宋体"/>
          <w:b w:val="0"/>
          <w:bCs w:val="0"/>
          <w:color w:val="auto"/>
          <w:kern w:val="0"/>
          <w:sz w:val="24"/>
          <w:highlight w:val="none"/>
        </w:rPr>
        <w:t>完成本项目所需的一切费用</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zh-CN"/>
        </w:rPr>
        <w:t>包括货款、标准附件、备品备件、专用工具、包装、运输、装卸、保险、税金、货到就位以及安装、调试、验收、培训、保修、合同包含的所有风险责任等各项费用及不可预见费等一切费用</w:t>
      </w:r>
      <w:r>
        <w:rPr>
          <w:rFonts w:hint="eastAsia" w:ascii="宋体" w:hAnsi="宋体" w:cs="宋体"/>
          <w:b w:val="0"/>
          <w:bCs w:val="0"/>
          <w:color w:val="auto"/>
          <w:kern w:val="0"/>
          <w:sz w:val="24"/>
          <w:highlight w:val="none"/>
          <w:lang w:val="zh-CN"/>
        </w:rPr>
        <w:t>）</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承诺所有的设备满足技术完整性要求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如有线缆、附件等遗漏，影响设备安装和运行</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，由投标人承担并负责解决。</w:t>
      </w:r>
    </w:p>
    <w:p w14:paraId="734D841D">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cs="宋体"/>
          <w:b/>
          <w:bCs/>
          <w:color w:val="auto"/>
          <w:sz w:val="24"/>
          <w:szCs w:val="22"/>
          <w:highlight w:val="none"/>
          <w:lang w:val="en-US" w:eastAsia="zh-CN"/>
        </w:rPr>
        <w:t>9</w:t>
      </w:r>
      <w:r>
        <w:rPr>
          <w:rFonts w:hint="eastAsia" w:ascii="宋体" w:hAnsi="宋体" w:eastAsia="宋体" w:cs="宋体"/>
          <w:b/>
          <w:bCs/>
          <w:color w:val="auto"/>
          <w:sz w:val="24"/>
          <w:szCs w:val="22"/>
          <w:highlight w:val="none"/>
          <w:lang w:val="en-US" w:eastAsia="zh-CN"/>
        </w:rPr>
        <w:t>、</w:t>
      </w:r>
      <w:r>
        <w:rPr>
          <w:rFonts w:hint="eastAsia" w:ascii="宋体" w:hAnsi="宋体" w:eastAsia="宋体" w:cs="宋体"/>
          <w:b/>
          <w:bCs/>
          <w:color w:val="auto"/>
          <w:kern w:val="0"/>
          <w:sz w:val="24"/>
          <w:highlight w:val="none"/>
          <w:lang w:val="zh-CN"/>
        </w:rPr>
        <w:t>结算方式：</w:t>
      </w:r>
      <w:r>
        <w:rPr>
          <w:rFonts w:hint="eastAsia" w:ascii="宋体" w:hAnsi="宋体" w:eastAsia="宋体" w:cs="宋体"/>
          <w:b w:val="0"/>
          <w:bCs w:val="0"/>
          <w:color w:val="auto"/>
          <w:kern w:val="0"/>
          <w:sz w:val="24"/>
          <w:highlight w:val="none"/>
          <w:lang w:val="zh-CN"/>
        </w:rPr>
        <w:t>本</w:t>
      </w:r>
      <w:r>
        <w:rPr>
          <w:rFonts w:hint="eastAsia" w:ascii="宋体" w:hAnsi="宋体" w:cs="宋体"/>
          <w:b w:val="0"/>
          <w:bCs w:val="0"/>
          <w:color w:val="auto"/>
          <w:kern w:val="0"/>
          <w:sz w:val="24"/>
          <w:highlight w:val="none"/>
          <w:lang w:val="zh-CN"/>
        </w:rPr>
        <w:t>项目</w:t>
      </w:r>
      <w:r>
        <w:rPr>
          <w:rFonts w:hint="eastAsia" w:ascii="宋体" w:hAnsi="宋体" w:eastAsia="宋体" w:cs="宋体"/>
          <w:b w:val="0"/>
          <w:bCs w:val="0"/>
          <w:color w:val="auto"/>
          <w:kern w:val="0"/>
          <w:sz w:val="24"/>
          <w:highlight w:val="none"/>
          <w:lang w:val="zh-CN"/>
        </w:rPr>
        <w:t>工程量按实结算，全费用综合单价按投标人投标承诺一次性包死，结算时不作任何调整，工程量按审核后的实际完成工作量。</w:t>
      </w:r>
    </w:p>
    <w:p w14:paraId="45869656">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投标方在招标前可自行前往现场</w:t>
      </w:r>
      <w:r>
        <w:rPr>
          <w:rFonts w:hint="eastAsia" w:ascii="宋体" w:hAnsi="宋体" w:eastAsia="宋体" w:cs="宋体"/>
          <w:color w:val="auto"/>
          <w:sz w:val="24"/>
          <w:szCs w:val="24"/>
          <w:highlight w:val="none"/>
          <w:lang w:eastAsia="zh-CN"/>
        </w:rPr>
        <w:t>踏</w:t>
      </w:r>
      <w:r>
        <w:rPr>
          <w:rFonts w:hint="eastAsia" w:ascii="宋体" w:hAnsi="宋体" w:eastAsia="宋体" w:cs="宋体"/>
          <w:color w:val="auto"/>
          <w:sz w:val="24"/>
          <w:szCs w:val="24"/>
          <w:highlight w:val="none"/>
        </w:rPr>
        <w:t>勘，以便充分了解现状和甲方需求，便于对项目做出合理规划，并在投标时给出合理化建议和设计，便于后期实施、维护</w:t>
      </w:r>
      <w:r>
        <w:rPr>
          <w:rFonts w:hint="eastAsia" w:ascii="宋体" w:hAnsi="宋体" w:eastAsia="宋体" w:cs="宋体"/>
          <w:color w:val="auto"/>
          <w:sz w:val="24"/>
          <w:szCs w:val="24"/>
          <w:highlight w:val="none"/>
          <w:lang w:eastAsia="zh-CN"/>
        </w:rPr>
        <w:t>。</w:t>
      </w:r>
    </w:p>
    <w:p w14:paraId="7A514718">
      <w:pPr>
        <w:rPr>
          <w:rFonts w:hint="eastAsia" w:cs="宋体"/>
          <w:color w:val="auto"/>
          <w:sz w:val="24"/>
          <w:szCs w:val="24"/>
          <w:highlight w:val="none"/>
          <w:lang w:eastAsia="zh-CN"/>
        </w:rPr>
      </w:pPr>
    </w:p>
    <w:p w14:paraId="7273DBF8">
      <w:pPr>
        <w:widowControl w:val="0"/>
        <w:spacing w:line="440" w:lineRule="exact"/>
        <w:jc w:val="center"/>
        <w:rPr>
          <w:rFonts w:hAnsi="宋体"/>
          <w:b/>
          <w:bCs/>
          <w:snapToGrid w:val="0"/>
          <w:color w:val="auto"/>
          <w:sz w:val="24"/>
          <w:highlight w:val="none"/>
        </w:rPr>
      </w:pPr>
      <w:r>
        <w:rPr>
          <w:rFonts w:hint="eastAsia" w:ascii="方正小标宋简体" w:hAnsi="方正小标宋简体" w:eastAsia="方正小标宋简体"/>
          <w:b/>
          <w:bCs/>
          <w:snapToGrid w:val="0"/>
          <w:color w:val="auto"/>
          <w:kern w:val="2"/>
          <w:sz w:val="44"/>
          <w:highlight w:val="none"/>
        </w:rPr>
        <w:br w:type="page"/>
      </w:r>
      <w:r>
        <w:rPr>
          <w:rFonts w:hint="eastAsia" w:ascii="宋体" w:hAnsi="宋体" w:eastAsia="宋体" w:cs="宋体"/>
          <w:b/>
          <w:bCs/>
          <w:snapToGrid w:val="0"/>
          <w:color w:val="auto"/>
          <w:kern w:val="2"/>
          <w:sz w:val="44"/>
          <w:highlight w:val="none"/>
        </w:rPr>
        <w:t xml:space="preserve">第五章  </w:t>
      </w:r>
      <w:r>
        <w:rPr>
          <w:rFonts w:hint="eastAsia" w:ascii="宋体" w:hAnsi="宋体" w:eastAsia="宋体" w:cs="宋体"/>
          <w:b/>
          <w:bCs/>
          <w:color w:val="auto"/>
          <w:sz w:val="44"/>
          <w:szCs w:val="44"/>
          <w:highlight w:val="none"/>
        </w:rPr>
        <w:t>拟签订的合同文本</w:t>
      </w:r>
    </w:p>
    <w:p w14:paraId="696E8006">
      <w:pPr>
        <w:pStyle w:val="21"/>
        <w:snapToGrid w:val="0"/>
        <w:spacing w:line="360" w:lineRule="auto"/>
        <w:rPr>
          <w:rFonts w:ascii="宋体" w:hAnsi="宋体" w:eastAsia="宋体" w:cs="Times New Roman"/>
          <w:color w:val="auto"/>
          <w:sz w:val="24"/>
          <w:szCs w:val="24"/>
          <w:highlight w:val="none"/>
        </w:rPr>
      </w:pPr>
    </w:p>
    <w:p w14:paraId="63A0CB86">
      <w:pPr>
        <w:keepNext w:val="0"/>
        <w:keepLines w:val="0"/>
        <w:pageBreakBefore w:val="0"/>
        <w:shd w:val="clear" w:color="auto"/>
        <w:kinsoku/>
        <w:wordWrap/>
        <w:overflowPunct/>
        <w:topLinePunct w:val="0"/>
        <w:bidi w:val="0"/>
        <w:spacing w:line="420" w:lineRule="exact"/>
        <w:ind w:firstLine="480"/>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以下为成交后签定本项目合同的通用条款，成交供应商不得提出实质性的修改，关于专用条款将由采购人与成交供应商结合本项目具体情况协商后签订。</w:t>
      </w:r>
    </w:p>
    <w:p w14:paraId="0287781A">
      <w:pPr>
        <w:pStyle w:val="5"/>
        <w:keepNext w:val="0"/>
        <w:keepLines w:val="0"/>
        <w:pageBreakBefore w:val="0"/>
        <w:kinsoku/>
        <w:wordWrap/>
        <w:overflowPunct/>
        <w:topLinePunct w:val="0"/>
        <w:bidi w:val="0"/>
        <w:spacing w:line="420" w:lineRule="exact"/>
        <w:rPr>
          <w:color w:val="auto"/>
          <w:highlight w:val="none"/>
        </w:rPr>
      </w:pPr>
    </w:p>
    <w:p w14:paraId="6F0F4BA5">
      <w:pPr>
        <w:pStyle w:val="21"/>
        <w:keepNext w:val="0"/>
        <w:keepLines w:val="0"/>
        <w:pageBreakBefore w:val="0"/>
        <w:kinsoku/>
        <w:wordWrap/>
        <w:overflowPunct/>
        <w:topLinePunct w:val="0"/>
        <w:bidi w:val="0"/>
        <w:snapToGrid w:val="0"/>
        <w:spacing w:line="420" w:lineRule="exact"/>
        <w:rPr>
          <w:rFonts w:hint="eastAsia" w:hAnsi="宋体" w:eastAsia="宋体"/>
          <w:color w:val="auto"/>
          <w:sz w:val="24"/>
          <w:szCs w:val="24"/>
          <w:highlight w:val="none"/>
          <w:lang w:eastAsia="zh-CN"/>
        </w:rPr>
      </w:pPr>
      <w:r>
        <w:rPr>
          <w:rFonts w:hAnsi="宋体"/>
          <w:color w:val="auto"/>
          <w:sz w:val="24"/>
          <w:szCs w:val="24"/>
          <w:highlight w:val="none"/>
        </w:rPr>
        <w:t>项目名称：</w:t>
      </w:r>
      <w:r>
        <w:rPr>
          <w:rFonts w:hint="eastAsia" w:hAnsi="宋体"/>
          <w:color w:val="auto"/>
          <w:sz w:val="24"/>
          <w:szCs w:val="24"/>
          <w:highlight w:val="none"/>
          <w:lang w:eastAsia="zh-CN"/>
        </w:rPr>
        <w:t>多功能登高平台消防车及随车器材一批采购项目</w:t>
      </w:r>
    </w:p>
    <w:p w14:paraId="364BE913">
      <w:pPr>
        <w:pStyle w:val="21"/>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tzccclq-20240722</w:t>
      </w:r>
    </w:p>
    <w:p w14:paraId="39BA4016">
      <w:pPr>
        <w:pStyle w:val="21"/>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甲方：</w:t>
      </w:r>
      <w:r>
        <w:rPr>
          <w:rFonts w:hint="eastAsia" w:hAnsi="宋体" w:cs="Arial"/>
          <w:color w:val="auto"/>
          <w:sz w:val="24"/>
          <w:szCs w:val="24"/>
          <w:highlight w:val="none"/>
          <w:lang w:eastAsia="zh-CN"/>
        </w:rPr>
        <w:t>台州市路桥区横街镇人民政府</w:t>
      </w:r>
      <w:r>
        <w:rPr>
          <w:rFonts w:hint="eastAsia" w:hAnsi="宋体" w:cs="Arial"/>
          <w:color w:val="auto"/>
          <w:sz w:val="24"/>
          <w:szCs w:val="24"/>
          <w:highlight w:val="none"/>
          <w:lang w:val="en-US" w:eastAsia="zh-CN"/>
        </w:rPr>
        <w:t xml:space="preserve"> </w:t>
      </w:r>
      <w:r>
        <w:rPr>
          <w:rFonts w:hint="eastAsia" w:hAnsi="宋体"/>
          <w:color w:val="auto"/>
          <w:sz w:val="24"/>
          <w:szCs w:val="24"/>
          <w:highlight w:val="none"/>
        </w:rPr>
        <w:t xml:space="preserve">                          </w:t>
      </w:r>
    </w:p>
    <w:p w14:paraId="6FD4A170">
      <w:pPr>
        <w:pStyle w:val="21"/>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16B47F9B">
      <w:pPr>
        <w:pStyle w:val="21"/>
        <w:keepNext w:val="0"/>
        <w:keepLines w:val="0"/>
        <w:pageBreakBefore w:val="0"/>
        <w:kinsoku/>
        <w:wordWrap/>
        <w:overflowPunct/>
        <w:topLinePunct w:val="0"/>
        <w:bidi w:val="0"/>
        <w:snapToGrid w:val="0"/>
        <w:spacing w:line="420" w:lineRule="exact"/>
        <w:ind w:firstLine="480" w:firstLineChars="200"/>
        <w:rPr>
          <w:rFonts w:hint="eastAsia"/>
          <w:color w:val="auto"/>
          <w:sz w:val="24"/>
          <w:highlight w:val="none"/>
          <w:lang w:val="zh-CN" w:eastAsia="zh-CN"/>
        </w:rPr>
      </w:pPr>
      <w:r>
        <w:rPr>
          <w:rFonts w:hint="eastAsia"/>
          <w:color w:val="auto"/>
          <w:sz w:val="24"/>
          <w:highlight w:val="none"/>
          <w:lang w:val="zh-CN"/>
        </w:rPr>
        <w:t>甲、乙双方根据台州市建设咨询有限公司关于多功能登高平台消防车及随车器材一批采购项目公开招标的结果，签署本合同。</w:t>
      </w:r>
    </w:p>
    <w:p w14:paraId="0C561937">
      <w:pPr>
        <w:keepNext w:val="0"/>
        <w:keepLines w:val="0"/>
        <w:pageBreakBefore w:val="0"/>
        <w:kinsoku/>
        <w:wordWrap/>
        <w:overflowPunct/>
        <w:topLinePunct w:val="0"/>
        <w:bidi w:val="0"/>
        <w:spacing w:line="420" w:lineRule="exact"/>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10B8F218">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1464F3B0">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0C5BB3BF">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5D8AFE25">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7530823F">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1F9C1595">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其他附件。</w:t>
      </w:r>
    </w:p>
    <w:p w14:paraId="21BA0533">
      <w:pPr>
        <w:pStyle w:val="21"/>
        <w:keepNext w:val="0"/>
        <w:keepLines w:val="0"/>
        <w:pageBreakBefore w:val="0"/>
        <w:kinsoku/>
        <w:wordWrap/>
        <w:overflowPunct/>
        <w:topLinePunct w:val="0"/>
        <w:bidi w:val="0"/>
        <w:snapToGrid w:val="0"/>
        <w:spacing w:line="420" w:lineRule="exact"/>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19E4F206">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二、货物内容</w:t>
      </w:r>
    </w:p>
    <w:p w14:paraId="6986353B">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1. </w:t>
      </w:r>
      <w:r>
        <w:rPr>
          <w:rFonts w:hint="eastAsia" w:hAnsi="宋体"/>
          <w:color w:val="auto"/>
          <w:sz w:val="24"/>
          <w:highlight w:val="none"/>
        </w:rPr>
        <w:t>货物名称：</w:t>
      </w:r>
    </w:p>
    <w:p w14:paraId="20678769">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2. </w:t>
      </w:r>
      <w:r>
        <w:rPr>
          <w:rFonts w:hint="eastAsia" w:hAnsi="宋体"/>
          <w:color w:val="auto"/>
          <w:sz w:val="24"/>
          <w:highlight w:val="none"/>
        </w:rPr>
        <w:t>型号规格：</w:t>
      </w:r>
    </w:p>
    <w:p w14:paraId="712D44A1">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3. </w:t>
      </w:r>
      <w:r>
        <w:rPr>
          <w:rFonts w:hint="eastAsia" w:hAnsi="宋体"/>
          <w:color w:val="auto"/>
          <w:sz w:val="24"/>
          <w:highlight w:val="none"/>
        </w:rPr>
        <w:t>技术参数：</w:t>
      </w:r>
    </w:p>
    <w:p w14:paraId="14B86E25">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4. </w:t>
      </w:r>
      <w:r>
        <w:rPr>
          <w:rFonts w:hint="eastAsia" w:hAnsi="宋体"/>
          <w:color w:val="auto"/>
          <w:sz w:val="24"/>
          <w:highlight w:val="none"/>
        </w:rPr>
        <w:t>数量</w:t>
      </w:r>
      <w:r>
        <w:rPr>
          <w:rFonts w:hint="eastAsia" w:hAnsi="宋体"/>
          <w:color w:val="auto"/>
          <w:sz w:val="24"/>
          <w:highlight w:val="none"/>
          <w:lang w:eastAsia="zh-CN"/>
        </w:rPr>
        <w:t>及清单</w:t>
      </w:r>
      <w:r>
        <w:rPr>
          <w:rFonts w:hint="eastAsia" w:hAnsi="宋体"/>
          <w:color w:val="auto"/>
          <w:sz w:val="24"/>
          <w:highlight w:val="none"/>
        </w:rPr>
        <w:t>：</w:t>
      </w:r>
    </w:p>
    <w:p w14:paraId="4E7AFCEE">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三、合同金额</w:t>
      </w:r>
    </w:p>
    <w:p w14:paraId="2C413008">
      <w:pPr>
        <w:pStyle w:val="21"/>
        <w:keepNext w:val="0"/>
        <w:keepLines w:val="0"/>
        <w:pageBreakBefore w:val="0"/>
        <w:kinsoku/>
        <w:wordWrap/>
        <w:overflowPunct/>
        <w:topLinePunct w:val="0"/>
        <w:bidi w:val="0"/>
        <w:snapToGrid w:val="0"/>
        <w:spacing w:line="420" w:lineRule="exact"/>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___________________</w:t>
      </w:r>
      <w:r>
        <w:rPr>
          <w:rFonts w:hint="eastAsia" w:hAnsi="宋体"/>
          <w:color w:val="auto"/>
          <w:sz w:val="24"/>
          <w:highlight w:val="none"/>
        </w:rPr>
        <w:t>元（￥</w:t>
      </w:r>
      <w:r>
        <w:rPr>
          <w:rFonts w:hAnsi="宋体"/>
          <w:color w:val="auto"/>
          <w:sz w:val="24"/>
          <w:highlight w:val="none"/>
        </w:rPr>
        <w:t>______</w:t>
      </w:r>
      <w:r>
        <w:rPr>
          <w:rFonts w:hint="eastAsia" w:hAnsi="宋体"/>
          <w:color w:val="auto"/>
          <w:sz w:val="24"/>
          <w:highlight w:val="none"/>
          <w:lang w:val="en-US" w:eastAsia="zh-CN"/>
        </w:rPr>
        <w:t xml:space="preserve"> </w:t>
      </w:r>
      <w:r>
        <w:rPr>
          <w:rFonts w:hAnsi="宋体"/>
          <w:color w:val="auto"/>
          <w:sz w:val="24"/>
          <w:highlight w:val="none"/>
        </w:rPr>
        <w:t>_____</w:t>
      </w:r>
      <w:r>
        <w:rPr>
          <w:rFonts w:hint="eastAsia" w:hAnsi="宋体"/>
          <w:color w:val="auto"/>
          <w:sz w:val="24"/>
          <w:highlight w:val="none"/>
        </w:rPr>
        <w:t>元）人民币。</w:t>
      </w:r>
    </w:p>
    <w:p w14:paraId="5C798856">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cs="Arial"/>
          <w:b/>
          <w:color w:val="auto"/>
          <w:sz w:val="24"/>
          <w:highlight w:val="none"/>
        </w:rPr>
        <w:t>四、</w:t>
      </w:r>
      <w:r>
        <w:rPr>
          <w:rFonts w:hint="eastAsia" w:hAnsi="宋体"/>
          <w:b/>
          <w:color w:val="auto"/>
          <w:sz w:val="24"/>
          <w:highlight w:val="none"/>
        </w:rPr>
        <w:t>技术资料</w:t>
      </w:r>
    </w:p>
    <w:p w14:paraId="065C5173">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lang w:eastAsia="zh-CN"/>
        </w:rPr>
        <w:t>.</w:t>
      </w:r>
      <w:r>
        <w:rPr>
          <w:rFonts w:hint="eastAsia" w:hAnsi="宋体"/>
          <w:color w:val="auto"/>
          <w:sz w:val="24"/>
          <w:highlight w:val="none"/>
        </w:rPr>
        <w:t>乙方应按招标文件规定的时间向甲方提供使用货物的有关技术资料。</w:t>
      </w:r>
    </w:p>
    <w:p w14:paraId="05B97220">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lang w:eastAsia="zh-CN"/>
        </w:rPr>
        <w:t>.</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64DECB3">
      <w:pPr>
        <w:pStyle w:val="21"/>
        <w:keepNext w:val="0"/>
        <w:keepLines w:val="0"/>
        <w:pageBreakBefore w:val="0"/>
        <w:kinsoku/>
        <w:wordWrap/>
        <w:overflowPunct/>
        <w:topLinePunct w:val="0"/>
        <w:bidi w:val="0"/>
        <w:snapToGrid w:val="0"/>
        <w:spacing w:line="420" w:lineRule="exact"/>
        <w:ind w:left="412" w:hanging="412" w:hangingChars="171"/>
        <w:rPr>
          <w:rFonts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、知识产权</w:t>
      </w:r>
    </w:p>
    <w:p w14:paraId="0DF034B5">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int="eastAsia" w:hAnsi="宋体"/>
          <w:color w:val="auto"/>
          <w:sz w:val="24"/>
          <w:highlight w:val="none"/>
        </w:rPr>
        <w:t>1</w:t>
      </w:r>
      <w:r>
        <w:rPr>
          <w:rFonts w:hint="eastAsia" w:hAnsi="宋体"/>
          <w:color w:val="auto"/>
          <w:sz w:val="24"/>
          <w:highlight w:val="none"/>
          <w:lang w:eastAsia="zh-CN"/>
        </w:rPr>
        <w:t>.</w:t>
      </w:r>
      <w:r>
        <w:rPr>
          <w:rFonts w:hint="eastAsia" w:hAnsi="宋体"/>
          <w:color w:val="auto"/>
          <w:sz w:val="24"/>
          <w:highlight w:val="none"/>
        </w:rPr>
        <w:t>乙方应保证所提供服务过程中不会侵犯任何第三方的知识产权。</w:t>
      </w:r>
    </w:p>
    <w:p w14:paraId="186B83E7">
      <w:pPr>
        <w:pStyle w:val="21"/>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lang w:eastAsia="zh-CN"/>
        </w:rPr>
        <w:t>.</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0E8F47A9">
      <w:pPr>
        <w:pStyle w:val="21"/>
        <w:keepNext w:val="0"/>
        <w:keepLines w:val="0"/>
        <w:pageBreakBefore w:val="0"/>
        <w:kinsoku/>
        <w:wordWrap/>
        <w:overflowPunct/>
        <w:topLinePunct w:val="0"/>
        <w:bidi w:val="0"/>
        <w:snapToGrid w:val="0"/>
        <w:spacing w:line="420" w:lineRule="exact"/>
        <w:rPr>
          <w:rFonts w:hAnsi="宋体"/>
          <w:color w:val="auto"/>
          <w:sz w:val="24"/>
          <w:highlight w:val="none"/>
          <w:u w:val="single"/>
        </w:rPr>
      </w:pPr>
      <w:r>
        <w:rPr>
          <w:rFonts w:hint="eastAsia" w:hAnsi="宋体"/>
          <w:b/>
          <w:color w:val="auto"/>
          <w:sz w:val="24"/>
          <w:highlight w:val="none"/>
          <w:lang w:eastAsia="zh-CN"/>
        </w:rPr>
        <w:t>六</w:t>
      </w:r>
      <w:r>
        <w:rPr>
          <w:rFonts w:hint="eastAsia" w:hAnsi="宋体"/>
          <w:b/>
          <w:color w:val="auto"/>
          <w:sz w:val="24"/>
          <w:highlight w:val="none"/>
        </w:rPr>
        <w:t>、产权担保</w:t>
      </w:r>
    </w:p>
    <w:p w14:paraId="665FEBFE">
      <w:pPr>
        <w:pStyle w:val="21"/>
        <w:keepNext w:val="0"/>
        <w:keepLines w:val="0"/>
        <w:pageBreakBefore w:val="0"/>
        <w:kinsoku/>
        <w:wordWrap/>
        <w:overflowPunct/>
        <w:topLinePunct w:val="0"/>
        <w:bidi w:val="0"/>
        <w:snapToGrid w:val="0"/>
        <w:spacing w:line="420" w:lineRule="exact"/>
        <w:ind w:firstLine="480" w:firstLineChars="200"/>
        <w:rPr>
          <w:color w:val="auto"/>
          <w:highlight w:val="none"/>
        </w:rPr>
      </w:pPr>
      <w:r>
        <w:rPr>
          <w:rFonts w:hint="eastAsia" w:hAnsi="宋体"/>
          <w:color w:val="auto"/>
          <w:sz w:val="24"/>
          <w:highlight w:val="none"/>
        </w:rPr>
        <w:t>乙方保证所交付的货物的所有权完全属于乙方且无任何抵押、查封等产权瑕疵。</w:t>
      </w:r>
    </w:p>
    <w:p w14:paraId="6673694F">
      <w:pPr>
        <w:pStyle w:val="21"/>
        <w:keepNext w:val="0"/>
        <w:keepLines w:val="0"/>
        <w:pageBreakBefore w:val="0"/>
        <w:kinsoku/>
        <w:wordWrap/>
        <w:overflowPunct/>
        <w:topLinePunct w:val="0"/>
        <w:bidi w:val="0"/>
        <w:snapToGrid w:val="0"/>
        <w:spacing w:line="420" w:lineRule="exact"/>
        <w:ind w:left="410" w:hanging="410" w:hangingChars="170"/>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、履约保证金</w:t>
      </w:r>
    </w:p>
    <w:p w14:paraId="1A6FE10F">
      <w:pPr>
        <w:pStyle w:val="21"/>
        <w:keepNext w:val="0"/>
        <w:keepLines w:val="0"/>
        <w:pageBreakBefore w:val="0"/>
        <w:kinsoku/>
        <w:wordWrap/>
        <w:overflowPunct/>
        <w:topLinePunct w:val="0"/>
        <w:bidi w:val="0"/>
        <w:snapToGrid w:val="0"/>
        <w:spacing w:line="420" w:lineRule="exact"/>
        <w:ind w:left="479" w:leftChars="228" w:firstLine="70" w:firstLineChars="29"/>
        <w:rPr>
          <w:rFonts w:hint="eastAsia" w:hAnsi="宋体"/>
          <w:b/>
          <w:bCs/>
          <w:color w:val="auto"/>
          <w:sz w:val="24"/>
          <w:szCs w:val="22"/>
          <w:highlight w:val="none"/>
          <w:lang w:eastAsia="zh-CN"/>
        </w:rPr>
      </w:pPr>
      <w:r>
        <w:rPr>
          <w:rFonts w:hint="eastAsia" w:hAnsi="宋体"/>
          <w:b/>
          <w:bCs/>
          <w:color w:val="auto"/>
          <w:sz w:val="24"/>
          <w:szCs w:val="22"/>
          <w:highlight w:val="none"/>
          <w:lang w:eastAsia="zh-CN"/>
        </w:rPr>
        <w:t>无。</w:t>
      </w:r>
    </w:p>
    <w:p w14:paraId="4B010E00">
      <w:pPr>
        <w:pStyle w:val="21"/>
        <w:keepNext w:val="0"/>
        <w:keepLines w:val="0"/>
        <w:pageBreakBefore w:val="0"/>
        <w:kinsoku/>
        <w:wordWrap/>
        <w:overflowPunct/>
        <w:topLinePunct w:val="0"/>
        <w:bidi w:val="0"/>
        <w:snapToGrid w:val="0"/>
        <w:spacing w:line="420" w:lineRule="exact"/>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八</w:t>
      </w:r>
      <w:r>
        <w:rPr>
          <w:rFonts w:hint="eastAsia" w:hAnsi="宋体"/>
          <w:b/>
          <w:bCs/>
          <w:color w:val="auto"/>
          <w:sz w:val="24"/>
          <w:szCs w:val="22"/>
          <w:highlight w:val="none"/>
        </w:rPr>
        <w:t>、转包或分包</w:t>
      </w:r>
    </w:p>
    <w:p w14:paraId="7B1C8642">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本合同范围的</w:t>
      </w:r>
      <w:r>
        <w:rPr>
          <w:rFonts w:hint="eastAsia" w:ascii="宋体" w:hAnsi="宋体"/>
          <w:color w:val="auto"/>
          <w:sz w:val="24"/>
          <w:highlight w:val="none"/>
          <w:lang w:eastAsia="zh-CN"/>
        </w:rPr>
        <w:t>货物</w:t>
      </w:r>
      <w:r>
        <w:rPr>
          <w:rFonts w:hint="eastAsia" w:ascii="宋体" w:hAnsi="宋体"/>
          <w:color w:val="auto"/>
          <w:sz w:val="24"/>
          <w:highlight w:val="none"/>
        </w:rPr>
        <w:t>，应由乙方直接供应，不得转让他人供应；</w:t>
      </w:r>
    </w:p>
    <w:p w14:paraId="6A716C18">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除非得到甲方的书面同意，乙方不得将本合同范围的</w:t>
      </w:r>
      <w:r>
        <w:rPr>
          <w:rFonts w:hint="eastAsia" w:ascii="宋体" w:hAnsi="宋体"/>
          <w:color w:val="auto"/>
          <w:sz w:val="24"/>
          <w:highlight w:val="none"/>
          <w:lang w:eastAsia="zh-CN"/>
        </w:rPr>
        <w:t>货物</w:t>
      </w:r>
      <w:r>
        <w:rPr>
          <w:rFonts w:hint="eastAsia" w:ascii="宋体" w:hAnsi="宋体"/>
          <w:color w:val="auto"/>
          <w:sz w:val="24"/>
          <w:highlight w:val="none"/>
        </w:rPr>
        <w:t>全部或部分分包给他人供应；</w:t>
      </w:r>
    </w:p>
    <w:p w14:paraId="504D574D">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如有转让和未经甲方同意的分包行为，甲方有权解除合同，没收履约保证金并追究乙方的违约责任。</w:t>
      </w:r>
    </w:p>
    <w:p w14:paraId="4666B50B">
      <w:pPr>
        <w:pStyle w:val="21"/>
        <w:keepNext w:val="0"/>
        <w:keepLines w:val="0"/>
        <w:pageBreakBefore w:val="0"/>
        <w:kinsoku/>
        <w:wordWrap/>
        <w:overflowPunct/>
        <w:topLinePunct w:val="0"/>
        <w:bidi w:val="0"/>
        <w:snapToGrid w:val="0"/>
        <w:spacing w:line="420" w:lineRule="exact"/>
        <w:rPr>
          <w:rFonts w:hint="eastAsia"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、质保期</w:t>
      </w:r>
    </w:p>
    <w:p w14:paraId="2477CA21">
      <w:pPr>
        <w:pStyle w:val="21"/>
        <w:keepNext w:val="0"/>
        <w:keepLines w:val="0"/>
        <w:pageBreakBefore w:val="0"/>
        <w:kinsoku/>
        <w:wordWrap/>
        <w:overflowPunct/>
        <w:topLinePunct w:val="0"/>
        <w:bidi w:val="0"/>
        <w:snapToGrid w:val="0"/>
        <w:spacing w:line="420" w:lineRule="exact"/>
        <w:ind w:left="479" w:leftChars="228" w:firstLine="69" w:firstLineChars="29"/>
        <w:rPr>
          <w:rFonts w:hint="eastAsia" w:hAnsi="宋体" w:cs="Times New Roman"/>
          <w:b/>
          <w:bCs/>
          <w:color w:val="auto"/>
          <w:sz w:val="24"/>
          <w:szCs w:val="22"/>
          <w:highlight w:val="none"/>
        </w:rPr>
      </w:pPr>
      <w:r>
        <w:rPr>
          <w:rFonts w:hAnsi="宋体"/>
          <w:color w:val="auto"/>
          <w:sz w:val="24"/>
          <w:highlight w:val="none"/>
        </w:rPr>
        <w:t>1.</w:t>
      </w:r>
      <w:r>
        <w:rPr>
          <w:rFonts w:hint="eastAsia" w:hAnsi="宋体"/>
          <w:color w:val="auto"/>
          <w:sz w:val="24"/>
          <w:highlight w:val="none"/>
        </w:rPr>
        <w:t>质保期</w:t>
      </w:r>
      <w:r>
        <w:rPr>
          <w:rFonts w:hint="eastAsia" w:hAnsi="宋体"/>
          <w:color w:val="auto"/>
          <w:sz w:val="24"/>
          <w:highlight w:val="none"/>
          <w:u w:val="single"/>
          <w:lang w:val="en-US" w:eastAsia="zh-CN"/>
        </w:rPr>
        <w:t xml:space="preserve">        </w:t>
      </w:r>
      <w:r>
        <w:rPr>
          <w:rFonts w:hint="eastAsia" w:hAnsi="宋体"/>
          <w:color w:val="auto"/>
          <w:sz w:val="24"/>
          <w:highlight w:val="none"/>
        </w:rPr>
        <w:t>年。（自交货验收合格之日起计）</w:t>
      </w:r>
    </w:p>
    <w:p w14:paraId="5DA68F4A">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十、交货期、交货方式及交货地点</w:t>
      </w:r>
    </w:p>
    <w:p w14:paraId="5C81E803">
      <w:pPr>
        <w:pStyle w:val="21"/>
        <w:keepNext w:val="0"/>
        <w:keepLines w:val="0"/>
        <w:pageBreakBefore w:val="0"/>
        <w:kinsoku/>
        <w:wordWrap/>
        <w:overflowPunct/>
        <w:topLinePunct w:val="0"/>
        <w:bidi w:val="0"/>
        <w:snapToGrid w:val="0"/>
        <w:spacing w:line="420" w:lineRule="exact"/>
        <w:ind w:firstLine="480" w:firstLineChars="200"/>
        <w:rPr>
          <w:rFonts w:hint="eastAsia" w:hAnsi="宋体"/>
          <w:b w:val="0"/>
          <w:bCs/>
          <w:color w:val="auto"/>
          <w:sz w:val="24"/>
          <w:highlight w:val="none"/>
          <w:lang w:eastAsia="zh-CN"/>
        </w:rPr>
      </w:pPr>
      <w:r>
        <w:rPr>
          <w:rFonts w:hAnsi="宋体"/>
          <w:bCs/>
          <w:color w:val="auto"/>
          <w:sz w:val="24"/>
          <w:highlight w:val="none"/>
        </w:rPr>
        <w:t>1</w:t>
      </w:r>
      <w:r>
        <w:rPr>
          <w:rFonts w:hint="eastAsia" w:hAnsi="宋体"/>
          <w:bCs/>
          <w:color w:val="auto"/>
          <w:sz w:val="24"/>
          <w:highlight w:val="none"/>
          <w:lang w:eastAsia="zh-CN"/>
        </w:rPr>
        <w:t>.</w:t>
      </w:r>
      <w:r>
        <w:rPr>
          <w:rFonts w:hint="eastAsia" w:hAnsi="宋体"/>
          <w:bCs/>
          <w:color w:val="auto"/>
          <w:sz w:val="24"/>
          <w:highlight w:val="none"/>
        </w:rPr>
        <w:t>交货期：</w:t>
      </w:r>
      <w:r>
        <w:rPr>
          <w:rFonts w:hint="eastAsia" w:ascii="宋体" w:hAnsi="宋体"/>
          <w:b w:val="0"/>
          <w:bCs/>
          <w:color w:val="auto"/>
          <w:sz w:val="24"/>
          <w:highlight w:val="none"/>
        </w:rPr>
        <w:t>合同签订后在接到采购人要货通知之日起</w:t>
      </w:r>
      <w:r>
        <w:rPr>
          <w:rFonts w:hint="eastAsia" w:hAnsi="宋体"/>
          <w:b w:val="0"/>
          <w:bCs/>
          <w:color w:val="auto"/>
          <w:sz w:val="24"/>
          <w:highlight w:val="none"/>
          <w:lang w:val="en-US" w:eastAsia="zh-CN"/>
        </w:rPr>
        <w:t>2</w:t>
      </w:r>
      <w:r>
        <w:rPr>
          <w:rFonts w:hint="eastAsia" w:ascii="宋体" w:hAnsi="宋体"/>
          <w:b w:val="0"/>
          <w:bCs/>
          <w:color w:val="auto"/>
          <w:sz w:val="24"/>
          <w:highlight w:val="none"/>
        </w:rPr>
        <w:t>0天内完成全部货物供货安装调试完毕并通过验收。</w:t>
      </w:r>
    </w:p>
    <w:p w14:paraId="4BE62971">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bCs/>
          <w:color w:val="auto"/>
          <w:sz w:val="24"/>
          <w:highlight w:val="none"/>
        </w:rPr>
        <w:t>2</w:t>
      </w:r>
      <w:r>
        <w:rPr>
          <w:rFonts w:hint="eastAsia" w:hAnsi="宋体"/>
          <w:bCs/>
          <w:color w:val="auto"/>
          <w:sz w:val="24"/>
          <w:highlight w:val="none"/>
          <w:lang w:eastAsia="zh-CN"/>
        </w:rPr>
        <w:t>.</w:t>
      </w:r>
      <w:r>
        <w:rPr>
          <w:rFonts w:hint="eastAsia" w:hAnsi="宋体"/>
          <w:bCs/>
          <w:color w:val="auto"/>
          <w:sz w:val="24"/>
          <w:highlight w:val="none"/>
        </w:rPr>
        <w:t>交货方式：</w:t>
      </w:r>
      <w:r>
        <w:rPr>
          <w:rFonts w:hint="eastAsia" w:hAnsi="宋体"/>
          <w:color w:val="auto"/>
          <w:sz w:val="24"/>
          <w:highlight w:val="none"/>
          <w:lang w:eastAsia="zh-CN"/>
        </w:rPr>
        <w:t>采购人</w:t>
      </w:r>
      <w:r>
        <w:rPr>
          <w:rFonts w:hint="eastAsia" w:ascii="宋体" w:hAnsi="宋体"/>
          <w:color w:val="auto"/>
          <w:sz w:val="24"/>
          <w:highlight w:val="none"/>
        </w:rPr>
        <w:t>指定地点交货。</w:t>
      </w:r>
    </w:p>
    <w:p w14:paraId="6D3AFB33">
      <w:pPr>
        <w:keepNext w:val="0"/>
        <w:keepLines w:val="0"/>
        <w:pageBreakBefore w:val="0"/>
        <w:widowControl w:val="0"/>
        <w:kinsoku/>
        <w:wordWrap/>
        <w:overflowPunct/>
        <w:topLinePunct w:val="0"/>
        <w:bidi w:val="0"/>
        <w:spacing w:line="420" w:lineRule="exact"/>
        <w:jc w:val="both"/>
        <w:rPr>
          <w:rFonts w:ascii="宋体" w:hAnsi="宋体"/>
          <w:b/>
          <w:color w:val="auto"/>
          <w:sz w:val="24"/>
          <w:highlight w:val="none"/>
        </w:rPr>
      </w:pPr>
      <w:r>
        <w:rPr>
          <w:rFonts w:hint="eastAsia" w:hAnsi="宋体" w:cs="Times New Roman"/>
          <w:b/>
          <w:bCs/>
          <w:color w:val="auto"/>
          <w:sz w:val="24"/>
          <w:szCs w:val="22"/>
          <w:highlight w:val="none"/>
        </w:rPr>
        <w:t>十</w:t>
      </w:r>
      <w:r>
        <w:rPr>
          <w:rFonts w:hint="eastAsia" w:hAnsi="宋体" w:cs="Times New Roman"/>
          <w:b/>
          <w:bCs/>
          <w:color w:val="auto"/>
          <w:sz w:val="24"/>
          <w:szCs w:val="22"/>
          <w:highlight w:val="none"/>
          <w:lang w:eastAsia="zh-CN"/>
        </w:rPr>
        <w:t>一</w:t>
      </w:r>
      <w:r>
        <w:rPr>
          <w:rFonts w:hint="eastAsia" w:hAnsi="宋体" w:cs="Times New Roman"/>
          <w:b/>
          <w:bCs/>
          <w:color w:val="auto"/>
          <w:sz w:val="24"/>
          <w:szCs w:val="22"/>
          <w:highlight w:val="none"/>
        </w:rPr>
        <w:t>、付款方式：</w:t>
      </w:r>
    </w:p>
    <w:p w14:paraId="43FBBE2B">
      <w:pPr>
        <w:pStyle w:val="21"/>
        <w:keepNext w:val="0"/>
        <w:keepLines w:val="0"/>
        <w:pageBreakBefore w:val="0"/>
        <w:kinsoku/>
        <w:wordWrap/>
        <w:overflowPunct/>
        <w:topLinePunct w:val="0"/>
        <w:bidi w:val="0"/>
        <w:snapToGrid w:val="0"/>
        <w:spacing w:line="420" w:lineRule="exact"/>
        <w:ind w:firstLine="480" w:firstLineChars="200"/>
        <w:jc w:val="left"/>
        <w:rPr>
          <w:rFonts w:hint="eastAsia" w:ascii="宋体" w:hAnsi="宋体" w:cs="宋体"/>
          <w:color w:val="auto"/>
          <w:sz w:val="24"/>
          <w:szCs w:val="22"/>
          <w:highlight w:val="none"/>
        </w:rPr>
      </w:pPr>
      <w:r>
        <w:rPr>
          <w:rFonts w:hint="eastAsia" w:ascii="宋体" w:hAnsi="宋体" w:cs="宋体"/>
          <w:b w:val="0"/>
          <w:bCs w:val="0"/>
          <w:color w:val="auto"/>
          <w:sz w:val="24"/>
          <w:szCs w:val="22"/>
          <w:highlight w:val="none"/>
          <w:lang w:val="en-US" w:eastAsia="zh-CN"/>
        </w:rPr>
        <w:t>合同签订</w:t>
      </w:r>
      <w:r>
        <w:rPr>
          <w:rFonts w:hint="eastAsia" w:ascii="宋体" w:hAnsi="宋体" w:cs="宋体"/>
          <w:color w:val="auto"/>
          <w:sz w:val="24"/>
          <w:szCs w:val="24"/>
          <w:highlight w:val="none"/>
          <w:lang w:val="en-US" w:eastAsia="zh-CN"/>
        </w:rPr>
        <w:t>以及具备实施条件后</w:t>
      </w:r>
      <w:r>
        <w:rPr>
          <w:rFonts w:hint="eastAsia" w:hAnsi="宋体" w:cs="宋体"/>
          <w:b w:val="0"/>
          <w:bCs w:val="0"/>
          <w:color w:val="auto"/>
          <w:sz w:val="24"/>
          <w:szCs w:val="22"/>
          <w:highlight w:val="none"/>
          <w:lang w:val="en-US" w:eastAsia="zh-CN"/>
        </w:rPr>
        <w:t>7个工作日内预付合同款项的40%，完成供货、安装、调试并完成验收后且经通过结算审定后10个工作日内支付至合同结算价的100%，发票随付款进度一并提交。</w:t>
      </w:r>
      <w:r>
        <w:rPr>
          <w:rFonts w:hint="eastAsia" w:ascii="宋体" w:hAnsi="宋体" w:cs="宋体"/>
          <w:b w:val="0"/>
          <w:bCs w:val="0"/>
          <w:color w:val="auto"/>
          <w:sz w:val="24"/>
          <w:szCs w:val="22"/>
          <w:highlight w:val="none"/>
        </w:rPr>
        <w:t>结算方式：本</w:t>
      </w:r>
      <w:r>
        <w:rPr>
          <w:rFonts w:hint="eastAsia" w:hAnsi="宋体" w:cs="宋体"/>
          <w:b w:val="0"/>
          <w:bCs w:val="0"/>
          <w:color w:val="auto"/>
          <w:sz w:val="24"/>
          <w:szCs w:val="22"/>
          <w:highlight w:val="none"/>
          <w:lang w:eastAsia="zh-CN"/>
        </w:rPr>
        <w:t>项目</w:t>
      </w:r>
      <w:r>
        <w:rPr>
          <w:rFonts w:hint="eastAsia" w:ascii="宋体" w:hAnsi="宋体" w:cs="宋体"/>
          <w:b w:val="0"/>
          <w:bCs w:val="0"/>
          <w:color w:val="auto"/>
          <w:sz w:val="24"/>
          <w:szCs w:val="22"/>
          <w:highlight w:val="none"/>
        </w:rPr>
        <w:t>工程量按实结算，全费用综合单价按投标人投标承诺一次性包死，结算时不作任何调整，工程量按审核后的实际完成工作量。</w:t>
      </w:r>
    </w:p>
    <w:p w14:paraId="5C77DA2F">
      <w:pPr>
        <w:pStyle w:val="21"/>
        <w:keepNext w:val="0"/>
        <w:keepLines w:val="0"/>
        <w:pageBreakBefore w:val="0"/>
        <w:kinsoku/>
        <w:wordWrap/>
        <w:overflowPunct/>
        <w:topLinePunct w:val="0"/>
        <w:bidi w:val="0"/>
        <w:snapToGrid w:val="0"/>
        <w:spacing w:line="420" w:lineRule="exact"/>
        <w:jc w:val="left"/>
        <w:rPr>
          <w:rFonts w:ascii="宋体" w:hAnsi="宋体"/>
          <w:b/>
          <w:color w:val="auto"/>
          <w:sz w:val="24"/>
          <w:highlight w:val="none"/>
        </w:rPr>
      </w:pPr>
      <w:r>
        <w:rPr>
          <w:rFonts w:hint="eastAsia" w:ascii="宋体" w:hAnsi="宋体"/>
          <w:b/>
          <w:color w:val="auto"/>
          <w:sz w:val="24"/>
          <w:highlight w:val="none"/>
        </w:rPr>
        <w:t>十</w:t>
      </w:r>
      <w:r>
        <w:rPr>
          <w:rFonts w:hint="eastAsia" w:hAnsi="宋体"/>
          <w:b/>
          <w:color w:val="auto"/>
          <w:sz w:val="24"/>
          <w:highlight w:val="none"/>
          <w:lang w:eastAsia="zh-CN"/>
        </w:rPr>
        <w:t>二</w:t>
      </w:r>
      <w:r>
        <w:rPr>
          <w:rFonts w:hint="eastAsia" w:ascii="宋体" w:hAnsi="宋体"/>
          <w:b/>
          <w:color w:val="auto"/>
          <w:sz w:val="24"/>
          <w:highlight w:val="none"/>
        </w:rPr>
        <w:t>、税费</w:t>
      </w:r>
    </w:p>
    <w:p w14:paraId="03114036">
      <w:pPr>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本合同执行中相关的一切税费均由乙方负担。</w:t>
      </w:r>
    </w:p>
    <w:p w14:paraId="06D656A8">
      <w:pPr>
        <w:pStyle w:val="16"/>
        <w:keepNext w:val="0"/>
        <w:keepLines w:val="0"/>
        <w:pageBreakBefore w:val="0"/>
        <w:kinsoku/>
        <w:wordWrap/>
        <w:overflowPunct/>
        <w:topLinePunct w:val="0"/>
        <w:bidi w:val="0"/>
        <w:spacing w:line="420" w:lineRule="exact"/>
        <w:rPr>
          <w:color w:val="auto"/>
          <w:highlight w:val="none"/>
        </w:rPr>
      </w:pPr>
      <w:r>
        <w:rPr>
          <w:rFonts w:hint="eastAsia" w:hAnsi="宋体"/>
          <w:b/>
          <w:color w:val="auto"/>
          <w:sz w:val="24"/>
          <w:highlight w:val="none"/>
        </w:rPr>
        <w:t>十三、质量保证及售后服务</w:t>
      </w:r>
    </w:p>
    <w:p w14:paraId="03F222A2">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中标方提供自验收合格起至少1年的免费质保期、终身维修，提供7×24小时电话服务，包括但不限于在台州附近有固定的维修服务点，能提供正常的技术、备品备件服务。当发生故障时，中标人在接到采购单位通知后，台州及附近地区4小时内，外地6小时内派人赴现场处理设备质量问题。72小时内不能修复的，则无偿提供备机或备用零件供采购单位使用。质保期内同一问题，经2次维修仍未能彻底解决的，中标人须免费整机更换。</w:t>
      </w:r>
    </w:p>
    <w:p w14:paraId="45F4D0F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保修期内，如因修理货物或更换部件，而非人为因素出现故障而造成短期停用时，则保修期和免费维修期相应顺延。如停用时间累计超过20天，则货物保修期重新计算。</w:t>
      </w:r>
    </w:p>
    <w:p w14:paraId="6B2643A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保修期内，采购人无须自行付费，中标供应商负责修理和替换任何由于货物自身的质量问题造成的损坏及故障。</w:t>
      </w:r>
    </w:p>
    <w:p w14:paraId="494E47D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保修期内，中标供应商负责每半年一次上门免费维护（维护内容包括设备检测调试、设备启动运行等）。</w:t>
      </w:r>
    </w:p>
    <w:p w14:paraId="11202C7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中标供应商在保修期内安装（更换）的任何零配件，必须是货物制造商原产的或是经采购人认可的。</w:t>
      </w:r>
    </w:p>
    <w:p w14:paraId="212A857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14:paraId="6B487C1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3F53A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中标供应商或原厂家的承诺的保修期不符的，以最高标准为准，除非供应商事前正式声明，否则均视为认同，并将在合同中载明。</w:t>
      </w:r>
    </w:p>
    <w:p w14:paraId="40B4E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若中标人未能满足上述售后服务要求中的任何一条，采购单位有权委托第三方单位提供售后服务，由此产生的一切费用由中标人承担。</w:t>
      </w:r>
    </w:p>
    <w:p w14:paraId="6B0C81C9">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十四、</w:t>
      </w:r>
      <w:r>
        <w:rPr>
          <w:rFonts w:hint="eastAsia" w:ascii="宋体"/>
          <w:b/>
          <w:bCs/>
          <w:color w:val="auto"/>
          <w:kern w:val="2"/>
          <w:sz w:val="24"/>
          <w:szCs w:val="24"/>
          <w:highlight w:val="none"/>
          <w:lang w:val="en-US" w:eastAsia="zh-CN" w:bidi="ar-SA"/>
        </w:rPr>
        <w:t>运输、安装与调试要求</w:t>
      </w:r>
    </w:p>
    <w:p w14:paraId="2B94E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1.乙方应在货物发运前对其进行满足运输距离、防潮、防震、防锈和防破损装卸等要求包装，以保证货物安全运达甲方指定地点。</w:t>
      </w:r>
    </w:p>
    <w:p w14:paraId="24266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2.产品合格证、使用说明书、质量检验证明书、随配附件和工具以及清单一并附于货物内。</w:t>
      </w:r>
    </w:p>
    <w:p w14:paraId="62C04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3.货物在规定的交付期限内由乙方送达甲方指定的地点并安装完成视为交付。</w:t>
      </w:r>
    </w:p>
    <w:p w14:paraId="535F9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4.货物在交付甲方前发生的风险均由乙方负责。</w:t>
      </w:r>
    </w:p>
    <w:p w14:paraId="3ADCC8B6">
      <w:pPr>
        <w:pStyle w:val="2"/>
        <w:rPr>
          <w:rFonts w:hint="default"/>
          <w:lang w:val="en-US"/>
        </w:rPr>
      </w:pPr>
      <w:r>
        <w:rPr>
          <w:rFonts w:hint="eastAsia" w:hAnsi="宋体"/>
          <w:bCs/>
          <w:color w:val="auto"/>
          <w:sz w:val="24"/>
          <w:highlight w:val="none"/>
          <w:lang w:val="en-US" w:eastAsia="zh-CN"/>
        </w:rPr>
        <w:t>5.甲方对乙方提供的货物在使用前进行调试时，乙方需协助甲方一起调试，直到符合技术要求，甲方才做最终验收。</w:t>
      </w:r>
    </w:p>
    <w:p w14:paraId="3818AEF0">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十五、</w:t>
      </w:r>
      <w:r>
        <w:rPr>
          <w:rFonts w:hint="eastAsia" w:ascii="宋体" w:hAnsi="宋体"/>
          <w:b/>
          <w:bCs/>
          <w:color w:val="auto"/>
          <w:kern w:val="0"/>
          <w:sz w:val="24"/>
          <w:highlight w:val="none"/>
          <w:lang w:eastAsia="zh-CN"/>
        </w:rPr>
        <w:t>项目</w:t>
      </w:r>
      <w:r>
        <w:rPr>
          <w:rFonts w:hint="eastAsia" w:ascii="宋体" w:hAnsi="宋体"/>
          <w:b/>
          <w:bCs/>
          <w:color w:val="auto"/>
          <w:kern w:val="0"/>
          <w:sz w:val="24"/>
          <w:highlight w:val="none"/>
        </w:rPr>
        <w:t>验收要求</w:t>
      </w:r>
    </w:p>
    <w:p w14:paraId="232D218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中标供应商应按有关要求供货，并提供货物质量检验证明文件、测试方法和验收标准。提供的质量检验证明文件、测试方法和验收标准经采购人认可后与合同一起作为项目验收标准的组成。</w:t>
      </w:r>
    </w:p>
    <w:p w14:paraId="7A2ABF2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中标供应商将所有货物运抵安装地点后，由采购人按照装箱列表单、招标文件要求、投标文件等进行现场初验。</w:t>
      </w:r>
    </w:p>
    <w:p w14:paraId="2328302D">
      <w:pPr>
        <w:pStyle w:val="21"/>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lang w:val="en-US" w:eastAsia="zh-CN"/>
        </w:rPr>
      </w:pPr>
      <w:r>
        <w:rPr>
          <w:rFonts w:hint="eastAsia" w:hAnsi="宋体"/>
          <w:color w:val="auto"/>
          <w:sz w:val="24"/>
          <w:highlight w:val="none"/>
          <w:lang w:val="en-US" w:eastAsia="zh-CN"/>
        </w:rPr>
        <w:t>3.</w:t>
      </w:r>
      <w:r>
        <w:rPr>
          <w:rFonts w:hint="eastAsia" w:ascii="宋体" w:hAnsi="宋体"/>
          <w:color w:val="auto"/>
          <w:sz w:val="24"/>
          <w:highlight w:val="none"/>
          <w:lang w:val="en-US" w:eastAsia="zh-CN"/>
        </w:rPr>
        <w:t>对技术复杂的货物，甲方应请国家认可的专业检测机构参与初步验收及最终验收，并由其出具质量检测报告。</w:t>
      </w:r>
    </w:p>
    <w:p w14:paraId="10D66E4F">
      <w:pPr>
        <w:pStyle w:val="21"/>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lang w:val="en-US" w:eastAsia="zh-CN"/>
        </w:rPr>
      </w:pPr>
      <w:r>
        <w:rPr>
          <w:rFonts w:hint="eastAsia" w:hAnsi="宋体"/>
          <w:color w:val="auto"/>
          <w:sz w:val="24"/>
          <w:highlight w:val="none"/>
          <w:lang w:val="en-US" w:eastAsia="zh-CN"/>
        </w:rPr>
        <w:t>4.</w:t>
      </w:r>
      <w:r>
        <w:rPr>
          <w:rFonts w:hint="eastAsia" w:ascii="宋体" w:hAnsi="宋体"/>
          <w:color w:val="auto"/>
          <w:sz w:val="24"/>
          <w:highlight w:val="none"/>
          <w:lang w:val="en-US" w:eastAsia="zh-CN"/>
        </w:rPr>
        <w:t>验收时乙方必须在现场，验收完毕后作出验收结果报告，验收费用由乙方负责。</w:t>
      </w:r>
    </w:p>
    <w:p w14:paraId="56D6BBBC">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六</w:t>
      </w:r>
      <w:r>
        <w:rPr>
          <w:rFonts w:hint="eastAsia" w:hAnsi="宋体"/>
          <w:b/>
          <w:color w:val="auto"/>
          <w:sz w:val="24"/>
          <w:highlight w:val="none"/>
        </w:rPr>
        <w:t>、违约责任</w:t>
      </w:r>
    </w:p>
    <w:p w14:paraId="7CA6AE3E">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lang w:eastAsia="zh-CN"/>
        </w:rPr>
        <w:t>.</w:t>
      </w:r>
      <w:r>
        <w:rPr>
          <w:rFonts w:hint="eastAsia" w:hAnsi="宋体"/>
          <w:color w:val="auto"/>
          <w:sz w:val="24"/>
          <w:highlight w:val="none"/>
        </w:rPr>
        <w:t>甲方无正当理由拒收货物的，甲方向乙方偿付拒收货款总值的</w:t>
      </w:r>
      <w:r>
        <w:rPr>
          <w:rFonts w:hint="eastAsia" w:hAnsi="宋体"/>
          <w:color w:val="auto"/>
          <w:sz w:val="24"/>
          <w:highlight w:val="none"/>
          <w:u w:val="single"/>
        </w:rPr>
        <w:t>百分之五</w:t>
      </w:r>
      <w:r>
        <w:rPr>
          <w:rFonts w:hint="eastAsia" w:hAnsi="宋体"/>
          <w:color w:val="auto"/>
          <w:sz w:val="24"/>
          <w:highlight w:val="none"/>
        </w:rPr>
        <w:t>违约金。</w:t>
      </w:r>
    </w:p>
    <w:p w14:paraId="295E0FD8">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Ansi="宋体"/>
          <w:color w:val="auto"/>
          <w:sz w:val="24"/>
          <w:highlight w:val="none"/>
        </w:rPr>
        <w:t>2</w:t>
      </w:r>
      <w:r>
        <w:rPr>
          <w:rFonts w:hint="eastAsia" w:hAnsi="宋体"/>
          <w:color w:val="auto"/>
          <w:sz w:val="24"/>
          <w:highlight w:val="none"/>
          <w:lang w:eastAsia="zh-CN"/>
        </w:rPr>
        <w:t>.</w:t>
      </w:r>
      <w:r>
        <w:rPr>
          <w:rFonts w:hint="eastAsia" w:hAnsi="宋体"/>
          <w:color w:val="auto"/>
          <w:sz w:val="24"/>
          <w:highlight w:val="none"/>
        </w:rPr>
        <w:t>甲方无故逾期验收和办理货款支付手续的</w:t>
      </w:r>
      <w:r>
        <w:rPr>
          <w:rFonts w:hAnsi="宋体"/>
          <w:color w:val="auto"/>
          <w:sz w:val="24"/>
          <w:highlight w:val="none"/>
        </w:rPr>
        <w:t>,</w:t>
      </w:r>
      <w:r>
        <w:rPr>
          <w:rFonts w:hint="eastAsia" w:hAnsi="宋体"/>
          <w:color w:val="auto"/>
          <w:sz w:val="24"/>
          <w:highlight w:val="none"/>
        </w:rPr>
        <w:t>甲方应按逾期付款总额每日</w:t>
      </w:r>
      <w:r>
        <w:rPr>
          <w:rFonts w:hint="eastAsia" w:hAnsi="宋体"/>
          <w:color w:val="auto"/>
          <w:sz w:val="24"/>
          <w:highlight w:val="none"/>
          <w:u w:val="single"/>
        </w:rPr>
        <w:t>万分之五</w:t>
      </w:r>
      <w:r>
        <w:rPr>
          <w:rFonts w:hint="eastAsia" w:hAnsi="宋体"/>
          <w:color w:val="auto"/>
          <w:sz w:val="24"/>
          <w:highlight w:val="none"/>
        </w:rPr>
        <w:t>向乙方支付违约金。</w:t>
      </w:r>
    </w:p>
    <w:p w14:paraId="664714F6">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Ansi="宋体"/>
          <w:color w:val="auto"/>
          <w:sz w:val="24"/>
          <w:highlight w:val="none"/>
        </w:rPr>
        <w:t>3</w:t>
      </w:r>
      <w:r>
        <w:rPr>
          <w:rFonts w:hint="eastAsia" w:hAnsi="宋体"/>
          <w:color w:val="auto"/>
          <w:sz w:val="24"/>
          <w:highlight w:val="none"/>
          <w:lang w:eastAsia="zh-CN"/>
        </w:rPr>
        <w:t>.</w:t>
      </w:r>
      <w:r>
        <w:rPr>
          <w:rFonts w:hint="eastAsia" w:hAnsi="宋体"/>
          <w:color w:val="auto"/>
          <w:sz w:val="24"/>
          <w:highlight w:val="none"/>
        </w:rPr>
        <w:t>乙方逾期交付货物的，乙方应按逾期交货总额每日</w:t>
      </w:r>
      <w:r>
        <w:rPr>
          <w:rFonts w:hint="eastAsia" w:hAnsi="宋体"/>
          <w:color w:val="auto"/>
          <w:sz w:val="24"/>
          <w:highlight w:val="none"/>
          <w:u w:val="single"/>
        </w:rPr>
        <w:t>千分之六</w:t>
      </w:r>
      <w:r>
        <w:rPr>
          <w:rFonts w:hint="eastAsia" w:hAnsi="宋体"/>
          <w:color w:val="auto"/>
          <w:sz w:val="24"/>
          <w:highlight w:val="none"/>
        </w:rPr>
        <w:t>向甲方支付违约金，由甲方从待付货款中扣除。逾期超过约定日期</w:t>
      </w:r>
      <w:r>
        <w:rPr>
          <w:rFonts w:hAnsi="宋体"/>
          <w:color w:val="auto"/>
          <w:sz w:val="24"/>
          <w:highlight w:val="none"/>
          <w:u w:val="single"/>
        </w:rPr>
        <w:t>10</w:t>
      </w:r>
      <w:r>
        <w:rPr>
          <w:rFonts w:hint="eastAsia" w:hAnsi="宋体"/>
          <w:color w:val="auto"/>
          <w:sz w:val="24"/>
          <w:highlight w:val="none"/>
        </w:rPr>
        <w:t>个工作日不能交货的，甲方可解除本合同。乙方因逾期交货或因其他违约行为导致甲方解除合同的，乙方应向甲方支付合同总值</w:t>
      </w:r>
      <w:r>
        <w:rPr>
          <w:rFonts w:hAnsi="宋体"/>
          <w:color w:val="auto"/>
          <w:sz w:val="24"/>
          <w:highlight w:val="none"/>
          <w:u w:val="single"/>
        </w:rPr>
        <w:t>5%</w:t>
      </w:r>
      <w:r>
        <w:rPr>
          <w:rFonts w:hint="eastAsia" w:hAnsi="宋体"/>
          <w:color w:val="auto"/>
          <w:sz w:val="24"/>
          <w:highlight w:val="none"/>
        </w:rPr>
        <w:t>的违约金，如造成甲方损失超过违约金的，超出部分由乙方继续承担赔偿责任。</w:t>
      </w:r>
      <w:r>
        <w:rPr>
          <w:rFonts w:hAnsi="宋体"/>
          <w:color w:val="auto"/>
          <w:sz w:val="24"/>
          <w:highlight w:val="none"/>
        </w:rPr>
        <w:t xml:space="preserve"> </w:t>
      </w:r>
    </w:p>
    <w:p w14:paraId="006E2667">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szCs w:val="22"/>
          <w:highlight w:val="none"/>
        </w:rPr>
      </w:pPr>
      <w:r>
        <w:rPr>
          <w:rFonts w:hAnsi="宋体"/>
          <w:color w:val="auto"/>
          <w:sz w:val="24"/>
          <w:highlight w:val="none"/>
        </w:rPr>
        <w:t>4</w:t>
      </w:r>
      <w:r>
        <w:rPr>
          <w:rFonts w:hint="eastAsia" w:hAnsi="宋体"/>
          <w:color w:val="auto"/>
          <w:sz w:val="24"/>
          <w:highlight w:val="none"/>
          <w:lang w:eastAsia="zh-CN"/>
        </w:rPr>
        <w:t>.</w:t>
      </w:r>
      <w:r>
        <w:rPr>
          <w:rFonts w:hint="eastAsia" w:hAnsi="宋体"/>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A34FBC4">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int="eastAsia" w:hAnsi="宋体"/>
          <w:color w:val="auto"/>
          <w:sz w:val="24"/>
          <w:highlight w:val="none"/>
          <w:lang w:val="en-US" w:eastAsia="zh-CN"/>
        </w:rPr>
        <w:t>5</w:t>
      </w:r>
      <w:r>
        <w:rPr>
          <w:rFonts w:hint="eastAsia" w:hAnsi="宋体"/>
          <w:color w:val="auto"/>
          <w:sz w:val="24"/>
          <w:highlight w:val="none"/>
          <w:lang w:eastAsia="zh-CN"/>
        </w:rPr>
        <w:t>.</w:t>
      </w:r>
      <w:r>
        <w:rPr>
          <w:rFonts w:hint="eastAsia" w:hAnsi="宋体"/>
          <w:color w:val="auto"/>
          <w:sz w:val="24"/>
          <w:highlight w:val="none"/>
        </w:rPr>
        <w:t>若发生纠纷，由违约方赔偿守约方因纠纷所支付的费用（包括但不限于律师费、差旅费、诉讼费、保全费、鉴定费、评估费等）</w:t>
      </w:r>
    </w:p>
    <w:p w14:paraId="34C3C080">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七</w:t>
      </w:r>
      <w:r>
        <w:rPr>
          <w:rFonts w:hint="eastAsia" w:hAnsi="宋体"/>
          <w:b/>
          <w:color w:val="auto"/>
          <w:sz w:val="24"/>
          <w:highlight w:val="none"/>
        </w:rPr>
        <w:t>、不可抗力事件处理</w:t>
      </w:r>
    </w:p>
    <w:p w14:paraId="4068D6FC">
      <w:pPr>
        <w:pStyle w:val="21"/>
        <w:keepNext w:val="0"/>
        <w:keepLines w:val="0"/>
        <w:pageBreakBefore w:val="0"/>
        <w:kinsoku/>
        <w:wordWrap/>
        <w:overflowPunct/>
        <w:topLinePunct w:val="0"/>
        <w:bidi w:val="0"/>
        <w:snapToGrid w:val="0"/>
        <w:spacing w:line="420" w:lineRule="exact"/>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lang w:eastAsia="zh-CN"/>
        </w:rPr>
        <w:t>.</w:t>
      </w:r>
      <w:r>
        <w:rPr>
          <w:rFonts w:hint="eastAsia" w:hAnsi="宋体"/>
          <w:color w:val="auto"/>
          <w:sz w:val="24"/>
          <w:highlight w:val="none"/>
        </w:rPr>
        <w:t>在合同有效期内，任何一方因不可抗力事件导致不能履行合同，则合同履行</w:t>
      </w:r>
    </w:p>
    <w:p w14:paraId="0964B7C0">
      <w:pPr>
        <w:pStyle w:val="21"/>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11AAA4C9">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lang w:eastAsia="zh-CN"/>
        </w:rPr>
        <w:t>.</w:t>
      </w:r>
      <w:r>
        <w:rPr>
          <w:rFonts w:hint="eastAsia" w:hAnsi="宋体"/>
          <w:color w:val="auto"/>
          <w:sz w:val="24"/>
          <w:highlight w:val="none"/>
        </w:rPr>
        <w:t>不可抗力事件发生后，应立即通知对方，并寄送有关权威机构出具的证明。</w:t>
      </w:r>
    </w:p>
    <w:p w14:paraId="0761358E">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lang w:eastAsia="zh-CN"/>
        </w:rPr>
        <w:t>.</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5FF241B2">
      <w:pPr>
        <w:pStyle w:val="21"/>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同。</w:t>
      </w:r>
    </w:p>
    <w:p w14:paraId="779AD7A0">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八</w:t>
      </w:r>
      <w:r>
        <w:rPr>
          <w:rFonts w:hint="eastAsia" w:hAnsi="宋体"/>
          <w:b/>
          <w:color w:val="auto"/>
          <w:sz w:val="24"/>
          <w:highlight w:val="none"/>
        </w:rPr>
        <w:t>、解决争议的方法</w:t>
      </w:r>
    </w:p>
    <w:p w14:paraId="2BA058D0">
      <w:pPr>
        <w:keepNext w:val="0"/>
        <w:keepLines w:val="0"/>
        <w:pageBreakBefore w:val="0"/>
        <w:kinsoku/>
        <w:wordWrap/>
        <w:overflowPunct/>
        <w:topLinePunct w:val="0"/>
        <w:bidi w:val="0"/>
        <w:spacing w:line="42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03D779DC">
      <w:pPr>
        <w:keepNext w:val="0"/>
        <w:keepLines w:val="0"/>
        <w:pageBreakBefore w:val="0"/>
        <w:kinsoku/>
        <w:wordWrap/>
        <w:overflowPunct/>
        <w:topLinePunct w:val="0"/>
        <w:bidi w:val="0"/>
        <w:spacing w:line="420" w:lineRule="exact"/>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none"/>
        </w:rPr>
        <w:t>台州</w:t>
      </w:r>
      <w:r>
        <w:rPr>
          <w:rFonts w:hint="eastAsia" w:ascii="宋体" w:hAnsi="宋体" w:cs="宋体"/>
          <w:color w:val="auto"/>
          <w:sz w:val="24"/>
          <w:highlight w:val="none"/>
        </w:rPr>
        <w:t>仲裁委员会仲裁。</w:t>
      </w:r>
    </w:p>
    <w:p w14:paraId="553BC26E">
      <w:pPr>
        <w:keepNext w:val="0"/>
        <w:keepLines w:val="0"/>
        <w:pageBreakBefore w:val="0"/>
        <w:kinsoku/>
        <w:wordWrap/>
        <w:overflowPunct/>
        <w:topLinePunct w:val="0"/>
        <w:bidi w:val="0"/>
        <w:spacing w:line="420" w:lineRule="exact"/>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1D01DD8C">
      <w:pPr>
        <w:pStyle w:val="21"/>
        <w:keepNext w:val="0"/>
        <w:keepLines w:val="0"/>
        <w:pageBreakBefore w:val="0"/>
        <w:tabs>
          <w:tab w:val="left" w:pos="5790"/>
          <w:tab w:val="clear" w:pos="8494"/>
        </w:tabs>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九</w:t>
      </w:r>
      <w:r>
        <w:rPr>
          <w:rFonts w:hint="eastAsia" w:hAnsi="宋体"/>
          <w:b/>
          <w:color w:val="auto"/>
          <w:sz w:val="24"/>
          <w:highlight w:val="none"/>
        </w:rPr>
        <w:t>、合同生效及其它</w:t>
      </w:r>
      <w:r>
        <w:rPr>
          <w:rFonts w:hAnsi="宋体"/>
          <w:b/>
          <w:color w:val="auto"/>
          <w:sz w:val="24"/>
          <w:highlight w:val="none"/>
        </w:rPr>
        <w:tab/>
      </w:r>
    </w:p>
    <w:p w14:paraId="4A92AF26">
      <w:pPr>
        <w:pStyle w:val="16"/>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1</w:t>
      </w:r>
      <w:r>
        <w:rPr>
          <w:rFonts w:hint="eastAsia" w:hAnsi="宋体"/>
          <w:color w:val="auto"/>
          <w:highlight w:val="none"/>
          <w:lang w:eastAsia="zh-CN"/>
        </w:rPr>
        <w:t>.</w:t>
      </w:r>
      <w:r>
        <w:rPr>
          <w:rFonts w:hint="eastAsia" w:hAnsi="宋体"/>
          <w:color w:val="auto"/>
          <w:highlight w:val="none"/>
        </w:rPr>
        <w:t>合同经双方法定代表人或授权代表签字并加盖单位公章后生效。</w:t>
      </w:r>
    </w:p>
    <w:p w14:paraId="555D4538">
      <w:pPr>
        <w:pStyle w:val="16"/>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2</w:t>
      </w:r>
      <w:r>
        <w:rPr>
          <w:rFonts w:hint="eastAsia" w:hAnsi="宋体"/>
          <w:color w:val="auto"/>
          <w:highlight w:val="none"/>
          <w:lang w:eastAsia="zh-CN"/>
        </w:rPr>
        <w:t>.</w:t>
      </w:r>
      <w:r>
        <w:rPr>
          <w:rFonts w:hint="eastAsia" w:hAnsi="宋体"/>
          <w:color w:val="auto"/>
          <w:highlight w:val="none"/>
        </w:rPr>
        <w:t>本合同未尽事宜，遵照《中华人民共和国民法典》有关条文执行。</w:t>
      </w:r>
    </w:p>
    <w:p w14:paraId="2495FC67">
      <w:pPr>
        <w:pStyle w:val="16"/>
        <w:keepNext w:val="0"/>
        <w:keepLines w:val="0"/>
        <w:pageBreakBefore w:val="0"/>
        <w:kinsoku/>
        <w:wordWrap/>
        <w:overflowPunct/>
        <w:topLinePunct w:val="0"/>
        <w:bidi w:val="0"/>
        <w:spacing w:line="420" w:lineRule="exact"/>
        <w:ind w:right="-88" w:firstLine="480" w:firstLineChars="200"/>
        <w:rPr>
          <w:rFonts w:hAnsi="宋体" w:cs="宋体"/>
          <w:color w:val="auto"/>
          <w:szCs w:val="24"/>
          <w:highlight w:val="none"/>
        </w:rPr>
      </w:pPr>
      <w:r>
        <w:rPr>
          <w:rFonts w:hAnsi="宋体"/>
          <w:color w:val="auto"/>
          <w:highlight w:val="none"/>
        </w:rPr>
        <w:t>3</w:t>
      </w:r>
      <w:r>
        <w:rPr>
          <w:rFonts w:hint="eastAsia" w:hAnsi="宋体"/>
          <w:color w:val="auto"/>
          <w:highlight w:val="none"/>
          <w:lang w:eastAsia="zh-CN"/>
        </w:rPr>
        <w:t>.</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6A5D480D">
      <w:pPr>
        <w:pStyle w:val="16"/>
        <w:keepNext w:val="0"/>
        <w:keepLines w:val="0"/>
        <w:pageBreakBefore w:val="0"/>
        <w:kinsoku/>
        <w:wordWrap/>
        <w:overflowPunct/>
        <w:topLinePunct w:val="0"/>
        <w:bidi w:val="0"/>
        <w:spacing w:line="420" w:lineRule="exact"/>
        <w:ind w:right="-88"/>
        <w:rPr>
          <w:rFonts w:hAnsi="宋体" w:cs="宋体"/>
          <w:color w:val="auto"/>
          <w:szCs w:val="24"/>
          <w:highlight w:val="none"/>
        </w:rPr>
      </w:pPr>
    </w:p>
    <w:p w14:paraId="1B402CC2">
      <w:pPr>
        <w:keepNext w:val="0"/>
        <w:keepLines w:val="0"/>
        <w:pageBreakBefore w:val="0"/>
        <w:kinsoku/>
        <w:wordWrap/>
        <w:overflowPunct/>
        <w:topLinePunct w:val="0"/>
        <w:bidi w:val="0"/>
        <w:spacing w:line="420" w:lineRule="exact"/>
        <w:rPr>
          <w:rFonts w:hint="eastAsia" w:ascii="宋体" w:hAnsi="宋体"/>
          <w:color w:val="auto"/>
          <w:sz w:val="24"/>
          <w:highlight w:val="none"/>
        </w:rPr>
      </w:pPr>
    </w:p>
    <w:p w14:paraId="6235EE7E">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甲方：（公章）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6291C4BF">
      <w:pPr>
        <w:keepNext w:val="0"/>
        <w:keepLines w:val="0"/>
        <w:pageBreakBefore w:val="0"/>
        <w:kinsoku/>
        <w:wordWrap/>
        <w:overflowPunct/>
        <w:topLinePunct w:val="0"/>
        <w:bidi w:val="0"/>
        <w:spacing w:line="420" w:lineRule="exact"/>
        <w:rPr>
          <w:rFonts w:ascii="宋体" w:hAnsi="宋体"/>
          <w:color w:val="auto"/>
          <w:sz w:val="24"/>
          <w:highlight w:val="none"/>
        </w:rPr>
      </w:pPr>
    </w:p>
    <w:p w14:paraId="2B469E1E">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法定代表人或委托代理人（签字）：</w:t>
      </w:r>
    </w:p>
    <w:p w14:paraId="2B6186B0">
      <w:pPr>
        <w:keepNext w:val="0"/>
        <w:keepLines w:val="0"/>
        <w:pageBreakBefore w:val="0"/>
        <w:kinsoku/>
        <w:wordWrap/>
        <w:overflowPunct/>
        <w:topLinePunct w:val="0"/>
        <w:bidi w:val="0"/>
        <w:spacing w:line="420" w:lineRule="exact"/>
        <w:rPr>
          <w:rFonts w:ascii="宋体" w:hAnsi="宋体"/>
          <w:color w:val="auto"/>
          <w:sz w:val="24"/>
          <w:highlight w:val="none"/>
        </w:rPr>
      </w:pPr>
      <w:r>
        <w:rPr>
          <w:rFonts w:ascii="宋体" w:hAnsi="宋体"/>
          <w:color w:val="auto"/>
          <w:sz w:val="24"/>
          <w:highlight w:val="none"/>
        </w:rPr>
        <w:t xml:space="preserve">               </w:t>
      </w:r>
    </w:p>
    <w:p w14:paraId="01B1631D">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140EDE5D">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67D03E5C">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1B5E96D7">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07A5BECE">
      <w:pPr>
        <w:keepNext w:val="0"/>
        <w:keepLines w:val="0"/>
        <w:pageBreakBefore w:val="0"/>
        <w:widowControl w:val="0"/>
        <w:kinsoku/>
        <w:wordWrap/>
        <w:overflowPunct/>
        <w:topLinePunct w:val="0"/>
        <w:bidi w:val="0"/>
        <w:spacing w:line="420" w:lineRule="exact"/>
        <w:jc w:val="both"/>
        <w:textAlignment w:val="baseline"/>
        <w:rPr>
          <w:rFonts w:hint="eastAsia" w:ascii="宋体" w:hAnsi="宋体"/>
          <w:snapToGrid w:val="0"/>
          <w:color w:val="auto"/>
          <w:sz w:val="24"/>
          <w:highlight w:val="none"/>
        </w:rPr>
      </w:pPr>
    </w:p>
    <w:p w14:paraId="33B05BF7">
      <w:pPr>
        <w:pStyle w:val="5"/>
        <w:rPr>
          <w:color w:val="auto"/>
          <w:highlight w:val="none"/>
        </w:rPr>
      </w:pPr>
    </w:p>
    <w:p w14:paraId="74A11FE8">
      <w:pPr>
        <w:spacing w:line="360" w:lineRule="auto"/>
        <w:jc w:val="center"/>
        <w:rPr>
          <w:rFonts w:hint="eastAsia" w:ascii="方正小标宋简体" w:hAnsi="方正小标宋简体" w:eastAsia="方正小标宋简体"/>
          <w:color w:val="auto"/>
          <w:sz w:val="40"/>
          <w:szCs w:val="18"/>
          <w:highlight w:val="none"/>
        </w:rPr>
      </w:pPr>
    </w:p>
    <w:p w14:paraId="76213A59">
      <w:pPr>
        <w:spacing w:line="360" w:lineRule="auto"/>
        <w:jc w:val="center"/>
        <w:rPr>
          <w:rFonts w:hint="eastAsia" w:ascii="方正小标宋简体" w:hAnsi="方正小标宋简体" w:eastAsia="方正小标宋简体"/>
          <w:color w:val="auto"/>
          <w:sz w:val="40"/>
          <w:szCs w:val="18"/>
          <w:highlight w:val="none"/>
        </w:rPr>
      </w:pPr>
    </w:p>
    <w:p w14:paraId="00F17A3B">
      <w:pPr>
        <w:spacing w:line="360" w:lineRule="auto"/>
        <w:jc w:val="center"/>
        <w:rPr>
          <w:rFonts w:hint="eastAsia" w:ascii="方正小标宋简体" w:hAnsi="方正小标宋简体" w:eastAsia="方正小标宋简体"/>
          <w:color w:val="auto"/>
          <w:sz w:val="40"/>
          <w:szCs w:val="18"/>
          <w:highlight w:val="none"/>
        </w:rPr>
        <w:sectPr>
          <w:pgSz w:w="11907" w:h="16840"/>
          <w:pgMar w:top="1417" w:right="1474" w:bottom="1247" w:left="1474" w:header="851" w:footer="992" w:gutter="0"/>
          <w:pgBorders>
            <w:top w:val="none" w:sz="0" w:space="0"/>
            <w:left w:val="none" w:sz="0" w:space="0"/>
            <w:bottom w:val="none" w:sz="0" w:space="0"/>
            <w:right w:val="none" w:sz="0" w:space="0"/>
          </w:pgBorders>
          <w:pgNumType w:start="1"/>
          <w:cols w:space="720" w:num="1"/>
          <w:titlePg/>
          <w:docGrid w:type="lines" w:linePitch="319" w:charSpace="0"/>
        </w:sectPr>
      </w:pPr>
    </w:p>
    <w:p w14:paraId="61F6A170">
      <w:pPr>
        <w:spacing w:line="360" w:lineRule="auto"/>
        <w:jc w:val="center"/>
        <w:rPr>
          <w:rFonts w:ascii="方正小标宋简体" w:hAnsi="方正小标宋简体" w:eastAsia="方正小标宋简体"/>
          <w:color w:val="auto"/>
          <w:sz w:val="40"/>
          <w:szCs w:val="18"/>
          <w:highlight w:val="none"/>
        </w:rPr>
      </w:pPr>
      <w:r>
        <w:rPr>
          <w:rFonts w:hint="eastAsia" w:ascii="宋体" w:hAnsi="宋体" w:eastAsia="宋体" w:cs="宋体"/>
          <w:color w:val="auto"/>
          <w:sz w:val="40"/>
          <w:szCs w:val="18"/>
          <w:highlight w:val="none"/>
        </w:rPr>
        <w:t>第六章  投标文件格式</w:t>
      </w:r>
      <w:bookmarkStart w:id="55" w:name="_Toc202235415"/>
      <w:r>
        <w:rPr>
          <w:rFonts w:hint="eastAsia" w:ascii="宋体" w:hAnsi="宋体" w:eastAsia="宋体" w:cs="宋体"/>
          <w:color w:val="auto"/>
          <w:sz w:val="40"/>
          <w:szCs w:val="18"/>
          <w:highlight w:val="none"/>
        </w:rPr>
        <w:t>附件</w:t>
      </w:r>
    </w:p>
    <w:p w14:paraId="07B66CE5">
      <w:pPr>
        <w:spacing w:line="360" w:lineRule="auto"/>
        <w:ind w:right="532"/>
        <w:jc w:val="center"/>
        <w:rPr>
          <w:rFonts w:ascii="宋体" w:hAnsi="宋体"/>
          <w:b/>
          <w:bCs/>
          <w:color w:val="auto"/>
          <w:sz w:val="36"/>
          <w:szCs w:val="36"/>
          <w:highlight w:val="none"/>
        </w:rPr>
      </w:pPr>
      <w:r>
        <w:rPr>
          <w:rFonts w:hint="eastAsia" w:ascii="宋体" w:hAnsi="宋体"/>
          <w:b/>
          <w:bCs/>
          <w:color w:val="auto"/>
          <w:sz w:val="40"/>
          <w:szCs w:val="40"/>
          <w:highlight w:val="none"/>
        </w:rPr>
        <w:t>资格证明部分目录</w:t>
      </w:r>
    </w:p>
    <w:p w14:paraId="4B6D9262">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1、投标声明书（</w:t>
      </w:r>
      <w:r>
        <w:rPr>
          <w:rFonts w:hint="eastAsia" w:ascii="宋体" w:hAnsi="宋体"/>
          <w:color w:val="auto"/>
          <w:sz w:val="24"/>
          <w:highlight w:val="none"/>
          <w:lang w:val="en-US" w:eastAsia="zh-CN"/>
        </w:rPr>
        <w:t>含重大违法记录、税收缴纳、社会保障等方面的失信记录声明</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附件</w:t>
      </w:r>
      <w:r>
        <w:rPr>
          <w:rFonts w:hint="eastAsia" w:ascii="宋体" w:hAnsi="宋体"/>
          <w:color w:val="auto"/>
          <w:sz w:val="24"/>
          <w:highlight w:val="none"/>
          <w:lang w:val="en-US" w:eastAsia="zh-CN"/>
        </w:rPr>
        <w:t>1）</w:t>
      </w:r>
    </w:p>
    <w:p w14:paraId="06ED6594">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2、</w:t>
      </w: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bCs/>
          <w:color w:val="auto"/>
          <w:sz w:val="24"/>
          <w:highlight w:val="none"/>
          <w:lang w:eastAsia="zh-CN"/>
        </w:rPr>
        <w:t>（法定代表人亲自办理投标事宜的，则无需提交，▲如授权委托代理人的则需提供该项）</w:t>
      </w:r>
    </w:p>
    <w:p w14:paraId="42D8E41E">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eastAsia="宋体"/>
          <w:color w:val="auto"/>
          <w:sz w:val="24"/>
          <w:highlight w:val="none"/>
          <w:lang w:val="en-US" w:eastAsia="zh-CN"/>
        </w:rPr>
      </w:pPr>
      <w:r>
        <w:rPr>
          <w:rFonts w:hint="eastAsia" w:ascii="宋体" w:hAnsi="宋体"/>
          <w:color w:val="auto"/>
          <w:sz w:val="24"/>
          <w:highlight w:val="none"/>
        </w:rPr>
        <w:t>3、</w:t>
      </w:r>
      <w:r>
        <w:rPr>
          <w:color w:val="auto"/>
          <w:sz w:val="24"/>
          <w:highlight w:val="none"/>
        </w:rPr>
        <w:t>法人或者其他组织的营业执照等证明文件</w:t>
      </w:r>
      <w:r>
        <w:rPr>
          <w:rFonts w:hint="eastAsia"/>
          <w:color w:val="auto"/>
          <w:sz w:val="24"/>
          <w:highlight w:val="none"/>
          <w:lang w:eastAsia="zh-CN"/>
        </w:rPr>
        <w:t>（</w:t>
      </w:r>
      <w:r>
        <w:rPr>
          <w:rFonts w:hint="eastAsia"/>
          <w:color w:val="auto"/>
          <w:sz w:val="24"/>
          <w:highlight w:val="none"/>
          <w:lang w:val="en-US" w:eastAsia="zh-CN"/>
        </w:rPr>
        <w:t>如为联合体投标的，联合体各方均须提供</w:t>
      </w:r>
      <w:r>
        <w:rPr>
          <w:rFonts w:hint="eastAsia"/>
          <w:color w:val="auto"/>
          <w:sz w:val="24"/>
          <w:highlight w:val="none"/>
          <w:lang w:eastAsia="zh-CN"/>
        </w:rPr>
        <w:t>）。</w:t>
      </w:r>
    </w:p>
    <w:p w14:paraId="44E32E3B">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color w:val="auto"/>
          <w:sz w:val="24"/>
          <w:highlight w:val="none"/>
        </w:rPr>
        <w:t>具备履行合同所必需的设备和专业</w:t>
      </w:r>
      <w:r>
        <w:rPr>
          <w:rFonts w:hint="eastAsia"/>
          <w:color w:val="auto"/>
          <w:sz w:val="24"/>
          <w:highlight w:val="none"/>
        </w:rPr>
        <w:t>服务（</w:t>
      </w:r>
      <w:r>
        <w:rPr>
          <w:color w:val="auto"/>
          <w:sz w:val="24"/>
          <w:highlight w:val="none"/>
        </w:rPr>
        <w:t>技术</w:t>
      </w:r>
      <w:r>
        <w:rPr>
          <w:rFonts w:hint="eastAsia"/>
          <w:color w:val="auto"/>
          <w:sz w:val="24"/>
          <w:highlight w:val="none"/>
        </w:rPr>
        <w:t>）</w:t>
      </w:r>
      <w:r>
        <w:rPr>
          <w:color w:val="auto"/>
          <w:sz w:val="24"/>
          <w:highlight w:val="none"/>
        </w:rPr>
        <w:t>能力的</w:t>
      </w:r>
      <w:r>
        <w:rPr>
          <w:rFonts w:hint="eastAsia"/>
          <w:color w:val="auto"/>
          <w:sz w:val="24"/>
          <w:highlight w:val="none"/>
        </w:rPr>
        <w:t>承诺函</w:t>
      </w:r>
      <w:r>
        <w:rPr>
          <w:rFonts w:hint="eastAsia" w:ascii="宋体" w:hAnsi="宋体"/>
          <w:bCs/>
          <w:color w:val="auto"/>
          <w:sz w:val="24"/>
          <w:highlight w:val="none"/>
        </w:rPr>
        <w:t>（附件</w:t>
      </w:r>
      <w:r>
        <w:rPr>
          <w:rFonts w:hint="eastAsia" w:ascii="宋体" w:hAnsi="宋体"/>
          <w:bCs/>
          <w:color w:val="auto"/>
          <w:sz w:val="24"/>
          <w:highlight w:val="none"/>
          <w:lang w:val="en-US" w:eastAsia="zh-CN"/>
        </w:rPr>
        <w:t>3</w:t>
      </w:r>
      <w:r>
        <w:rPr>
          <w:rFonts w:hint="eastAsia" w:ascii="宋体" w:hAnsi="宋体"/>
          <w:bCs/>
          <w:color w:val="auto"/>
          <w:sz w:val="24"/>
          <w:highlight w:val="none"/>
        </w:rPr>
        <w:t>）</w:t>
      </w:r>
    </w:p>
    <w:p w14:paraId="717CA060">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联合投标协议书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4</w:t>
      </w:r>
      <w:r>
        <w:rPr>
          <w:rFonts w:hint="eastAsia"/>
          <w:color w:val="auto"/>
          <w:sz w:val="24"/>
          <w:highlight w:val="none"/>
        </w:rPr>
        <w:t>）</w:t>
      </w:r>
    </w:p>
    <w:p w14:paraId="64ADA7DC">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联合投标授权委托书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5</w:t>
      </w:r>
      <w:r>
        <w:rPr>
          <w:rFonts w:hint="eastAsia"/>
          <w:color w:val="auto"/>
          <w:sz w:val="24"/>
          <w:highlight w:val="none"/>
        </w:rPr>
        <w:t>）</w:t>
      </w:r>
    </w:p>
    <w:p w14:paraId="2BB54714">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分包意向协议</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6</w:t>
      </w:r>
      <w:r>
        <w:rPr>
          <w:rFonts w:hint="eastAsia"/>
          <w:color w:val="auto"/>
          <w:sz w:val="24"/>
          <w:highlight w:val="none"/>
        </w:rPr>
        <w:t>）</w:t>
      </w:r>
    </w:p>
    <w:p w14:paraId="02C925BB">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shd w:val="clear" w:color="auto" w:fill="FFFFFF"/>
          <w:lang w:val="en-US" w:eastAsia="zh-CN"/>
        </w:rPr>
        <w:t>8</w:t>
      </w:r>
      <w:r>
        <w:rPr>
          <w:rFonts w:hint="eastAsia" w:ascii="宋体" w:hAnsi="宋体" w:cs="宋体"/>
          <w:color w:val="auto"/>
          <w:sz w:val="24"/>
          <w:szCs w:val="24"/>
          <w:highlight w:val="none"/>
          <w:shd w:val="clear" w:color="auto" w:fill="FFFFFF"/>
        </w:rPr>
        <w:t>、</w:t>
      </w:r>
      <w:r>
        <w:rPr>
          <w:rFonts w:hint="eastAsia" w:ascii="宋体" w:hAnsi="宋体"/>
          <w:color w:val="auto"/>
          <w:sz w:val="24"/>
          <w:highlight w:val="none"/>
        </w:rPr>
        <w:t>本项目要求的特定资质证书</w:t>
      </w:r>
      <w:r>
        <w:rPr>
          <w:rFonts w:hint="eastAsia" w:ascii="宋体" w:hAnsi="宋体"/>
          <w:color w:val="auto"/>
          <w:sz w:val="24"/>
          <w:highlight w:val="none"/>
          <w:lang w:eastAsia="zh-CN"/>
        </w:rPr>
        <w:t>（如有需提供）</w:t>
      </w:r>
    </w:p>
    <w:p w14:paraId="17E2F895">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lang w:eastAsia="zh-CN"/>
        </w:rPr>
      </w:pPr>
    </w:p>
    <w:p w14:paraId="006C0F1C">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lang w:eastAsia="zh-CN"/>
        </w:rPr>
      </w:pPr>
    </w:p>
    <w:p w14:paraId="50EBF915">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lang w:eastAsia="zh-CN"/>
        </w:rPr>
      </w:pPr>
    </w:p>
    <w:p w14:paraId="069E625E">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lang w:eastAsia="zh-CN"/>
        </w:rPr>
      </w:pPr>
    </w:p>
    <w:p w14:paraId="64798537">
      <w:pPr>
        <w:keepNext w:val="0"/>
        <w:keepLines w:val="0"/>
        <w:pageBreakBefore w:val="0"/>
        <w:kinsoku/>
        <w:wordWrap/>
        <w:overflowPunct/>
        <w:topLinePunct w:val="0"/>
        <w:autoSpaceDE/>
        <w:autoSpaceDN/>
        <w:bidi w:val="0"/>
        <w:snapToGrid w:val="0"/>
        <w:spacing w:line="480" w:lineRule="auto"/>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14:paraId="7B37E8F0">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投标声明书</w:t>
      </w:r>
    </w:p>
    <w:p w14:paraId="705D5C02">
      <w:pPr>
        <w:snapToGrid w:val="0"/>
        <w:spacing w:beforeLines="50" w:after="50" w:line="360" w:lineRule="exact"/>
        <w:rPr>
          <w:rFonts w:ascii="宋体" w:hAnsi="宋体" w:cs="宋体"/>
          <w:color w:val="auto"/>
          <w:sz w:val="24"/>
          <w:highlight w:val="none"/>
        </w:rPr>
      </w:pPr>
      <w:r>
        <w:rPr>
          <w:rFonts w:hint="eastAsia" w:ascii="宋体" w:hAnsi="宋体" w:cs="宋体"/>
          <w:color w:val="auto"/>
          <w:sz w:val="24"/>
          <w:highlight w:val="none"/>
          <w:lang w:eastAsia="zh-CN"/>
        </w:rPr>
        <w:t>台州市建设咨询有限公司</w:t>
      </w:r>
      <w:r>
        <w:rPr>
          <w:rFonts w:hint="eastAsia" w:ascii="宋体" w:hAnsi="宋体" w:cs="宋体"/>
          <w:color w:val="auto"/>
          <w:sz w:val="24"/>
          <w:highlight w:val="none"/>
        </w:rPr>
        <w:t>：</w:t>
      </w:r>
    </w:p>
    <w:p w14:paraId="5534F01C">
      <w:pPr>
        <w:snapToGrid w:val="0"/>
        <w:spacing w:beforeLines="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04230B">
      <w:pPr>
        <w:snapToGrid w:val="0"/>
        <w:spacing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多功能登高平台消防车及随车器材一批采购项目</w:t>
      </w:r>
      <w:r>
        <w:rPr>
          <w:rFonts w:hint="eastAsia" w:ascii="宋体" w:hAnsi="宋体" w:cs="宋体"/>
          <w:color w:val="auto"/>
          <w:sz w:val="24"/>
          <w:highlight w:val="none"/>
        </w:rPr>
        <w:t>）（编号为：</w:t>
      </w:r>
      <w:r>
        <w:rPr>
          <w:rFonts w:hint="eastAsia" w:ascii="宋体"/>
          <w:color w:val="auto"/>
          <w:sz w:val="24"/>
          <w:szCs w:val="22"/>
          <w:highlight w:val="none"/>
          <w:u w:val="single"/>
          <w:lang w:eastAsia="zh-CN"/>
        </w:rPr>
        <w:t>tzccclq-20240722</w:t>
      </w:r>
      <w:r>
        <w:rPr>
          <w:rFonts w:hint="eastAsia" w:ascii="宋体" w:hAnsi="宋体" w:cs="宋体"/>
          <w:color w:val="auto"/>
          <w:sz w:val="24"/>
          <w:highlight w:val="none"/>
        </w:rPr>
        <w:t>）的投标，为此，我方就本次投标有关事项郑重声明如下：</w:t>
      </w:r>
    </w:p>
    <w:p w14:paraId="7543660B">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sz w:val="24"/>
          <w:highlight w:val="none"/>
        </w:rPr>
        <w:t>利。</w:t>
      </w:r>
    </w:p>
    <w:p w14:paraId="35234426">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ascii="宋体" w:hAnsi="宋体"/>
          <w:color w:val="auto"/>
          <w:sz w:val="24"/>
          <w:szCs w:val="21"/>
          <w:highlight w:val="none"/>
          <w:u w:val="single"/>
        </w:rPr>
        <w:t>90</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14:paraId="1BA553B3">
      <w:pPr>
        <w:snapToGrid w:val="0"/>
        <w:spacing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3C4BB876">
      <w:pPr>
        <w:snapToGrid w:val="0"/>
        <w:spacing w:beforeLines="50" w:after="50" w:line="360" w:lineRule="exact"/>
        <w:ind w:firstLine="480" w:firstLineChars="200"/>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14:paraId="58952DB4">
      <w:pPr>
        <w:snapToGrid w:val="0"/>
        <w:spacing w:beforeLines="50" w:after="50" w:line="360" w:lineRule="exact"/>
        <w:ind w:firstLine="480" w:firstLineChars="200"/>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14:paraId="66948B4D">
      <w:pPr>
        <w:widowControl w:val="0"/>
        <w:snapToGrid w:val="0"/>
        <w:spacing w:beforeLines="50" w:line="360" w:lineRule="exact"/>
        <w:ind w:firstLine="482" w:firstLineChars="200"/>
        <w:jc w:val="both"/>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14:paraId="4CB8D21E">
      <w:pPr>
        <w:widowControl w:val="0"/>
        <w:snapToGrid w:val="0"/>
        <w:spacing w:beforeLines="50" w:line="360" w:lineRule="exact"/>
        <w:ind w:firstLine="482" w:firstLineChars="200"/>
        <w:jc w:val="both"/>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14:paraId="431D7696">
      <w:pPr>
        <w:snapToGrid w:val="0"/>
        <w:spacing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14:paraId="12362598">
      <w:pPr>
        <w:pStyle w:val="38"/>
        <w:rPr>
          <w:color w:val="auto"/>
          <w:highlight w:val="none"/>
        </w:rPr>
      </w:pPr>
    </w:p>
    <w:p w14:paraId="18F10AC5">
      <w:pPr>
        <w:adjustRightInd w:val="0"/>
        <w:snapToGrid w:val="0"/>
        <w:spacing w:line="360" w:lineRule="exact"/>
        <w:ind w:firstLine="4680" w:firstLineChars="1950"/>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投标人名称(</w:t>
      </w:r>
      <w:r>
        <w:rPr>
          <w:rFonts w:hint="eastAsia" w:ascii="宋体" w:hAnsi="宋体"/>
          <w:color w:val="auto"/>
          <w:sz w:val="24"/>
          <w:highlight w:val="none"/>
        </w:rPr>
        <w:t>电子印章</w:t>
      </w:r>
      <w:r>
        <w:rPr>
          <w:rFonts w:hint="eastAsia" w:ascii="宋体" w:hAnsi="宋体" w:cs="仿宋_GB2312"/>
          <w:color w:val="auto"/>
          <w:sz w:val="24"/>
          <w:highlight w:val="none"/>
          <w:lang w:val="zh-CN"/>
        </w:rPr>
        <w:t>)：</w:t>
      </w:r>
    </w:p>
    <w:p w14:paraId="43296A27">
      <w:pPr>
        <w:adjustRightInd w:val="0"/>
        <w:snapToGrid w:val="0"/>
        <w:spacing w:line="360" w:lineRule="exact"/>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法定代表人(</w:t>
      </w:r>
      <w:r>
        <w:rPr>
          <w:rFonts w:hint="eastAsia" w:ascii="宋体" w:hAnsi="宋体"/>
          <w:color w:val="auto"/>
          <w:sz w:val="24"/>
          <w:highlight w:val="none"/>
        </w:rPr>
        <w:t>签字或电子印章</w:t>
      </w:r>
      <w:r>
        <w:rPr>
          <w:rFonts w:hint="eastAsia" w:ascii="宋体" w:hAnsi="宋体" w:cs="仿宋_GB2312"/>
          <w:color w:val="auto"/>
          <w:sz w:val="24"/>
          <w:highlight w:val="none"/>
          <w:lang w:val="zh-CN"/>
        </w:rPr>
        <w:t>)：</w:t>
      </w:r>
    </w:p>
    <w:p w14:paraId="0781C090">
      <w:pPr>
        <w:adjustRightInd w:val="0"/>
        <w:snapToGrid w:val="0"/>
        <w:spacing w:line="360" w:lineRule="exact"/>
        <w:ind w:right="480"/>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5C0A827F">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14:paraId="51468F08">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7F5DFB99">
      <w:pPr>
        <w:spacing w:line="440" w:lineRule="exact"/>
        <w:rPr>
          <w:rFonts w:ascii="宋体"/>
          <w:color w:val="auto"/>
          <w:sz w:val="24"/>
          <w:szCs w:val="22"/>
          <w:highlight w:val="none"/>
        </w:rPr>
      </w:pPr>
      <w:r>
        <w:rPr>
          <w:rFonts w:hint="eastAsia" w:ascii="宋体"/>
          <w:color w:val="auto"/>
          <w:sz w:val="24"/>
          <w:szCs w:val="22"/>
          <w:highlight w:val="none"/>
          <w:lang w:eastAsia="zh-CN"/>
        </w:rPr>
        <w:t>台州市建设咨询有限公司</w:t>
      </w:r>
      <w:r>
        <w:rPr>
          <w:rFonts w:hint="eastAsia" w:ascii="宋体"/>
          <w:color w:val="auto"/>
          <w:sz w:val="24"/>
          <w:szCs w:val="22"/>
          <w:highlight w:val="none"/>
        </w:rPr>
        <w:t>：</w:t>
      </w:r>
    </w:p>
    <w:p w14:paraId="57B422B3">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auto"/>
          <w:sz w:val="24"/>
          <w:szCs w:val="22"/>
          <w:highlight w:val="none"/>
          <w:u w:val="single"/>
        </w:rPr>
        <w:t xml:space="preserve">       （姓名）</w:t>
      </w:r>
      <w:r>
        <w:rPr>
          <w:rFonts w:hint="eastAsia" w:ascii="宋体"/>
          <w:color w:val="auto"/>
          <w:sz w:val="24"/>
          <w:szCs w:val="22"/>
          <w:highlight w:val="none"/>
        </w:rPr>
        <w:t>系</w:t>
      </w:r>
      <w:r>
        <w:rPr>
          <w:rFonts w:hint="eastAsia" w:ascii="宋体"/>
          <w:color w:val="auto"/>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auto"/>
          <w:sz w:val="24"/>
          <w:szCs w:val="22"/>
          <w:highlight w:val="none"/>
          <w:u w:val="single"/>
          <w:lang w:eastAsia="zh-CN"/>
        </w:rPr>
        <w:t>tzccclq-20240722</w:t>
      </w:r>
      <w:r>
        <w:rPr>
          <w:rFonts w:hint="eastAsia" w:ascii="宋体"/>
          <w:color w:val="auto"/>
          <w:sz w:val="24"/>
          <w:szCs w:val="22"/>
          <w:highlight w:val="none"/>
        </w:rPr>
        <w:t>项目名称：</w:t>
      </w:r>
      <w:r>
        <w:rPr>
          <w:rFonts w:hint="eastAsia" w:ascii="宋体" w:hAnsi="宋体"/>
          <w:color w:val="auto"/>
          <w:sz w:val="24"/>
          <w:szCs w:val="24"/>
          <w:highlight w:val="none"/>
          <w:u w:val="single"/>
          <w:lang w:eastAsia="zh-CN"/>
        </w:rPr>
        <w:t>多功能登高平台消防车及随车器材一批采购项目</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14:paraId="5807FA12">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14:paraId="08B1303B">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14:paraId="353E4CA9">
      <w:pPr>
        <w:spacing w:line="440" w:lineRule="exact"/>
        <w:rPr>
          <w:color w:val="auto"/>
          <w:sz w:val="24"/>
          <w:highlight w:val="none"/>
        </w:rPr>
      </w:pPr>
    </w:p>
    <w:p w14:paraId="05E12B48">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color w:val="auto"/>
          <w:sz w:val="24"/>
          <w:highlight w:val="none"/>
        </w:rPr>
        <w:t>签字或电子印章</w:t>
      </w:r>
      <w:r>
        <w:rPr>
          <w:rFonts w:hint="eastAsia" w:ascii="宋体"/>
          <w:color w:val="auto"/>
          <w:sz w:val="24"/>
          <w:highlight w:val="none"/>
          <w:lang w:eastAsia="zh-CN"/>
        </w:rPr>
        <w:t>）</w:t>
      </w:r>
      <w:r>
        <w:rPr>
          <w:rFonts w:hint="eastAsia" w:ascii="宋体"/>
          <w:color w:val="auto"/>
          <w:sz w:val="24"/>
          <w:highlight w:val="none"/>
        </w:rPr>
        <w:t>：</w:t>
      </w:r>
    </w:p>
    <w:p w14:paraId="69C19F3F">
      <w:pPr>
        <w:spacing w:line="440" w:lineRule="exact"/>
        <w:rPr>
          <w:color w:val="auto"/>
          <w:sz w:val="24"/>
          <w:highlight w:val="none"/>
        </w:rPr>
      </w:pPr>
      <w:r>
        <w:rPr>
          <w:rFonts w:hint="eastAsia" w:ascii="宋体"/>
          <w:color w:val="auto"/>
          <w:sz w:val="24"/>
          <w:highlight w:val="none"/>
        </w:rPr>
        <w:t>投标人全称（</w:t>
      </w:r>
      <w:r>
        <w:rPr>
          <w:rFonts w:hint="eastAsia" w:ascii="宋体" w:hAnsi="宋体"/>
          <w:color w:val="auto"/>
          <w:sz w:val="24"/>
          <w:highlight w:val="none"/>
        </w:rPr>
        <w:t>电子印章</w:t>
      </w:r>
      <w:r>
        <w:rPr>
          <w:rFonts w:hint="eastAsia" w:ascii="宋体"/>
          <w:color w:val="auto"/>
          <w:sz w:val="24"/>
          <w:highlight w:val="none"/>
        </w:rPr>
        <w:t xml:space="preserve">）：                             </w:t>
      </w:r>
    </w:p>
    <w:p w14:paraId="080E0E8D">
      <w:pPr>
        <w:spacing w:line="360" w:lineRule="auto"/>
        <w:rPr>
          <w:color w:val="auto"/>
          <w:sz w:val="24"/>
          <w:highlight w:val="none"/>
        </w:rPr>
      </w:pPr>
    </w:p>
    <w:p w14:paraId="025B4C97">
      <w:pPr>
        <w:spacing w:line="440" w:lineRule="exact"/>
        <w:rPr>
          <w:b/>
          <w:color w:val="auto"/>
          <w:sz w:val="24"/>
          <w:highlight w:val="none"/>
        </w:rPr>
      </w:pPr>
      <w:r>
        <w:rPr>
          <w:rFonts w:hint="eastAsia" w:ascii="宋体"/>
          <w:b/>
          <w:color w:val="auto"/>
          <w:sz w:val="24"/>
          <w:highlight w:val="none"/>
        </w:rPr>
        <w:t>附：</w:t>
      </w:r>
    </w:p>
    <w:tbl>
      <w:tblPr>
        <w:tblStyle w:val="3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64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D8CC035">
            <w:pPr>
              <w:spacing w:line="360" w:lineRule="auto"/>
              <w:rPr>
                <w:rFonts w:ascii="宋体"/>
                <w:b/>
                <w:color w:val="auto"/>
                <w:sz w:val="24"/>
                <w:highlight w:val="none"/>
              </w:rPr>
            </w:pPr>
          </w:p>
          <w:p w14:paraId="682377AB">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14:paraId="5839FED3">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776AA87E">
      <w:pPr>
        <w:spacing w:line="360" w:lineRule="auto"/>
        <w:rPr>
          <w:color w:val="auto"/>
          <w:sz w:val="24"/>
          <w:highlight w:val="none"/>
        </w:rPr>
      </w:pPr>
      <w:r>
        <w:rPr>
          <w:rFonts w:hint="eastAsia" w:ascii="宋体"/>
          <w:color w:val="auto"/>
          <w:sz w:val="24"/>
          <w:highlight w:val="none"/>
        </w:rPr>
        <w:t xml:space="preserve">法定代表人姓名：                                 </w:t>
      </w:r>
    </w:p>
    <w:p w14:paraId="52B71C80">
      <w:pPr>
        <w:spacing w:line="360" w:lineRule="auto"/>
        <w:rPr>
          <w:color w:val="auto"/>
          <w:sz w:val="24"/>
          <w:highlight w:val="none"/>
        </w:rPr>
      </w:pPr>
      <w:r>
        <w:rPr>
          <w:rFonts w:hint="eastAsia" w:ascii="宋体"/>
          <w:color w:val="auto"/>
          <w:sz w:val="24"/>
          <w:highlight w:val="none"/>
        </w:rPr>
        <w:t>传真：</w:t>
      </w:r>
    </w:p>
    <w:p w14:paraId="3BD220E5">
      <w:pPr>
        <w:spacing w:line="360" w:lineRule="auto"/>
        <w:rPr>
          <w:rFonts w:ascii="宋体"/>
          <w:color w:val="auto"/>
          <w:sz w:val="24"/>
          <w:highlight w:val="none"/>
        </w:rPr>
      </w:pPr>
      <w:r>
        <w:rPr>
          <w:rFonts w:hint="eastAsia" w:ascii="宋体"/>
          <w:color w:val="auto"/>
          <w:sz w:val="24"/>
          <w:highlight w:val="none"/>
        </w:rPr>
        <w:t>电话：</w:t>
      </w:r>
    </w:p>
    <w:p w14:paraId="7B63134C">
      <w:pPr>
        <w:spacing w:line="360" w:lineRule="auto"/>
        <w:rPr>
          <w:color w:val="auto"/>
          <w:sz w:val="24"/>
          <w:highlight w:val="none"/>
        </w:rPr>
      </w:pPr>
      <w:r>
        <w:rPr>
          <w:rFonts w:hint="eastAsia" w:ascii="宋体"/>
          <w:color w:val="auto"/>
          <w:sz w:val="24"/>
          <w:highlight w:val="none"/>
        </w:rPr>
        <w:t>详细通讯地址：</w:t>
      </w:r>
    </w:p>
    <w:p w14:paraId="7AE44D39">
      <w:pPr>
        <w:spacing w:line="360" w:lineRule="auto"/>
        <w:rPr>
          <w:rFonts w:ascii="宋体"/>
          <w:color w:val="auto"/>
          <w:sz w:val="24"/>
          <w:highlight w:val="none"/>
        </w:rPr>
      </w:pPr>
      <w:r>
        <w:rPr>
          <w:rFonts w:hint="eastAsia" w:ascii="宋体"/>
          <w:color w:val="auto"/>
          <w:sz w:val="24"/>
          <w:highlight w:val="none"/>
        </w:rPr>
        <w:t>邮政编码：</w:t>
      </w:r>
    </w:p>
    <w:p w14:paraId="5BAD38BD">
      <w:pPr>
        <w:spacing w:line="360" w:lineRule="auto"/>
        <w:rPr>
          <w:b/>
          <w:color w:val="auto"/>
          <w:sz w:val="24"/>
          <w:highlight w:val="none"/>
        </w:rPr>
      </w:pPr>
    </w:p>
    <w:tbl>
      <w:tblPr>
        <w:tblStyle w:val="3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C7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B57341">
            <w:pPr>
              <w:spacing w:line="360" w:lineRule="auto"/>
              <w:ind w:firstLine="361" w:firstLineChars="150"/>
              <w:rPr>
                <w:rFonts w:ascii="宋体"/>
                <w:b/>
                <w:color w:val="auto"/>
                <w:sz w:val="24"/>
                <w:highlight w:val="none"/>
              </w:rPr>
            </w:pPr>
          </w:p>
          <w:p w14:paraId="5FE1C4F2">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14:paraId="272641BA">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522D1A3C">
      <w:pPr>
        <w:spacing w:line="360" w:lineRule="auto"/>
        <w:rPr>
          <w:rFonts w:ascii="宋体"/>
          <w:color w:val="auto"/>
          <w:sz w:val="24"/>
          <w:highlight w:val="none"/>
        </w:rPr>
      </w:pPr>
      <w:r>
        <w:rPr>
          <w:rFonts w:hint="eastAsia" w:ascii="宋体"/>
          <w:color w:val="auto"/>
          <w:sz w:val="24"/>
          <w:highlight w:val="none"/>
        </w:rPr>
        <w:t xml:space="preserve">授权代表姓名：       </w:t>
      </w:r>
    </w:p>
    <w:p w14:paraId="7A574EFE">
      <w:pPr>
        <w:spacing w:line="360" w:lineRule="auto"/>
        <w:rPr>
          <w:color w:val="auto"/>
          <w:sz w:val="24"/>
          <w:highlight w:val="none"/>
        </w:rPr>
      </w:pPr>
      <w:r>
        <w:rPr>
          <w:rFonts w:hint="eastAsia" w:ascii="宋体"/>
          <w:color w:val="auto"/>
          <w:sz w:val="24"/>
          <w:highlight w:val="none"/>
        </w:rPr>
        <w:t xml:space="preserve">职务：                           </w:t>
      </w:r>
    </w:p>
    <w:p w14:paraId="6BF14766">
      <w:pPr>
        <w:spacing w:line="360" w:lineRule="auto"/>
        <w:rPr>
          <w:color w:val="auto"/>
          <w:sz w:val="24"/>
          <w:highlight w:val="none"/>
        </w:rPr>
      </w:pPr>
      <w:r>
        <w:rPr>
          <w:rFonts w:hint="eastAsia" w:ascii="宋体"/>
          <w:color w:val="auto"/>
          <w:sz w:val="24"/>
          <w:highlight w:val="none"/>
        </w:rPr>
        <w:t>传真：</w:t>
      </w:r>
    </w:p>
    <w:p w14:paraId="6E54C125">
      <w:pPr>
        <w:spacing w:line="360" w:lineRule="auto"/>
        <w:rPr>
          <w:rFonts w:ascii="宋体"/>
          <w:color w:val="auto"/>
          <w:sz w:val="24"/>
          <w:highlight w:val="none"/>
        </w:rPr>
      </w:pPr>
      <w:r>
        <w:rPr>
          <w:rFonts w:hint="eastAsia" w:ascii="宋体"/>
          <w:color w:val="auto"/>
          <w:sz w:val="24"/>
          <w:highlight w:val="none"/>
        </w:rPr>
        <w:t>手机：</w:t>
      </w:r>
    </w:p>
    <w:p w14:paraId="30CF83E2">
      <w:pPr>
        <w:spacing w:line="360" w:lineRule="auto"/>
        <w:rPr>
          <w:color w:val="auto"/>
          <w:sz w:val="24"/>
          <w:highlight w:val="none"/>
        </w:rPr>
      </w:pPr>
      <w:r>
        <w:rPr>
          <w:rFonts w:hint="eastAsia" w:ascii="宋体"/>
          <w:color w:val="auto"/>
          <w:sz w:val="24"/>
          <w:highlight w:val="none"/>
        </w:rPr>
        <w:t>详细通讯地址：</w:t>
      </w:r>
    </w:p>
    <w:p w14:paraId="5B94F3F4">
      <w:pPr>
        <w:spacing w:line="440" w:lineRule="exact"/>
        <w:ind w:firstLine="480" w:firstLineChars="200"/>
        <w:rPr>
          <w:rFonts w:hint="eastAsia" w:ascii="宋体" w:hAnsi="宋体" w:eastAsia="宋体" w:cs="宋体"/>
          <w:b/>
          <w:color w:val="auto"/>
          <w:sz w:val="28"/>
          <w:szCs w:val="24"/>
          <w:highlight w:val="none"/>
          <w:lang w:val="en-US" w:eastAsia="zh-CN" w:bidi="ar-SA"/>
        </w:rPr>
      </w:pPr>
      <w:r>
        <w:rPr>
          <w:rFonts w:hint="eastAsia" w:ascii="宋体"/>
          <w:color w:val="auto"/>
          <w:sz w:val="24"/>
          <w:highlight w:val="none"/>
        </w:rPr>
        <w:t>邮政编码：</w:t>
      </w:r>
      <w:r>
        <w:rPr>
          <w:rFonts w:ascii="宋体" w:hAnsi="宋体"/>
          <w:b/>
          <w:color w:val="auto"/>
          <w:sz w:val="28"/>
          <w:highlight w:val="none"/>
        </w:rPr>
        <w:br w:type="page"/>
      </w:r>
      <w:r>
        <w:rPr>
          <w:rFonts w:hint="eastAsia" w:ascii="宋体" w:hAnsi="宋体" w:eastAsia="宋体" w:cs="宋体"/>
          <w:b/>
          <w:color w:val="auto"/>
          <w:sz w:val="28"/>
          <w:szCs w:val="24"/>
          <w:highlight w:val="none"/>
          <w:lang w:val="en-US" w:eastAsia="zh-CN" w:bidi="ar-SA"/>
        </w:rPr>
        <w:t>附件3：</w:t>
      </w:r>
    </w:p>
    <w:p w14:paraId="495C6853">
      <w:pPr>
        <w:adjustRightInd w:val="0"/>
        <w:snapToGrid w:val="0"/>
        <w:jc w:val="center"/>
        <w:rPr>
          <w:b/>
          <w:bCs/>
          <w:color w:val="auto"/>
          <w:sz w:val="28"/>
          <w:szCs w:val="21"/>
          <w:highlight w:val="none"/>
        </w:rPr>
      </w:pPr>
    </w:p>
    <w:p w14:paraId="52CCA828">
      <w:pPr>
        <w:adjustRightInd w:val="0"/>
        <w:snapToGrid w:val="0"/>
        <w:jc w:val="center"/>
        <w:rPr>
          <w:b/>
          <w:bCs/>
          <w:color w:val="auto"/>
          <w:sz w:val="28"/>
          <w:szCs w:val="21"/>
          <w:highlight w:val="none"/>
        </w:rPr>
      </w:pPr>
    </w:p>
    <w:p w14:paraId="2B224DBF">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14:paraId="2A5CBEDE">
      <w:pPr>
        <w:adjustRightInd w:val="0"/>
        <w:snapToGrid w:val="0"/>
        <w:rPr>
          <w:rFonts w:ascii="宋体" w:hAnsi="宋体" w:cs="宋体"/>
          <w:color w:val="auto"/>
          <w:highlight w:val="none"/>
        </w:rPr>
      </w:pPr>
    </w:p>
    <w:p w14:paraId="3835FDC9">
      <w:pPr>
        <w:adjustRightInd w:val="0"/>
        <w:snapToGrid w:val="0"/>
        <w:spacing w:line="360" w:lineRule="auto"/>
        <w:rPr>
          <w:rFonts w:ascii="宋体" w:hAnsi="宋体" w:cs="宋体"/>
          <w:color w:val="auto"/>
          <w:sz w:val="24"/>
          <w:highlight w:val="none"/>
          <w:u w:val="single"/>
        </w:rPr>
      </w:pPr>
    </w:p>
    <w:p w14:paraId="10D71CB1">
      <w:pPr>
        <w:adjustRightInd w:val="0"/>
        <w:snapToGrid w:val="0"/>
        <w:spacing w:line="360" w:lineRule="auto"/>
        <w:rPr>
          <w:rFonts w:hint="eastAsia" w:ascii="宋体" w:hAnsi="宋体" w:cs="宋体"/>
          <w:color w:val="auto"/>
          <w:sz w:val="24"/>
          <w:highlight w:val="none"/>
          <w:u w:val="single"/>
        </w:rPr>
      </w:pPr>
    </w:p>
    <w:p w14:paraId="0A53234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台州市路桥区横街镇人民政府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u w:val="single"/>
        </w:rPr>
        <w:t>人）</w:t>
      </w:r>
      <w:r>
        <w:rPr>
          <w:rFonts w:hint="eastAsia" w:ascii="宋体" w:hAnsi="宋体" w:cs="宋体"/>
          <w:color w:val="auto"/>
          <w:sz w:val="24"/>
          <w:highlight w:val="none"/>
        </w:rPr>
        <w:t>：</w:t>
      </w:r>
    </w:p>
    <w:p w14:paraId="377C542D">
      <w:pPr>
        <w:adjustRightInd w:val="0"/>
        <w:snapToGrid w:val="0"/>
        <w:spacing w:line="360" w:lineRule="auto"/>
        <w:ind w:firstLine="480" w:firstLineChars="200"/>
        <w:rPr>
          <w:rFonts w:ascii="宋体" w:hAnsi="宋体" w:cs="宋体"/>
          <w:color w:val="auto"/>
          <w:sz w:val="24"/>
          <w:highlight w:val="none"/>
        </w:rPr>
      </w:pPr>
    </w:p>
    <w:p w14:paraId="3C070271">
      <w:pPr>
        <w:adjustRightInd w:val="0"/>
        <w:snapToGrid w:val="0"/>
        <w:spacing w:line="360" w:lineRule="auto"/>
        <w:ind w:firstLine="480" w:firstLineChars="200"/>
        <w:rPr>
          <w:rFonts w:ascii="宋体" w:hAnsi="宋体" w:cs="宋体"/>
          <w:color w:val="auto"/>
          <w:sz w:val="24"/>
          <w:highlight w:val="none"/>
        </w:rPr>
      </w:pPr>
    </w:p>
    <w:p w14:paraId="363EBC3B">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（投标人）</w:t>
      </w:r>
      <w:r>
        <w:rPr>
          <w:rFonts w:hint="eastAsia" w:ascii="宋体" w:hAnsi="宋体" w:cs="宋体"/>
          <w:color w:val="auto"/>
          <w:sz w:val="24"/>
          <w:highlight w:val="none"/>
        </w:rPr>
        <w:t>承诺具有履行合同所必需的设备和专业服务（技术）能力。如有虚假，招标人可取消我方任何资格（投标/中标/签订合同），我方对此无任何异议。</w:t>
      </w:r>
    </w:p>
    <w:p w14:paraId="5A3F01C4">
      <w:pPr>
        <w:adjustRightInd w:val="0"/>
        <w:snapToGrid w:val="0"/>
        <w:spacing w:line="360" w:lineRule="auto"/>
        <w:ind w:firstLine="480" w:firstLineChars="200"/>
        <w:rPr>
          <w:rFonts w:ascii="宋体" w:hAnsi="宋体" w:cs="宋体"/>
          <w:color w:val="auto"/>
          <w:sz w:val="24"/>
          <w:highlight w:val="none"/>
        </w:rPr>
      </w:pPr>
    </w:p>
    <w:p w14:paraId="4796703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5CF688A">
      <w:pPr>
        <w:pStyle w:val="38"/>
        <w:ind w:firstLine="480"/>
        <w:rPr>
          <w:rFonts w:ascii="宋体" w:hAnsi="宋体" w:cs="宋体"/>
          <w:color w:val="auto"/>
          <w:sz w:val="24"/>
          <w:highlight w:val="none"/>
        </w:rPr>
      </w:pPr>
    </w:p>
    <w:p w14:paraId="1B0F1617">
      <w:pPr>
        <w:pStyle w:val="38"/>
        <w:ind w:firstLine="480"/>
        <w:rPr>
          <w:rFonts w:ascii="宋体" w:hAnsi="宋体" w:cs="宋体"/>
          <w:color w:val="auto"/>
          <w:sz w:val="24"/>
          <w:highlight w:val="none"/>
        </w:rPr>
      </w:pPr>
    </w:p>
    <w:p w14:paraId="005E3080">
      <w:pPr>
        <w:adjustRightInd w:val="0"/>
        <w:snapToGrid w:val="0"/>
        <w:spacing w:line="360" w:lineRule="auto"/>
        <w:ind w:firstLine="480" w:firstLineChars="200"/>
        <w:rPr>
          <w:rFonts w:ascii="宋体" w:hAnsi="宋体" w:cs="宋体"/>
          <w:color w:val="auto"/>
          <w:sz w:val="24"/>
          <w:highlight w:val="none"/>
        </w:rPr>
      </w:pPr>
    </w:p>
    <w:p w14:paraId="31094395">
      <w:pPr>
        <w:pStyle w:val="38"/>
        <w:ind w:firstLine="480"/>
        <w:rPr>
          <w:rFonts w:ascii="宋体" w:hAnsi="宋体" w:cs="宋体"/>
          <w:color w:val="auto"/>
          <w:sz w:val="24"/>
          <w:highlight w:val="none"/>
        </w:rPr>
      </w:pPr>
    </w:p>
    <w:p w14:paraId="4FAA2C46">
      <w:pPr>
        <w:pStyle w:val="38"/>
        <w:ind w:firstLine="480"/>
        <w:rPr>
          <w:rFonts w:ascii="宋体" w:hAnsi="宋体" w:cs="宋体"/>
          <w:color w:val="auto"/>
          <w:sz w:val="24"/>
          <w:highlight w:val="none"/>
        </w:rPr>
      </w:pPr>
    </w:p>
    <w:p w14:paraId="68DB2919">
      <w:pPr>
        <w:pStyle w:val="38"/>
        <w:ind w:firstLine="480"/>
        <w:rPr>
          <w:rFonts w:ascii="宋体" w:hAnsi="宋体" w:cs="宋体"/>
          <w:color w:val="auto"/>
          <w:sz w:val="24"/>
          <w:highlight w:val="none"/>
        </w:rPr>
      </w:pPr>
    </w:p>
    <w:p w14:paraId="55A17657">
      <w:pPr>
        <w:pStyle w:val="38"/>
        <w:ind w:firstLine="480"/>
        <w:rPr>
          <w:rFonts w:ascii="宋体" w:hAnsi="宋体" w:cs="宋体"/>
          <w:color w:val="auto"/>
          <w:sz w:val="24"/>
          <w:highlight w:val="none"/>
        </w:rPr>
      </w:pPr>
    </w:p>
    <w:p w14:paraId="553E6A26">
      <w:pPr>
        <w:pStyle w:val="38"/>
        <w:ind w:firstLine="480"/>
        <w:rPr>
          <w:rFonts w:ascii="宋体" w:hAnsi="宋体" w:cs="宋体"/>
          <w:color w:val="auto"/>
          <w:sz w:val="24"/>
          <w:highlight w:val="none"/>
        </w:rPr>
      </w:pPr>
    </w:p>
    <w:p w14:paraId="07A11EA3">
      <w:pPr>
        <w:pStyle w:val="38"/>
        <w:ind w:firstLine="480"/>
        <w:rPr>
          <w:rFonts w:ascii="宋体" w:hAnsi="宋体" w:cs="宋体"/>
          <w:color w:val="auto"/>
          <w:sz w:val="24"/>
          <w:highlight w:val="none"/>
        </w:rPr>
      </w:pPr>
    </w:p>
    <w:p w14:paraId="08A74F09">
      <w:pPr>
        <w:pStyle w:val="38"/>
        <w:ind w:firstLine="480"/>
        <w:rPr>
          <w:rFonts w:ascii="宋体" w:hAnsi="宋体" w:cs="宋体"/>
          <w:color w:val="auto"/>
          <w:sz w:val="24"/>
          <w:highlight w:val="none"/>
        </w:rPr>
      </w:pPr>
    </w:p>
    <w:p w14:paraId="548AA220">
      <w:pPr>
        <w:adjustRightInd w:val="0"/>
        <w:snapToGrid w:val="0"/>
        <w:spacing w:line="360" w:lineRule="auto"/>
        <w:ind w:firstLine="4320" w:firstLineChars="1800"/>
        <w:rPr>
          <w:rFonts w:hint="eastAsia" w:ascii="宋体" w:hAnsi="宋体" w:eastAsia="宋体" w:cs="仿宋_GB2312"/>
          <w:color w:val="auto"/>
          <w:sz w:val="24"/>
          <w:highlight w:val="none"/>
          <w:lang w:val="zh-CN"/>
        </w:rPr>
      </w:pPr>
      <w:r>
        <w:rPr>
          <w:rFonts w:hint="eastAsia" w:ascii="宋体" w:hAnsi="宋体" w:eastAsia="宋体" w:cs="仿宋_GB2312"/>
          <w:color w:val="auto"/>
          <w:sz w:val="24"/>
          <w:highlight w:val="none"/>
          <w:lang w:val="zh-CN"/>
        </w:rPr>
        <w:t>投标人名称（电子印章）</w:t>
      </w:r>
      <w:r>
        <w:rPr>
          <w:rFonts w:hint="eastAsia" w:ascii="宋体" w:hAnsi="宋体" w:cs="仿宋_GB2312"/>
          <w:color w:val="auto"/>
          <w:sz w:val="24"/>
          <w:highlight w:val="none"/>
          <w:lang w:val="zh-CN"/>
        </w:rPr>
        <w:t>：</w:t>
      </w:r>
      <w:r>
        <w:rPr>
          <w:rFonts w:hint="eastAsia" w:ascii="宋体" w:hAnsi="宋体" w:eastAsia="宋体" w:cs="仿宋_GB2312"/>
          <w:color w:val="auto"/>
          <w:sz w:val="24"/>
          <w:highlight w:val="none"/>
          <w:lang w:val="zh-CN"/>
        </w:rPr>
        <w:t xml:space="preserve">                </w:t>
      </w:r>
    </w:p>
    <w:p w14:paraId="75AC0B87">
      <w:pPr>
        <w:adjustRightInd w:val="0"/>
        <w:snapToGrid w:val="0"/>
        <w:spacing w:line="360" w:lineRule="auto"/>
        <w:ind w:firstLine="4320" w:firstLineChars="1800"/>
        <w:rPr>
          <w:rFonts w:hint="eastAsia" w:ascii="宋体" w:hAnsi="宋体" w:cs="宋体"/>
          <w:color w:val="auto"/>
          <w:sz w:val="24"/>
          <w:highlight w:val="none"/>
        </w:rPr>
      </w:pPr>
    </w:p>
    <w:p w14:paraId="38059266">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14:paraId="7A2287C6">
      <w:pPr>
        <w:pStyle w:val="54"/>
        <w:spacing w:before="0" w:beforeAutospacing="0" w:after="0" w:afterAutospacing="0" w:line="360" w:lineRule="auto"/>
        <w:rPr>
          <w:rFonts w:hint="eastAsia" w:ascii="宋体" w:hAnsi="宋体"/>
          <w:b/>
          <w:color w:val="auto"/>
          <w:sz w:val="28"/>
          <w:highlight w:val="none"/>
          <w:lang w:val="en-US" w:eastAsia="zh-CN"/>
        </w:rPr>
      </w:pPr>
    </w:p>
    <w:p w14:paraId="3E05E667">
      <w:pPr>
        <w:pStyle w:val="54"/>
        <w:spacing w:before="0" w:beforeAutospacing="0" w:after="0" w:afterAutospacing="0" w:line="360" w:lineRule="auto"/>
        <w:rPr>
          <w:rFonts w:hint="eastAsia" w:ascii="宋体" w:hAnsi="宋体"/>
          <w:b/>
          <w:color w:val="auto"/>
          <w:sz w:val="28"/>
          <w:highlight w:val="none"/>
          <w:lang w:val="en-US" w:eastAsia="zh-CN"/>
        </w:rPr>
      </w:pPr>
    </w:p>
    <w:p w14:paraId="0870BE58">
      <w:pPr>
        <w:pStyle w:val="54"/>
        <w:spacing w:before="0" w:beforeAutospacing="0" w:after="0" w:afterAutospacing="0" w:line="360" w:lineRule="auto"/>
        <w:rPr>
          <w:rFonts w:hint="eastAsia" w:ascii="宋体" w:hAnsi="宋体"/>
          <w:b/>
          <w:color w:val="auto"/>
          <w:sz w:val="28"/>
          <w:highlight w:val="none"/>
          <w:lang w:val="en-US" w:eastAsia="zh-CN"/>
        </w:rPr>
      </w:pPr>
    </w:p>
    <w:p w14:paraId="2CD62A95">
      <w:pPr>
        <w:pStyle w:val="54"/>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t>附件</w:t>
      </w:r>
      <w:r>
        <w:rPr>
          <w:rFonts w:hint="eastAsia"/>
          <w:b/>
          <w:color w:val="auto"/>
          <w:sz w:val="28"/>
          <w:highlight w:val="none"/>
          <w:lang w:val="en-US" w:eastAsia="zh-CN"/>
        </w:rPr>
        <w:t>4</w:t>
      </w:r>
      <w:r>
        <w:rPr>
          <w:rFonts w:hint="eastAsia" w:ascii="宋体" w:hAnsi="宋体"/>
          <w:b/>
          <w:color w:val="auto"/>
          <w:sz w:val="28"/>
          <w:highlight w:val="none"/>
          <w:lang w:val="en-US" w:eastAsia="zh-CN"/>
        </w:rPr>
        <w:t>：</w:t>
      </w:r>
    </w:p>
    <w:p w14:paraId="60129046">
      <w:pPr>
        <w:spacing w:line="360" w:lineRule="auto"/>
        <w:ind w:firstLine="321" w:firstLineChars="100"/>
        <w:jc w:val="center"/>
        <w:rPr>
          <w:rFonts w:hint="eastAsia" w:ascii="Times New Roman" w:hAnsi="Times New Roman" w:eastAsia="宋体" w:cs="Times New Roman"/>
          <w:b/>
          <w:color w:val="auto"/>
          <w:sz w:val="32"/>
          <w:szCs w:val="32"/>
          <w:highlight w:val="none"/>
          <w:lang w:val="en-US"/>
        </w:rPr>
      </w:pPr>
      <w:r>
        <w:rPr>
          <w:rFonts w:hint="eastAsia" w:ascii="Times New Roman" w:hAnsi="Times New Roman" w:eastAsia="宋体" w:cs="Times New Roman"/>
          <w:b/>
          <w:color w:val="auto"/>
          <w:sz w:val="32"/>
          <w:szCs w:val="32"/>
          <w:highlight w:val="none"/>
          <w:lang w:val="en-US" w:eastAsia="zh-CN"/>
        </w:rPr>
        <w:t>联合投标协议书（如有需提供）</w:t>
      </w:r>
    </w:p>
    <w:p w14:paraId="585FA7DF">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w:t>
      </w:r>
    </w:p>
    <w:p w14:paraId="5452EB9F">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w:t>
      </w:r>
    </w:p>
    <w:p w14:paraId="4FED0694">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（如果有的话，可按甲、乙、丙、丁…序列增加）</w:t>
      </w:r>
    </w:p>
    <w:p w14:paraId="156ED8F9">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各方经协商，就响应 组织实施的编号为号的招标活动联合进行投标之事宜，达成如下协议：</w:t>
      </w:r>
    </w:p>
    <w:p w14:paraId="5E0DEEC3">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一、各方一致决定，以</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为主办人进行投标，并按照招标文件的规定分别提交资格文件。</w:t>
      </w:r>
    </w:p>
    <w:p w14:paraId="6CF11064">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E4B4522">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三、联合投标其余各方保证对主办人为响应本次招标而提供的产品和服务提供全部质量保证及售后服务支持。</w:t>
      </w:r>
    </w:p>
    <w:p w14:paraId="6BA81E5B">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四、本次联合投标中，甲方承担的工作和义务为</w:t>
      </w:r>
      <w:r>
        <w:rPr>
          <w:rFonts w:hint="eastAsia" w:ascii="宋体" w:cs="Times New Roman"/>
          <w:color w:val="auto"/>
          <w:sz w:val="24"/>
          <w:szCs w:val="22"/>
          <w:highlight w:val="none"/>
          <w:lang w:val="en-US" w:eastAsia="zh-CN"/>
        </w:rPr>
        <w:t>：</w:t>
      </w:r>
    </w:p>
    <w:p w14:paraId="74F30E01">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14:paraId="4242AED7">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乙方承担的工作和义务为：</w:t>
      </w:r>
    </w:p>
    <w:p w14:paraId="1C9940AC">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14:paraId="47D647CD">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五、有关本次联合投标的其他事宜：             </w:t>
      </w:r>
    </w:p>
    <w:p w14:paraId="6747EFCF">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六、本协议提交招标方后，联合投标各方不得以任何形式对上述实质内容进行修改或撤销。</w:t>
      </w:r>
    </w:p>
    <w:p w14:paraId="486FD6F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七、本协议签约各方各持一份，并作为投标文件的一部分。</w:t>
      </w:r>
    </w:p>
    <w:p w14:paraId="6069E92A">
      <w:pPr>
        <w:pStyle w:val="38"/>
        <w:rPr>
          <w:rFonts w:hint="eastAsia" w:ascii="宋体" w:hAnsi="Times New Roman" w:eastAsia="宋体" w:cs="Times New Roman"/>
          <w:color w:val="auto"/>
          <w:sz w:val="24"/>
          <w:szCs w:val="22"/>
          <w:highlight w:val="none"/>
          <w:lang w:val="en-US" w:eastAsia="zh-CN"/>
        </w:rPr>
      </w:pPr>
    </w:p>
    <w:p w14:paraId="5DE8229C">
      <w:pPr>
        <w:rPr>
          <w:rFonts w:hint="eastAsia"/>
          <w:color w:val="auto"/>
          <w:highlight w:val="none"/>
          <w:lang w:val="en-US"/>
        </w:rPr>
      </w:pPr>
    </w:p>
    <w:tbl>
      <w:tblPr>
        <w:tblStyle w:val="39"/>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14:paraId="5927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14:paraId="53A888A5">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甲方单位：       （公章）</w:t>
            </w:r>
          </w:p>
          <w:p w14:paraId="4844F131">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14:paraId="1AD5FAD4">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14:paraId="6945E77D">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乙方单位：       （公章）</w:t>
            </w:r>
          </w:p>
          <w:p w14:paraId="254A54F1">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14:paraId="38D5643C">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r>
    </w:tbl>
    <w:p w14:paraId="5CC17455">
      <w:pPr>
        <w:pStyle w:val="54"/>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5</w:t>
      </w:r>
      <w:r>
        <w:rPr>
          <w:rFonts w:hint="eastAsia" w:ascii="宋体" w:hAnsi="宋体"/>
          <w:b/>
          <w:color w:val="auto"/>
          <w:sz w:val="28"/>
          <w:highlight w:val="none"/>
          <w:lang w:val="en-US" w:eastAsia="zh-CN"/>
        </w:rPr>
        <w:t>：</w:t>
      </w:r>
    </w:p>
    <w:p w14:paraId="3E8840C9">
      <w:pPr>
        <w:spacing w:line="360" w:lineRule="auto"/>
        <w:ind w:firstLine="321" w:firstLineChars="100"/>
        <w:jc w:val="center"/>
        <w:rPr>
          <w:rFonts w:hint="eastAsia" w:ascii="宋体" w:hAnsi="宋体"/>
          <w:b/>
          <w:color w:val="auto"/>
          <w:sz w:val="28"/>
          <w:highlight w:val="none"/>
          <w:lang w:val="en-US"/>
        </w:rPr>
      </w:pPr>
      <w:r>
        <w:rPr>
          <w:rFonts w:hint="eastAsia" w:ascii="Times New Roman" w:hAnsi="Times New Roman" w:eastAsia="宋体" w:cs="Times New Roman"/>
          <w:b/>
          <w:color w:val="auto"/>
          <w:sz w:val="32"/>
          <w:szCs w:val="32"/>
          <w:highlight w:val="none"/>
          <w:lang w:val="en-US" w:eastAsia="zh-CN"/>
        </w:rPr>
        <w:t>联合投标授权委托书</w:t>
      </w:r>
      <w:r>
        <w:rPr>
          <w:rFonts w:hint="eastAsia" w:ascii="Times New Roman" w:hAnsi="Times New Roman" w:eastAsia="宋体" w:cs="Times New Roman"/>
          <w:b/>
          <w:color w:val="auto"/>
          <w:sz w:val="24"/>
          <w:szCs w:val="24"/>
          <w:highlight w:val="none"/>
          <w:lang w:val="en-US" w:eastAsia="zh-CN"/>
        </w:rPr>
        <w:t>（如有需提供）</w:t>
      </w:r>
      <w:r>
        <w:rPr>
          <w:rFonts w:hint="eastAsia" w:ascii="宋体" w:hAnsi="宋体"/>
          <w:b/>
          <w:color w:val="auto"/>
          <w:sz w:val="28"/>
          <w:highlight w:val="none"/>
          <w:lang w:val="en-US" w:eastAsia="zh-CN"/>
        </w:rPr>
        <w:t xml:space="preserve"> </w:t>
      </w:r>
    </w:p>
    <w:p w14:paraId="647603EA">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01E68434">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40E4721C">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本授权委托书声明：根据</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cs="Times New Roman"/>
          <w:color w:val="auto"/>
          <w:sz w:val="24"/>
          <w:szCs w:val="22"/>
          <w:highlight w:val="none"/>
          <w:u w:val="none"/>
          <w:lang w:val="en-US" w:eastAsia="zh-CN"/>
        </w:rPr>
        <w:t>（主办人）</w:t>
      </w:r>
      <w:r>
        <w:rPr>
          <w:rFonts w:hint="eastAsia" w:ascii="宋体" w:hAnsi="Times New Roman" w:eastAsia="宋体" w:cs="Times New Roman"/>
          <w:color w:val="auto"/>
          <w:sz w:val="24"/>
          <w:szCs w:val="22"/>
          <w:highlight w:val="none"/>
          <w:lang w:val="en-US" w:eastAsia="zh-CN"/>
        </w:rPr>
        <w:t>与签订的《联合投标协议书》的内容，主办人的法定代表人现授权</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为联合投标代理人，代理人在投标、开标、评标、合同谈判过程中所签署的一切文件和处理与这有关的一切事务， 联合投标各方均予以认可并遵守。</w:t>
      </w:r>
    </w:p>
    <w:p w14:paraId="06EA4A26">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特此委托。</w:t>
      </w:r>
    </w:p>
    <w:p w14:paraId="17142DA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7A7817B9">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授权人（签名）：               </w:t>
      </w:r>
    </w:p>
    <w:p w14:paraId="47A80558">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12DEF8F1">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14:paraId="5E08C26E">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387D464F">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授权代表（签名）；              </w:t>
      </w:r>
    </w:p>
    <w:p w14:paraId="457A929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5F4EB3ED">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14:paraId="0877C67D">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660E432A">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tbl>
      <w:tblPr>
        <w:tblStyle w:val="39"/>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14:paraId="4577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14:paraId="4C73DAAC">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77372061">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12BFC82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联合体甲方单位：   （公章）</w:t>
            </w:r>
          </w:p>
          <w:p w14:paraId="52929C94">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40308C32">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323C125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14:paraId="19DDF6FC">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4558DEEA">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373DEF6A">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14:paraId="5C48FE74">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CDAA60F">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7DA4BA15">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联合体乙方单位：   （公章）</w:t>
            </w:r>
          </w:p>
          <w:p w14:paraId="4A48B6EF">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26B18E1">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89C2B53">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14:paraId="62612015">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BF0C689">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3049344B">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r>
    </w:tbl>
    <w:p w14:paraId="78E183AA">
      <w:pPr>
        <w:pStyle w:val="54"/>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6</w:t>
      </w:r>
      <w:r>
        <w:rPr>
          <w:rFonts w:hint="eastAsia" w:ascii="宋体" w:hAnsi="宋体"/>
          <w:b/>
          <w:color w:val="auto"/>
          <w:sz w:val="28"/>
          <w:highlight w:val="none"/>
          <w:lang w:val="en-US" w:eastAsia="zh-CN"/>
        </w:rPr>
        <w:t>：</w:t>
      </w:r>
    </w:p>
    <w:p w14:paraId="0C49AA56">
      <w:pPr>
        <w:spacing w:line="360" w:lineRule="auto"/>
        <w:ind w:firstLine="321" w:firstLineChars="100"/>
        <w:jc w:val="center"/>
        <w:rPr>
          <w:rFonts w:ascii="宋体" w:hAnsi="宋体"/>
          <w:b/>
          <w:color w:val="auto"/>
          <w:sz w:val="28"/>
          <w:highlight w:val="none"/>
        </w:rPr>
      </w:pPr>
      <w:r>
        <w:rPr>
          <w:rFonts w:hint="eastAsia" w:ascii="Times New Roman" w:hAnsi="Times New Roman" w:eastAsia="宋体" w:cs="Times New Roman"/>
          <w:b/>
          <w:color w:val="auto"/>
          <w:sz w:val="32"/>
          <w:szCs w:val="32"/>
          <w:highlight w:val="none"/>
          <w:lang w:val="en-US" w:eastAsia="zh-CN"/>
        </w:rPr>
        <w:t>分包意向协议</w:t>
      </w:r>
      <w:r>
        <w:rPr>
          <w:rFonts w:hint="eastAsia" w:ascii="Times New Roman" w:hAnsi="Times New Roman" w:eastAsia="宋体" w:cs="Times New Roman"/>
          <w:b/>
          <w:color w:val="auto"/>
          <w:sz w:val="24"/>
          <w:szCs w:val="24"/>
          <w:highlight w:val="none"/>
          <w:lang w:val="en-US" w:eastAsia="zh-CN"/>
        </w:rPr>
        <w:t>（如有需提供）</w:t>
      </w:r>
    </w:p>
    <w:p w14:paraId="07ABD319">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）若成为（</w:t>
      </w:r>
      <w:r>
        <w:rPr>
          <w:rFonts w:hint="eastAsia" w:ascii="宋体" w:hAnsi="Times New Roman" w:eastAsia="宋体" w:cs="Times New Roman"/>
          <w:color w:val="auto"/>
          <w:sz w:val="24"/>
          <w:szCs w:val="22"/>
          <w:highlight w:val="none"/>
          <w:u w:val="single"/>
          <w:lang w:val="en-US" w:eastAsia="zh-CN"/>
        </w:rPr>
        <w:t xml:space="preserve">项目名称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招标编号：         </w:t>
      </w:r>
      <w:r>
        <w:rPr>
          <w:rFonts w:hint="eastAsia" w:ascii="宋体" w:hAnsi="Times New Roman" w:eastAsia="宋体" w:cs="Times New Roman"/>
          <w:color w:val="auto"/>
          <w:sz w:val="24"/>
          <w:szCs w:val="22"/>
          <w:highlight w:val="none"/>
          <w:lang w:val="en-US" w:eastAsia="zh-CN"/>
        </w:rPr>
        <w:t>）的中标供应商，将依法采取分包方式履行合同。（投标人名称    ）与（所有分包供应商名称    ）达成分包意向协议。 （投标人名称    ）负责签署投标文件，（投标人名称     ）的所有承诺均认为代表了（所有分包供应商名称       ）意愿。</w:t>
      </w:r>
    </w:p>
    <w:p w14:paraId="4D0BD7B6">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一、分包内容在采购文件分包要求的范围内，并符合相关法律规定等</w:t>
      </w:r>
    </w:p>
    <w:p w14:paraId="5C323C95">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二、分包标的及数量</w:t>
      </w:r>
    </w:p>
    <w:p w14:paraId="598F4F34">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投标人名称     </w:t>
      </w:r>
      <w:r>
        <w:rPr>
          <w:rFonts w:hint="eastAsia" w:ascii="宋体" w:hAnsi="Times New Roman" w:eastAsia="宋体" w:cs="Times New Roman"/>
          <w:color w:val="auto"/>
          <w:sz w:val="24"/>
          <w:szCs w:val="22"/>
          <w:highlight w:val="none"/>
          <w:lang w:val="en-US" w:eastAsia="zh-CN"/>
        </w:rPr>
        <w:t>）将</w:t>
      </w:r>
      <w:r>
        <w:rPr>
          <w:rFonts w:hint="eastAsia" w:ascii="宋体" w:hAnsi="Times New Roman" w:eastAsia="宋体" w:cs="Times New Roman"/>
          <w:color w:val="auto"/>
          <w:sz w:val="24"/>
          <w:szCs w:val="22"/>
          <w:highlight w:val="none"/>
          <w:u w:val="single"/>
          <w:lang w:val="en-US" w:eastAsia="zh-CN"/>
        </w:rPr>
        <w:t xml:space="preserve"> （ 工作内容   ）</w:t>
      </w:r>
      <w:r>
        <w:rPr>
          <w:rFonts w:hint="eastAsia" w:ascii="宋体" w:hAnsi="Times New Roman" w:eastAsia="宋体" w:cs="Times New Roman"/>
          <w:color w:val="auto"/>
          <w:sz w:val="24"/>
          <w:szCs w:val="22"/>
          <w:highlight w:val="none"/>
          <w:lang w:val="en-US" w:eastAsia="zh-CN"/>
        </w:rPr>
        <w:t>分包给</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，具备承担</w:t>
      </w:r>
      <w:r>
        <w:rPr>
          <w:rFonts w:hint="eastAsia" w:ascii="宋体" w:hAnsi="Times New Roman" w:eastAsia="宋体" w:cs="Times New Roman"/>
          <w:color w:val="auto"/>
          <w:sz w:val="24"/>
          <w:szCs w:val="22"/>
          <w:highlight w:val="none"/>
          <w:u w:val="single"/>
          <w:lang w:val="en-US" w:eastAsia="zh-CN"/>
        </w:rPr>
        <w:t xml:space="preserve">（工作内容 ） </w:t>
      </w:r>
      <w:r>
        <w:rPr>
          <w:rFonts w:hint="eastAsia" w:ascii="宋体" w:hAnsi="Times New Roman" w:eastAsia="宋体" w:cs="Times New Roman"/>
          <w:color w:val="auto"/>
          <w:sz w:val="24"/>
          <w:szCs w:val="22"/>
          <w:highlight w:val="none"/>
          <w:lang w:val="en-US" w:eastAsia="zh-CN"/>
        </w:rPr>
        <w:t>相应资质条件且不得再次分包；</w:t>
      </w:r>
    </w:p>
    <w:p w14:paraId="0632E58B">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14:paraId="0E24B18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三、分包工作履行期限、地点、方式                                                                                </w:t>
      </w:r>
    </w:p>
    <w:p w14:paraId="38A1520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四、质量                                                                                      </w:t>
      </w:r>
    </w:p>
    <w:p w14:paraId="31ACA55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五、价款或者报酬                                                                                </w:t>
      </w:r>
    </w:p>
    <w:p w14:paraId="487F2B1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六、违约责任                                                                                    </w:t>
      </w:r>
    </w:p>
    <w:p w14:paraId="1D87249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七、争议解决的办法                                                                                </w:t>
      </w:r>
    </w:p>
    <w:p w14:paraId="1DD9D30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八、其他</w:t>
      </w:r>
    </w:p>
    <w:p w14:paraId="4ABF1C5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分包供应商名称       </w:t>
      </w:r>
      <w:r>
        <w:rPr>
          <w:rFonts w:hint="eastAsia" w:ascii="宋体" w:hAnsi="Times New Roman" w:eastAsia="宋体" w:cs="Times New Roman"/>
          <w:color w:val="auto"/>
          <w:sz w:val="24"/>
          <w:szCs w:val="22"/>
          <w:highlight w:val="none"/>
          <w:lang w:val="en-US" w:eastAsia="zh-CN"/>
        </w:rPr>
        <w:t>）的合同份额占到合同总金额</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0FACB9B">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09517E9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14:paraId="7A953C9C">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618FDF1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分包供应商名称（盖公章）：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14:paraId="4352E049">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14:paraId="0F2E20EC">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日期：     年  月   日</w:t>
      </w:r>
    </w:p>
    <w:p w14:paraId="70A49C39">
      <w:pPr>
        <w:pStyle w:val="54"/>
        <w:spacing w:before="0" w:beforeAutospacing="0" w:after="0" w:afterAutospacing="0" w:line="360" w:lineRule="auto"/>
        <w:rPr>
          <w:rFonts w:hint="eastAsia"/>
          <w:b/>
          <w:color w:val="auto"/>
          <w:sz w:val="28"/>
          <w:highlight w:val="none"/>
        </w:rPr>
      </w:pPr>
    </w:p>
    <w:p w14:paraId="5360DCE2">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3EE19EB7">
      <w:pPr>
        <w:keepNext w:val="0"/>
        <w:keepLines w:val="0"/>
        <w:pageBreakBefore w:val="0"/>
        <w:numPr>
          <w:ilvl w:val="0"/>
          <w:numId w:val="0"/>
        </w:numPr>
        <w:kinsoku/>
        <w:wordWrap/>
        <w:overflowPunct/>
        <w:topLinePunct w:val="0"/>
        <w:autoSpaceDE/>
        <w:autoSpaceDN/>
        <w:bidi w:val="0"/>
        <w:snapToGrid w:val="0"/>
        <w:spacing w:line="450" w:lineRule="exact"/>
        <w:jc w:val="both"/>
        <w:textAlignment w:val="auto"/>
        <w:rPr>
          <w:rFonts w:hint="eastAsia" w:ascii="宋体" w:hAnsi="宋体"/>
          <w:b/>
          <w:bCs/>
          <w:color w:val="auto"/>
          <w:sz w:val="36"/>
          <w:szCs w:val="36"/>
          <w:highlight w:val="none"/>
          <w:lang w:val="zh-CN"/>
        </w:rPr>
      </w:pPr>
    </w:p>
    <w:p w14:paraId="5DECACB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14:paraId="528DCDD8">
      <w:pPr>
        <w:pStyle w:val="16"/>
        <w:rPr>
          <w:rFonts w:hint="eastAsia"/>
          <w:color w:val="auto"/>
          <w:highlight w:val="none"/>
        </w:rPr>
      </w:pPr>
    </w:p>
    <w:p w14:paraId="34A81802">
      <w:pPr>
        <w:pStyle w:val="16"/>
        <w:numPr>
          <w:ilvl w:val="0"/>
          <w:numId w:val="0"/>
        </w:numPr>
        <w:rPr>
          <w:color w:val="auto"/>
          <w:highlight w:val="none"/>
        </w:rPr>
      </w:pPr>
    </w:p>
    <w:p w14:paraId="77581254">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14:paraId="0DE8221C">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2、本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412F508A">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实施</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14:paraId="4B5718C0">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w:t>
      </w:r>
      <w:r>
        <w:rPr>
          <w:rFonts w:hint="eastAsia" w:ascii="宋体" w:hAnsi="宋体" w:cs="宋体"/>
          <w:color w:val="auto"/>
          <w:sz w:val="24"/>
          <w:szCs w:val="24"/>
          <w:highlight w:val="none"/>
          <w:lang w:eastAsia="zh-CN"/>
        </w:rPr>
        <w:t>供货清单</w:t>
      </w:r>
      <w:r>
        <w:rPr>
          <w:rFonts w:hint="eastAsia" w:ascii="宋体" w:hAnsi="宋体" w:cs="宋体"/>
          <w:color w:val="auto"/>
          <w:sz w:val="24"/>
          <w:szCs w:val="24"/>
          <w:highlight w:val="none"/>
          <w:lang w:val="en-US" w:eastAsia="zh-CN"/>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36C19083">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rPr>
      </w:pPr>
      <w:r>
        <w:rPr>
          <w:rFonts w:hint="eastAsia" w:ascii="宋体" w:hAnsi="宋体"/>
          <w:color w:val="auto"/>
          <w:kern w:val="0"/>
          <w:sz w:val="24"/>
          <w:szCs w:val="24"/>
          <w:highlight w:val="none"/>
          <w:lang w:val="en-US" w:eastAsia="zh-CN"/>
        </w:rPr>
        <w:t>4、</w:t>
      </w:r>
      <w:r>
        <w:rPr>
          <w:rFonts w:hint="eastAsia" w:ascii="宋体" w:hAnsi="宋体"/>
          <w:color w:val="auto"/>
          <w:sz w:val="24"/>
          <w:highlight w:val="none"/>
          <w:lang w:val="en-US" w:eastAsia="zh-CN"/>
        </w:rPr>
        <w:t>技术需求响应表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w:t>
      </w:r>
    </w:p>
    <w:p w14:paraId="3AECC183">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14:paraId="4D64F22C">
      <w:pPr>
        <w:pStyle w:val="5"/>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14:paraId="38F5ACC9">
      <w:pPr>
        <w:pStyle w:val="5"/>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13</w:t>
      </w:r>
      <w:r>
        <w:rPr>
          <w:rFonts w:hint="eastAsia" w:ascii="宋体" w:hAnsi="宋体"/>
          <w:color w:val="auto"/>
          <w:sz w:val="24"/>
          <w:highlight w:val="none"/>
        </w:rPr>
        <w:t>）</w:t>
      </w:r>
    </w:p>
    <w:p w14:paraId="051596A0">
      <w:pPr>
        <w:pStyle w:val="5"/>
        <w:keepNext w:val="0"/>
        <w:keepLines w:val="0"/>
        <w:pageBreakBefore w:val="0"/>
        <w:widowControl/>
        <w:numPr>
          <w:ilvl w:val="0"/>
          <w:numId w:val="32"/>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b/>
          <w:bCs/>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14</w:t>
      </w:r>
      <w:r>
        <w:rPr>
          <w:rFonts w:hint="eastAsia" w:ascii="宋体" w:hAnsi="宋体"/>
          <w:color w:val="auto"/>
          <w:sz w:val="24"/>
          <w:highlight w:val="none"/>
        </w:rPr>
        <w:t>）</w:t>
      </w:r>
    </w:p>
    <w:p w14:paraId="7FD91DC4">
      <w:pPr>
        <w:pStyle w:val="54"/>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14:paraId="26BBB8A7">
      <w:pPr>
        <w:pStyle w:val="54"/>
        <w:spacing w:before="0" w:beforeAutospacing="0" w:after="0" w:afterAutospacing="0" w:line="360" w:lineRule="auto"/>
        <w:ind w:firstLine="498" w:firstLineChars="177"/>
        <w:rPr>
          <w:rFonts w:hint="eastAsia"/>
          <w:b/>
          <w:bCs/>
          <w:color w:val="auto"/>
          <w:spacing w:val="11"/>
          <w:sz w:val="28"/>
          <w:szCs w:val="28"/>
          <w:highlight w:val="none"/>
        </w:rPr>
      </w:pPr>
      <w:r>
        <w:rPr>
          <w:rFonts w:hint="eastAsia"/>
          <w:b/>
          <w:color w:val="auto"/>
          <w:sz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7</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14:paraId="04301AF7">
      <w:pPr>
        <w:jc w:val="center"/>
        <w:rPr>
          <w:rFonts w:ascii="方正小标宋简体" w:eastAsia="方正小标宋简体"/>
          <w:color w:val="auto"/>
          <w:sz w:val="32"/>
          <w:szCs w:val="32"/>
          <w:highlight w:val="none"/>
        </w:rPr>
      </w:pPr>
    </w:p>
    <w:p w14:paraId="4A73AED2">
      <w:pPr>
        <w:pStyle w:val="54"/>
        <w:spacing w:before="0" w:beforeAutospacing="0" w:after="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本项目</w:t>
      </w:r>
      <w:r>
        <w:rPr>
          <w:rFonts w:hint="eastAsia" w:ascii="宋体" w:hAnsi="宋体" w:eastAsia="宋体" w:cs="宋体"/>
          <w:b/>
          <w:color w:val="auto"/>
          <w:sz w:val="32"/>
          <w:szCs w:val="32"/>
          <w:highlight w:val="none"/>
          <w:lang w:eastAsia="zh-CN"/>
        </w:rPr>
        <w:t>负责人</w:t>
      </w:r>
      <w:r>
        <w:rPr>
          <w:rFonts w:hint="eastAsia" w:ascii="宋体" w:hAnsi="宋体" w:eastAsia="宋体" w:cs="宋体"/>
          <w:b/>
          <w:color w:val="auto"/>
          <w:sz w:val="32"/>
          <w:szCs w:val="32"/>
          <w:highlight w:val="none"/>
        </w:rPr>
        <w:t>情况表</w:t>
      </w:r>
    </w:p>
    <w:p w14:paraId="71F798BB">
      <w:pPr>
        <w:pStyle w:val="54"/>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40A1E8E1">
      <w:pPr>
        <w:jc w:val="center"/>
        <w:rPr>
          <w:rFonts w:ascii="宋体" w:hAnsi="宋体" w:cs="宋体"/>
          <w:color w:val="auto"/>
          <w:sz w:val="24"/>
          <w:szCs w:val="24"/>
          <w:highlight w:val="none"/>
        </w:rPr>
      </w:pPr>
    </w:p>
    <w:tbl>
      <w:tblPr>
        <w:tblStyle w:val="3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1E1B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noWrap w:val="0"/>
            <w:vAlign w:val="center"/>
          </w:tcPr>
          <w:p w14:paraId="58D7A8E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tcBorders>
              <w:top w:val="single" w:color="auto" w:sz="12" w:space="0"/>
              <w:left w:val="single" w:color="auto" w:sz="4" w:space="0"/>
              <w:bottom w:val="single" w:color="auto" w:sz="4" w:space="0"/>
              <w:right w:val="single" w:color="auto" w:sz="4" w:space="0"/>
            </w:tcBorders>
            <w:noWrap w:val="0"/>
            <w:vAlign w:val="center"/>
          </w:tcPr>
          <w:p w14:paraId="5864FB5D">
            <w:pPr>
              <w:bidi w:val="0"/>
              <w:spacing w:line="240" w:lineRule="auto"/>
              <w:jc w:val="center"/>
              <w:rPr>
                <w:b/>
                <w:bCs/>
                <w:color w:val="auto"/>
                <w:sz w:val="24"/>
                <w:szCs w:val="24"/>
                <w:highlight w:val="none"/>
                <w:lang w:val="zh-CN"/>
              </w:rPr>
            </w:pPr>
          </w:p>
        </w:tc>
        <w:tc>
          <w:tcPr>
            <w:tcW w:w="3682" w:type="dxa"/>
            <w:tcBorders>
              <w:top w:val="single" w:color="auto" w:sz="12" w:space="0"/>
              <w:left w:val="single" w:color="auto" w:sz="4" w:space="0"/>
              <w:bottom w:val="single" w:color="auto" w:sz="4" w:space="0"/>
              <w:right w:val="single" w:color="auto" w:sz="12" w:space="0"/>
            </w:tcBorders>
            <w:noWrap w:val="0"/>
            <w:vAlign w:val="center"/>
          </w:tcPr>
          <w:p w14:paraId="37EF6DEB">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近年来主要工作业绩</w:t>
            </w:r>
          </w:p>
        </w:tc>
      </w:tr>
      <w:tr w14:paraId="1E84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411A3045">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44FEB9D3">
            <w:pPr>
              <w:bidi w:val="0"/>
              <w:spacing w:line="240" w:lineRule="auto"/>
              <w:jc w:val="center"/>
              <w:rPr>
                <w:b/>
                <w:bCs/>
                <w:color w:val="auto"/>
                <w:sz w:val="24"/>
                <w:szCs w:val="24"/>
                <w:highlight w:val="none"/>
                <w:lang w:val="zh-CN"/>
              </w:rPr>
            </w:pPr>
          </w:p>
        </w:tc>
        <w:tc>
          <w:tcPr>
            <w:tcW w:w="3682" w:type="dxa"/>
            <w:vMerge w:val="restart"/>
            <w:tcBorders>
              <w:top w:val="single" w:color="auto" w:sz="4" w:space="0"/>
              <w:left w:val="single" w:color="auto" w:sz="4" w:space="0"/>
              <w:bottom w:val="single" w:color="auto" w:sz="4" w:space="0"/>
              <w:right w:val="single" w:color="auto" w:sz="12" w:space="0"/>
            </w:tcBorders>
            <w:noWrap w:val="0"/>
            <w:vAlign w:val="center"/>
          </w:tcPr>
          <w:p w14:paraId="0B630A86">
            <w:pPr>
              <w:bidi w:val="0"/>
              <w:spacing w:line="240" w:lineRule="auto"/>
              <w:jc w:val="center"/>
              <w:rPr>
                <w:b/>
                <w:bCs/>
                <w:color w:val="auto"/>
                <w:sz w:val="24"/>
                <w:szCs w:val="24"/>
                <w:highlight w:val="none"/>
                <w:lang w:val="zh-CN"/>
              </w:rPr>
            </w:pPr>
          </w:p>
        </w:tc>
      </w:tr>
      <w:tr w14:paraId="04B9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0DDBFA8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5FA8D52D">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2F4BF8C3">
            <w:pPr>
              <w:bidi w:val="0"/>
              <w:spacing w:line="240" w:lineRule="auto"/>
              <w:jc w:val="center"/>
              <w:rPr>
                <w:b/>
                <w:bCs/>
                <w:color w:val="auto"/>
                <w:sz w:val="24"/>
                <w:szCs w:val="24"/>
                <w:highlight w:val="none"/>
                <w:lang w:val="zh-CN"/>
              </w:rPr>
            </w:pPr>
          </w:p>
        </w:tc>
      </w:tr>
      <w:tr w14:paraId="7E6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349C943D">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61C654B7">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06256334">
            <w:pPr>
              <w:bidi w:val="0"/>
              <w:spacing w:line="240" w:lineRule="auto"/>
              <w:jc w:val="center"/>
              <w:rPr>
                <w:b/>
                <w:bCs/>
                <w:color w:val="auto"/>
                <w:sz w:val="24"/>
                <w:szCs w:val="24"/>
                <w:highlight w:val="none"/>
                <w:lang w:val="zh-CN"/>
              </w:rPr>
            </w:pPr>
          </w:p>
        </w:tc>
      </w:tr>
      <w:tr w14:paraId="6CC6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694D3570">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1DF33287">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70FBCC74">
            <w:pPr>
              <w:bidi w:val="0"/>
              <w:spacing w:line="240" w:lineRule="auto"/>
              <w:jc w:val="center"/>
              <w:rPr>
                <w:b/>
                <w:bCs/>
                <w:color w:val="auto"/>
                <w:sz w:val="24"/>
                <w:szCs w:val="24"/>
                <w:highlight w:val="none"/>
                <w:lang w:val="zh-CN"/>
              </w:rPr>
            </w:pPr>
          </w:p>
        </w:tc>
      </w:tr>
      <w:tr w14:paraId="2C4B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3B03936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64F0CF96">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2E4CBEA8">
            <w:pPr>
              <w:bidi w:val="0"/>
              <w:spacing w:line="240" w:lineRule="auto"/>
              <w:jc w:val="center"/>
              <w:rPr>
                <w:b/>
                <w:bCs/>
                <w:color w:val="auto"/>
                <w:sz w:val="24"/>
                <w:szCs w:val="24"/>
                <w:highlight w:val="none"/>
                <w:lang w:val="zh-CN"/>
              </w:rPr>
            </w:pPr>
          </w:p>
        </w:tc>
      </w:tr>
      <w:tr w14:paraId="25F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60DAB579">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1B07F5EF">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5DAB5917">
            <w:pPr>
              <w:bidi w:val="0"/>
              <w:spacing w:line="240" w:lineRule="auto"/>
              <w:jc w:val="center"/>
              <w:rPr>
                <w:b/>
                <w:bCs/>
                <w:color w:val="auto"/>
                <w:sz w:val="24"/>
                <w:szCs w:val="24"/>
                <w:highlight w:val="none"/>
                <w:lang w:val="zh-CN"/>
              </w:rPr>
            </w:pPr>
          </w:p>
        </w:tc>
      </w:tr>
      <w:tr w14:paraId="134D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3A3D019C">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11DDEA58">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4A2BC3BC">
            <w:pPr>
              <w:bidi w:val="0"/>
              <w:spacing w:line="240" w:lineRule="auto"/>
              <w:jc w:val="center"/>
              <w:rPr>
                <w:b/>
                <w:bCs/>
                <w:color w:val="auto"/>
                <w:sz w:val="24"/>
                <w:szCs w:val="24"/>
                <w:highlight w:val="none"/>
                <w:lang w:val="zh-CN"/>
              </w:rPr>
            </w:pPr>
          </w:p>
        </w:tc>
      </w:tr>
      <w:tr w14:paraId="724C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noWrap w:val="0"/>
            <w:vAlign w:val="center"/>
          </w:tcPr>
          <w:p w14:paraId="4A30CD7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noWrap w:val="0"/>
            <w:vAlign w:val="center"/>
          </w:tcPr>
          <w:p w14:paraId="138222B4">
            <w:pPr>
              <w:bidi w:val="0"/>
              <w:spacing w:line="240" w:lineRule="auto"/>
              <w:jc w:val="center"/>
              <w:rPr>
                <w:b/>
                <w:bCs/>
                <w:color w:val="auto"/>
                <w:sz w:val="24"/>
                <w:szCs w:val="24"/>
                <w:highlight w:val="none"/>
                <w:lang w:val="zh-CN"/>
              </w:rPr>
            </w:pPr>
          </w:p>
        </w:tc>
      </w:tr>
    </w:tbl>
    <w:p w14:paraId="21F59BEE">
      <w:pPr>
        <w:pStyle w:val="31"/>
        <w:ind w:left="0" w:leftChars="0" w:firstLine="482" w:firstLineChars="200"/>
        <w:rPr>
          <w:rFonts w:hint="eastAsia" w:ascii="宋体" w:hAnsi="宋体" w:cs="宋体"/>
          <w:b/>
          <w:bCs/>
          <w:color w:val="auto"/>
          <w:sz w:val="24"/>
          <w:szCs w:val="32"/>
          <w:highlight w:val="none"/>
          <w:lang w:eastAsia="zh-CN"/>
        </w:rPr>
      </w:pPr>
    </w:p>
    <w:p w14:paraId="35D705CF">
      <w:pPr>
        <w:pStyle w:val="31"/>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auto"/>
          <w:sz w:val="24"/>
          <w:szCs w:val="24"/>
          <w:highlight w:val="none"/>
        </w:rPr>
        <w:t>近</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劳动合同扫描件和社保证明）</w:t>
      </w:r>
    </w:p>
    <w:p w14:paraId="54EAFE56">
      <w:pPr>
        <w:pStyle w:val="16"/>
        <w:numPr>
          <w:ilvl w:val="0"/>
          <w:numId w:val="0"/>
        </w:numPr>
        <w:rPr>
          <w:color w:val="auto"/>
          <w:highlight w:val="none"/>
        </w:rPr>
      </w:pPr>
    </w:p>
    <w:p w14:paraId="40B7DF48">
      <w:pPr>
        <w:rPr>
          <w:rFonts w:hint="eastAsia" w:ascii="宋体" w:hAnsi="宋体"/>
          <w:color w:val="auto"/>
          <w:sz w:val="24"/>
          <w:highlight w:val="none"/>
        </w:rPr>
      </w:pPr>
    </w:p>
    <w:p w14:paraId="259AF4C1">
      <w:pPr>
        <w:rPr>
          <w:rFonts w:hint="eastAsia" w:ascii="宋体" w:hAnsi="宋体"/>
          <w:color w:val="auto"/>
          <w:sz w:val="24"/>
          <w:highlight w:val="none"/>
        </w:rPr>
      </w:pPr>
    </w:p>
    <w:p w14:paraId="51396AB1">
      <w:pPr>
        <w:rPr>
          <w:rFonts w:ascii="宋体" w:hAnsi="宋体"/>
          <w:color w:val="auto"/>
          <w:sz w:val="24"/>
          <w:highlight w:val="none"/>
          <w:u w:val="single"/>
        </w:rPr>
      </w:pPr>
      <w:r>
        <w:rPr>
          <w:rFonts w:hint="eastAsia" w:ascii="宋体" w:hAnsi="宋体"/>
          <w:color w:val="auto"/>
          <w:sz w:val="24"/>
          <w:highlight w:val="none"/>
        </w:rPr>
        <w:t>投标人名称（盖章）：</w:t>
      </w:r>
    </w:p>
    <w:p w14:paraId="3B6BABE3">
      <w:pPr>
        <w:pStyle w:val="4"/>
        <w:numPr>
          <w:ilvl w:val="0"/>
          <w:numId w:val="0"/>
        </w:numPr>
        <w:rPr>
          <w:color w:val="auto"/>
          <w:highlight w:val="none"/>
        </w:rPr>
      </w:pPr>
    </w:p>
    <w:p w14:paraId="435FF2E0">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w:t>
      </w:r>
      <w:r>
        <w:rPr>
          <w:rFonts w:hint="eastAsia" w:ascii="宋体" w:hAnsi="宋体" w:cs="仿宋_GB2312"/>
          <w:color w:val="auto"/>
          <w:sz w:val="24"/>
          <w:highlight w:val="none"/>
          <w:lang w:val="en-US" w:eastAsia="zh-CN"/>
        </w:rPr>
        <w:t>24</w:t>
      </w:r>
      <w:r>
        <w:rPr>
          <w:rFonts w:hint="eastAsia" w:ascii="宋体" w:hAnsi="宋体" w:cs="仿宋_GB2312"/>
          <w:color w:val="auto"/>
          <w:sz w:val="24"/>
          <w:highlight w:val="none"/>
          <w:lang w:val="zh-CN"/>
        </w:rPr>
        <w:t>年  月   日</w:t>
      </w:r>
    </w:p>
    <w:p w14:paraId="6A4F8287">
      <w:pPr>
        <w:spacing w:before="100" w:beforeAutospacing="1"/>
        <w:jc w:val="center"/>
        <w:rPr>
          <w:rFonts w:ascii="宋体" w:hAnsi="宋体"/>
          <w:color w:val="auto"/>
          <w:sz w:val="24"/>
          <w:szCs w:val="24"/>
          <w:highlight w:val="none"/>
        </w:rPr>
      </w:pPr>
    </w:p>
    <w:p w14:paraId="4FF0F913">
      <w:pPr>
        <w:rPr>
          <w:rFonts w:hint="eastAsia"/>
          <w:b/>
          <w:color w:val="auto"/>
          <w:sz w:val="28"/>
          <w:szCs w:val="28"/>
          <w:highlight w:val="none"/>
        </w:rPr>
      </w:pPr>
    </w:p>
    <w:p w14:paraId="60BCBDE1">
      <w:pPr>
        <w:rPr>
          <w:rFonts w:hint="eastAsia" w:ascii="宋体" w:hAnsi="宋体"/>
          <w:b/>
          <w:color w:val="auto"/>
          <w:sz w:val="32"/>
          <w:szCs w:val="32"/>
          <w:highlight w:val="none"/>
        </w:rPr>
      </w:pPr>
      <w:r>
        <w:rPr>
          <w:rFonts w:hint="eastAsia"/>
          <w:b/>
          <w:color w:val="auto"/>
          <w:sz w:val="28"/>
          <w:szCs w:val="28"/>
          <w:highlight w:val="none"/>
        </w:rPr>
        <w:t>附件</w:t>
      </w:r>
      <w:r>
        <w:rPr>
          <w:rFonts w:hint="eastAsia"/>
          <w:b/>
          <w:color w:val="auto"/>
          <w:sz w:val="28"/>
          <w:szCs w:val="28"/>
          <w:highlight w:val="none"/>
          <w:lang w:val="en-US" w:eastAsia="zh-CN"/>
        </w:rPr>
        <w:t>8</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56" w:name="_Toc20569_WPSOffice_Level1"/>
      <w:bookmarkStart w:id="57" w:name="_Toc23671_WPSOffice_Level1"/>
    </w:p>
    <w:p w14:paraId="7F336F50">
      <w:pPr>
        <w:snapToGrid w:val="0"/>
        <w:spacing w:beforeLines="50" w:after="50" w:line="360" w:lineRule="auto"/>
        <w:jc w:val="center"/>
        <w:rPr>
          <w:rFonts w:hint="eastAsia" w:ascii="宋体" w:hAnsi="宋体"/>
          <w:b/>
          <w:color w:val="auto"/>
          <w:sz w:val="32"/>
          <w:szCs w:val="32"/>
          <w:highlight w:val="none"/>
          <w:lang w:eastAsia="zh-CN"/>
        </w:rPr>
      </w:pPr>
    </w:p>
    <w:p w14:paraId="3DD8D990">
      <w:pPr>
        <w:snapToGrid w:val="0"/>
        <w:spacing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lang w:eastAsia="zh-CN"/>
        </w:rPr>
        <w:t>本</w:t>
      </w:r>
      <w:r>
        <w:rPr>
          <w:rFonts w:hint="eastAsia" w:ascii="宋体" w:hAnsi="宋体"/>
          <w:b/>
          <w:color w:val="auto"/>
          <w:sz w:val="32"/>
          <w:szCs w:val="32"/>
          <w:highlight w:val="none"/>
        </w:rPr>
        <w:t>项目实施人员一览表</w:t>
      </w:r>
      <w:bookmarkEnd w:id="56"/>
      <w:bookmarkEnd w:id="57"/>
    </w:p>
    <w:p w14:paraId="21D57A38">
      <w:pPr>
        <w:snapToGrid w:val="0"/>
        <w:spacing w:beforeLines="50" w:after="50" w:line="360" w:lineRule="auto"/>
        <w:ind w:left="0" w:leftChars="0" w:firstLine="0" w:firstLineChars="0"/>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39"/>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7DB5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0A14FA">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53DE3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354CA0">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C54B4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33374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C44A22">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2BD6A6">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9624EF">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劳动合同编号</w:t>
            </w:r>
          </w:p>
        </w:tc>
      </w:tr>
      <w:tr w14:paraId="6569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96F71A">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D3CC7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05239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BACF1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ADF2BE">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AA772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D9DDE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5014B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30939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702628">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7EBAB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0FD9A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6D717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6D48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A758D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CBD6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83EF51">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5C1EB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45AE8B">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90486D">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FD0B3">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1FED23">
            <w:pPr>
              <w:pStyle w:val="22"/>
              <w:snapToGrid w:val="0"/>
              <w:spacing w:beforeLines="50" w:after="50" w:line="360" w:lineRule="auto"/>
              <w:ind w:left="5250"/>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0A7C15">
            <w:pPr>
              <w:pStyle w:val="22"/>
              <w:snapToGrid w:val="0"/>
              <w:spacing w:beforeLines="50" w:after="50" w:line="360" w:lineRule="auto"/>
              <w:ind w:left="5250"/>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7AB564">
            <w:pPr>
              <w:pStyle w:val="22"/>
              <w:spacing w:line="360" w:lineRule="auto"/>
              <w:ind w:left="5250"/>
              <w:rPr>
                <w:rFonts w:hint="eastAsia" w:asciiTheme="minorEastAsia" w:hAnsiTheme="minorEastAsia" w:eastAsiaTheme="minorEastAsia" w:cstheme="minorEastAsia"/>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DA2C5E">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A44509">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69F5D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740274">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994CD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8F8F4D">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2B5577">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A7A9D6">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360E6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9F396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2F902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39A3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864F">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C62232">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9A332F">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3F647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5F7E3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CA74C8">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4EB21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338583">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bl>
    <w:p w14:paraId="6EFCBDE5">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14:paraId="6BC00672">
      <w:pPr>
        <w:spacing w:line="360" w:lineRule="auto"/>
        <w:ind w:left="437"/>
        <w:rPr>
          <w:rFonts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w:t>
      </w:r>
      <w:r>
        <w:rPr>
          <w:rFonts w:hint="eastAsia" w:ascii="宋体" w:hAnsi="宋体"/>
          <w:color w:val="auto"/>
          <w:sz w:val="24"/>
          <w:szCs w:val="24"/>
          <w:highlight w:val="none"/>
        </w:rPr>
        <w:t>在填写时，如本表格不适合投标单位的实际情况，可根据本表格式自行划表填写。</w:t>
      </w:r>
    </w:p>
    <w:p w14:paraId="22E1DE53">
      <w:pPr>
        <w:pStyle w:val="76"/>
        <w:spacing w:line="360" w:lineRule="auto"/>
        <w:ind w:left="424" w:leftChars="202"/>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附人员证书。</w:t>
      </w:r>
    </w:p>
    <w:p w14:paraId="41D450DB">
      <w:pPr>
        <w:spacing w:line="360" w:lineRule="auto"/>
        <w:rPr>
          <w:rFonts w:hint="eastAsia" w:ascii="宋体" w:hAnsi="宋体" w:eastAsia="宋体"/>
          <w:b/>
          <w:color w:val="auto"/>
          <w:sz w:val="24"/>
          <w:szCs w:val="18"/>
          <w:highlight w:val="none"/>
          <w:lang w:eastAsia="zh-CN"/>
        </w:rPr>
      </w:pPr>
    </w:p>
    <w:p w14:paraId="592124D6">
      <w:pPr>
        <w:pStyle w:val="17"/>
        <w:rPr>
          <w:rFonts w:hint="eastAsia"/>
          <w:color w:val="auto"/>
          <w:highlight w:val="none"/>
          <w:lang w:eastAsia="zh-CN"/>
        </w:rPr>
      </w:pPr>
    </w:p>
    <w:p w14:paraId="16CD0D97">
      <w:pPr>
        <w:spacing w:line="360" w:lineRule="auto"/>
        <w:rPr>
          <w:rFonts w:hint="eastAsia" w:ascii="宋体" w:hAnsi="宋体"/>
          <w:b/>
          <w:color w:val="auto"/>
          <w:sz w:val="24"/>
          <w:szCs w:val="18"/>
          <w:highlight w:val="none"/>
        </w:rPr>
      </w:pPr>
    </w:p>
    <w:p w14:paraId="3F9A396A">
      <w:pPr>
        <w:ind w:left="420" w:firstLine="240" w:firstLineChars="100"/>
        <w:rPr>
          <w:rFonts w:hint="eastAsia" w:ascii="宋体" w:hAnsi="宋体"/>
          <w:color w:val="auto"/>
          <w:sz w:val="24"/>
          <w:highlight w:val="none"/>
        </w:rPr>
      </w:pPr>
    </w:p>
    <w:p w14:paraId="3434FE6E">
      <w:pPr>
        <w:ind w:left="420" w:firstLine="240" w:firstLineChars="100"/>
        <w:rPr>
          <w:rFonts w:hint="eastAsia" w:ascii="宋体" w:hAnsi="宋体"/>
          <w:color w:val="auto"/>
          <w:sz w:val="24"/>
          <w:highlight w:val="none"/>
        </w:rPr>
      </w:pPr>
    </w:p>
    <w:p w14:paraId="78570516">
      <w:pPr>
        <w:ind w:left="420" w:firstLine="240" w:firstLineChars="100"/>
        <w:rPr>
          <w:rFonts w:hint="eastAsia" w:ascii="宋体" w:hAnsi="宋体"/>
          <w:color w:val="auto"/>
          <w:sz w:val="24"/>
          <w:highlight w:val="none"/>
        </w:rPr>
      </w:pPr>
    </w:p>
    <w:p w14:paraId="2C0FF1DB">
      <w:pPr>
        <w:rPr>
          <w:rFonts w:ascii="宋体" w:hAnsi="宋体"/>
          <w:color w:val="auto"/>
          <w:sz w:val="24"/>
          <w:highlight w:val="none"/>
          <w:u w:val="single"/>
        </w:rPr>
      </w:pPr>
      <w:r>
        <w:rPr>
          <w:rFonts w:hint="eastAsia" w:ascii="宋体" w:hAnsi="宋体"/>
          <w:color w:val="auto"/>
          <w:sz w:val="24"/>
          <w:highlight w:val="none"/>
        </w:rPr>
        <w:t>投标人名称（盖章）：</w:t>
      </w:r>
    </w:p>
    <w:p w14:paraId="39D107FA">
      <w:pPr>
        <w:ind w:left="420"/>
        <w:rPr>
          <w:rFonts w:ascii="宋体" w:hAnsi="宋体"/>
          <w:color w:val="auto"/>
          <w:sz w:val="24"/>
          <w:highlight w:val="none"/>
        </w:rPr>
      </w:pPr>
    </w:p>
    <w:p w14:paraId="43FB3945">
      <w:pPr>
        <w:ind w:firstLine="435"/>
        <w:rPr>
          <w:rFonts w:ascii="宋体" w:hAnsi="宋体"/>
          <w:color w:val="auto"/>
          <w:sz w:val="24"/>
          <w:highlight w:val="none"/>
        </w:rPr>
      </w:pPr>
    </w:p>
    <w:p w14:paraId="048F5230">
      <w:pPr>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33E12D33">
      <w:pPr>
        <w:rPr>
          <w:color w:val="auto"/>
          <w:highlight w:val="none"/>
        </w:rPr>
      </w:pPr>
    </w:p>
    <w:p w14:paraId="1C9B8C34">
      <w:pPr>
        <w:pStyle w:val="73"/>
        <w:spacing w:line="360" w:lineRule="auto"/>
        <w:jc w:val="left"/>
        <w:rPr>
          <w:rFonts w:hint="eastAsia" w:ascii="宋体" w:hAnsi="宋体"/>
          <w:b/>
          <w:color w:val="auto"/>
          <w:sz w:val="28"/>
          <w:highlight w:val="none"/>
        </w:rPr>
      </w:pPr>
    </w:p>
    <w:p w14:paraId="649042A8">
      <w:pPr>
        <w:spacing w:line="360" w:lineRule="auto"/>
        <w:jc w:val="left"/>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4A7775F5">
      <w:pPr>
        <w:spacing w:line="360" w:lineRule="auto"/>
        <w:ind w:left="480"/>
        <w:jc w:val="center"/>
        <w:rPr>
          <w:rFonts w:hint="eastAsia" w:ascii="宋体" w:hAnsi="宋体"/>
          <w:b/>
          <w:color w:val="auto"/>
          <w:sz w:val="32"/>
          <w:szCs w:val="32"/>
          <w:highlight w:val="none"/>
        </w:rPr>
      </w:pPr>
    </w:p>
    <w:p w14:paraId="16EA5889">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lang w:eastAsia="zh-CN"/>
        </w:rPr>
        <w:t>供</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货</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清</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单</w:t>
      </w:r>
    </w:p>
    <w:p w14:paraId="60D96BC2">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F54B264">
      <w:pPr>
        <w:spacing w:line="360" w:lineRule="auto"/>
        <w:ind w:left="480"/>
        <w:rPr>
          <w:rFonts w:ascii="宋体" w:hAnsi="宋体"/>
          <w:color w:val="auto"/>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92"/>
        <w:gridCol w:w="2543"/>
        <w:gridCol w:w="1671"/>
        <w:gridCol w:w="1072"/>
        <w:gridCol w:w="919"/>
      </w:tblGrid>
      <w:tr w14:paraId="17B3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66" w:type="dxa"/>
            <w:noWrap w:val="0"/>
            <w:vAlign w:val="center"/>
          </w:tcPr>
          <w:p w14:paraId="4F30E7F7">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492" w:type="dxa"/>
            <w:noWrap w:val="0"/>
            <w:vAlign w:val="center"/>
          </w:tcPr>
          <w:p w14:paraId="77E35371">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名称</w:t>
            </w:r>
          </w:p>
        </w:tc>
        <w:tc>
          <w:tcPr>
            <w:tcW w:w="2543" w:type="dxa"/>
            <w:noWrap w:val="0"/>
            <w:vAlign w:val="center"/>
          </w:tcPr>
          <w:p w14:paraId="34A5CC61">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规格型号</w:t>
            </w:r>
          </w:p>
        </w:tc>
        <w:tc>
          <w:tcPr>
            <w:tcW w:w="1671" w:type="dxa"/>
            <w:noWrap w:val="0"/>
            <w:vAlign w:val="center"/>
          </w:tcPr>
          <w:p w14:paraId="57B0715C">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品牌产地</w:t>
            </w:r>
          </w:p>
        </w:tc>
        <w:tc>
          <w:tcPr>
            <w:tcW w:w="1072" w:type="dxa"/>
            <w:noWrap w:val="0"/>
            <w:vAlign w:val="center"/>
          </w:tcPr>
          <w:p w14:paraId="3F50774F">
            <w:pPr>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919" w:type="dxa"/>
            <w:noWrap w:val="0"/>
            <w:vAlign w:val="center"/>
          </w:tcPr>
          <w:p w14:paraId="7CF61DD8">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单位</w:t>
            </w:r>
          </w:p>
        </w:tc>
      </w:tr>
      <w:tr w14:paraId="168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6" w:type="dxa"/>
            <w:noWrap w:val="0"/>
            <w:vAlign w:val="center"/>
          </w:tcPr>
          <w:p w14:paraId="21CAF71C">
            <w:pPr>
              <w:spacing w:line="360" w:lineRule="auto"/>
              <w:rPr>
                <w:rFonts w:ascii="宋体" w:hAnsi="宋体"/>
                <w:color w:val="auto"/>
                <w:sz w:val="24"/>
                <w:szCs w:val="24"/>
                <w:highlight w:val="none"/>
              </w:rPr>
            </w:pPr>
          </w:p>
        </w:tc>
        <w:tc>
          <w:tcPr>
            <w:tcW w:w="1492" w:type="dxa"/>
            <w:noWrap w:val="0"/>
            <w:vAlign w:val="center"/>
          </w:tcPr>
          <w:p w14:paraId="503781A8">
            <w:pPr>
              <w:spacing w:line="360" w:lineRule="auto"/>
              <w:rPr>
                <w:rFonts w:ascii="宋体" w:hAnsi="宋体"/>
                <w:color w:val="auto"/>
                <w:sz w:val="24"/>
                <w:szCs w:val="24"/>
                <w:highlight w:val="none"/>
              </w:rPr>
            </w:pPr>
          </w:p>
        </w:tc>
        <w:tc>
          <w:tcPr>
            <w:tcW w:w="2543" w:type="dxa"/>
            <w:noWrap w:val="0"/>
            <w:vAlign w:val="center"/>
          </w:tcPr>
          <w:p w14:paraId="29AE0313">
            <w:pPr>
              <w:spacing w:line="360" w:lineRule="auto"/>
              <w:rPr>
                <w:rFonts w:ascii="宋体" w:hAnsi="宋体"/>
                <w:color w:val="auto"/>
                <w:sz w:val="24"/>
                <w:szCs w:val="24"/>
                <w:highlight w:val="none"/>
              </w:rPr>
            </w:pPr>
          </w:p>
        </w:tc>
        <w:tc>
          <w:tcPr>
            <w:tcW w:w="1671" w:type="dxa"/>
            <w:noWrap w:val="0"/>
            <w:vAlign w:val="center"/>
          </w:tcPr>
          <w:p w14:paraId="473DF442">
            <w:pPr>
              <w:spacing w:line="360" w:lineRule="auto"/>
              <w:rPr>
                <w:rFonts w:ascii="宋体" w:hAnsi="宋体"/>
                <w:color w:val="auto"/>
                <w:sz w:val="24"/>
                <w:szCs w:val="24"/>
                <w:highlight w:val="none"/>
              </w:rPr>
            </w:pPr>
          </w:p>
        </w:tc>
        <w:tc>
          <w:tcPr>
            <w:tcW w:w="1072" w:type="dxa"/>
            <w:noWrap w:val="0"/>
            <w:vAlign w:val="center"/>
          </w:tcPr>
          <w:p w14:paraId="163E27DE">
            <w:pPr>
              <w:spacing w:line="360" w:lineRule="auto"/>
              <w:rPr>
                <w:rFonts w:ascii="宋体" w:hAnsi="宋体"/>
                <w:color w:val="auto"/>
                <w:sz w:val="24"/>
                <w:szCs w:val="24"/>
                <w:highlight w:val="none"/>
              </w:rPr>
            </w:pPr>
          </w:p>
        </w:tc>
        <w:tc>
          <w:tcPr>
            <w:tcW w:w="919" w:type="dxa"/>
            <w:noWrap w:val="0"/>
            <w:vAlign w:val="center"/>
          </w:tcPr>
          <w:p w14:paraId="0D02437F">
            <w:pPr>
              <w:spacing w:line="360" w:lineRule="auto"/>
              <w:rPr>
                <w:rFonts w:ascii="宋体" w:hAnsi="宋体"/>
                <w:color w:val="auto"/>
                <w:sz w:val="24"/>
                <w:szCs w:val="24"/>
                <w:highlight w:val="none"/>
              </w:rPr>
            </w:pPr>
          </w:p>
        </w:tc>
      </w:tr>
      <w:tr w14:paraId="19A1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6" w:type="dxa"/>
            <w:noWrap w:val="0"/>
            <w:vAlign w:val="center"/>
          </w:tcPr>
          <w:p w14:paraId="4DD0AB60">
            <w:pPr>
              <w:spacing w:line="360" w:lineRule="auto"/>
              <w:rPr>
                <w:rFonts w:ascii="宋体" w:hAnsi="宋体"/>
                <w:color w:val="auto"/>
                <w:sz w:val="24"/>
                <w:szCs w:val="24"/>
                <w:highlight w:val="none"/>
              </w:rPr>
            </w:pPr>
          </w:p>
        </w:tc>
        <w:tc>
          <w:tcPr>
            <w:tcW w:w="1492" w:type="dxa"/>
            <w:noWrap w:val="0"/>
            <w:vAlign w:val="center"/>
          </w:tcPr>
          <w:p w14:paraId="086745FC">
            <w:pPr>
              <w:spacing w:line="360" w:lineRule="auto"/>
              <w:rPr>
                <w:rFonts w:ascii="宋体" w:hAnsi="宋体"/>
                <w:color w:val="auto"/>
                <w:sz w:val="24"/>
                <w:szCs w:val="24"/>
                <w:highlight w:val="none"/>
              </w:rPr>
            </w:pPr>
          </w:p>
        </w:tc>
        <w:tc>
          <w:tcPr>
            <w:tcW w:w="2543" w:type="dxa"/>
            <w:noWrap w:val="0"/>
            <w:vAlign w:val="center"/>
          </w:tcPr>
          <w:p w14:paraId="2B935897">
            <w:pPr>
              <w:spacing w:line="360" w:lineRule="auto"/>
              <w:rPr>
                <w:rFonts w:ascii="宋体" w:hAnsi="宋体"/>
                <w:color w:val="auto"/>
                <w:sz w:val="24"/>
                <w:szCs w:val="24"/>
                <w:highlight w:val="none"/>
              </w:rPr>
            </w:pPr>
          </w:p>
        </w:tc>
        <w:tc>
          <w:tcPr>
            <w:tcW w:w="1671" w:type="dxa"/>
            <w:noWrap w:val="0"/>
            <w:vAlign w:val="center"/>
          </w:tcPr>
          <w:p w14:paraId="7F737990">
            <w:pPr>
              <w:spacing w:line="360" w:lineRule="auto"/>
              <w:rPr>
                <w:rFonts w:ascii="宋体" w:hAnsi="宋体"/>
                <w:color w:val="auto"/>
                <w:sz w:val="24"/>
                <w:szCs w:val="24"/>
                <w:highlight w:val="none"/>
              </w:rPr>
            </w:pPr>
          </w:p>
        </w:tc>
        <w:tc>
          <w:tcPr>
            <w:tcW w:w="1072" w:type="dxa"/>
            <w:noWrap w:val="0"/>
            <w:vAlign w:val="center"/>
          </w:tcPr>
          <w:p w14:paraId="5D4B775A">
            <w:pPr>
              <w:spacing w:line="360" w:lineRule="auto"/>
              <w:rPr>
                <w:rFonts w:ascii="宋体" w:hAnsi="宋体"/>
                <w:color w:val="auto"/>
                <w:sz w:val="24"/>
                <w:szCs w:val="24"/>
                <w:highlight w:val="none"/>
              </w:rPr>
            </w:pPr>
          </w:p>
        </w:tc>
        <w:tc>
          <w:tcPr>
            <w:tcW w:w="919" w:type="dxa"/>
            <w:noWrap w:val="0"/>
            <w:vAlign w:val="center"/>
          </w:tcPr>
          <w:p w14:paraId="1852F2CA">
            <w:pPr>
              <w:spacing w:line="360" w:lineRule="auto"/>
              <w:rPr>
                <w:rFonts w:ascii="宋体" w:hAnsi="宋体"/>
                <w:color w:val="auto"/>
                <w:sz w:val="24"/>
                <w:szCs w:val="24"/>
                <w:highlight w:val="none"/>
              </w:rPr>
            </w:pPr>
          </w:p>
        </w:tc>
      </w:tr>
      <w:tr w14:paraId="28C5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noWrap w:val="0"/>
            <w:vAlign w:val="center"/>
          </w:tcPr>
          <w:p w14:paraId="3454BD0E">
            <w:pPr>
              <w:spacing w:line="360" w:lineRule="auto"/>
              <w:rPr>
                <w:rFonts w:ascii="宋体" w:hAnsi="宋体"/>
                <w:color w:val="auto"/>
                <w:sz w:val="24"/>
                <w:szCs w:val="24"/>
                <w:highlight w:val="none"/>
              </w:rPr>
            </w:pPr>
          </w:p>
        </w:tc>
        <w:tc>
          <w:tcPr>
            <w:tcW w:w="1492" w:type="dxa"/>
            <w:noWrap w:val="0"/>
            <w:vAlign w:val="center"/>
          </w:tcPr>
          <w:p w14:paraId="66943A44">
            <w:pPr>
              <w:spacing w:line="360" w:lineRule="auto"/>
              <w:rPr>
                <w:rFonts w:ascii="宋体" w:hAnsi="宋体"/>
                <w:color w:val="auto"/>
                <w:sz w:val="24"/>
                <w:szCs w:val="24"/>
                <w:highlight w:val="none"/>
              </w:rPr>
            </w:pPr>
          </w:p>
        </w:tc>
        <w:tc>
          <w:tcPr>
            <w:tcW w:w="2543" w:type="dxa"/>
            <w:noWrap w:val="0"/>
            <w:vAlign w:val="center"/>
          </w:tcPr>
          <w:p w14:paraId="1186D3ED">
            <w:pPr>
              <w:spacing w:line="360" w:lineRule="auto"/>
              <w:rPr>
                <w:rFonts w:ascii="宋体" w:hAnsi="宋体"/>
                <w:color w:val="auto"/>
                <w:sz w:val="24"/>
                <w:szCs w:val="24"/>
                <w:highlight w:val="none"/>
              </w:rPr>
            </w:pPr>
          </w:p>
        </w:tc>
        <w:tc>
          <w:tcPr>
            <w:tcW w:w="1671" w:type="dxa"/>
            <w:noWrap w:val="0"/>
            <w:vAlign w:val="center"/>
          </w:tcPr>
          <w:p w14:paraId="4D42C160">
            <w:pPr>
              <w:spacing w:line="360" w:lineRule="auto"/>
              <w:rPr>
                <w:rFonts w:ascii="宋体" w:hAnsi="宋体"/>
                <w:color w:val="auto"/>
                <w:sz w:val="24"/>
                <w:szCs w:val="24"/>
                <w:highlight w:val="none"/>
              </w:rPr>
            </w:pPr>
          </w:p>
        </w:tc>
        <w:tc>
          <w:tcPr>
            <w:tcW w:w="1072" w:type="dxa"/>
            <w:noWrap w:val="0"/>
            <w:vAlign w:val="center"/>
          </w:tcPr>
          <w:p w14:paraId="59486C99">
            <w:pPr>
              <w:spacing w:line="360" w:lineRule="auto"/>
              <w:rPr>
                <w:rFonts w:ascii="宋体" w:hAnsi="宋体"/>
                <w:color w:val="auto"/>
                <w:sz w:val="24"/>
                <w:szCs w:val="24"/>
                <w:highlight w:val="none"/>
              </w:rPr>
            </w:pPr>
          </w:p>
        </w:tc>
        <w:tc>
          <w:tcPr>
            <w:tcW w:w="919" w:type="dxa"/>
            <w:noWrap w:val="0"/>
            <w:vAlign w:val="center"/>
          </w:tcPr>
          <w:p w14:paraId="46C5F072">
            <w:pPr>
              <w:spacing w:line="360" w:lineRule="auto"/>
              <w:rPr>
                <w:rFonts w:ascii="宋体" w:hAnsi="宋体"/>
                <w:color w:val="auto"/>
                <w:sz w:val="24"/>
                <w:szCs w:val="24"/>
                <w:highlight w:val="none"/>
              </w:rPr>
            </w:pPr>
          </w:p>
        </w:tc>
      </w:tr>
      <w:tr w14:paraId="5B04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noWrap w:val="0"/>
            <w:vAlign w:val="center"/>
          </w:tcPr>
          <w:p w14:paraId="06A573C1">
            <w:pPr>
              <w:spacing w:line="360" w:lineRule="auto"/>
              <w:rPr>
                <w:rFonts w:ascii="宋体" w:hAnsi="宋体"/>
                <w:color w:val="auto"/>
                <w:sz w:val="24"/>
                <w:szCs w:val="24"/>
                <w:highlight w:val="none"/>
              </w:rPr>
            </w:pPr>
          </w:p>
        </w:tc>
        <w:tc>
          <w:tcPr>
            <w:tcW w:w="1492" w:type="dxa"/>
            <w:noWrap w:val="0"/>
            <w:vAlign w:val="center"/>
          </w:tcPr>
          <w:p w14:paraId="19605F4F">
            <w:pPr>
              <w:spacing w:line="360" w:lineRule="auto"/>
              <w:rPr>
                <w:rFonts w:ascii="宋体" w:hAnsi="宋体"/>
                <w:color w:val="auto"/>
                <w:sz w:val="24"/>
                <w:szCs w:val="24"/>
                <w:highlight w:val="none"/>
              </w:rPr>
            </w:pPr>
          </w:p>
        </w:tc>
        <w:tc>
          <w:tcPr>
            <w:tcW w:w="2543" w:type="dxa"/>
            <w:noWrap w:val="0"/>
            <w:vAlign w:val="center"/>
          </w:tcPr>
          <w:p w14:paraId="68F068AB">
            <w:pPr>
              <w:spacing w:line="360" w:lineRule="auto"/>
              <w:rPr>
                <w:rFonts w:ascii="宋体" w:hAnsi="宋体"/>
                <w:color w:val="auto"/>
                <w:sz w:val="24"/>
                <w:szCs w:val="24"/>
                <w:highlight w:val="none"/>
              </w:rPr>
            </w:pPr>
          </w:p>
        </w:tc>
        <w:tc>
          <w:tcPr>
            <w:tcW w:w="1671" w:type="dxa"/>
            <w:noWrap w:val="0"/>
            <w:vAlign w:val="center"/>
          </w:tcPr>
          <w:p w14:paraId="323BED4C">
            <w:pPr>
              <w:spacing w:line="360" w:lineRule="auto"/>
              <w:rPr>
                <w:rFonts w:ascii="宋体" w:hAnsi="宋体"/>
                <w:color w:val="auto"/>
                <w:sz w:val="24"/>
                <w:szCs w:val="24"/>
                <w:highlight w:val="none"/>
              </w:rPr>
            </w:pPr>
          </w:p>
        </w:tc>
        <w:tc>
          <w:tcPr>
            <w:tcW w:w="1072" w:type="dxa"/>
            <w:noWrap w:val="0"/>
            <w:vAlign w:val="center"/>
          </w:tcPr>
          <w:p w14:paraId="7981A6ED">
            <w:pPr>
              <w:spacing w:line="360" w:lineRule="auto"/>
              <w:rPr>
                <w:rFonts w:ascii="宋体" w:hAnsi="宋体"/>
                <w:color w:val="auto"/>
                <w:sz w:val="24"/>
                <w:szCs w:val="24"/>
                <w:highlight w:val="none"/>
              </w:rPr>
            </w:pPr>
          </w:p>
        </w:tc>
        <w:tc>
          <w:tcPr>
            <w:tcW w:w="919" w:type="dxa"/>
            <w:noWrap w:val="0"/>
            <w:vAlign w:val="center"/>
          </w:tcPr>
          <w:p w14:paraId="452E6F84">
            <w:pPr>
              <w:spacing w:line="360" w:lineRule="auto"/>
              <w:rPr>
                <w:rFonts w:ascii="宋体" w:hAnsi="宋体"/>
                <w:color w:val="auto"/>
                <w:sz w:val="24"/>
                <w:szCs w:val="24"/>
                <w:highlight w:val="none"/>
              </w:rPr>
            </w:pPr>
          </w:p>
        </w:tc>
      </w:tr>
      <w:tr w14:paraId="075F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66" w:type="dxa"/>
            <w:noWrap w:val="0"/>
            <w:vAlign w:val="center"/>
          </w:tcPr>
          <w:p w14:paraId="5EE9BA88">
            <w:pPr>
              <w:spacing w:line="360" w:lineRule="auto"/>
              <w:rPr>
                <w:rFonts w:ascii="宋体" w:hAnsi="宋体"/>
                <w:color w:val="auto"/>
                <w:sz w:val="24"/>
                <w:szCs w:val="24"/>
                <w:highlight w:val="none"/>
              </w:rPr>
            </w:pPr>
          </w:p>
        </w:tc>
        <w:tc>
          <w:tcPr>
            <w:tcW w:w="1492" w:type="dxa"/>
            <w:noWrap w:val="0"/>
            <w:vAlign w:val="center"/>
          </w:tcPr>
          <w:p w14:paraId="71B63609">
            <w:pPr>
              <w:spacing w:line="360" w:lineRule="auto"/>
              <w:rPr>
                <w:rFonts w:ascii="宋体" w:hAnsi="宋体"/>
                <w:color w:val="auto"/>
                <w:sz w:val="24"/>
                <w:szCs w:val="24"/>
                <w:highlight w:val="none"/>
              </w:rPr>
            </w:pPr>
          </w:p>
        </w:tc>
        <w:tc>
          <w:tcPr>
            <w:tcW w:w="2543" w:type="dxa"/>
            <w:noWrap w:val="0"/>
            <w:vAlign w:val="center"/>
          </w:tcPr>
          <w:p w14:paraId="08933471">
            <w:pPr>
              <w:spacing w:line="360" w:lineRule="auto"/>
              <w:rPr>
                <w:rFonts w:ascii="宋体" w:hAnsi="宋体"/>
                <w:color w:val="auto"/>
                <w:sz w:val="24"/>
                <w:szCs w:val="24"/>
                <w:highlight w:val="none"/>
              </w:rPr>
            </w:pPr>
          </w:p>
        </w:tc>
        <w:tc>
          <w:tcPr>
            <w:tcW w:w="1671" w:type="dxa"/>
            <w:noWrap w:val="0"/>
            <w:vAlign w:val="center"/>
          </w:tcPr>
          <w:p w14:paraId="5B9893B2">
            <w:pPr>
              <w:spacing w:line="360" w:lineRule="auto"/>
              <w:rPr>
                <w:rFonts w:ascii="宋体" w:hAnsi="宋体"/>
                <w:color w:val="auto"/>
                <w:sz w:val="24"/>
                <w:szCs w:val="24"/>
                <w:highlight w:val="none"/>
              </w:rPr>
            </w:pPr>
          </w:p>
        </w:tc>
        <w:tc>
          <w:tcPr>
            <w:tcW w:w="1072" w:type="dxa"/>
            <w:noWrap w:val="0"/>
            <w:vAlign w:val="center"/>
          </w:tcPr>
          <w:p w14:paraId="15956B1A">
            <w:pPr>
              <w:spacing w:line="360" w:lineRule="auto"/>
              <w:rPr>
                <w:rFonts w:ascii="宋体" w:hAnsi="宋体"/>
                <w:color w:val="auto"/>
                <w:sz w:val="24"/>
                <w:szCs w:val="24"/>
                <w:highlight w:val="none"/>
              </w:rPr>
            </w:pPr>
          </w:p>
        </w:tc>
        <w:tc>
          <w:tcPr>
            <w:tcW w:w="919" w:type="dxa"/>
            <w:noWrap w:val="0"/>
            <w:vAlign w:val="center"/>
          </w:tcPr>
          <w:p w14:paraId="190A6658">
            <w:pPr>
              <w:spacing w:line="360" w:lineRule="auto"/>
              <w:rPr>
                <w:rFonts w:ascii="宋体" w:hAnsi="宋体"/>
                <w:color w:val="auto"/>
                <w:sz w:val="24"/>
                <w:szCs w:val="24"/>
                <w:highlight w:val="none"/>
              </w:rPr>
            </w:pPr>
          </w:p>
        </w:tc>
      </w:tr>
      <w:tr w14:paraId="4A71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66" w:type="dxa"/>
            <w:noWrap w:val="0"/>
            <w:vAlign w:val="center"/>
          </w:tcPr>
          <w:p w14:paraId="1307FAF7">
            <w:pPr>
              <w:spacing w:line="360" w:lineRule="auto"/>
              <w:rPr>
                <w:rFonts w:ascii="宋体" w:hAnsi="宋体"/>
                <w:color w:val="auto"/>
                <w:sz w:val="24"/>
                <w:szCs w:val="24"/>
                <w:highlight w:val="none"/>
              </w:rPr>
            </w:pPr>
          </w:p>
        </w:tc>
        <w:tc>
          <w:tcPr>
            <w:tcW w:w="1492" w:type="dxa"/>
            <w:noWrap w:val="0"/>
            <w:vAlign w:val="center"/>
          </w:tcPr>
          <w:p w14:paraId="2127E6AB">
            <w:pPr>
              <w:spacing w:line="360" w:lineRule="auto"/>
              <w:rPr>
                <w:rFonts w:ascii="宋体" w:hAnsi="宋体"/>
                <w:color w:val="auto"/>
                <w:sz w:val="24"/>
                <w:szCs w:val="24"/>
                <w:highlight w:val="none"/>
              </w:rPr>
            </w:pPr>
          </w:p>
        </w:tc>
        <w:tc>
          <w:tcPr>
            <w:tcW w:w="2543" w:type="dxa"/>
            <w:noWrap w:val="0"/>
            <w:vAlign w:val="center"/>
          </w:tcPr>
          <w:p w14:paraId="0DAE9022">
            <w:pPr>
              <w:spacing w:line="360" w:lineRule="auto"/>
              <w:rPr>
                <w:rFonts w:ascii="宋体" w:hAnsi="宋体"/>
                <w:color w:val="auto"/>
                <w:sz w:val="24"/>
                <w:szCs w:val="24"/>
                <w:highlight w:val="none"/>
              </w:rPr>
            </w:pPr>
          </w:p>
        </w:tc>
        <w:tc>
          <w:tcPr>
            <w:tcW w:w="1671" w:type="dxa"/>
            <w:noWrap w:val="0"/>
            <w:vAlign w:val="center"/>
          </w:tcPr>
          <w:p w14:paraId="4FFE5D5E">
            <w:pPr>
              <w:spacing w:line="360" w:lineRule="auto"/>
              <w:rPr>
                <w:rFonts w:ascii="宋体" w:hAnsi="宋体"/>
                <w:color w:val="auto"/>
                <w:sz w:val="24"/>
                <w:szCs w:val="24"/>
                <w:highlight w:val="none"/>
              </w:rPr>
            </w:pPr>
          </w:p>
        </w:tc>
        <w:tc>
          <w:tcPr>
            <w:tcW w:w="1072" w:type="dxa"/>
            <w:noWrap w:val="0"/>
            <w:vAlign w:val="center"/>
          </w:tcPr>
          <w:p w14:paraId="6C454A96">
            <w:pPr>
              <w:spacing w:line="360" w:lineRule="auto"/>
              <w:rPr>
                <w:rFonts w:ascii="宋体" w:hAnsi="宋体"/>
                <w:color w:val="auto"/>
                <w:sz w:val="24"/>
                <w:szCs w:val="24"/>
                <w:highlight w:val="none"/>
              </w:rPr>
            </w:pPr>
          </w:p>
        </w:tc>
        <w:tc>
          <w:tcPr>
            <w:tcW w:w="919" w:type="dxa"/>
            <w:noWrap w:val="0"/>
            <w:vAlign w:val="center"/>
          </w:tcPr>
          <w:p w14:paraId="1A332363">
            <w:pPr>
              <w:spacing w:line="360" w:lineRule="auto"/>
              <w:rPr>
                <w:rFonts w:ascii="宋体" w:hAnsi="宋体"/>
                <w:color w:val="auto"/>
                <w:sz w:val="24"/>
                <w:szCs w:val="24"/>
                <w:highlight w:val="none"/>
              </w:rPr>
            </w:pPr>
          </w:p>
        </w:tc>
      </w:tr>
      <w:tr w14:paraId="0953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6" w:type="dxa"/>
            <w:noWrap w:val="0"/>
            <w:vAlign w:val="center"/>
          </w:tcPr>
          <w:p w14:paraId="0EF5F8DC">
            <w:pPr>
              <w:spacing w:line="360" w:lineRule="auto"/>
              <w:rPr>
                <w:rFonts w:ascii="宋体" w:hAnsi="宋体"/>
                <w:color w:val="auto"/>
                <w:sz w:val="24"/>
                <w:szCs w:val="24"/>
                <w:highlight w:val="none"/>
              </w:rPr>
            </w:pPr>
          </w:p>
        </w:tc>
        <w:tc>
          <w:tcPr>
            <w:tcW w:w="1492" w:type="dxa"/>
            <w:noWrap w:val="0"/>
            <w:vAlign w:val="center"/>
          </w:tcPr>
          <w:p w14:paraId="66C3DC1A">
            <w:pPr>
              <w:spacing w:line="360" w:lineRule="auto"/>
              <w:rPr>
                <w:rFonts w:ascii="宋体" w:hAnsi="宋体"/>
                <w:color w:val="auto"/>
                <w:sz w:val="24"/>
                <w:szCs w:val="24"/>
                <w:highlight w:val="none"/>
              </w:rPr>
            </w:pPr>
          </w:p>
        </w:tc>
        <w:tc>
          <w:tcPr>
            <w:tcW w:w="2543" w:type="dxa"/>
            <w:noWrap w:val="0"/>
            <w:vAlign w:val="center"/>
          </w:tcPr>
          <w:p w14:paraId="3D65BC39">
            <w:pPr>
              <w:spacing w:line="360" w:lineRule="auto"/>
              <w:rPr>
                <w:rFonts w:ascii="宋体" w:hAnsi="宋体"/>
                <w:color w:val="auto"/>
                <w:sz w:val="24"/>
                <w:szCs w:val="24"/>
                <w:highlight w:val="none"/>
              </w:rPr>
            </w:pPr>
          </w:p>
        </w:tc>
        <w:tc>
          <w:tcPr>
            <w:tcW w:w="1671" w:type="dxa"/>
            <w:noWrap w:val="0"/>
            <w:vAlign w:val="center"/>
          </w:tcPr>
          <w:p w14:paraId="6F443329">
            <w:pPr>
              <w:spacing w:line="360" w:lineRule="auto"/>
              <w:rPr>
                <w:rFonts w:ascii="宋体" w:hAnsi="宋体"/>
                <w:color w:val="auto"/>
                <w:sz w:val="24"/>
                <w:szCs w:val="24"/>
                <w:highlight w:val="none"/>
              </w:rPr>
            </w:pPr>
          </w:p>
        </w:tc>
        <w:tc>
          <w:tcPr>
            <w:tcW w:w="1072" w:type="dxa"/>
            <w:noWrap w:val="0"/>
            <w:vAlign w:val="center"/>
          </w:tcPr>
          <w:p w14:paraId="04A68F1D">
            <w:pPr>
              <w:spacing w:line="360" w:lineRule="auto"/>
              <w:rPr>
                <w:rFonts w:ascii="宋体" w:hAnsi="宋体"/>
                <w:color w:val="auto"/>
                <w:sz w:val="24"/>
                <w:szCs w:val="24"/>
                <w:highlight w:val="none"/>
              </w:rPr>
            </w:pPr>
          </w:p>
        </w:tc>
        <w:tc>
          <w:tcPr>
            <w:tcW w:w="919" w:type="dxa"/>
            <w:noWrap w:val="0"/>
            <w:vAlign w:val="center"/>
          </w:tcPr>
          <w:p w14:paraId="6C95761D">
            <w:pPr>
              <w:spacing w:line="360" w:lineRule="auto"/>
              <w:rPr>
                <w:rFonts w:ascii="宋体" w:hAnsi="宋体"/>
                <w:color w:val="auto"/>
                <w:sz w:val="24"/>
                <w:szCs w:val="24"/>
                <w:highlight w:val="none"/>
              </w:rPr>
            </w:pPr>
          </w:p>
        </w:tc>
      </w:tr>
    </w:tbl>
    <w:p w14:paraId="07812645">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要求：</w:t>
      </w:r>
    </w:p>
    <w:p w14:paraId="799A964A">
      <w:pPr>
        <w:numPr>
          <w:ilvl w:val="0"/>
          <w:numId w:val="33"/>
        </w:numPr>
        <w:spacing w:line="360" w:lineRule="auto"/>
        <w:ind w:left="435" w:firstLine="636" w:firstLineChars="265"/>
        <w:rPr>
          <w:rFonts w:ascii="宋体" w:hAnsi="宋体"/>
          <w:color w:val="auto"/>
          <w:sz w:val="24"/>
          <w:szCs w:val="24"/>
          <w:highlight w:val="none"/>
        </w:rPr>
      </w:pPr>
      <w:r>
        <w:rPr>
          <w:rFonts w:hint="eastAsia" w:ascii="宋体" w:hAnsi="宋体"/>
          <w:color w:val="auto"/>
          <w:sz w:val="24"/>
          <w:szCs w:val="24"/>
          <w:highlight w:val="none"/>
        </w:rPr>
        <w:t>本表中的名称、数量应与报价明细表中相对应的报价名称、数量一致。</w:t>
      </w:r>
    </w:p>
    <w:p w14:paraId="46148258">
      <w:pPr>
        <w:numPr>
          <w:ilvl w:val="0"/>
          <w:numId w:val="33"/>
        </w:numPr>
        <w:spacing w:line="360" w:lineRule="auto"/>
        <w:ind w:left="435" w:firstLine="636" w:firstLineChars="265"/>
        <w:rPr>
          <w:rFonts w:ascii="宋体" w:hAnsi="宋体"/>
          <w:color w:val="auto"/>
          <w:sz w:val="24"/>
          <w:szCs w:val="24"/>
          <w:highlight w:val="none"/>
        </w:rPr>
      </w:pPr>
      <w:r>
        <w:rPr>
          <w:rFonts w:hint="eastAsia" w:ascii="宋体" w:hAnsi="宋体"/>
          <w:color w:val="auto"/>
          <w:sz w:val="24"/>
          <w:szCs w:val="24"/>
          <w:highlight w:val="none"/>
        </w:rPr>
        <w:t>不含报价。</w:t>
      </w:r>
    </w:p>
    <w:p w14:paraId="5668404A">
      <w:pPr>
        <w:spacing w:line="360" w:lineRule="auto"/>
        <w:ind w:left="420"/>
        <w:rPr>
          <w:rFonts w:ascii="宋体" w:hAnsi="宋体"/>
          <w:color w:val="auto"/>
          <w:sz w:val="24"/>
          <w:highlight w:val="none"/>
        </w:rPr>
      </w:pPr>
    </w:p>
    <w:p w14:paraId="1B6D8218">
      <w:pPr>
        <w:ind w:left="420" w:firstLine="571" w:firstLineChars="238"/>
        <w:rPr>
          <w:rFonts w:hint="eastAsia" w:ascii="宋体" w:hAnsi="宋体"/>
          <w:color w:val="auto"/>
          <w:sz w:val="24"/>
          <w:highlight w:val="none"/>
        </w:rPr>
      </w:pPr>
    </w:p>
    <w:p w14:paraId="63F640EE">
      <w:pPr>
        <w:ind w:left="420" w:firstLine="571" w:firstLineChars="238"/>
        <w:rPr>
          <w:rFonts w:hint="eastAsia" w:ascii="宋体" w:hAnsi="宋体"/>
          <w:color w:val="auto"/>
          <w:sz w:val="24"/>
          <w:highlight w:val="none"/>
        </w:rPr>
      </w:pPr>
    </w:p>
    <w:p w14:paraId="262876CF">
      <w:pPr>
        <w:ind w:left="420" w:firstLine="571" w:firstLineChars="238"/>
        <w:rPr>
          <w:rFonts w:hint="eastAsia" w:ascii="宋体" w:hAnsi="宋体"/>
          <w:color w:val="auto"/>
          <w:sz w:val="24"/>
          <w:highlight w:val="none"/>
        </w:rPr>
      </w:pPr>
    </w:p>
    <w:p w14:paraId="4464D8B3">
      <w:pPr>
        <w:ind w:left="420" w:firstLine="571" w:firstLineChars="238"/>
        <w:rPr>
          <w:rFonts w:hint="eastAsia" w:ascii="宋体" w:hAnsi="宋体"/>
          <w:color w:val="auto"/>
          <w:sz w:val="24"/>
          <w:highlight w:val="none"/>
        </w:rPr>
      </w:pPr>
    </w:p>
    <w:p w14:paraId="723BE370">
      <w:pPr>
        <w:ind w:left="420" w:firstLine="571" w:firstLineChars="238"/>
        <w:rPr>
          <w:rFonts w:hint="eastAsia" w:ascii="宋体" w:hAnsi="宋体"/>
          <w:color w:val="auto"/>
          <w:sz w:val="24"/>
          <w:highlight w:val="none"/>
        </w:rPr>
      </w:pPr>
      <w:r>
        <w:rPr>
          <w:rFonts w:hint="eastAsia" w:ascii="宋体" w:hAnsi="宋体"/>
          <w:color w:val="auto"/>
          <w:sz w:val="24"/>
          <w:highlight w:val="none"/>
        </w:rPr>
        <w:t>投标人名称（盖章）：</w:t>
      </w:r>
    </w:p>
    <w:p w14:paraId="54862438">
      <w:pPr>
        <w:ind w:left="420" w:firstLine="571" w:firstLineChars="238"/>
        <w:rPr>
          <w:rFonts w:hint="eastAsia" w:ascii="宋体" w:hAnsi="宋体"/>
          <w:color w:val="auto"/>
          <w:sz w:val="24"/>
          <w:highlight w:val="none"/>
        </w:rPr>
      </w:pPr>
    </w:p>
    <w:p w14:paraId="6635ACCD">
      <w:pPr>
        <w:rPr>
          <w:rFonts w:ascii="宋体" w:hAnsi="宋体"/>
          <w:color w:val="auto"/>
          <w:sz w:val="24"/>
          <w:highlight w:val="none"/>
        </w:rPr>
      </w:pPr>
    </w:p>
    <w:p w14:paraId="2A97F25B">
      <w:pPr>
        <w:ind w:firstLine="993"/>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25AF2181">
      <w:pPr>
        <w:snapToGrid w:val="0"/>
        <w:spacing w:before="50" w:after="50"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E4C884E">
      <w:pPr>
        <w:spacing w:line="360" w:lineRule="auto"/>
        <w:ind w:left="480"/>
        <w:jc w:val="center"/>
        <w:rPr>
          <w:rFonts w:ascii="宋体" w:hAnsi="宋体"/>
          <w:b/>
          <w:color w:val="auto"/>
          <w:kern w:val="0"/>
          <w:sz w:val="32"/>
          <w:szCs w:val="32"/>
          <w:highlight w:val="none"/>
        </w:rPr>
      </w:pPr>
      <w:bookmarkStart w:id="58" w:name="_Toc26601_WPSOffice_Level1"/>
      <w:bookmarkStart w:id="59" w:name="_Toc12856_WPSOffice_Level1"/>
      <w:r>
        <w:rPr>
          <w:rFonts w:ascii="宋体" w:hAnsi="宋体"/>
          <w:b/>
          <w:color w:val="auto"/>
          <w:kern w:val="0"/>
          <w:sz w:val="32"/>
          <w:szCs w:val="32"/>
          <w:highlight w:val="none"/>
        </w:rPr>
        <w:t>技术</w:t>
      </w:r>
      <w:r>
        <w:rPr>
          <w:rFonts w:hint="eastAsia" w:ascii="宋体" w:hAnsi="宋体"/>
          <w:b/>
          <w:color w:val="auto"/>
          <w:kern w:val="0"/>
          <w:sz w:val="32"/>
          <w:szCs w:val="32"/>
          <w:highlight w:val="none"/>
        </w:rPr>
        <w:t>需求</w:t>
      </w:r>
      <w:r>
        <w:rPr>
          <w:rFonts w:ascii="宋体" w:hAnsi="宋体"/>
          <w:b/>
          <w:color w:val="auto"/>
          <w:kern w:val="0"/>
          <w:sz w:val="32"/>
          <w:szCs w:val="32"/>
          <w:highlight w:val="none"/>
        </w:rPr>
        <w:t>响应表</w:t>
      </w:r>
      <w:bookmarkEnd w:id="58"/>
      <w:bookmarkEnd w:id="59"/>
    </w:p>
    <w:p w14:paraId="6F209256">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1FD940FA">
      <w:pPr>
        <w:pStyle w:val="38"/>
        <w:rPr>
          <w:color w:val="auto"/>
          <w:highlight w:val="none"/>
        </w:rPr>
      </w:pPr>
    </w:p>
    <w:tbl>
      <w:tblPr>
        <w:tblStyle w:val="39"/>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7464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09DA98D9">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641" w:type="dxa"/>
            <w:tcMar>
              <w:top w:w="57" w:type="dxa"/>
              <w:left w:w="108" w:type="dxa"/>
              <w:bottom w:w="0" w:type="dxa"/>
              <w:right w:w="108" w:type="dxa"/>
            </w:tcMar>
            <w:vAlign w:val="center"/>
          </w:tcPr>
          <w:p w14:paraId="74544A1C">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1449" w:type="dxa"/>
            <w:tcMar>
              <w:top w:w="57" w:type="dxa"/>
              <w:left w:w="108" w:type="dxa"/>
              <w:bottom w:w="0" w:type="dxa"/>
              <w:right w:w="108" w:type="dxa"/>
            </w:tcMar>
            <w:vAlign w:val="center"/>
          </w:tcPr>
          <w:p w14:paraId="47F7D9A6">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规格型号</w:t>
            </w:r>
          </w:p>
        </w:tc>
        <w:tc>
          <w:tcPr>
            <w:tcW w:w="1560" w:type="dxa"/>
            <w:tcMar>
              <w:top w:w="57" w:type="dxa"/>
              <w:left w:w="108" w:type="dxa"/>
              <w:bottom w:w="0" w:type="dxa"/>
              <w:right w:w="108" w:type="dxa"/>
            </w:tcMar>
            <w:vAlign w:val="center"/>
          </w:tcPr>
          <w:p w14:paraId="0D1E0C8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招标参数</w:t>
            </w:r>
          </w:p>
        </w:tc>
        <w:tc>
          <w:tcPr>
            <w:tcW w:w="1401" w:type="dxa"/>
            <w:tcMar>
              <w:top w:w="57" w:type="dxa"/>
              <w:left w:w="108" w:type="dxa"/>
              <w:bottom w:w="0" w:type="dxa"/>
              <w:right w:w="108" w:type="dxa"/>
            </w:tcMar>
            <w:vAlign w:val="center"/>
          </w:tcPr>
          <w:p w14:paraId="6E0CD4F6">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投标参数</w:t>
            </w:r>
          </w:p>
        </w:tc>
        <w:tc>
          <w:tcPr>
            <w:tcW w:w="1365" w:type="dxa"/>
            <w:tcMar>
              <w:top w:w="57" w:type="dxa"/>
              <w:left w:w="108" w:type="dxa"/>
              <w:bottom w:w="0" w:type="dxa"/>
              <w:right w:w="108" w:type="dxa"/>
            </w:tcMar>
            <w:vAlign w:val="center"/>
          </w:tcPr>
          <w:p w14:paraId="2144CC2B">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偏离说明</w:t>
            </w:r>
          </w:p>
        </w:tc>
        <w:tc>
          <w:tcPr>
            <w:tcW w:w="903" w:type="dxa"/>
            <w:tcMar>
              <w:top w:w="57" w:type="dxa"/>
              <w:left w:w="108" w:type="dxa"/>
              <w:bottom w:w="0" w:type="dxa"/>
              <w:right w:w="108" w:type="dxa"/>
            </w:tcMar>
            <w:vAlign w:val="center"/>
          </w:tcPr>
          <w:p w14:paraId="00492063">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14:paraId="7D72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8803507">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4CA83381">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1C14FEC0">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F06FCBD">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3EDEAF35">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52A5F8E7">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51291EE8">
            <w:pPr>
              <w:spacing w:line="360" w:lineRule="auto"/>
              <w:rPr>
                <w:rFonts w:hint="eastAsia" w:asciiTheme="minorEastAsia" w:hAnsiTheme="minorEastAsia" w:eastAsiaTheme="minorEastAsia" w:cstheme="minorEastAsia"/>
                <w:color w:val="auto"/>
                <w:sz w:val="21"/>
                <w:szCs w:val="21"/>
                <w:highlight w:val="none"/>
              </w:rPr>
            </w:pPr>
          </w:p>
        </w:tc>
      </w:tr>
      <w:tr w14:paraId="0083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2D2F277">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24221435">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79250F9D">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FF0BA0A">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789B4D49">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0C33B2E5">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2B2E3365">
            <w:pPr>
              <w:spacing w:line="360" w:lineRule="auto"/>
              <w:rPr>
                <w:rFonts w:hint="eastAsia" w:asciiTheme="minorEastAsia" w:hAnsiTheme="minorEastAsia" w:eastAsiaTheme="minorEastAsia" w:cstheme="minorEastAsia"/>
                <w:color w:val="auto"/>
                <w:sz w:val="21"/>
                <w:szCs w:val="21"/>
                <w:highlight w:val="none"/>
              </w:rPr>
            </w:pPr>
          </w:p>
        </w:tc>
      </w:tr>
      <w:tr w14:paraId="67C7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EFC5416">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39054B75">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79E07B1E">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26CEFC08">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65E7D567">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09172F4E">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4204674F">
            <w:pPr>
              <w:spacing w:line="360" w:lineRule="auto"/>
              <w:rPr>
                <w:rFonts w:hint="eastAsia" w:asciiTheme="minorEastAsia" w:hAnsiTheme="minorEastAsia" w:eastAsiaTheme="minorEastAsia" w:cstheme="minorEastAsia"/>
                <w:color w:val="auto"/>
                <w:sz w:val="21"/>
                <w:szCs w:val="21"/>
                <w:highlight w:val="none"/>
              </w:rPr>
            </w:pPr>
          </w:p>
        </w:tc>
      </w:tr>
      <w:tr w14:paraId="2843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DD0C36B">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354788D2">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3EDB9396">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6CCFABD2">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222E427F">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63C285C0">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39A42D56">
            <w:pPr>
              <w:spacing w:line="360" w:lineRule="auto"/>
              <w:rPr>
                <w:rFonts w:hint="eastAsia" w:asciiTheme="minorEastAsia" w:hAnsiTheme="minorEastAsia" w:eastAsiaTheme="minorEastAsia" w:cstheme="minorEastAsia"/>
                <w:color w:val="auto"/>
                <w:sz w:val="21"/>
                <w:szCs w:val="21"/>
                <w:highlight w:val="none"/>
              </w:rPr>
            </w:pPr>
          </w:p>
        </w:tc>
      </w:tr>
      <w:tr w14:paraId="1346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2BAE7371">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62822BC5">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50A26DE9">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11D877AA">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7F194CF1">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14567FEA">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2F895195">
            <w:pPr>
              <w:spacing w:line="360" w:lineRule="auto"/>
              <w:rPr>
                <w:rFonts w:hint="eastAsia" w:asciiTheme="minorEastAsia" w:hAnsiTheme="minorEastAsia" w:eastAsiaTheme="minorEastAsia" w:cstheme="minorEastAsia"/>
                <w:color w:val="auto"/>
                <w:sz w:val="21"/>
                <w:szCs w:val="21"/>
                <w:highlight w:val="none"/>
              </w:rPr>
            </w:pPr>
          </w:p>
        </w:tc>
      </w:tr>
      <w:tr w14:paraId="2157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78CBEEC">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60A87D78">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770F9BED">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495083E">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167A88E5">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6085B1A8">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73012294">
            <w:pPr>
              <w:spacing w:line="360" w:lineRule="auto"/>
              <w:rPr>
                <w:rFonts w:hint="eastAsia" w:asciiTheme="minorEastAsia" w:hAnsiTheme="minorEastAsia" w:eastAsiaTheme="minorEastAsia" w:cstheme="minorEastAsia"/>
                <w:color w:val="auto"/>
                <w:sz w:val="21"/>
                <w:szCs w:val="21"/>
                <w:highlight w:val="none"/>
              </w:rPr>
            </w:pPr>
          </w:p>
        </w:tc>
      </w:tr>
    </w:tbl>
    <w:p w14:paraId="12E9FE82">
      <w:pPr>
        <w:pStyle w:val="72"/>
        <w:tabs>
          <w:tab w:val="left" w:pos="360"/>
        </w:tabs>
        <w:spacing w:line="360" w:lineRule="auto"/>
        <w:jc w:val="both"/>
        <w:rPr>
          <w:rFonts w:ascii="宋体"/>
          <w:b/>
          <w:color w:val="auto"/>
          <w:szCs w:val="21"/>
          <w:highlight w:val="none"/>
        </w:rPr>
      </w:pPr>
      <w:r>
        <w:rPr>
          <w:rFonts w:hint="eastAsia" w:ascii="宋体"/>
          <w:b/>
          <w:color w:val="auto"/>
          <w:szCs w:val="21"/>
          <w:highlight w:val="none"/>
        </w:rPr>
        <w:t>要求：</w:t>
      </w:r>
    </w:p>
    <w:p w14:paraId="6480C1BC">
      <w:pPr>
        <w:pStyle w:val="72"/>
        <w:spacing w:line="360" w:lineRule="auto"/>
        <w:ind w:firstLine="420" w:firstLineChars="200"/>
        <w:jc w:val="both"/>
        <w:rPr>
          <w:rFonts w:hint="eastAsia" w:ascii="宋体" w:eastAsia="宋体"/>
          <w:color w:val="auto"/>
          <w:szCs w:val="21"/>
          <w:highlight w:val="none"/>
          <w:lang w:eastAsia="zh-CN"/>
        </w:rPr>
      </w:pPr>
      <w:r>
        <w:rPr>
          <w:rFonts w:hint="eastAsia" w:ascii="宋体"/>
          <w:color w:val="auto"/>
          <w:szCs w:val="21"/>
          <w:highlight w:val="none"/>
          <w:lang w:val="en-US" w:eastAsia="zh-CN"/>
        </w:rPr>
        <w:t>1</w:t>
      </w:r>
      <w:r>
        <w:rPr>
          <w:rFonts w:hint="eastAsia" w:ascii="宋体"/>
          <w:color w:val="auto"/>
          <w:szCs w:val="21"/>
          <w:highlight w:val="none"/>
        </w:rPr>
        <w:t>.本表参照本招标文件第</w:t>
      </w:r>
      <w:r>
        <w:rPr>
          <w:rFonts w:hint="eastAsia" w:ascii="宋体"/>
          <w:color w:val="auto"/>
          <w:szCs w:val="21"/>
          <w:highlight w:val="none"/>
          <w:lang w:val="en-US" w:eastAsia="zh-CN"/>
        </w:rPr>
        <w:t>四章</w:t>
      </w:r>
      <w:r>
        <w:rPr>
          <w:rFonts w:hint="eastAsia" w:ascii="宋体"/>
          <w:color w:val="auto"/>
          <w:szCs w:val="21"/>
          <w:highlight w:val="none"/>
        </w:rPr>
        <w:t>“公开招标需求”内“四、采购清单及采购需求”填制，投标人应根据投标设备的性能指标、服务指标，对照招标文件要求在“偏离情况”栏注明“正偏离”、“负偏离”或“无偏离”</w:t>
      </w:r>
      <w:r>
        <w:rPr>
          <w:rFonts w:hint="eastAsia" w:ascii="宋体"/>
          <w:color w:val="auto"/>
          <w:szCs w:val="21"/>
          <w:highlight w:val="none"/>
          <w:lang w:eastAsia="zh-CN"/>
        </w:rPr>
        <w:t>；</w:t>
      </w:r>
    </w:p>
    <w:p w14:paraId="505688EA">
      <w:pPr>
        <w:pStyle w:val="72"/>
        <w:tabs>
          <w:tab w:val="left" w:pos="360"/>
        </w:tabs>
        <w:spacing w:line="360" w:lineRule="auto"/>
        <w:ind w:firstLine="420" w:firstLineChars="200"/>
        <w:jc w:val="both"/>
        <w:rPr>
          <w:rFonts w:hint="eastAsia" w:ascii="宋体" w:eastAsia="宋体"/>
          <w:color w:val="auto"/>
          <w:szCs w:val="21"/>
          <w:highlight w:val="none"/>
          <w:lang w:eastAsia="zh-CN"/>
        </w:rPr>
      </w:pPr>
      <w:r>
        <w:rPr>
          <w:rFonts w:hint="eastAsia" w:ascii="宋体"/>
          <w:color w:val="auto"/>
          <w:szCs w:val="21"/>
          <w:highlight w:val="none"/>
          <w:lang w:val="en-US" w:eastAsia="zh-CN"/>
        </w:rPr>
        <w:t>2</w:t>
      </w:r>
      <w:r>
        <w:rPr>
          <w:rFonts w:hint="eastAsia" w:ascii="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r>
        <w:rPr>
          <w:rFonts w:hint="eastAsia" w:ascii="宋体"/>
          <w:color w:val="auto"/>
          <w:szCs w:val="21"/>
          <w:highlight w:val="none"/>
          <w:lang w:eastAsia="zh-CN"/>
        </w:rPr>
        <w:t>；</w:t>
      </w:r>
    </w:p>
    <w:p w14:paraId="325F0EB7">
      <w:pPr>
        <w:pStyle w:val="72"/>
        <w:tabs>
          <w:tab w:val="left" w:pos="360"/>
        </w:tabs>
        <w:spacing w:line="360" w:lineRule="auto"/>
        <w:ind w:firstLine="420" w:firstLineChars="200"/>
        <w:jc w:val="both"/>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.投标参数</w:t>
      </w:r>
      <w:r>
        <w:rPr>
          <w:rFonts w:hint="eastAsia" w:ascii="宋体"/>
          <w:color w:val="auto"/>
          <w:szCs w:val="21"/>
          <w:highlight w:val="none"/>
          <w:lang w:eastAsia="zh-CN"/>
        </w:rPr>
        <w:t>应根据所投产品的实际参数响应填写</w:t>
      </w:r>
      <w:r>
        <w:rPr>
          <w:rFonts w:hint="eastAsia" w:ascii="宋体"/>
          <w:color w:val="auto"/>
          <w:szCs w:val="21"/>
          <w:highlight w:val="none"/>
        </w:rPr>
        <w:t>，</w:t>
      </w:r>
      <w:r>
        <w:rPr>
          <w:rFonts w:hint="eastAsia" w:ascii="宋体"/>
          <w:color w:val="auto"/>
          <w:szCs w:val="21"/>
          <w:highlight w:val="none"/>
          <w:lang w:eastAsia="zh-CN"/>
        </w:rPr>
        <w:t>严禁</w:t>
      </w:r>
      <w:r>
        <w:rPr>
          <w:rFonts w:hint="eastAsia" w:ascii="宋体"/>
          <w:color w:val="auto"/>
          <w:szCs w:val="21"/>
          <w:highlight w:val="none"/>
        </w:rPr>
        <w:t>完全复制粘贴招标参数</w:t>
      </w:r>
      <w:r>
        <w:rPr>
          <w:rFonts w:hint="eastAsia" w:ascii="宋体"/>
          <w:color w:val="auto"/>
          <w:szCs w:val="21"/>
          <w:highlight w:val="none"/>
          <w:lang w:eastAsia="zh-CN"/>
        </w:rPr>
        <w:t>，否则评标委员会有权</w:t>
      </w:r>
      <w:r>
        <w:rPr>
          <w:rFonts w:hint="eastAsia" w:ascii="宋体"/>
          <w:color w:val="auto"/>
          <w:szCs w:val="21"/>
          <w:highlight w:val="none"/>
        </w:rPr>
        <w:t>给予扣分</w:t>
      </w:r>
      <w:r>
        <w:rPr>
          <w:rFonts w:hint="eastAsia" w:ascii="宋体"/>
          <w:color w:val="auto"/>
          <w:szCs w:val="21"/>
          <w:highlight w:val="none"/>
          <w:lang w:eastAsia="zh-CN"/>
        </w:rPr>
        <w:t>处理。</w:t>
      </w:r>
    </w:p>
    <w:p w14:paraId="1A391495">
      <w:pPr>
        <w:pStyle w:val="21"/>
        <w:spacing w:line="500" w:lineRule="exact"/>
        <w:textAlignment w:val="baseline"/>
        <w:rPr>
          <w:rFonts w:hAnsi="宋体"/>
          <w:color w:val="auto"/>
          <w:sz w:val="24"/>
          <w:highlight w:val="none"/>
        </w:rPr>
      </w:pPr>
      <w:r>
        <w:rPr>
          <w:rFonts w:hAnsi="宋体"/>
          <w:color w:val="auto"/>
          <w:sz w:val="24"/>
          <w:highlight w:val="none"/>
        </w:rPr>
        <w:t xml:space="preserve">                   </w:t>
      </w:r>
    </w:p>
    <w:p w14:paraId="5971B639">
      <w:pPr>
        <w:pStyle w:val="21"/>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r>
        <w:rPr>
          <w:rFonts w:hint="eastAsia" w:hAnsi="宋体"/>
          <w:color w:val="auto"/>
          <w:sz w:val="24"/>
          <w:highlight w:val="none"/>
        </w:rPr>
        <w:t>投标人名称（盖章）：</w:t>
      </w:r>
      <w:r>
        <w:rPr>
          <w:rFonts w:hAnsi="宋体"/>
          <w:color w:val="auto"/>
          <w:sz w:val="24"/>
          <w:highlight w:val="none"/>
        </w:rPr>
        <w:t xml:space="preserve">                               </w:t>
      </w:r>
    </w:p>
    <w:p w14:paraId="5931BFB1">
      <w:pPr>
        <w:pStyle w:val="21"/>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14:paraId="61E8589E">
      <w:pPr>
        <w:pStyle w:val="21"/>
        <w:spacing w:line="500" w:lineRule="exact"/>
        <w:ind w:firstLine="480" w:firstLineChars="200"/>
        <w:textAlignment w:val="baseline"/>
        <w:rPr>
          <w:rFonts w:hint="eastAsia" w:hAnsi="宋体"/>
          <w:b/>
          <w:color w:val="auto"/>
          <w:sz w:val="28"/>
          <w:highlight w:val="none"/>
        </w:rPr>
      </w:pPr>
      <w:r>
        <w:rPr>
          <w:rFonts w:hint="eastAsia" w:hAnsi="宋体"/>
          <w:color w:val="auto"/>
          <w:sz w:val="24"/>
          <w:highlight w:val="none"/>
        </w:rPr>
        <w:t>日    期：</w:t>
      </w:r>
      <w:r>
        <w:rPr>
          <w:rFonts w:hint="eastAsia" w:hAnsi="宋体" w:cs="仿宋_GB2312"/>
          <w:color w:val="auto"/>
          <w:sz w:val="24"/>
          <w:highlight w:val="none"/>
          <w:lang w:eastAsia="zh-CN"/>
        </w:rPr>
        <w:t>202</w:t>
      </w:r>
      <w:r>
        <w:rPr>
          <w:rFonts w:hint="eastAsia" w:hAnsi="宋体" w:cs="仿宋_GB2312"/>
          <w:color w:val="auto"/>
          <w:sz w:val="24"/>
          <w:highlight w:val="none"/>
          <w:lang w:val="en-US" w:eastAsia="zh-CN"/>
        </w:rPr>
        <w:t>4</w:t>
      </w:r>
      <w:r>
        <w:rPr>
          <w:rFonts w:hint="eastAsia" w:hAnsi="宋体" w:cs="仿宋_GB2312"/>
          <w:color w:val="auto"/>
          <w:sz w:val="24"/>
          <w:highlight w:val="none"/>
          <w:lang w:val="zh-CN"/>
        </w:rPr>
        <w:t>年  月   日</w:t>
      </w:r>
    </w:p>
    <w:p w14:paraId="2001E56C">
      <w:pPr>
        <w:spacing w:line="360" w:lineRule="auto"/>
        <w:rPr>
          <w:rFonts w:hint="eastAsia" w:ascii="宋体" w:hAnsi="宋体" w:eastAsia="宋体"/>
          <w:b/>
          <w:color w:val="auto"/>
          <w:sz w:val="28"/>
          <w:highlight w:val="none"/>
          <w:lang w:eastAsia="zh-CN"/>
        </w:rPr>
      </w:pPr>
      <w:r>
        <w:rPr>
          <w:rFonts w:ascii="宋体" w:hAnsi="宋体"/>
          <w:b/>
          <w:color w:val="auto"/>
          <w:sz w:val="32"/>
          <w:szCs w:val="32"/>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lang w:eastAsia="zh-CN"/>
        </w:rPr>
        <w:t>：</w:t>
      </w:r>
    </w:p>
    <w:p w14:paraId="7026F251">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资信及</w:t>
      </w:r>
      <w:r>
        <w:rPr>
          <w:rFonts w:hint="eastAsia" w:ascii="宋体" w:hAnsi="宋体"/>
          <w:b/>
          <w:color w:val="auto"/>
          <w:sz w:val="32"/>
          <w:szCs w:val="32"/>
          <w:highlight w:val="none"/>
        </w:rPr>
        <w:t>商务需求响应表</w:t>
      </w:r>
    </w:p>
    <w:p w14:paraId="0B49663D">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7E07160">
      <w:pPr>
        <w:spacing w:line="360" w:lineRule="auto"/>
        <w:ind w:left="481" w:leftChars="229" w:firstLine="813" w:firstLineChars="450"/>
        <w:rPr>
          <w:rFonts w:ascii="宋体" w:hAnsi="宋体"/>
          <w:b/>
          <w:color w:val="auto"/>
          <w:sz w:val="18"/>
          <w:szCs w:val="18"/>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ECF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7D319772">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14:paraId="609B9B97">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14:paraId="7E2E0767">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14:paraId="291C9402">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noWrap w:val="0"/>
            <w:vAlign w:val="center"/>
          </w:tcPr>
          <w:p w14:paraId="2CFE432B">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16D5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116EC513">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14:paraId="7410B257">
            <w:pPr>
              <w:snapToGrid w:val="0"/>
              <w:jc w:val="both"/>
              <w:rPr>
                <w:rFonts w:ascii="宋体" w:hAnsi="宋体"/>
                <w:color w:val="auto"/>
                <w:sz w:val="24"/>
                <w:highlight w:val="none"/>
              </w:rPr>
            </w:pPr>
          </w:p>
        </w:tc>
        <w:tc>
          <w:tcPr>
            <w:tcW w:w="1785" w:type="dxa"/>
            <w:noWrap w:val="0"/>
            <w:vAlign w:val="center"/>
          </w:tcPr>
          <w:p w14:paraId="7370E295">
            <w:pPr>
              <w:rPr>
                <w:rFonts w:ascii="宋体" w:hAnsi="宋体"/>
                <w:color w:val="auto"/>
                <w:sz w:val="24"/>
                <w:highlight w:val="none"/>
              </w:rPr>
            </w:pPr>
          </w:p>
        </w:tc>
        <w:tc>
          <w:tcPr>
            <w:tcW w:w="1365" w:type="dxa"/>
            <w:noWrap w:val="0"/>
            <w:vAlign w:val="center"/>
          </w:tcPr>
          <w:p w14:paraId="7E2CFD08">
            <w:pPr>
              <w:rPr>
                <w:rFonts w:ascii="宋体" w:hAnsi="宋体"/>
                <w:color w:val="auto"/>
                <w:sz w:val="24"/>
                <w:highlight w:val="none"/>
              </w:rPr>
            </w:pPr>
          </w:p>
        </w:tc>
        <w:tc>
          <w:tcPr>
            <w:tcW w:w="2625" w:type="dxa"/>
            <w:noWrap w:val="0"/>
            <w:vAlign w:val="center"/>
          </w:tcPr>
          <w:p w14:paraId="28229014">
            <w:pPr>
              <w:rPr>
                <w:rFonts w:ascii="宋体" w:hAnsi="宋体"/>
                <w:color w:val="auto"/>
                <w:sz w:val="24"/>
                <w:highlight w:val="none"/>
              </w:rPr>
            </w:pPr>
          </w:p>
        </w:tc>
      </w:tr>
      <w:tr w14:paraId="4E6C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3450FA3B">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14:paraId="5429E29D">
            <w:pPr>
              <w:snapToGrid w:val="0"/>
              <w:jc w:val="both"/>
              <w:rPr>
                <w:rFonts w:ascii="宋体" w:hAnsi="宋体"/>
                <w:color w:val="auto"/>
                <w:sz w:val="24"/>
                <w:highlight w:val="none"/>
              </w:rPr>
            </w:pPr>
          </w:p>
        </w:tc>
        <w:tc>
          <w:tcPr>
            <w:tcW w:w="1785" w:type="dxa"/>
            <w:noWrap w:val="0"/>
            <w:vAlign w:val="center"/>
          </w:tcPr>
          <w:p w14:paraId="1BE4817B">
            <w:pPr>
              <w:rPr>
                <w:rFonts w:ascii="宋体" w:hAnsi="宋体"/>
                <w:color w:val="auto"/>
                <w:sz w:val="24"/>
                <w:highlight w:val="none"/>
              </w:rPr>
            </w:pPr>
          </w:p>
        </w:tc>
        <w:tc>
          <w:tcPr>
            <w:tcW w:w="1365" w:type="dxa"/>
            <w:noWrap w:val="0"/>
            <w:vAlign w:val="center"/>
          </w:tcPr>
          <w:p w14:paraId="7B40CBB1">
            <w:pPr>
              <w:rPr>
                <w:rFonts w:ascii="宋体" w:hAnsi="宋体"/>
                <w:color w:val="auto"/>
                <w:sz w:val="24"/>
                <w:highlight w:val="none"/>
              </w:rPr>
            </w:pPr>
          </w:p>
        </w:tc>
        <w:tc>
          <w:tcPr>
            <w:tcW w:w="2625" w:type="dxa"/>
            <w:noWrap w:val="0"/>
            <w:vAlign w:val="center"/>
          </w:tcPr>
          <w:p w14:paraId="0B1CF996">
            <w:pPr>
              <w:rPr>
                <w:rFonts w:ascii="宋体" w:hAnsi="宋体"/>
                <w:color w:val="auto"/>
                <w:sz w:val="24"/>
                <w:highlight w:val="none"/>
              </w:rPr>
            </w:pPr>
          </w:p>
        </w:tc>
      </w:tr>
      <w:tr w14:paraId="41E6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67642B1">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14:paraId="6AB5A157">
            <w:pPr>
              <w:snapToGrid w:val="0"/>
              <w:jc w:val="both"/>
              <w:rPr>
                <w:rFonts w:ascii="宋体" w:hAnsi="宋体"/>
                <w:color w:val="auto"/>
                <w:sz w:val="24"/>
                <w:highlight w:val="none"/>
              </w:rPr>
            </w:pPr>
          </w:p>
        </w:tc>
        <w:tc>
          <w:tcPr>
            <w:tcW w:w="1785" w:type="dxa"/>
            <w:noWrap w:val="0"/>
            <w:vAlign w:val="center"/>
          </w:tcPr>
          <w:p w14:paraId="6135D0AB">
            <w:pPr>
              <w:rPr>
                <w:rFonts w:ascii="宋体" w:hAnsi="宋体"/>
                <w:color w:val="auto"/>
                <w:sz w:val="24"/>
                <w:highlight w:val="none"/>
              </w:rPr>
            </w:pPr>
          </w:p>
        </w:tc>
        <w:tc>
          <w:tcPr>
            <w:tcW w:w="1365" w:type="dxa"/>
            <w:noWrap w:val="0"/>
            <w:vAlign w:val="center"/>
          </w:tcPr>
          <w:p w14:paraId="4A662778">
            <w:pPr>
              <w:rPr>
                <w:rFonts w:ascii="宋体" w:hAnsi="宋体"/>
                <w:color w:val="auto"/>
                <w:sz w:val="24"/>
                <w:highlight w:val="none"/>
              </w:rPr>
            </w:pPr>
          </w:p>
        </w:tc>
        <w:tc>
          <w:tcPr>
            <w:tcW w:w="2625" w:type="dxa"/>
            <w:noWrap w:val="0"/>
            <w:vAlign w:val="center"/>
          </w:tcPr>
          <w:p w14:paraId="2B64E700">
            <w:pPr>
              <w:rPr>
                <w:rFonts w:ascii="宋体" w:hAnsi="宋体"/>
                <w:color w:val="auto"/>
                <w:sz w:val="24"/>
                <w:highlight w:val="none"/>
              </w:rPr>
            </w:pPr>
          </w:p>
        </w:tc>
      </w:tr>
      <w:tr w14:paraId="383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3AB30EE3">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14:paraId="17DDDB7C">
            <w:pPr>
              <w:snapToGrid w:val="0"/>
              <w:jc w:val="both"/>
              <w:rPr>
                <w:rFonts w:ascii="宋体" w:hAnsi="宋体"/>
                <w:color w:val="auto"/>
                <w:sz w:val="24"/>
                <w:highlight w:val="none"/>
              </w:rPr>
            </w:pPr>
          </w:p>
        </w:tc>
        <w:tc>
          <w:tcPr>
            <w:tcW w:w="1785" w:type="dxa"/>
            <w:noWrap w:val="0"/>
            <w:vAlign w:val="center"/>
          </w:tcPr>
          <w:p w14:paraId="09B8782F">
            <w:pPr>
              <w:rPr>
                <w:rFonts w:ascii="宋体" w:hAnsi="宋体"/>
                <w:color w:val="auto"/>
                <w:sz w:val="24"/>
                <w:highlight w:val="none"/>
              </w:rPr>
            </w:pPr>
          </w:p>
        </w:tc>
        <w:tc>
          <w:tcPr>
            <w:tcW w:w="1365" w:type="dxa"/>
            <w:noWrap w:val="0"/>
            <w:vAlign w:val="center"/>
          </w:tcPr>
          <w:p w14:paraId="0D6D25D0">
            <w:pPr>
              <w:rPr>
                <w:rFonts w:ascii="宋体" w:hAnsi="宋体"/>
                <w:color w:val="auto"/>
                <w:sz w:val="24"/>
                <w:highlight w:val="none"/>
              </w:rPr>
            </w:pPr>
          </w:p>
        </w:tc>
        <w:tc>
          <w:tcPr>
            <w:tcW w:w="2625" w:type="dxa"/>
            <w:noWrap w:val="0"/>
            <w:vAlign w:val="center"/>
          </w:tcPr>
          <w:p w14:paraId="7C8D28CD">
            <w:pPr>
              <w:rPr>
                <w:rFonts w:ascii="宋体" w:hAnsi="宋体"/>
                <w:color w:val="auto"/>
                <w:sz w:val="24"/>
                <w:highlight w:val="none"/>
              </w:rPr>
            </w:pPr>
          </w:p>
        </w:tc>
      </w:tr>
      <w:tr w14:paraId="29FD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576E6FD">
            <w:pPr>
              <w:rPr>
                <w:rFonts w:ascii="宋体" w:hAnsi="宋体"/>
                <w:color w:val="auto"/>
                <w:sz w:val="24"/>
                <w:highlight w:val="none"/>
              </w:rPr>
            </w:pPr>
          </w:p>
        </w:tc>
        <w:tc>
          <w:tcPr>
            <w:tcW w:w="1785" w:type="dxa"/>
            <w:noWrap w:val="0"/>
            <w:vAlign w:val="center"/>
          </w:tcPr>
          <w:p w14:paraId="42F09744">
            <w:pPr>
              <w:snapToGrid w:val="0"/>
              <w:jc w:val="both"/>
              <w:rPr>
                <w:rFonts w:ascii="宋体" w:hAnsi="宋体"/>
                <w:color w:val="auto"/>
                <w:sz w:val="24"/>
                <w:highlight w:val="none"/>
              </w:rPr>
            </w:pPr>
          </w:p>
        </w:tc>
        <w:tc>
          <w:tcPr>
            <w:tcW w:w="1785" w:type="dxa"/>
            <w:noWrap w:val="0"/>
            <w:vAlign w:val="center"/>
          </w:tcPr>
          <w:p w14:paraId="10B1EFE4">
            <w:pPr>
              <w:rPr>
                <w:rFonts w:ascii="宋体" w:hAnsi="宋体"/>
                <w:color w:val="auto"/>
                <w:sz w:val="24"/>
                <w:highlight w:val="none"/>
              </w:rPr>
            </w:pPr>
          </w:p>
        </w:tc>
        <w:tc>
          <w:tcPr>
            <w:tcW w:w="1365" w:type="dxa"/>
            <w:noWrap w:val="0"/>
            <w:vAlign w:val="center"/>
          </w:tcPr>
          <w:p w14:paraId="629BCBBF">
            <w:pPr>
              <w:rPr>
                <w:rFonts w:ascii="宋体" w:hAnsi="宋体"/>
                <w:color w:val="auto"/>
                <w:sz w:val="24"/>
                <w:highlight w:val="none"/>
              </w:rPr>
            </w:pPr>
          </w:p>
        </w:tc>
        <w:tc>
          <w:tcPr>
            <w:tcW w:w="2625" w:type="dxa"/>
            <w:noWrap w:val="0"/>
            <w:vAlign w:val="center"/>
          </w:tcPr>
          <w:p w14:paraId="79B8AE1B">
            <w:pPr>
              <w:rPr>
                <w:rFonts w:ascii="宋体" w:hAnsi="宋体"/>
                <w:color w:val="auto"/>
                <w:sz w:val="24"/>
                <w:highlight w:val="none"/>
              </w:rPr>
            </w:pPr>
          </w:p>
        </w:tc>
      </w:tr>
      <w:tr w14:paraId="4B4E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ABBF396">
            <w:pPr>
              <w:rPr>
                <w:rFonts w:ascii="宋体" w:hAnsi="宋体"/>
                <w:color w:val="auto"/>
                <w:sz w:val="24"/>
                <w:highlight w:val="none"/>
              </w:rPr>
            </w:pPr>
          </w:p>
        </w:tc>
        <w:tc>
          <w:tcPr>
            <w:tcW w:w="1785" w:type="dxa"/>
            <w:noWrap w:val="0"/>
            <w:vAlign w:val="center"/>
          </w:tcPr>
          <w:p w14:paraId="130BC9D4">
            <w:pPr>
              <w:snapToGrid w:val="0"/>
              <w:jc w:val="both"/>
              <w:rPr>
                <w:rFonts w:ascii="宋体" w:hAnsi="宋体"/>
                <w:color w:val="auto"/>
                <w:sz w:val="24"/>
                <w:highlight w:val="none"/>
              </w:rPr>
            </w:pPr>
          </w:p>
        </w:tc>
        <w:tc>
          <w:tcPr>
            <w:tcW w:w="1785" w:type="dxa"/>
            <w:noWrap w:val="0"/>
            <w:vAlign w:val="center"/>
          </w:tcPr>
          <w:p w14:paraId="5604B346">
            <w:pPr>
              <w:rPr>
                <w:rFonts w:ascii="宋体" w:hAnsi="宋体"/>
                <w:color w:val="auto"/>
                <w:sz w:val="24"/>
                <w:highlight w:val="none"/>
              </w:rPr>
            </w:pPr>
          </w:p>
        </w:tc>
        <w:tc>
          <w:tcPr>
            <w:tcW w:w="1365" w:type="dxa"/>
            <w:noWrap w:val="0"/>
            <w:vAlign w:val="center"/>
          </w:tcPr>
          <w:p w14:paraId="05B0E0AF">
            <w:pPr>
              <w:rPr>
                <w:rFonts w:ascii="宋体" w:hAnsi="宋体"/>
                <w:color w:val="auto"/>
                <w:sz w:val="24"/>
                <w:highlight w:val="none"/>
              </w:rPr>
            </w:pPr>
          </w:p>
        </w:tc>
        <w:tc>
          <w:tcPr>
            <w:tcW w:w="2625" w:type="dxa"/>
            <w:noWrap w:val="0"/>
            <w:vAlign w:val="center"/>
          </w:tcPr>
          <w:p w14:paraId="67E15102">
            <w:pPr>
              <w:rPr>
                <w:rFonts w:ascii="宋体" w:hAnsi="宋体"/>
                <w:color w:val="auto"/>
                <w:sz w:val="24"/>
                <w:highlight w:val="none"/>
              </w:rPr>
            </w:pPr>
          </w:p>
        </w:tc>
      </w:tr>
      <w:tr w14:paraId="735B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27BCD073">
            <w:pPr>
              <w:rPr>
                <w:rFonts w:ascii="宋体" w:hAnsi="宋体"/>
                <w:color w:val="auto"/>
                <w:sz w:val="24"/>
                <w:highlight w:val="none"/>
              </w:rPr>
            </w:pPr>
          </w:p>
        </w:tc>
        <w:tc>
          <w:tcPr>
            <w:tcW w:w="1785" w:type="dxa"/>
            <w:noWrap w:val="0"/>
            <w:vAlign w:val="center"/>
          </w:tcPr>
          <w:p w14:paraId="379DBD82">
            <w:pPr>
              <w:snapToGrid w:val="0"/>
              <w:jc w:val="both"/>
              <w:rPr>
                <w:rFonts w:ascii="宋体" w:hAnsi="宋体"/>
                <w:color w:val="auto"/>
                <w:sz w:val="24"/>
                <w:highlight w:val="none"/>
              </w:rPr>
            </w:pPr>
          </w:p>
        </w:tc>
        <w:tc>
          <w:tcPr>
            <w:tcW w:w="1785" w:type="dxa"/>
            <w:noWrap w:val="0"/>
            <w:vAlign w:val="center"/>
          </w:tcPr>
          <w:p w14:paraId="43D05A96">
            <w:pPr>
              <w:rPr>
                <w:rFonts w:ascii="宋体" w:hAnsi="宋体"/>
                <w:color w:val="auto"/>
                <w:sz w:val="24"/>
                <w:highlight w:val="none"/>
              </w:rPr>
            </w:pPr>
          </w:p>
        </w:tc>
        <w:tc>
          <w:tcPr>
            <w:tcW w:w="1365" w:type="dxa"/>
            <w:noWrap w:val="0"/>
            <w:vAlign w:val="center"/>
          </w:tcPr>
          <w:p w14:paraId="3D16B6FD">
            <w:pPr>
              <w:rPr>
                <w:rFonts w:ascii="宋体" w:hAnsi="宋体"/>
                <w:color w:val="auto"/>
                <w:sz w:val="24"/>
                <w:highlight w:val="none"/>
              </w:rPr>
            </w:pPr>
          </w:p>
        </w:tc>
        <w:tc>
          <w:tcPr>
            <w:tcW w:w="2625" w:type="dxa"/>
            <w:noWrap w:val="0"/>
            <w:vAlign w:val="center"/>
          </w:tcPr>
          <w:p w14:paraId="5BFE3490">
            <w:pPr>
              <w:rPr>
                <w:rFonts w:ascii="宋体" w:hAnsi="宋体"/>
                <w:color w:val="auto"/>
                <w:sz w:val="24"/>
                <w:highlight w:val="none"/>
              </w:rPr>
            </w:pPr>
          </w:p>
        </w:tc>
      </w:tr>
      <w:tr w14:paraId="54C3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17A06738">
            <w:pPr>
              <w:rPr>
                <w:rFonts w:ascii="宋体" w:hAnsi="宋体"/>
                <w:color w:val="auto"/>
                <w:sz w:val="24"/>
                <w:highlight w:val="none"/>
              </w:rPr>
            </w:pPr>
          </w:p>
        </w:tc>
        <w:tc>
          <w:tcPr>
            <w:tcW w:w="1785" w:type="dxa"/>
            <w:noWrap w:val="0"/>
            <w:vAlign w:val="top"/>
          </w:tcPr>
          <w:p w14:paraId="492DDF29">
            <w:pPr>
              <w:snapToGrid w:val="0"/>
              <w:rPr>
                <w:rFonts w:ascii="宋体" w:hAnsi="宋体"/>
                <w:color w:val="auto"/>
                <w:sz w:val="24"/>
                <w:highlight w:val="none"/>
              </w:rPr>
            </w:pPr>
          </w:p>
        </w:tc>
        <w:tc>
          <w:tcPr>
            <w:tcW w:w="1785" w:type="dxa"/>
            <w:noWrap w:val="0"/>
            <w:vAlign w:val="center"/>
          </w:tcPr>
          <w:p w14:paraId="62A6F777">
            <w:pPr>
              <w:rPr>
                <w:rFonts w:ascii="宋体" w:hAnsi="宋体"/>
                <w:color w:val="auto"/>
                <w:sz w:val="24"/>
                <w:highlight w:val="none"/>
              </w:rPr>
            </w:pPr>
          </w:p>
        </w:tc>
        <w:tc>
          <w:tcPr>
            <w:tcW w:w="1365" w:type="dxa"/>
            <w:noWrap w:val="0"/>
            <w:vAlign w:val="center"/>
          </w:tcPr>
          <w:p w14:paraId="26370058">
            <w:pPr>
              <w:rPr>
                <w:rFonts w:ascii="宋体" w:hAnsi="宋体"/>
                <w:color w:val="auto"/>
                <w:sz w:val="24"/>
                <w:highlight w:val="none"/>
              </w:rPr>
            </w:pPr>
          </w:p>
        </w:tc>
        <w:tc>
          <w:tcPr>
            <w:tcW w:w="2625" w:type="dxa"/>
            <w:noWrap w:val="0"/>
            <w:vAlign w:val="center"/>
          </w:tcPr>
          <w:p w14:paraId="47DA53E1">
            <w:pPr>
              <w:rPr>
                <w:rFonts w:ascii="宋体" w:hAnsi="宋体"/>
                <w:color w:val="auto"/>
                <w:sz w:val="24"/>
                <w:highlight w:val="none"/>
              </w:rPr>
            </w:pPr>
          </w:p>
        </w:tc>
      </w:tr>
    </w:tbl>
    <w:p w14:paraId="48811042">
      <w:pPr>
        <w:spacing w:line="360" w:lineRule="auto"/>
        <w:ind w:firstLine="422" w:firstLineChars="200"/>
        <w:rPr>
          <w:rFonts w:hint="eastAsia" w:ascii="宋体"/>
          <w:b/>
          <w:bCs/>
          <w:color w:val="auto"/>
          <w:szCs w:val="21"/>
          <w:highlight w:val="none"/>
          <w:lang w:eastAsia="zh-CN"/>
        </w:rPr>
      </w:pPr>
    </w:p>
    <w:p w14:paraId="08FFA6BF">
      <w:pPr>
        <w:ind w:left="420"/>
        <w:rPr>
          <w:rFonts w:hint="eastAsia" w:ascii="宋体"/>
          <w:b/>
          <w:bCs/>
          <w:color w:val="auto"/>
          <w:szCs w:val="21"/>
          <w:highlight w:val="none"/>
          <w:lang w:val="en-US" w:eastAsia="zh-CN"/>
        </w:rPr>
      </w:pPr>
      <w:r>
        <w:rPr>
          <w:rFonts w:hint="eastAsia" w:ascii="宋体"/>
          <w:b/>
          <w:bCs/>
          <w:color w:val="auto"/>
          <w:szCs w:val="21"/>
          <w:highlight w:val="none"/>
          <w:lang w:val="en-US" w:eastAsia="zh-CN"/>
        </w:rPr>
        <w:t xml:space="preserve"> </w:t>
      </w:r>
    </w:p>
    <w:p w14:paraId="6969D7A1">
      <w:pPr>
        <w:pStyle w:val="38"/>
        <w:rPr>
          <w:rFonts w:hint="eastAsia"/>
          <w:color w:val="auto"/>
          <w:highlight w:val="none"/>
        </w:rPr>
      </w:pPr>
    </w:p>
    <w:p w14:paraId="61CF88C8">
      <w:pPr>
        <w:ind w:left="420"/>
        <w:rPr>
          <w:rFonts w:ascii="宋体" w:hAnsi="宋体"/>
          <w:color w:val="auto"/>
          <w:sz w:val="24"/>
          <w:highlight w:val="none"/>
          <w:u w:val="single"/>
        </w:rPr>
      </w:pPr>
      <w:r>
        <w:rPr>
          <w:rFonts w:hint="eastAsia" w:ascii="宋体" w:hAnsi="宋体"/>
          <w:color w:val="auto"/>
          <w:sz w:val="24"/>
          <w:highlight w:val="none"/>
        </w:rPr>
        <w:t>投标人名称（盖章）：</w:t>
      </w:r>
    </w:p>
    <w:p w14:paraId="5A5A410A">
      <w:pPr>
        <w:ind w:left="420"/>
        <w:rPr>
          <w:rFonts w:ascii="宋体" w:hAnsi="宋体"/>
          <w:color w:val="auto"/>
          <w:sz w:val="24"/>
          <w:highlight w:val="none"/>
        </w:rPr>
      </w:pPr>
    </w:p>
    <w:p w14:paraId="6744A3A8">
      <w:pPr>
        <w:rPr>
          <w:rFonts w:ascii="宋体" w:hAnsi="宋体"/>
          <w:color w:val="auto"/>
          <w:sz w:val="24"/>
          <w:highlight w:val="none"/>
        </w:rPr>
      </w:pPr>
    </w:p>
    <w:p w14:paraId="1F68B5E8">
      <w:pPr>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525160AD">
      <w:pPr>
        <w:ind w:firstLine="435"/>
        <w:rPr>
          <w:rFonts w:ascii="宋体" w:hAnsi="宋体"/>
          <w:color w:val="auto"/>
          <w:sz w:val="24"/>
          <w:highlight w:val="none"/>
          <w:u w:val="single"/>
        </w:rPr>
      </w:pPr>
    </w:p>
    <w:p w14:paraId="20D0119B">
      <w:pPr>
        <w:rPr>
          <w:rFonts w:hint="default" w:ascii="宋体" w:hAnsi="宋体" w:eastAsia="宋体"/>
          <w:b/>
          <w:color w:val="auto"/>
          <w:sz w:val="32"/>
          <w:szCs w:val="32"/>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7FABEAC7">
      <w:pPr>
        <w:pStyle w:val="73"/>
        <w:spacing w:line="360" w:lineRule="auto"/>
        <w:jc w:val="center"/>
        <w:rPr>
          <w:rFonts w:hint="eastAsia" w:ascii="宋体" w:hAnsi="宋体"/>
          <w:b/>
          <w:color w:val="auto"/>
          <w:sz w:val="32"/>
          <w:szCs w:val="32"/>
          <w:highlight w:val="none"/>
        </w:rPr>
      </w:pPr>
    </w:p>
    <w:p w14:paraId="3D440FB3">
      <w:pPr>
        <w:pStyle w:val="73"/>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同类项目的成功案例一览表</w:t>
      </w:r>
    </w:p>
    <w:p w14:paraId="2A3F9D13">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4B947288">
      <w:pPr>
        <w:pStyle w:val="5"/>
        <w:rPr>
          <w:color w:val="auto"/>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FF6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58E83E2">
            <w:pPr>
              <w:pStyle w:val="73"/>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B154214">
            <w:pPr>
              <w:pStyle w:val="73"/>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27CBB38">
            <w:pPr>
              <w:pStyle w:val="73"/>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7F4CFB4">
            <w:pPr>
              <w:pStyle w:val="73"/>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55EF1BD">
            <w:pPr>
              <w:pStyle w:val="73"/>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8EE8DCF">
            <w:pPr>
              <w:pStyle w:val="73"/>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EC47160">
            <w:pPr>
              <w:pStyle w:val="73"/>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23867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2DF9937">
            <w:pPr>
              <w:pStyle w:val="73"/>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AA0296B">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D00ABCB">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D7FCE2">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63C5C00">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9FBD086">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F2E6A5">
            <w:pPr>
              <w:pStyle w:val="73"/>
              <w:spacing w:line="360" w:lineRule="auto"/>
              <w:rPr>
                <w:rFonts w:ascii="宋体" w:hAnsi="宋体" w:cs="Arial"/>
                <w:color w:val="auto"/>
                <w:sz w:val="24"/>
                <w:highlight w:val="none"/>
              </w:rPr>
            </w:pPr>
          </w:p>
        </w:tc>
      </w:tr>
      <w:tr w14:paraId="36EA8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53D23D1">
            <w:pPr>
              <w:pStyle w:val="73"/>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F0A1BF9">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AC08C9E">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4D616C">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AD0F91D">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1E7984A">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851FBA3">
            <w:pPr>
              <w:pStyle w:val="73"/>
              <w:spacing w:line="360" w:lineRule="auto"/>
              <w:rPr>
                <w:rFonts w:ascii="宋体" w:hAnsi="宋体" w:cs="Arial"/>
                <w:color w:val="auto"/>
                <w:sz w:val="24"/>
                <w:highlight w:val="none"/>
              </w:rPr>
            </w:pPr>
          </w:p>
        </w:tc>
      </w:tr>
      <w:tr w14:paraId="68FEB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C3838E1">
            <w:pPr>
              <w:pStyle w:val="73"/>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A0B030F">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E92105A">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153DC2C">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9D387C2">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B8991F9">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48A0A37">
            <w:pPr>
              <w:pStyle w:val="73"/>
              <w:spacing w:line="360" w:lineRule="auto"/>
              <w:rPr>
                <w:rFonts w:ascii="宋体" w:hAnsi="宋体" w:cs="Arial"/>
                <w:color w:val="auto"/>
                <w:sz w:val="24"/>
                <w:highlight w:val="none"/>
              </w:rPr>
            </w:pPr>
          </w:p>
        </w:tc>
      </w:tr>
      <w:tr w14:paraId="5CD94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7486B597">
            <w:pPr>
              <w:pStyle w:val="73"/>
              <w:jc w:val="center"/>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3360ED0">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BD36590">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6875ACD">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82FE628">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F3D7EB3">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E40877B">
            <w:pPr>
              <w:pStyle w:val="73"/>
              <w:spacing w:line="360" w:lineRule="auto"/>
              <w:rPr>
                <w:rFonts w:ascii="宋体" w:hAnsi="宋体" w:cs="Arial"/>
                <w:color w:val="auto"/>
                <w:sz w:val="24"/>
                <w:highlight w:val="none"/>
              </w:rPr>
            </w:pPr>
          </w:p>
        </w:tc>
      </w:tr>
      <w:tr w14:paraId="0DEA2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C27E789">
            <w:pPr>
              <w:pStyle w:val="7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43869A5">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1699D3B">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E061C4C">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0361411">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57927B6">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D0A9B60">
            <w:pPr>
              <w:pStyle w:val="73"/>
              <w:spacing w:line="360" w:lineRule="auto"/>
              <w:rPr>
                <w:rFonts w:ascii="宋体" w:hAnsi="宋体" w:cs="Arial"/>
                <w:color w:val="auto"/>
                <w:sz w:val="24"/>
                <w:highlight w:val="none"/>
              </w:rPr>
            </w:pPr>
          </w:p>
        </w:tc>
      </w:tr>
      <w:tr w14:paraId="4C60F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360DCC5">
            <w:pPr>
              <w:pStyle w:val="7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5CD2430">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1F6B9C9">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16596BA">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1E1840E">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77FECA2">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7BFD2A5">
            <w:pPr>
              <w:pStyle w:val="73"/>
              <w:spacing w:line="360" w:lineRule="auto"/>
              <w:rPr>
                <w:rFonts w:ascii="宋体" w:hAnsi="宋体" w:cs="Arial"/>
                <w:color w:val="auto"/>
                <w:sz w:val="24"/>
                <w:highlight w:val="none"/>
              </w:rPr>
            </w:pPr>
          </w:p>
        </w:tc>
      </w:tr>
      <w:tr w14:paraId="5F617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A87EA46">
            <w:pPr>
              <w:pStyle w:val="7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EF757A9">
            <w:pPr>
              <w:pStyle w:val="7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AF06C3F">
            <w:pPr>
              <w:pStyle w:val="7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187210">
            <w:pPr>
              <w:pStyle w:val="7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8AA0B4">
            <w:pPr>
              <w:pStyle w:val="7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ACF55EF">
            <w:pPr>
              <w:pStyle w:val="7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50A53F2">
            <w:pPr>
              <w:pStyle w:val="73"/>
              <w:spacing w:line="360" w:lineRule="auto"/>
              <w:rPr>
                <w:rFonts w:ascii="宋体" w:hAnsi="宋体" w:cs="Arial"/>
                <w:color w:val="auto"/>
                <w:sz w:val="24"/>
                <w:highlight w:val="none"/>
              </w:rPr>
            </w:pPr>
          </w:p>
        </w:tc>
      </w:tr>
    </w:tbl>
    <w:p w14:paraId="7B21CCE0">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07C02CC7">
      <w:pPr>
        <w:spacing w:line="360" w:lineRule="auto"/>
        <w:ind w:firstLine="484" w:firstLineChars="202"/>
        <w:rPr>
          <w:rFonts w:hint="eastAsia" w:ascii="宋体" w:hAnsi="宋体"/>
          <w:color w:val="auto"/>
          <w:kern w:val="0"/>
          <w:sz w:val="24"/>
          <w:szCs w:val="24"/>
          <w:highlight w:val="none"/>
          <w:lang w:eastAsia="zh-CN"/>
        </w:rPr>
      </w:pPr>
      <w:r>
        <w:rPr>
          <w:rFonts w:hint="eastAsia" w:ascii="宋体" w:hAnsi="宋体" w:cs="Arial"/>
          <w:color w:val="auto"/>
          <w:sz w:val="24"/>
          <w:szCs w:val="24"/>
          <w:highlight w:val="none"/>
          <w:lang w:val="en-US" w:eastAsia="zh-CN"/>
        </w:rPr>
        <w:t>1、</w:t>
      </w: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p>
    <w:p w14:paraId="0D3A8E4E">
      <w:pPr>
        <w:spacing w:line="360" w:lineRule="auto"/>
        <w:rPr>
          <w:rFonts w:ascii="宋体" w:hAnsi="宋体"/>
          <w:color w:val="auto"/>
          <w:sz w:val="24"/>
          <w:szCs w:val="24"/>
          <w:highlight w:val="none"/>
        </w:rPr>
      </w:pPr>
    </w:p>
    <w:p w14:paraId="2307B13F">
      <w:pPr>
        <w:pStyle w:val="5"/>
        <w:rPr>
          <w:color w:val="auto"/>
          <w:highlight w:val="none"/>
        </w:rPr>
      </w:pPr>
    </w:p>
    <w:p w14:paraId="5C17E667">
      <w:pPr>
        <w:pStyle w:val="18"/>
        <w:rPr>
          <w:color w:val="auto"/>
          <w:highlight w:val="none"/>
        </w:rPr>
      </w:pPr>
    </w:p>
    <w:p w14:paraId="09832936">
      <w:pPr>
        <w:rPr>
          <w:color w:val="auto"/>
          <w:highlight w:val="none"/>
        </w:rPr>
      </w:pPr>
    </w:p>
    <w:p w14:paraId="34B352A4">
      <w:pPr>
        <w:pStyle w:val="38"/>
        <w:rPr>
          <w:color w:val="auto"/>
          <w:highlight w:val="none"/>
        </w:rPr>
      </w:pPr>
    </w:p>
    <w:p w14:paraId="630559C4">
      <w:pPr>
        <w:ind w:left="420"/>
        <w:rPr>
          <w:rFonts w:hint="eastAsia" w:ascii="宋体" w:hAnsi="宋体"/>
          <w:color w:val="auto"/>
          <w:sz w:val="24"/>
          <w:szCs w:val="24"/>
          <w:highlight w:val="none"/>
        </w:rPr>
      </w:pPr>
    </w:p>
    <w:p w14:paraId="48BA0C10">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65510872">
      <w:pPr>
        <w:rPr>
          <w:rFonts w:ascii="宋体" w:hAnsi="宋体"/>
          <w:color w:val="auto"/>
          <w:sz w:val="24"/>
          <w:szCs w:val="24"/>
          <w:highlight w:val="none"/>
        </w:rPr>
      </w:pPr>
    </w:p>
    <w:p w14:paraId="521C4BF6">
      <w:pPr>
        <w:rPr>
          <w:rFonts w:ascii="宋体" w:hAnsi="宋体"/>
          <w:color w:val="auto"/>
          <w:sz w:val="24"/>
          <w:szCs w:val="24"/>
          <w:highlight w:val="none"/>
        </w:rPr>
      </w:pPr>
    </w:p>
    <w:p w14:paraId="042283F7">
      <w:pPr>
        <w:ind w:firstLine="435"/>
        <w:rPr>
          <w:rFonts w:ascii="宋体" w:hAnsi="宋体" w:cs="仿宋_GB2312"/>
          <w:b/>
          <w:bCs/>
          <w:color w:val="auto"/>
          <w:sz w:val="32"/>
          <w:szCs w:val="32"/>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51491C22">
      <w:pPr>
        <w:spacing w:line="360" w:lineRule="auto"/>
        <w:rPr>
          <w:rFonts w:hint="eastAsia" w:ascii="宋体" w:hAnsi="宋体"/>
          <w:b/>
          <w:color w:val="auto"/>
          <w:sz w:val="28"/>
          <w:highlight w:val="none"/>
        </w:rPr>
      </w:pPr>
    </w:p>
    <w:p w14:paraId="40BBF292">
      <w:pPr>
        <w:pStyle w:val="73"/>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1CBF8836">
      <w:pPr>
        <w:pStyle w:val="67"/>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304E5C8A">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7BCBE72">
      <w:pPr>
        <w:pStyle w:val="67"/>
        <w:jc w:val="center"/>
        <w:rPr>
          <w:rFonts w:ascii="宋体" w:hAnsi="宋体" w:cs="Arial"/>
          <w:color w:val="auto"/>
          <w:sz w:val="28"/>
          <w:szCs w:val="28"/>
          <w:highlight w:val="none"/>
        </w:rPr>
      </w:pPr>
    </w:p>
    <w:tbl>
      <w:tblPr>
        <w:tblStyle w:val="3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50B9A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14:paraId="0DD7135B">
            <w:pPr>
              <w:pStyle w:val="67"/>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14:paraId="1C1E2FC8">
            <w:pPr>
              <w:pStyle w:val="67"/>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14:paraId="55A49857">
            <w:pPr>
              <w:pStyle w:val="67"/>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14:paraId="31412840">
            <w:pPr>
              <w:pStyle w:val="67"/>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76CF6A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14:paraId="32C93F32">
            <w:pPr>
              <w:pStyle w:val="67"/>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14:paraId="297E7357">
            <w:pPr>
              <w:pStyle w:val="67"/>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14:paraId="6E3E5445">
            <w:pPr>
              <w:pStyle w:val="67"/>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14:paraId="5FCC2763">
            <w:pPr>
              <w:pStyle w:val="67"/>
              <w:spacing w:line="360" w:lineRule="auto"/>
              <w:jc w:val="center"/>
              <w:rPr>
                <w:rFonts w:ascii="宋体" w:hAnsi="宋体" w:cs="Arial"/>
                <w:color w:val="auto"/>
                <w:szCs w:val="21"/>
                <w:highlight w:val="none"/>
              </w:rPr>
            </w:pPr>
          </w:p>
        </w:tc>
      </w:tr>
      <w:tr w14:paraId="1C36B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EBB94AC">
            <w:pPr>
              <w:pStyle w:val="67"/>
              <w:spacing w:line="360" w:lineRule="auto"/>
              <w:jc w:val="center"/>
              <w:rPr>
                <w:rFonts w:ascii="宋体" w:hAnsi="宋体" w:cs="Arial"/>
                <w:color w:val="auto"/>
                <w:szCs w:val="21"/>
                <w:highlight w:val="none"/>
              </w:rPr>
            </w:pPr>
          </w:p>
        </w:tc>
        <w:tc>
          <w:tcPr>
            <w:tcW w:w="2198" w:type="dxa"/>
            <w:noWrap w:val="0"/>
            <w:vAlign w:val="top"/>
          </w:tcPr>
          <w:p w14:paraId="6D5EC8A5">
            <w:pPr>
              <w:pStyle w:val="67"/>
              <w:spacing w:line="360" w:lineRule="auto"/>
              <w:jc w:val="center"/>
              <w:rPr>
                <w:rFonts w:ascii="宋体" w:hAnsi="宋体" w:cs="Arial"/>
                <w:color w:val="auto"/>
                <w:szCs w:val="21"/>
                <w:highlight w:val="none"/>
              </w:rPr>
            </w:pPr>
          </w:p>
        </w:tc>
        <w:tc>
          <w:tcPr>
            <w:tcW w:w="2069" w:type="dxa"/>
            <w:noWrap w:val="0"/>
            <w:vAlign w:val="top"/>
          </w:tcPr>
          <w:p w14:paraId="1E5219EB">
            <w:pPr>
              <w:pStyle w:val="67"/>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831C3FE">
            <w:pPr>
              <w:pStyle w:val="67"/>
              <w:spacing w:line="360" w:lineRule="auto"/>
              <w:jc w:val="center"/>
              <w:rPr>
                <w:rFonts w:ascii="宋体" w:hAnsi="宋体" w:cs="Arial"/>
                <w:color w:val="auto"/>
                <w:szCs w:val="21"/>
                <w:highlight w:val="none"/>
              </w:rPr>
            </w:pPr>
          </w:p>
        </w:tc>
      </w:tr>
      <w:tr w14:paraId="4EE29F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CD74EEE">
            <w:pPr>
              <w:pStyle w:val="67"/>
              <w:spacing w:line="360" w:lineRule="auto"/>
              <w:jc w:val="center"/>
              <w:rPr>
                <w:rFonts w:ascii="宋体" w:hAnsi="宋体" w:cs="Arial"/>
                <w:color w:val="auto"/>
                <w:szCs w:val="21"/>
                <w:highlight w:val="none"/>
              </w:rPr>
            </w:pPr>
          </w:p>
        </w:tc>
        <w:tc>
          <w:tcPr>
            <w:tcW w:w="2198" w:type="dxa"/>
            <w:noWrap w:val="0"/>
            <w:vAlign w:val="top"/>
          </w:tcPr>
          <w:p w14:paraId="7074BA6D">
            <w:pPr>
              <w:pStyle w:val="67"/>
              <w:spacing w:line="360" w:lineRule="auto"/>
              <w:jc w:val="center"/>
              <w:rPr>
                <w:rFonts w:ascii="宋体" w:hAnsi="宋体" w:cs="Arial"/>
                <w:color w:val="auto"/>
                <w:szCs w:val="21"/>
                <w:highlight w:val="none"/>
              </w:rPr>
            </w:pPr>
          </w:p>
        </w:tc>
        <w:tc>
          <w:tcPr>
            <w:tcW w:w="2069" w:type="dxa"/>
            <w:noWrap w:val="0"/>
            <w:vAlign w:val="top"/>
          </w:tcPr>
          <w:p w14:paraId="15EDB6B8">
            <w:pPr>
              <w:pStyle w:val="67"/>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23C0538">
            <w:pPr>
              <w:pStyle w:val="67"/>
              <w:spacing w:line="360" w:lineRule="auto"/>
              <w:jc w:val="center"/>
              <w:rPr>
                <w:rFonts w:ascii="宋体" w:hAnsi="宋体" w:cs="Arial"/>
                <w:color w:val="auto"/>
                <w:szCs w:val="21"/>
                <w:highlight w:val="none"/>
              </w:rPr>
            </w:pPr>
          </w:p>
        </w:tc>
      </w:tr>
      <w:tr w14:paraId="034D2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556BA800">
            <w:pPr>
              <w:pStyle w:val="67"/>
              <w:spacing w:line="360" w:lineRule="auto"/>
              <w:jc w:val="center"/>
              <w:rPr>
                <w:rFonts w:ascii="宋体" w:hAnsi="宋体" w:cs="Arial"/>
                <w:color w:val="auto"/>
                <w:szCs w:val="21"/>
                <w:highlight w:val="none"/>
              </w:rPr>
            </w:pPr>
          </w:p>
        </w:tc>
        <w:tc>
          <w:tcPr>
            <w:tcW w:w="2198" w:type="dxa"/>
            <w:noWrap w:val="0"/>
            <w:vAlign w:val="top"/>
          </w:tcPr>
          <w:p w14:paraId="1A281B4D">
            <w:pPr>
              <w:pStyle w:val="67"/>
              <w:spacing w:line="360" w:lineRule="auto"/>
              <w:jc w:val="center"/>
              <w:rPr>
                <w:rFonts w:ascii="宋体" w:hAnsi="宋体" w:cs="Arial"/>
                <w:color w:val="auto"/>
                <w:szCs w:val="21"/>
                <w:highlight w:val="none"/>
              </w:rPr>
            </w:pPr>
          </w:p>
        </w:tc>
        <w:tc>
          <w:tcPr>
            <w:tcW w:w="2069" w:type="dxa"/>
            <w:noWrap w:val="0"/>
            <w:vAlign w:val="top"/>
          </w:tcPr>
          <w:p w14:paraId="61F96880">
            <w:pPr>
              <w:pStyle w:val="67"/>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168BD790">
            <w:pPr>
              <w:pStyle w:val="67"/>
              <w:spacing w:line="360" w:lineRule="auto"/>
              <w:jc w:val="center"/>
              <w:rPr>
                <w:rFonts w:ascii="宋体" w:hAnsi="宋体" w:cs="Arial"/>
                <w:color w:val="auto"/>
                <w:szCs w:val="21"/>
                <w:highlight w:val="none"/>
              </w:rPr>
            </w:pPr>
          </w:p>
        </w:tc>
      </w:tr>
      <w:tr w14:paraId="1F377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732CF0EB">
            <w:pPr>
              <w:pStyle w:val="67"/>
              <w:spacing w:line="360" w:lineRule="auto"/>
              <w:jc w:val="center"/>
              <w:rPr>
                <w:rFonts w:ascii="宋体" w:hAnsi="宋体" w:cs="Arial"/>
                <w:color w:val="auto"/>
                <w:szCs w:val="21"/>
                <w:highlight w:val="none"/>
              </w:rPr>
            </w:pPr>
          </w:p>
        </w:tc>
        <w:tc>
          <w:tcPr>
            <w:tcW w:w="2198" w:type="dxa"/>
            <w:noWrap w:val="0"/>
            <w:vAlign w:val="top"/>
          </w:tcPr>
          <w:p w14:paraId="34155A84">
            <w:pPr>
              <w:pStyle w:val="67"/>
              <w:spacing w:line="360" w:lineRule="auto"/>
              <w:jc w:val="center"/>
              <w:rPr>
                <w:rFonts w:ascii="宋体" w:hAnsi="宋体" w:cs="Arial"/>
                <w:color w:val="auto"/>
                <w:szCs w:val="21"/>
                <w:highlight w:val="none"/>
              </w:rPr>
            </w:pPr>
          </w:p>
        </w:tc>
        <w:tc>
          <w:tcPr>
            <w:tcW w:w="2069" w:type="dxa"/>
            <w:noWrap w:val="0"/>
            <w:vAlign w:val="top"/>
          </w:tcPr>
          <w:p w14:paraId="44F8132D">
            <w:pPr>
              <w:pStyle w:val="67"/>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62CEA38">
            <w:pPr>
              <w:pStyle w:val="67"/>
              <w:spacing w:line="360" w:lineRule="auto"/>
              <w:jc w:val="center"/>
              <w:rPr>
                <w:rFonts w:ascii="宋体" w:hAnsi="宋体" w:cs="Arial"/>
                <w:color w:val="auto"/>
                <w:szCs w:val="21"/>
                <w:highlight w:val="none"/>
              </w:rPr>
            </w:pPr>
          </w:p>
        </w:tc>
      </w:tr>
      <w:tr w14:paraId="53460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0541ED2">
            <w:pPr>
              <w:pStyle w:val="67"/>
              <w:spacing w:line="360" w:lineRule="auto"/>
              <w:jc w:val="center"/>
              <w:rPr>
                <w:rFonts w:ascii="宋体" w:hAnsi="宋体" w:cs="Arial"/>
                <w:color w:val="auto"/>
                <w:szCs w:val="21"/>
                <w:highlight w:val="none"/>
              </w:rPr>
            </w:pPr>
          </w:p>
        </w:tc>
        <w:tc>
          <w:tcPr>
            <w:tcW w:w="2198" w:type="dxa"/>
            <w:noWrap w:val="0"/>
            <w:vAlign w:val="top"/>
          </w:tcPr>
          <w:p w14:paraId="6EB38E22">
            <w:pPr>
              <w:pStyle w:val="67"/>
              <w:spacing w:line="360" w:lineRule="auto"/>
              <w:jc w:val="center"/>
              <w:rPr>
                <w:rFonts w:ascii="宋体" w:hAnsi="宋体" w:cs="Arial"/>
                <w:color w:val="auto"/>
                <w:szCs w:val="21"/>
                <w:highlight w:val="none"/>
              </w:rPr>
            </w:pPr>
          </w:p>
        </w:tc>
        <w:tc>
          <w:tcPr>
            <w:tcW w:w="2069" w:type="dxa"/>
            <w:noWrap w:val="0"/>
            <w:vAlign w:val="top"/>
          </w:tcPr>
          <w:p w14:paraId="1644B31B">
            <w:pPr>
              <w:pStyle w:val="67"/>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0A03C037">
            <w:pPr>
              <w:pStyle w:val="67"/>
              <w:spacing w:line="360" w:lineRule="auto"/>
              <w:jc w:val="center"/>
              <w:rPr>
                <w:rFonts w:ascii="宋体" w:hAnsi="宋体" w:cs="Arial"/>
                <w:color w:val="auto"/>
                <w:szCs w:val="21"/>
                <w:highlight w:val="none"/>
              </w:rPr>
            </w:pPr>
          </w:p>
        </w:tc>
      </w:tr>
      <w:tr w14:paraId="5698E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14:paraId="0461E75D">
            <w:pPr>
              <w:pStyle w:val="67"/>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14:paraId="564A35ED">
            <w:pPr>
              <w:pStyle w:val="67"/>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14:paraId="177AB42D">
            <w:pPr>
              <w:pStyle w:val="67"/>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14:paraId="1C735DCB">
            <w:pPr>
              <w:pStyle w:val="67"/>
              <w:spacing w:line="360" w:lineRule="auto"/>
              <w:jc w:val="center"/>
              <w:rPr>
                <w:rFonts w:ascii="宋体" w:hAnsi="宋体" w:cs="Arial"/>
                <w:color w:val="auto"/>
                <w:szCs w:val="21"/>
                <w:highlight w:val="none"/>
              </w:rPr>
            </w:pPr>
          </w:p>
        </w:tc>
      </w:tr>
    </w:tbl>
    <w:p w14:paraId="0D51DBBF">
      <w:pPr>
        <w:pStyle w:val="67"/>
        <w:tabs>
          <w:tab w:val="left" w:pos="1050"/>
        </w:tabs>
        <w:spacing w:line="360" w:lineRule="auto"/>
        <w:rPr>
          <w:rFonts w:ascii="仿宋_GB2312" w:hAnsi="宋体" w:eastAsia="仿宋_GB2312"/>
          <w:color w:val="auto"/>
          <w:sz w:val="24"/>
          <w:highlight w:val="none"/>
        </w:rPr>
      </w:pPr>
    </w:p>
    <w:p w14:paraId="7AB07E53">
      <w:pPr>
        <w:pStyle w:val="67"/>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14:paraId="32AB963C">
      <w:pPr>
        <w:pStyle w:val="67"/>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1.填写投标人获得资质、认证或企业信誉证书；</w:t>
      </w:r>
    </w:p>
    <w:p w14:paraId="1DF95A01">
      <w:pPr>
        <w:pStyle w:val="67"/>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14:paraId="28F04946">
      <w:pPr>
        <w:pStyle w:val="67"/>
        <w:tabs>
          <w:tab w:val="left" w:pos="1050"/>
        </w:tabs>
        <w:spacing w:line="360" w:lineRule="auto"/>
        <w:ind w:firstLine="720" w:firstLineChars="300"/>
        <w:rPr>
          <w:rFonts w:ascii="仿宋_GB2312" w:hAnsi="宋体" w:eastAsia="仿宋_GB2312"/>
          <w:color w:val="auto"/>
          <w:sz w:val="24"/>
          <w:highlight w:val="none"/>
        </w:rPr>
      </w:pPr>
    </w:p>
    <w:p w14:paraId="2A8945DF">
      <w:pPr>
        <w:pStyle w:val="67"/>
        <w:tabs>
          <w:tab w:val="left" w:pos="1050"/>
        </w:tabs>
        <w:spacing w:line="360" w:lineRule="auto"/>
        <w:ind w:firstLine="720" w:firstLineChars="300"/>
        <w:rPr>
          <w:rFonts w:ascii="仿宋_GB2312" w:hAnsi="宋体" w:eastAsia="仿宋_GB2312"/>
          <w:color w:val="auto"/>
          <w:sz w:val="24"/>
          <w:highlight w:val="none"/>
        </w:rPr>
      </w:pPr>
    </w:p>
    <w:p w14:paraId="1F5C41EA">
      <w:pPr>
        <w:ind w:firstLine="424" w:firstLineChars="177"/>
        <w:rPr>
          <w:rFonts w:hint="eastAsia" w:ascii="宋体" w:hAnsi="宋体"/>
          <w:color w:val="auto"/>
          <w:sz w:val="24"/>
          <w:highlight w:val="none"/>
        </w:rPr>
      </w:pPr>
    </w:p>
    <w:p w14:paraId="32A39AB0">
      <w:pPr>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14:paraId="438DF2B3">
      <w:pPr>
        <w:ind w:left="420"/>
        <w:rPr>
          <w:rFonts w:ascii="宋体" w:hAnsi="宋体"/>
          <w:color w:val="auto"/>
          <w:sz w:val="24"/>
          <w:highlight w:val="none"/>
        </w:rPr>
      </w:pPr>
    </w:p>
    <w:p w14:paraId="406AFBF1">
      <w:pPr>
        <w:ind w:firstLine="424" w:firstLineChars="177"/>
        <w:rPr>
          <w:rFonts w:hint="eastAsia" w:ascii="宋体" w:hAnsi="宋体"/>
          <w:color w:val="auto"/>
          <w:sz w:val="24"/>
          <w:highlight w:val="none"/>
        </w:rPr>
      </w:pPr>
    </w:p>
    <w:p w14:paraId="2E7C6E29">
      <w:pPr>
        <w:ind w:firstLine="424" w:firstLineChars="177"/>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58405C6C">
      <w:pPr>
        <w:spacing w:line="360" w:lineRule="auto"/>
        <w:rPr>
          <w:rFonts w:hint="eastAsia" w:ascii="宋体" w:hAnsi="宋体"/>
          <w:b/>
          <w:color w:val="auto"/>
          <w:sz w:val="28"/>
          <w:highlight w:val="none"/>
        </w:rPr>
      </w:pPr>
    </w:p>
    <w:p w14:paraId="3B079131">
      <w:pPr>
        <w:spacing w:line="360" w:lineRule="auto"/>
        <w:rPr>
          <w:rFonts w:hint="eastAsia" w:ascii="宋体" w:hAnsi="宋体"/>
          <w:b/>
          <w:color w:val="auto"/>
          <w:sz w:val="28"/>
          <w:highlight w:val="none"/>
        </w:rPr>
      </w:pPr>
    </w:p>
    <w:p w14:paraId="68FDF4BA">
      <w:pPr>
        <w:spacing w:line="360" w:lineRule="auto"/>
        <w:rPr>
          <w:rFonts w:hint="eastAsia" w:ascii="宋体" w:hAnsi="宋体"/>
          <w:b/>
          <w:color w:val="auto"/>
          <w:sz w:val="28"/>
          <w:highlight w:val="none"/>
        </w:rPr>
      </w:pPr>
    </w:p>
    <w:p w14:paraId="3ADA1443">
      <w:pPr>
        <w:spacing w:line="360" w:lineRule="auto"/>
        <w:rPr>
          <w:rFonts w:hint="eastAsia" w:ascii="宋体" w:hAnsi="宋体"/>
          <w:b/>
          <w:color w:val="auto"/>
          <w:sz w:val="28"/>
          <w:highlight w:val="none"/>
        </w:rPr>
      </w:pPr>
    </w:p>
    <w:p w14:paraId="74D44729">
      <w:pPr>
        <w:spacing w:line="360" w:lineRule="auto"/>
        <w:rPr>
          <w:rFonts w:hint="eastAsia" w:ascii="宋体" w:hAnsi="宋体"/>
          <w:b/>
          <w:color w:val="auto"/>
          <w:sz w:val="28"/>
          <w:highlight w:val="none"/>
        </w:rPr>
      </w:pPr>
    </w:p>
    <w:p w14:paraId="59A8F9F2">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58910C71">
      <w:pPr>
        <w:ind w:firstLine="643"/>
        <w:jc w:val="center"/>
        <w:rPr>
          <w:rFonts w:ascii="宋体" w:hAnsi="宋体" w:cs="仿宋_GB2312"/>
          <w:b/>
          <w:bCs/>
          <w:color w:val="auto"/>
          <w:sz w:val="32"/>
          <w:szCs w:val="32"/>
          <w:highlight w:val="none"/>
        </w:rPr>
      </w:pPr>
    </w:p>
    <w:p w14:paraId="2DEE1B2C">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14:paraId="0A658EE7">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14:paraId="2DF0F5A1">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9"/>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59E9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B7614DD">
            <w:pPr>
              <w:pStyle w:val="38"/>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14:paraId="7371F058">
            <w:pPr>
              <w:pStyle w:val="38"/>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14:paraId="7030484F">
            <w:pPr>
              <w:pStyle w:val="38"/>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14:paraId="5533F510">
            <w:pPr>
              <w:pStyle w:val="38"/>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14:paraId="3A9D364F">
            <w:pPr>
              <w:pStyle w:val="38"/>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14:paraId="56F50313">
            <w:pPr>
              <w:pStyle w:val="38"/>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14:paraId="0438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F3CBD8D">
            <w:pPr>
              <w:pStyle w:val="38"/>
              <w:ind w:firstLine="480"/>
              <w:jc w:val="center"/>
              <w:rPr>
                <w:rFonts w:ascii="宋体" w:hAnsi="宋体" w:cs="仿宋_GB2312"/>
                <w:color w:val="auto"/>
                <w:sz w:val="24"/>
                <w:highlight w:val="none"/>
              </w:rPr>
            </w:pPr>
          </w:p>
        </w:tc>
        <w:tc>
          <w:tcPr>
            <w:tcW w:w="1605" w:type="dxa"/>
            <w:noWrap w:val="0"/>
            <w:vAlign w:val="center"/>
          </w:tcPr>
          <w:p w14:paraId="50A2CDB4">
            <w:pPr>
              <w:pStyle w:val="38"/>
              <w:ind w:firstLine="480"/>
              <w:jc w:val="center"/>
              <w:rPr>
                <w:rFonts w:ascii="宋体" w:hAnsi="宋体" w:cs="仿宋_GB2312"/>
                <w:color w:val="auto"/>
                <w:sz w:val="24"/>
                <w:highlight w:val="none"/>
              </w:rPr>
            </w:pPr>
          </w:p>
        </w:tc>
        <w:tc>
          <w:tcPr>
            <w:tcW w:w="2007" w:type="dxa"/>
            <w:noWrap w:val="0"/>
            <w:vAlign w:val="center"/>
          </w:tcPr>
          <w:p w14:paraId="0E2651EF">
            <w:pPr>
              <w:pStyle w:val="38"/>
              <w:ind w:firstLine="480"/>
              <w:jc w:val="center"/>
              <w:rPr>
                <w:rFonts w:ascii="宋体" w:hAnsi="宋体" w:cs="仿宋_GB2312"/>
                <w:color w:val="auto"/>
                <w:sz w:val="24"/>
                <w:highlight w:val="none"/>
              </w:rPr>
            </w:pPr>
          </w:p>
        </w:tc>
        <w:tc>
          <w:tcPr>
            <w:tcW w:w="1496" w:type="dxa"/>
            <w:noWrap w:val="0"/>
            <w:vAlign w:val="center"/>
          </w:tcPr>
          <w:p w14:paraId="5EEFE8CF">
            <w:pPr>
              <w:pStyle w:val="38"/>
              <w:ind w:firstLine="480"/>
              <w:jc w:val="center"/>
              <w:rPr>
                <w:rFonts w:ascii="宋体" w:hAnsi="宋体" w:cs="仿宋_GB2312"/>
                <w:color w:val="auto"/>
                <w:sz w:val="24"/>
                <w:highlight w:val="none"/>
              </w:rPr>
            </w:pPr>
          </w:p>
        </w:tc>
        <w:tc>
          <w:tcPr>
            <w:tcW w:w="1496" w:type="dxa"/>
            <w:noWrap w:val="0"/>
            <w:vAlign w:val="center"/>
          </w:tcPr>
          <w:p w14:paraId="476F3653">
            <w:pPr>
              <w:pStyle w:val="38"/>
              <w:ind w:firstLine="480"/>
              <w:jc w:val="center"/>
              <w:rPr>
                <w:rFonts w:ascii="宋体" w:hAnsi="宋体" w:cs="仿宋_GB2312"/>
                <w:color w:val="auto"/>
                <w:sz w:val="24"/>
                <w:highlight w:val="none"/>
              </w:rPr>
            </w:pPr>
          </w:p>
        </w:tc>
        <w:tc>
          <w:tcPr>
            <w:tcW w:w="1496" w:type="dxa"/>
            <w:noWrap w:val="0"/>
            <w:vAlign w:val="center"/>
          </w:tcPr>
          <w:p w14:paraId="36970571">
            <w:pPr>
              <w:pStyle w:val="38"/>
              <w:ind w:firstLine="480"/>
              <w:jc w:val="center"/>
              <w:rPr>
                <w:rFonts w:ascii="宋体" w:hAnsi="宋体" w:cs="仿宋_GB2312"/>
                <w:color w:val="auto"/>
                <w:sz w:val="24"/>
                <w:highlight w:val="none"/>
              </w:rPr>
            </w:pPr>
          </w:p>
        </w:tc>
      </w:tr>
      <w:tr w14:paraId="1828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A9981EC">
            <w:pPr>
              <w:pStyle w:val="38"/>
              <w:ind w:firstLine="480"/>
              <w:jc w:val="center"/>
              <w:rPr>
                <w:rFonts w:ascii="宋体" w:hAnsi="宋体" w:cs="仿宋_GB2312"/>
                <w:color w:val="auto"/>
                <w:sz w:val="24"/>
                <w:highlight w:val="none"/>
              </w:rPr>
            </w:pPr>
          </w:p>
        </w:tc>
        <w:tc>
          <w:tcPr>
            <w:tcW w:w="1605" w:type="dxa"/>
            <w:noWrap w:val="0"/>
            <w:vAlign w:val="center"/>
          </w:tcPr>
          <w:p w14:paraId="3428FAD5">
            <w:pPr>
              <w:pStyle w:val="38"/>
              <w:ind w:firstLine="480"/>
              <w:jc w:val="center"/>
              <w:rPr>
                <w:rFonts w:ascii="宋体" w:hAnsi="宋体" w:cs="仿宋_GB2312"/>
                <w:color w:val="auto"/>
                <w:sz w:val="24"/>
                <w:highlight w:val="none"/>
              </w:rPr>
            </w:pPr>
          </w:p>
        </w:tc>
        <w:tc>
          <w:tcPr>
            <w:tcW w:w="2007" w:type="dxa"/>
            <w:noWrap w:val="0"/>
            <w:vAlign w:val="center"/>
          </w:tcPr>
          <w:p w14:paraId="41650B73">
            <w:pPr>
              <w:pStyle w:val="38"/>
              <w:ind w:firstLine="480"/>
              <w:jc w:val="center"/>
              <w:rPr>
                <w:rFonts w:ascii="宋体" w:hAnsi="宋体" w:cs="仿宋_GB2312"/>
                <w:color w:val="auto"/>
                <w:sz w:val="24"/>
                <w:highlight w:val="none"/>
              </w:rPr>
            </w:pPr>
          </w:p>
        </w:tc>
        <w:tc>
          <w:tcPr>
            <w:tcW w:w="1496" w:type="dxa"/>
            <w:noWrap w:val="0"/>
            <w:vAlign w:val="center"/>
          </w:tcPr>
          <w:p w14:paraId="6238C3A8">
            <w:pPr>
              <w:pStyle w:val="38"/>
              <w:ind w:firstLine="480"/>
              <w:jc w:val="center"/>
              <w:rPr>
                <w:rFonts w:ascii="宋体" w:hAnsi="宋体" w:cs="仿宋_GB2312"/>
                <w:color w:val="auto"/>
                <w:sz w:val="24"/>
                <w:highlight w:val="none"/>
              </w:rPr>
            </w:pPr>
          </w:p>
        </w:tc>
        <w:tc>
          <w:tcPr>
            <w:tcW w:w="1496" w:type="dxa"/>
            <w:noWrap w:val="0"/>
            <w:vAlign w:val="center"/>
          </w:tcPr>
          <w:p w14:paraId="5FA67C99">
            <w:pPr>
              <w:pStyle w:val="38"/>
              <w:ind w:firstLine="480"/>
              <w:jc w:val="center"/>
              <w:rPr>
                <w:rFonts w:ascii="宋体" w:hAnsi="宋体" w:cs="仿宋_GB2312"/>
                <w:color w:val="auto"/>
                <w:sz w:val="24"/>
                <w:highlight w:val="none"/>
              </w:rPr>
            </w:pPr>
          </w:p>
        </w:tc>
        <w:tc>
          <w:tcPr>
            <w:tcW w:w="1496" w:type="dxa"/>
            <w:noWrap w:val="0"/>
            <w:vAlign w:val="center"/>
          </w:tcPr>
          <w:p w14:paraId="0943C222">
            <w:pPr>
              <w:pStyle w:val="38"/>
              <w:ind w:firstLine="480"/>
              <w:jc w:val="center"/>
              <w:rPr>
                <w:rFonts w:ascii="宋体" w:hAnsi="宋体" w:cs="仿宋_GB2312"/>
                <w:color w:val="auto"/>
                <w:sz w:val="24"/>
                <w:highlight w:val="none"/>
              </w:rPr>
            </w:pPr>
          </w:p>
        </w:tc>
      </w:tr>
      <w:tr w14:paraId="483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501A06FA">
            <w:pPr>
              <w:pStyle w:val="38"/>
              <w:ind w:firstLine="480"/>
              <w:jc w:val="center"/>
              <w:rPr>
                <w:rFonts w:ascii="宋体" w:hAnsi="宋体" w:cs="仿宋_GB2312"/>
                <w:color w:val="auto"/>
                <w:sz w:val="24"/>
                <w:highlight w:val="none"/>
              </w:rPr>
            </w:pPr>
          </w:p>
        </w:tc>
        <w:tc>
          <w:tcPr>
            <w:tcW w:w="1605" w:type="dxa"/>
            <w:noWrap w:val="0"/>
            <w:vAlign w:val="center"/>
          </w:tcPr>
          <w:p w14:paraId="5E7D9544">
            <w:pPr>
              <w:pStyle w:val="38"/>
              <w:ind w:firstLine="480"/>
              <w:jc w:val="center"/>
              <w:rPr>
                <w:rFonts w:ascii="宋体" w:hAnsi="宋体" w:cs="仿宋_GB2312"/>
                <w:color w:val="auto"/>
                <w:sz w:val="24"/>
                <w:highlight w:val="none"/>
              </w:rPr>
            </w:pPr>
          </w:p>
        </w:tc>
        <w:tc>
          <w:tcPr>
            <w:tcW w:w="2007" w:type="dxa"/>
            <w:noWrap w:val="0"/>
            <w:vAlign w:val="center"/>
          </w:tcPr>
          <w:p w14:paraId="0C108ED1">
            <w:pPr>
              <w:pStyle w:val="38"/>
              <w:ind w:firstLine="480"/>
              <w:jc w:val="center"/>
              <w:rPr>
                <w:rFonts w:ascii="宋体" w:hAnsi="宋体" w:cs="仿宋_GB2312"/>
                <w:color w:val="auto"/>
                <w:sz w:val="24"/>
                <w:highlight w:val="none"/>
              </w:rPr>
            </w:pPr>
          </w:p>
        </w:tc>
        <w:tc>
          <w:tcPr>
            <w:tcW w:w="1496" w:type="dxa"/>
            <w:noWrap w:val="0"/>
            <w:vAlign w:val="center"/>
          </w:tcPr>
          <w:p w14:paraId="7956D82A">
            <w:pPr>
              <w:pStyle w:val="38"/>
              <w:ind w:firstLine="480"/>
              <w:jc w:val="center"/>
              <w:rPr>
                <w:rFonts w:ascii="宋体" w:hAnsi="宋体" w:cs="仿宋_GB2312"/>
                <w:color w:val="auto"/>
                <w:sz w:val="24"/>
                <w:highlight w:val="none"/>
              </w:rPr>
            </w:pPr>
          </w:p>
        </w:tc>
        <w:tc>
          <w:tcPr>
            <w:tcW w:w="1496" w:type="dxa"/>
            <w:noWrap w:val="0"/>
            <w:vAlign w:val="center"/>
          </w:tcPr>
          <w:p w14:paraId="5B742949">
            <w:pPr>
              <w:pStyle w:val="38"/>
              <w:ind w:firstLine="480"/>
              <w:jc w:val="center"/>
              <w:rPr>
                <w:rFonts w:ascii="宋体" w:hAnsi="宋体" w:cs="仿宋_GB2312"/>
                <w:color w:val="auto"/>
                <w:sz w:val="24"/>
                <w:highlight w:val="none"/>
              </w:rPr>
            </w:pPr>
          </w:p>
        </w:tc>
        <w:tc>
          <w:tcPr>
            <w:tcW w:w="1496" w:type="dxa"/>
            <w:noWrap w:val="0"/>
            <w:vAlign w:val="center"/>
          </w:tcPr>
          <w:p w14:paraId="5CBD0EC5">
            <w:pPr>
              <w:pStyle w:val="38"/>
              <w:ind w:firstLine="480"/>
              <w:jc w:val="center"/>
              <w:rPr>
                <w:rFonts w:ascii="宋体" w:hAnsi="宋体" w:cs="仿宋_GB2312"/>
                <w:color w:val="auto"/>
                <w:sz w:val="24"/>
                <w:highlight w:val="none"/>
              </w:rPr>
            </w:pPr>
          </w:p>
        </w:tc>
      </w:tr>
      <w:tr w14:paraId="39E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CD846DE">
            <w:pPr>
              <w:pStyle w:val="38"/>
              <w:ind w:firstLine="480"/>
              <w:jc w:val="center"/>
              <w:rPr>
                <w:rFonts w:ascii="宋体" w:hAnsi="宋体" w:cs="仿宋_GB2312"/>
                <w:color w:val="auto"/>
                <w:sz w:val="24"/>
                <w:highlight w:val="none"/>
              </w:rPr>
            </w:pPr>
          </w:p>
        </w:tc>
        <w:tc>
          <w:tcPr>
            <w:tcW w:w="1605" w:type="dxa"/>
            <w:noWrap w:val="0"/>
            <w:vAlign w:val="center"/>
          </w:tcPr>
          <w:p w14:paraId="4D32FB5A">
            <w:pPr>
              <w:pStyle w:val="38"/>
              <w:ind w:firstLine="480"/>
              <w:jc w:val="center"/>
              <w:rPr>
                <w:rFonts w:ascii="宋体" w:hAnsi="宋体" w:cs="仿宋_GB2312"/>
                <w:color w:val="auto"/>
                <w:sz w:val="24"/>
                <w:highlight w:val="none"/>
              </w:rPr>
            </w:pPr>
          </w:p>
        </w:tc>
        <w:tc>
          <w:tcPr>
            <w:tcW w:w="2007" w:type="dxa"/>
            <w:noWrap w:val="0"/>
            <w:vAlign w:val="center"/>
          </w:tcPr>
          <w:p w14:paraId="24D536E5">
            <w:pPr>
              <w:pStyle w:val="38"/>
              <w:ind w:firstLine="480"/>
              <w:jc w:val="center"/>
              <w:rPr>
                <w:rFonts w:ascii="宋体" w:hAnsi="宋体" w:cs="仿宋_GB2312"/>
                <w:color w:val="auto"/>
                <w:sz w:val="24"/>
                <w:highlight w:val="none"/>
              </w:rPr>
            </w:pPr>
          </w:p>
        </w:tc>
        <w:tc>
          <w:tcPr>
            <w:tcW w:w="1496" w:type="dxa"/>
            <w:noWrap w:val="0"/>
            <w:vAlign w:val="center"/>
          </w:tcPr>
          <w:p w14:paraId="74B7D769">
            <w:pPr>
              <w:pStyle w:val="38"/>
              <w:ind w:firstLine="480"/>
              <w:jc w:val="center"/>
              <w:rPr>
                <w:rFonts w:ascii="宋体" w:hAnsi="宋体" w:cs="仿宋_GB2312"/>
                <w:color w:val="auto"/>
                <w:sz w:val="24"/>
                <w:highlight w:val="none"/>
              </w:rPr>
            </w:pPr>
          </w:p>
        </w:tc>
        <w:tc>
          <w:tcPr>
            <w:tcW w:w="1496" w:type="dxa"/>
            <w:noWrap w:val="0"/>
            <w:vAlign w:val="center"/>
          </w:tcPr>
          <w:p w14:paraId="133AAA96">
            <w:pPr>
              <w:pStyle w:val="38"/>
              <w:ind w:firstLine="480"/>
              <w:jc w:val="center"/>
              <w:rPr>
                <w:rFonts w:ascii="宋体" w:hAnsi="宋体" w:cs="仿宋_GB2312"/>
                <w:color w:val="auto"/>
                <w:sz w:val="24"/>
                <w:highlight w:val="none"/>
              </w:rPr>
            </w:pPr>
          </w:p>
        </w:tc>
        <w:tc>
          <w:tcPr>
            <w:tcW w:w="1496" w:type="dxa"/>
            <w:noWrap w:val="0"/>
            <w:vAlign w:val="center"/>
          </w:tcPr>
          <w:p w14:paraId="5A2F315A">
            <w:pPr>
              <w:pStyle w:val="38"/>
              <w:ind w:firstLine="480"/>
              <w:jc w:val="center"/>
              <w:rPr>
                <w:rFonts w:ascii="宋体" w:hAnsi="宋体" w:cs="仿宋_GB2312"/>
                <w:color w:val="auto"/>
                <w:sz w:val="24"/>
                <w:highlight w:val="none"/>
              </w:rPr>
            </w:pPr>
          </w:p>
        </w:tc>
      </w:tr>
      <w:tr w14:paraId="7B7B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01259A6">
            <w:pPr>
              <w:pStyle w:val="38"/>
              <w:ind w:firstLine="480"/>
              <w:jc w:val="center"/>
              <w:rPr>
                <w:rFonts w:ascii="宋体" w:hAnsi="宋体" w:cs="仿宋_GB2312"/>
                <w:color w:val="auto"/>
                <w:sz w:val="24"/>
                <w:highlight w:val="none"/>
              </w:rPr>
            </w:pPr>
          </w:p>
        </w:tc>
        <w:tc>
          <w:tcPr>
            <w:tcW w:w="1605" w:type="dxa"/>
            <w:noWrap w:val="0"/>
            <w:vAlign w:val="center"/>
          </w:tcPr>
          <w:p w14:paraId="76E18C7C">
            <w:pPr>
              <w:pStyle w:val="38"/>
              <w:ind w:firstLine="480"/>
              <w:jc w:val="center"/>
              <w:rPr>
                <w:rFonts w:ascii="宋体" w:hAnsi="宋体" w:cs="仿宋_GB2312"/>
                <w:color w:val="auto"/>
                <w:sz w:val="24"/>
                <w:highlight w:val="none"/>
              </w:rPr>
            </w:pPr>
          </w:p>
        </w:tc>
        <w:tc>
          <w:tcPr>
            <w:tcW w:w="2007" w:type="dxa"/>
            <w:noWrap w:val="0"/>
            <w:vAlign w:val="center"/>
          </w:tcPr>
          <w:p w14:paraId="7F0AB8CA">
            <w:pPr>
              <w:pStyle w:val="38"/>
              <w:ind w:firstLine="480"/>
              <w:jc w:val="center"/>
              <w:rPr>
                <w:rFonts w:ascii="宋体" w:hAnsi="宋体" w:cs="仿宋_GB2312"/>
                <w:color w:val="auto"/>
                <w:sz w:val="24"/>
                <w:highlight w:val="none"/>
              </w:rPr>
            </w:pPr>
          </w:p>
        </w:tc>
        <w:tc>
          <w:tcPr>
            <w:tcW w:w="1496" w:type="dxa"/>
            <w:noWrap w:val="0"/>
            <w:vAlign w:val="center"/>
          </w:tcPr>
          <w:p w14:paraId="38CD355F">
            <w:pPr>
              <w:pStyle w:val="38"/>
              <w:ind w:firstLine="480"/>
              <w:jc w:val="center"/>
              <w:rPr>
                <w:rFonts w:ascii="宋体" w:hAnsi="宋体" w:cs="仿宋_GB2312"/>
                <w:color w:val="auto"/>
                <w:sz w:val="24"/>
                <w:highlight w:val="none"/>
              </w:rPr>
            </w:pPr>
          </w:p>
        </w:tc>
        <w:tc>
          <w:tcPr>
            <w:tcW w:w="1496" w:type="dxa"/>
            <w:noWrap w:val="0"/>
            <w:vAlign w:val="center"/>
          </w:tcPr>
          <w:p w14:paraId="16CB47FE">
            <w:pPr>
              <w:pStyle w:val="38"/>
              <w:ind w:firstLine="480"/>
              <w:jc w:val="center"/>
              <w:rPr>
                <w:rFonts w:ascii="宋体" w:hAnsi="宋体" w:cs="仿宋_GB2312"/>
                <w:color w:val="auto"/>
                <w:sz w:val="24"/>
                <w:highlight w:val="none"/>
              </w:rPr>
            </w:pPr>
          </w:p>
        </w:tc>
        <w:tc>
          <w:tcPr>
            <w:tcW w:w="1496" w:type="dxa"/>
            <w:noWrap w:val="0"/>
            <w:vAlign w:val="center"/>
          </w:tcPr>
          <w:p w14:paraId="70FC00FC">
            <w:pPr>
              <w:pStyle w:val="38"/>
              <w:ind w:firstLine="480"/>
              <w:jc w:val="center"/>
              <w:rPr>
                <w:rFonts w:ascii="宋体" w:hAnsi="宋体" w:cs="仿宋_GB2312"/>
                <w:color w:val="auto"/>
                <w:sz w:val="24"/>
                <w:highlight w:val="none"/>
              </w:rPr>
            </w:pPr>
          </w:p>
        </w:tc>
      </w:tr>
      <w:tr w14:paraId="345E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011B9E1">
            <w:pPr>
              <w:pStyle w:val="38"/>
              <w:ind w:firstLine="480"/>
              <w:jc w:val="center"/>
              <w:rPr>
                <w:rFonts w:ascii="宋体" w:hAnsi="宋体" w:cs="仿宋_GB2312"/>
                <w:color w:val="auto"/>
                <w:sz w:val="24"/>
                <w:highlight w:val="none"/>
              </w:rPr>
            </w:pPr>
          </w:p>
        </w:tc>
        <w:tc>
          <w:tcPr>
            <w:tcW w:w="1605" w:type="dxa"/>
            <w:noWrap w:val="0"/>
            <w:vAlign w:val="center"/>
          </w:tcPr>
          <w:p w14:paraId="0773F345">
            <w:pPr>
              <w:pStyle w:val="38"/>
              <w:ind w:firstLine="480"/>
              <w:jc w:val="center"/>
              <w:rPr>
                <w:rFonts w:ascii="宋体" w:hAnsi="宋体" w:cs="仿宋_GB2312"/>
                <w:color w:val="auto"/>
                <w:sz w:val="24"/>
                <w:highlight w:val="none"/>
              </w:rPr>
            </w:pPr>
          </w:p>
        </w:tc>
        <w:tc>
          <w:tcPr>
            <w:tcW w:w="2007" w:type="dxa"/>
            <w:noWrap w:val="0"/>
            <w:vAlign w:val="center"/>
          </w:tcPr>
          <w:p w14:paraId="595AB3F9">
            <w:pPr>
              <w:pStyle w:val="38"/>
              <w:ind w:firstLine="480"/>
              <w:jc w:val="center"/>
              <w:rPr>
                <w:rFonts w:ascii="宋体" w:hAnsi="宋体" w:cs="仿宋_GB2312"/>
                <w:color w:val="auto"/>
                <w:sz w:val="24"/>
                <w:highlight w:val="none"/>
              </w:rPr>
            </w:pPr>
          </w:p>
        </w:tc>
        <w:tc>
          <w:tcPr>
            <w:tcW w:w="1496" w:type="dxa"/>
            <w:noWrap w:val="0"/>
            <w:vAlign w:val="center"/>
          </w:tcPr>
          <w:p w14:paraId="46ABCBD0">
            <w:pPr>
              <w:pStyle w:val="38"/>
              <w:ind w:firstLine="480"/>
              <w:jc w:val="center"/>
              <w:rPr>
                <w:rFonts w:ascii="宋体" w:hAnsi="宋体" w:cs="仿宋_GB2312"/>
                <w:color w:val="auto"/>
                <w:sz w:val="24"/>
                <w:highlight w:val="none"/>
              </w:rPr>
            </w:pPr>
          </w:p>
        </w:tc>
        <w:tc>
          <w:tcPr>
            <w:tcW w:w="1496" w:type="dxa"/>
            <w:noWrap w:val="0"/>
            <w:vAlign w:val="center"/>
          </w:tcPr>
          <w:p w14:paraId="64B55751">
            <w:pPr>
              <w:pStyle w:val="38"/>
              <w:ind w:firstLine="480"/>
              <w:jc w:val="center"/>
              <w:rPr>
                <w:rFonts w:ascii="宋体" w:hAnsi="宋体" w:cs="仿宋_GB2312"/>
                <w:color w:val="auto"/>
                <w:sz w:val="24"/>
                <w:highlight w:val="none"/>
              </w:rPr>
            </w:pPr>
          </w:p>
        </w:tc>
        <w:tc>
          <w:tcPr>
            <w:tcW w:w="1496" w:type="dxa"/>
            <w:noWrap w:val="0"/>
            <w:vAlign w:val="center"/>
          </w:tcPr>
          <w:p w14:paraId="6103E574">
            <w:pPr>
              <w:pStyle w:val="38"/>
              <w:ind w:firstLine="480"/>
              <w:jc w:val="center"/>
              <w:rPr>
                <w:rFonts w:ascii="宋体" w:hAnsi="宋体" w:cs="仿宋_GB2312"/>
                <w:color w:val="auto"/>
                <w:sz w:val="24"/>
                <w:highlight w:val="none"/>
              </w:rPr>
            </w:pPr>
          </w:p>
        </w:tc>
      </w:tr>
      <w:tr w14:paraId="66C7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599A464">
            <w:pPr>
              <w:pStyle w:val="38"/>
              <w:ind w:firstLine="480"/>
              <w:jc w:val="center"/>
              <w:rPr>
                <w:rFonts w:ascii="宋体" w:hAnsi="宋体" w:cs="仿宋_GB2312"/>
                <w:color w:val="auto"/>
                <w:sz w:val="24"/>
                <w:highlight w:val="none"/>
              </w:rPr>
            </w:pPr>
          </w:p>
        </w:tc>
        <w:tc>
          <w:tcPr>
            <w:tcW w:w="1605" w:type="dxa"/>
            <w:noWrap w:val="0"/>
            <w:vAlign w:val="center"/>
          </w:tcPr>
          <w:p w14:paraId="55F4906D">
            <w:pPr>
              <w:pStyle w:val="38"/>
              <w:ind w:firstLine="480"/>
              <w:jc w:val="center"/>
              <w:rPr>
                <w:rFonts w:ascii="宋体" w:hAnsi="宋体" w:cs="仿宋_GB2312"/>
                <w:color w:val="auto"/>
                <w:sz w:val="24"/>
                <w:highlight w:val="none"/>
              </w:rPr>
            </w:pPr>
          </w:p>
        </w:tc>
        <w:tc>
          <w:tcPr>
            <w:tcW w:w="2007" w:type="dxa"/>
            <w:noWrap w:val="0"/>
            <w:vAlign w:val="center"/>
          </w:tcPr>
          <w:p w14:paraId="72C66E02">
            <w:pPr>
              <w:pStyle w:val="38"/>
              <w:ind w:firstLine="480"/>
              <w:jc w:val="center"/>
              <w:rPr>
                <w:rFonts w:ascii="宋体" w:hAnsi="宋体" w:cs="仿宋_GB2312"/>
                <w:color w:val="auto"/>
                <w:sz w:val="24"/>
                <w:highlight w:val="none"/>
              </w:rPr>
            </w:pPr>
          </w:p>
        </w:tc>
        <w:tc>
          <w:tcPr>
            <w:tcW w:w="1496" w:type="dxa"/>
            <w:noWrap w:val="0"/>
            <w:vAlign w:val="center"/>
          </w:tcPr>
          <w:p w14:paraId="24C568D7">
            <w:pPr>
              <w:pStyle w:val="38"/>
              <w:ind w:firstLine="480"/>
              <w:jc w:val="center"/>
              <w:rPr>
                <w:rFonts w:ascii="宋体" w:hAnsi="宋体" w:cs="仿宋_GB2312"/>
                <w:color w:val="auto"/>
                <w:sz w:val="24"/>
                <w:highlight w:val="none"/>
              </w:rPr>
            </w:pPr>
          </w:p>
        </w:tc>
        <w:tc>
          <w:tcPr>
            <w:tcW w:w="1496" w:type="dxa"/>
            <w:noWrap w:val="0"/>
            <w:vAlign w:val="center"/>
          </w:tcPr>
          <w:p w14:paraId="1DA20D0A">
            <w:pPr>
              <w:pStyle w:val="38"/>
              <w:ind w:firstLine="480"/>
              <w:jc w:val="center"/>
              <w:rPr>
                <w:rFonts w:ascii="宋体" w:hAnsi="宋体" w:cs="仿宋_GB2312"/>
                <w:color w:val="auto"/>
                <w:sz w:val="24"/>
                <w:highlight w:val="none"/>
              </w:rPr>
            </w:pPr>
          </w:p>
        </w:tc>
        <w:tc>
          <w:tcPr>
            <w:tcW w:w="1496" w:type="dxa"/>
            <w:noWrap w:val="0"/>
            <w:vAlign w:val="center"/>
          </w:tcPr>
          <w:p w14:paraId="74199046">
            <w:pPr>
              <w:pStyle w:val="38"/>
              <w:ind w:firstLine="480"/>
              <w:jc w:val="center"/>
              <w:rPr>
                <w:rFonts w:ascii="宋体" w:hAnsi="宋体" w:cs="仿宋_GB2312"/>
                <w:color w:val="auto"/>
                <w:sz w:val="24"/>
                <w:highlight w:val="none"/>
              </w:rPr>
            </w:pPr>
          </w:p>
        </w:tc>
      </w:tr>
      <w:tr w14:paraId="031A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21C6367">
            <w:pPr>
              <w:pStyle w:val="38"/>
              <w:ind w:firstLine="480"/>
              <w:jc w:val="center"/>
              <w:rPr>
                <w:rFonts w:ascii="宋体" w:hAnsi="宋体" w:cs="仿宋_GB2312"/>
                <w:color w:val="auto"/>
                <w:sz w:val="24"/>
                <w:highlight w:val="none"/>
              </w:rPr>
            </w:pPr>
          </w:p>
        </w:tc>
        <w:tc>
          <w:tcPr>
            <w:tcW w:w="1605" w:type="dxa"/>
            <w:noWrap w:val="0"/>
            <w:vAlign w:val="center"/>
          </w:tcPr>
          <w:p w14:paraId="3A1CBF2A">
            <w:pPr>
              <w:pStyle w:val="38"/>
              <w:ind w:firstLine="480"/>
              <w:jc w:val="center"/>
              <w:rPr>
                <w:rFonts w:ascii="宋体" w:hAnsi="宋体" w:cs="仿宋_GB2312"/>
                <w:color w:val="auto"/>
                <w:sz w:val="24"/>
                <w:highlight w:val="none"/>
              </w:rPr>
            </w:pPr>
          </w:p>
        </w:tc>
        <w:tc>
          <w:tcPr>
            <w:tcW w:w="2007" w:type="dxa"/>
            <w:noWrap w:val="0"/>
            <w:vAlign w:val="center"/>
          </w:tcPr>
          <w:p w14:paraId="18AD45BA">
            <w:pPr>
              <w:pStyle w:val="38"/>
              <w:ind w:firstLine="480"/>
              <w:jc w:val="center"/>
              <w:rPr>
                <w:rFonts w:ascii="宋体" w:hAnsi="宋体" w:cs="仿宋_GB2312"/>
                <w:color w:val="auto"/>
                <w:sz w:val="24"/>
                <w:highlight w:val="none"/>
              </w:rPr>
            </w:pPr>
          </w:p>
        </w:tc>
        <w:tc>
          <w:tcPr>
            <w:tcW w:w="1496" w:type="dxa"/>
            <w:noWrap w:val="0"/>
            <w:vAlign w:val="center"/>
          </w:tcPr>
          <w:p w14:paraId="343E53B6">
            <w:pPr>
              <w:pStyle w:val="38"/>
              <w:ind w:firstLine="480"/>
              <w:jc w:val="center"/>
              <w:rPr>
                <w:rFonts w:ascii="宋体" w:hAnsi="宋体" w:cs="仿宋_GB2312"/>
                <w:color w:val="auto"/>
                <w:sz w:val="24"/>
                <w:highlight w:val="none"/>
              </w:rPr>
            </w:pPr>
          </w:p>
        </w:tc>
        <w:tc>
          <w:tcPr>
            <w:tcW w:w="1496" w:type="dxa"/>
            <w:noWrap w:val="0"/>
            <w:vAlign w:val="center"/>
          </w:tcPr>
          <w:p w14:paraId="5316E50D">
            <w:pPr>
              <w:pStyle w:val="38"/>
              <w:ind w:firstLine="480"/>
              <w:jc w:val="center"/>
              <w:rPr>
                <w:rFonts w:ascii="宋体" w:hAnsi="宋体" w:cs="仿宋_GB2312"/>
                <w:color w:val="auto"/>
                <w:sz w:val="24"/>
                <w:highlight w:val="none"/>
              </w:rPr>
            </w:pPr>
          </w:p>
        </w:tc>
        <w:tc>
          <w:tcPr>
            <w:tcW w:w="1496" w:type="dxa"/>
            <w:noWrap w:val="0"/>
            <w:vAlign w:val="center"/>
          </w:tcPr>
          <w:p w14:paraId="5995E799">
            <w:pPr>
              <w:pStyle w:val="38"/>
              <w:ind w:firstLine="480"/>
              <w:jc w:val="center"/>
              <w:rPr>
                <w:rFonts w:ascii="宋体" w:hAnsi="宋体" w:cs="仿宋_GB2312"/>
                <w:color w:val="auto"/>
                <w:sz w:val="24"/>
                <w:highlight w:val="none"/>
              </w:rPr>
            </w:pPr>
          </w:p>
        </w:tc>
      </w:tr>
      <w:tr w14:paraId="407A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6C1D654">
            <w:pPr>
              <w:pStyle w:val="38"/>
              <w:ind w:firstLine="480"/>
              <w:jc w:val="center"/>
              <w:rPr>
                <w:rFonts w:ascii="宋体" w:hAnsi="宋体" w:cs="仿宋_GB2312"/>
                <w:color w:val="auto"/>
                <w:sz w:val="24"/>
                <w:highlight w:val="none"/>
              </w:rPr>
            </w:pPr>
          </w:p>
        </w:tc>
        <w:tc>
          <w:tcPr>
            <w:tcW w:w="1605" w:type="dxa"/>
            <w:noWrap w:val="0"/>
            <w:vAlign w:val="center"/>
          </w:tcPr>
          <w:p w14:paraId="417C5121">
            <w:pPr>
              <w:pStyle w:val="38"/>
              <w:ind w:firstLine="480"/>
              <w:jc w:val="center"/>
              <w:rPr>
                <w:rFonts w:ascii="宋体" w:hAnsi="宋体" w:cs="仿宋_GB2312"/>
                <w:color w:val="auto"/>
                <w:sz w:val="24"/>
                <w:highlight w:val="none"/>
              </w:rPr>
            </w:pPr>
          </w:p>
        </w:tc>
        <w:tc>
          <w:tcPr>
            <w:tcW w:w="2007" w:type="dxa"/>
            <w:noWrap w:val="0"/>
            <w:vAlign w:val="center"/>
          </w:tcPr>
          <w:p w14:paraId="065AC838">
            <w:pPr>
              <w:pStyle w:val="38"/>
              <w:ind w:firstLine="480"/>
              <w:jc w:val="center"/>
              <w:rPr>
                <w:rFonts w:ascii="宋体" w:hAnsi="宋体" w:cs="仿宋_GB2312"/>
                <w:color w:val="auto"/>
                <w:sz w:val="24"/>
                <w:highlight w:val="none"/>
              </w:rPr>
            </w:pPr>
          </w:p>
        </w:tc>
        <w:tc>
          <w:tcPr>
            <w:tcW w:w="1496" w:type="dxa"/>
            <w:noWrap w:val="0"/>
            <w:vAlign w:val="center"/>
          </w:tcPr>
          <w:p w14:paraId="27297EB7">
            <w:pPr>
              <w:pStyle w:val="38"/>
              <w:ind w:firstLine="480"/>
              <w:jc w:val="center"/>
              <w:rPr>
                <w:rFonts w:ascii="宋体" w:hAnsi="宋体" w:cs="仿宋_GB2312"/>
                <w:color w:val="auto"/>
                <w:sz w:val="24"/>
                <w:highlight w:val="none"/>
              </w:rPr>
            </w:pPr>
          </w:p>
        </w:tc>
        <w:tc>
          <w:tcPr>
            <w:tcW w:w="1496" w:type="dxa"/>
            <w:noWrap w:val="0"/>
            <w:vAlign w:val="center"/>
          </w:tcPr>
          <w:p w14:paraId="7B672118">
            <w:pPr>
              <w:pStyle w:val="38"/>
              <w:ind w:firstLine="480"/>
              <w:jc w:val="center"/>
              <w:rPr>
                <w:rFonts w:ascii="宋体" w:hAnsi="宋体" w:cs="仿宋_GB2312"/>
                <w:color w:val="auto"/>
                <w:sz w:val="24"/>
                <w:highlight w:val="none"/>
              </w:rPr>
            </w:pPr>
          </w:p>
        </w:tc>
        <w:tc>
          <w:tcPr>
            <w:tcW w:w="1496" w:type="dxa"/>
            <w:noWrap w:val="0"/>
            <w:vAlign w:val="center"/>
          </w:tcPr>
          <w:p w14:paraId="7FB18030">
            <w:pPr>
              <w:pStyle w:val="38"/>
              <w:ind w:firstLine="480"/>
              <w:jc w:val="center"/>
              <w:rPr>
                <w:rFonts w:ascii="宋体" w:hAnsi="宋体" w:cs="仿宋_GB2312"/>
                <w:color w:val="auto"/>
                <w:sz w:val="24"/>
                <w:highlight w:val="none"/>
              </w:rPr>
            </w:pPr>
          </w:p>
        </w:tc>
      </w:tr>
      <w:tr w14:paraId="1BB1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37DCC944">
            <w:pPr>
              <w:pStyle w:val="38"/>
              <w:ind w:firstLine="480"/>
              <w:jc w:val="center"/>
              <w:rPr>
                <w:rFonts w:ascii="宋体" w:hAnsi="宋体" w:cs="仿宋_GB2312"/>
                <w:color w:val="auto"/>
                <w:sz w:val="24"/>
                <w:highlight w:val="none"/>
              </w:rPr>
            </w:pPr>
          </w:p>
        </w:tc>
        <w:tc>
          <w:tcPr>
            <w:tcW w:w="1605" w:type="dxa"/>
            <w:noWrap w:val="0"/>
            <w:vAlign w:val="center"/>
          </w:tcPr>
          <w:p w14:paraId="52E771B7">
            <w:pPr>
              <w:pStyle w:val="38"/>
              <w:ind w:firstLine="480"/>
              <w:jc w:val="center"/>
              <w:rPr>
                <w:rFonts w:ascii="宋体" w:hAnsi="宋体" w:cs="仿宋_GB2312"/>
                <w:color w:val="auto"/>
                <w:sz w:val="24"/>
                <w:highlight w:val="none"/>
              </w:rPr>
            </w:pPr>
          </w:p>
        </w:tc>
        <w:tc>
          <w:tcPr>
            <w:tcW w:w="2007" w:type="dxa"/>
            <w:noWrap w:val="0"/>
            <w:vAlign w:val="center"/>
          </w:tcPr>
          <w:p w14:paraId="3A0AB363">
            <w:pPr>
              <w:pStyle w:val="38"/>
              <w:ind w:firstLine="480"/>
              <w:jc w:val="center"/>
              <w:rPr>
                <w:rFonts w:ascii="宋体" w:hAnsi="宋体" w:cs="仿宋_GB2312"/>
                <w:color w:val="auto"/>
                <w:sz w:val="24"/>
                <w:highlight w:val="none"/>
              </w:rPr>
            </w:pPr>
          </w:p>
        </w:tc>
        <w:tc>
          <w:tcPr>
            <w:tcW w:w="1496" w:type="dxa"/>
            <w:noWrap w:val="0"/>
            <w:vAlign w:val="center"/>
          </w:tcPr>
          <w:p w14:paraId="7263945F">
            <w:pPr>
              <w:pStyle w:val="38"/>
              <w:ind w:firstLine="480"/>
              <w:jc w:val="center"/>
              <w:rPr>
                <w:rFonts w:ascii="宋体" w:hAnsi="宋体" w:cs="仿宋_GB2312"/>
                <w:color w:val="auto"/>
                <w:sz w:val="24"/>
                <w:highlight w:val="none"/>
              </w:rPr>
            </w:pPr>
          </w:p>
        </w:tc>
        <w:tc>
          <w:tcPr>
            <w:tcW w:w="1496" w:type="dxa"/>
            <w:noWrap w:val="0"/>
            <w:vAlign w:val="center"/>
          </w:tcPr>
          <w:p w14:paraId="6E168621">
            <w:pPr>
              <w:pStyle w:val="38"/>
              <w:ind w:firstLine="480"/>
              <w:jc w:val="center"/>
              <w:rPr>
                <w:rFonts w:ascii="宋体" w:hAnsi="宋体" w:cs="仿宋_GB2312"/>
                <w:color w:val="auto"/>
                <w:sz w:val="24"/>
                <w:highlight w:val="none"/>
              </w:rPr>
            </w:pPr>
          </w:p>
        </w:tc>
        <w:tc>
          <w:tcPr>
            <w:tcW w:w="1496" w:type="dxa"/>
            <w:noWrap w:val="0"/>
            <w:vAlign w:val="center"/>
          </w:tcPr>
          <w:p w14:paraId="3A0A8A78">
            <w:pPr>
              <w:pStyle w:val="38"/>
              <w:ind w:firstLine="480"/>
              <w:jc w:val="center"/>
              <w:rPr>
                <w:rFonts w:ascii="宋体" w:hAnsi="宋体" w:cs="仿宋_GB2312"/>
                <w:color w:val="auto"/>
                <w:sz w:val="24"/>
                <w:highlight w:val="none"/>
              </w:rPr>
            </w:pPr>
          </w:p>
        </w:tc>
      </w:tr>
    </w:tbl>
    <w:p w14:paraId="0C5B12EB">
      <w:pPr>
        <w:pStyle w:val="38"/>
        <w:ind w:left="0" w:leftChars="0" w:firstLine="0" w:firstLineChars="0"/>
        <w:rPr>
          <w:rFonts w:ascii="宋体" w:hAnsi="宋体" w:cs="仿宋_GB2312"/>
          <w:color w:val="auto"/>
          <w:sz w:val="24"/>
          <w:highlight w:val="none"/>
        </w:rPr>
      </w:pPr>
    </w:p>
    <w:p w14:paraId="633BC1D7">
      <w:pPr>
        <w:pStyle w:val="38"/>
        <w:ind w:left="0" w:leftChars="0" w:firstLine="0" w:firstLineChars="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本表可根据实际需求自行添加</w:t>
      </w:r>
      <w:r>
        <w:rPr>
          <w:rFonts w:hint="eastAsia" w:ascii="宋体" w:hAnsi="宋体" w:cs="仿宋_GB2312"/>
          <w:color w:val="auto"/>
          <w:sz w:val="24"/>
          <w:highlight w:val="none"/>
          <w:lang w:eastAsia="zh-CN"/>
        </w:rPr>
        <w:t>，可将本表装订于投标文件目录处。以方便评委评标。</w:t>
      </w:r>
    </w:p>
    <w:p w14:paraId="267EC5AC">
      <w:pPr>
        <w:spacing w:line="360" w:lineRule="auto"/>
        <w:rPr>
          <w:rFonts w:ascii="宋体" w:hAnsi="宋体"/>
          <w:b/>
          <w:color w:val="auto"/>
          <w:sz w:val="28"/>
          <w:highlight w:val="none"/>
        </w:rPr>
      </w:pPr>
    </w:p>
    <w:p w14:paraId="195B5364">
      <w:pPr>
        <w:spacing w:line="360" w:lineRule="auto"/>
        <w:ind w:right="-110"/>
        <w:rPr>
          <w:rFonts w:ascii="宋体" w:hAnsi="宋体"/>
          <w:b/>
          <w:color w:val="auto"/>
          <w:sz w:val="28"/>
          <w:highlight w:val="none"/>
        </w:rPr>
      </w:pPr>
    </w:p>
    <w:p w14:paraId="7E9E6017">
      <w:pPr>
        <w:spacing w:line="360" w:lineRule="auto"/>
        <w:ind w:right="-110"/>
        <w:rPr>
          <w:rFonts w:ascii="宋体" w:hAnsi="宋体"/>
          <w:b/>
          <w:color w:val="auto"/>
          <w:sz w:val="28"/>
          <w:highlight w:val="none"/>
        </w:rPr>
      </w:pPr>
    </w:p>
    <w:p w14:paraId="18C640F5">
      <w:pPr>
        <w:spacing w:line="360" w:lineRule="auto"/>
        <w:ind w:right="-110"/>
        <w:rPr>
          <w:rFonts w:ascii="宋体" w:hAnsi="宋体"/>
          <w:b/>
          <w:color w:val="auto"/>
          <w:sz w:val="28"/>
          <w:highlight w:val="none"/>
        </w:rPr>
      </w:pPr>
    </w:p>
    <w:p w14:paraId="53D91275">
      <w:pPr>
        <w:spacing w:line="360" w:lineRule="auto"/>
        <w:ind w:right="-110"/>
        <w:rPr>
          <w:rFonts w:ascii="宋体" w:hAnsi="宋体"/>
          <w:b/>
          <w:color w:val="auto"/>
          <w:sz w:val="28"/>
          <w:highlight w:val="none"/>
        </w:rPr>
      </w:pPr>
    </w:p>
    <w:p w14:paraId="077FAD5A">
      <w:pPr>
        <w:spacing w:line="360" w:lineRule="auto"/>
        <w:ind w:right="-110"/>
        <w:rPr>
          <w:rFonts w:ascii="宋体" w:hAnsi="宋体"/>
          <w:b/>
          <w:color w:val="auto"/>
          <w:sz w:val="28"/>
          <w:highlight w:val="none"/>
        </w:rPr>
      </w:pPr>
    </w:p>
    <w:p w14:paraId="5FCF9170">
      <w:pPr>
        <w:spacing w:line="360" w:lineRule="auto"/>
        <w:ind w:right="-110"/>
        <w:rPr>
          <w:rFonts w:ascii="宋体" w:hAnsi="宋体"/>
          <w:b/>
          <w:color w:val="auto"/>
          <w:sz w:val="28"/>
          <w:highlight w:val="none"/>
        </w:rPr>
      </w:pPr>
    </w:p>
    <w:p w14:paraId="721F12B7">
      <w:pPr>
        <w:spacing w:line="360" w:lineRule="auto"/>
        <w:ind w:right="-110"/>
        <w:rPr>
          <w:rFonts w:ascii="宋体" w:hAnsi="宋体"/>
          <w:b/>
          <w:color w:val="auto"/>
          <w:sz w:val="28"/>
          <w:highlight w:val="none"/>
        </w:rPr>
      </w:pPr>
    </w:p>
    <w:p w14:paraId="5B83932C">
      <w:pPr>
        <w:spacing w:line="360" w:lineRule="auto"/>
        <w:rPr>
          <w:rFonts w:hint="eastAsia" w:ascii="宋体" w:hAnsi="宋体"/>
          <w:b/>
          <w:color w:val="auto"/>
          <w:sz w:val="28"/>
          <w:highlight w:val="none"/>
        </w:rPr>
      </w:pPr>
    </w:p>
    <w:p w14:paraId="0789CA67">
      <w:pPr>
        <w:spacing w:line="360" w:lineRule="auto"/>
        <w:ind w:right="-108" w:firstLine="723" w:firstLineChars="200"/>
        <w:rPr>
          <w:rFonts w:ascii="仿宋_GB2312" w:hAnsi="宋体" w:eastAsia="仿宋_GB2312"/>
          <w:b/>
          <w:color w:val="auto"/>
          <w:sz w:val="36"/>
          <w:szCs w:val="36"/>
          <w:highlight w:val="none"/>
        </w:rPr>
      </w:pPr>
    </w:p>
    <w:p w14:paraId="356D62D7">
      <w:pPr>
        <w:spacing w:line="360" w:lineRule="auto"/>
        <w:ind w:right="-108"/>
        <w:jc w:val="center"/>
        <w:rPr>
          <w:rFonts w:ascii="宋体" w:hAnsi="宋体"/>
          <w:b/>
          <w:color w:val="auto"/>
          <w:sz w:val="36"/>
          <w:szCs w:val="32"/>
          <w:highlight w:val="none"/>
        </w:rPr>
      </w:pPr>
    </w:p>
    <w:p w14:paraId="32DE760B">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14:paraId="05679828">
      <w:pPr>
        <w:snapToGrid w:val="0"/>
        <w:spacing w:line="360" w:lineRule="auto"/>
        <w:ind w:firstLine="480" w:firstLineChars="200"/>
        <w:rPr>
          <w:rFonts w:ascii="宋体" w:hAnsi="宋体"/>
          <w:color w:val="auto"/>
          <w:sz w:val="24"/>
          <w:highlight w:val="none"/>
        </w:rPr>
      </w:pPr>
    </w:p>
    <w:p w14:paraId="5F2C8B8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6296EEA7">
      <w:pPr>
        <w:pStyle w:val="22"/>
        <w:snapToGrid w:val="0"/>
        <w:spacing w:line="360" w:lineRule="auto"/>
        <w:ind w:left="0" w:leftChars="0" w:firstLine="480" w:firstLineChars="200"/>
        <w:rPr>
          <w:color w:val="auto"/>
          <w:szCs w:val="24"/>
          <w:highlight w:val="none"/>
        </w:rPr>
      </w:pPr>
      <w:r>
        <w:rPr>
          <w:rFonts w:hint="eastAsia"/>
          <w:color w:val="auto"/>
          <w:szCs w:val="24"/>
          <w:highlight w:val="none"/>
        </w:rPr>
        <w:t>2、报价</w:t>
      </w:r>
      <w:r>
        <w:rPr>
          <w:rFonts w:hint="eastAsia"/>
          <w:color w:val="auto"/>
          <w:szCs w:val="24"/>
          <w:highlight w:val="none"/>
          <w:lang w:eastAsia="zh-CN"/>
        </w:rPr>
        <w:t>明细</w:t>
      </w:r>
      <w:r>
        <w:rPr>
          <w:rFonts w:hint="eastAsia"/>
          <w:color w:val="auto"/>
          <w:szCs w:val="24"/>
          <w:highlight w:val="none"/>
        </w:rPr>
        <w:t>表</w:t>
      </w:r>
      <w:r>
        <w:rPr>
          <w:rFonts w:hint="eastAsia"/>
          <w:color w:val="auto"/>
          <w:highlight w:val="none"/>
        </w:rPr>
        <w:t>（附件1</w:t>
      </w:r>
      <w:r>
        <w:rPr>
          <w:rFonts w:hint="eastAsia"/>
          <w:color w:val="auto"/>
          <w:highlight w:val="none"/>
          <w:lang w:val="en-US" w:eastAsia="zh-CN"/>
        </w:rPr>
        <w:t>6</w:t>
      </w:r>
      <w:r>
        <w:rPr>
          <w:rFonts w:hint="eastAsia"/>
          <w:color w:val="auto"/>
          <w:highlight w:val="none"/>
        </w:rPr>
        <w:t>）</w:t>
      </w:r>
      <w:r>
        <w:rPr>
          <w:rFonts w:hint="eastAsia"/>
          <w:color w:val="auto"/>
          <w:szCs w:val="24"/>
          <w:highlight w:val="none"/>
        </w:rPr>
        <w:t>；</w:t>
      </w:r>
    </w:p>
    <w:p w14:paraId="2126A1D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14:paraId="7017469E">
      <w:pPr>
        <w:pStyle w:val="63"/>
        <w:spacing w:line="360" w:lineRule="auto"/>
        <w:ind w:firstLine="480" w:firstLineChars="200"/>
        <w:rPr>
          <w:rFonts w:hAnsi="宋体"/>
          <w:color w:val="auto"/>
          <w:sz w:val="24"/>
          <w:highlight w:val="none"/>
        </w:rPr>
      </w:pPr>
      <w:r>
        <w:rPr>
          <w:rFonts w:hint="eastAsia" w:hAnsi="宋体"/>
          <w:color w:val="auto"/>
          <w:sz w:val="24"/>
          <w:highlight w:val="none"/>
        </w:rPr>
        <w:t>4、</w:t>
      </w:r>
      <w:r>
        <w:rPr>
          <w:rFonts w:hint="eastAsia" w:hAnsi="宋体"/>
          <w:color w:val="auto"/>
          <w:sz w:val="24"/>
          <w:highlight w:val="none"/>
          <w:lang w:eastAsia="zh-CN"/>
        </w:rPr>
        <w:t>中小</w:t>
      </w:r>
      <w:r>
        <w:rPr>
          <w:rFonts w:hAnsi="宋体"/>
          <w:color w:val="auto"/>
          <w:sz w:val="24"/>
          <w:highlight w:val="none"/>
        </w:rPr>
        <w:t>企业声明函</w:t>
      </w:r>
      <w:r>
        <w:rPr>
          <w:rFonts w:hint="eastAsia" w:hAnsi="宋体"/>
          <w:color w:val="auto"/>
          <w:sz w:val="24"/>
          <w:highlight w:val="none"/>
        </w:rPr>
        <w:t>（如有需提供</w:t>
      </w:r>
      <w:r>
        <w:rPr>
          <w:rFonts w:hint="eastAsia" w:hAnsi="宋体"/>
          <w:color w:val="auto"/>
          <w:sz w:val="24"/>
          <w:highlight w:val="none"/>
          <w:lang w:eastAsia="zh-CN"/>
        </w:rPr>
        <w:t>，格式见附件</w:t>
      </w:r>
      <w:r>
        <w:rPr>
          <w:rFonts w:hint="eastAsia" w:hAnsi="宋体"/>
          <w:color w:val="auto"/>
          <w:sz w:val="24"/>
          <w:highlight w:val="none"/>
          <w:lang w:val="en-US" w:eastAsia="zh-CN"/>
        </w:rPr>
        <w:t>17</w:t>
      </w:r>
      <w:r>
        <w:rPr>
          <w:rFonts w:hint="eastAsia" w:hAnsi="宋体"/>
          <w:color w:val="auto"/>
          <w:sz w:val="24"/>
          <w:highlight w:val="none"/>
        </w:rPr>
        <w:t>）</w:t>
      </w:r>
    </w:p>
    <w:p w14:paraId="7708A867">
      <w:pPr>
        <w:pStyle w:val="85"/>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w:t>
      </w:r>
      <w:r>
        <w:rPr>
          <w:rFonts w:hint="eastAsia" w:ascii="宋体" w:hAnsi="宋体"/>
          <w:color w:val="auto"/>
          <w:kern w:val="0"/>
          <w:sz w:val="24"/>
          <w:highlight w:val="none"/>
          <w:lang w:val="en-GB"/>
        </w:rPr>
        <w:t>残疾人福利性单位声明函</w:t>
      </w:r>
      <w:r>
        <w:rPr>
          <w:rFonts w:hint="eastAsia" w:ascii="宋体" w:hAnsi="宋体"/>
          <w:color w:val="auto"/>
          <w:kern w:val="0"/>
          <w:sz w:val="24"/>
          <w:highlight w:val="none"/>
        </w:rPr>
        <w:t>（如有需提供</w:t>
      </w:r>
      <w:r>
        <w:rPr>
          <w:rFonts w:hint="eastAsia" w:ascii="宋体" w:hAnsi="宋体"/>
          <w:color w:val="auto"/>
          <w:kern w:val="0"/>
          <w:sz w:val="24"/>
          <w:highlight w:val="none"/>
          <w:lang w:eastAsia="zh-CN"/>
        </w:rPr>
        <w:t>，格式见附件</w:t>
      </w:r>
      <w:r>
        <w:rPr>
          <w:rFonts w:hint="eastAsia" w:ascii="宋体" w:hAnsi="宋体"/>
          <w:color w:val="auto"/>
          <w:kern w:val="0"/>
          <w:sz w:val="24"/>
          <w:highlight w:val="none"/>
          <w:lang w:val="en-US" w:eastAsia="zh-CN"/>
        </w:rPr>
        <w:t>18</w:t>
      </w:r>
      <w:r>
        <w:rPr>
          <w:rFonts w:hint="eastAsia" w:ascii="宋体" w:hAnsi="宋体"/>
          <w:color w:val="auto"/>
          <w:kern w:val="0"/>
          <w:sz w:val="24"/>
          <w:highlight w:val="none"/>
        </w:rPr>
        <w:t>）</w:t>
      </w:r>
    </w:p>
    <w:p w14:paraId="38746C7A">
      <w:pPr>
        <w:spacing w:line="360" w:lineRule="auto"/>
        <w:rPr>
          <w:rFonts w:ascii="宋体" w:hAnsi="宋体"/>
          <w:b/>
          <w:color w:val="auto"/>
          <w:sz w:val="28"/>
          <w:highlight w:val="none"/>
        </w:rPr>
      </w:pPr>
    </w:p>
    <w:p w14:paraId="22F0D28C">
      <w:pPr>
        <w:spacing w:line="360" w:lineRule="auto"/>
        <w:ind w:left="480"/>
        <w:rPr>
          <w:rFonts w:ascii="宋体" w:hAnsi="宋体"/>
          <w:b/>
          <w:color w:val="auto"/>
          <w:sz w:val="28"/>
          <w:highlight w:val="none"/>
        </w:rPr>
      </w:pPr>
    </w:p>
    <w:p w14:paraId="373C13CD">
      <w:pPr>
        <w:spacing w:line="360" w:lineRule="auto"/>
        <w:ind w:left="480"/>
        <w:rPr>
          <w:rFonts w:ascii="宋体" w:hAnsi="宋体"/>
          <w:b/>
          <w:color w:val="auto"/>
          <w:sz w:val="28"/>
          <w:highlight w:val="none"/>
        </w:rPr>
      </w:pPr>
    </w:p>
    <w:p w14:paraId="58797C69">
      <w:pPr>
        <w:spacing w:line="360" w:lineRule="auto"/>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14:paraId="41723F1B">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6350B7E7">
      <w:pPr>
        <w:pStyle w:val="69"/>
        <w:spacing w:line="360" w:lineRule="auto"/>
        <w:ind w:firstLine="480" w:firstLineChars="200"/>
        <w:jc w:val="left"/>
        <w:rPr>
          <w:rFonts w:hint="eastAsia" w:hAnsi="宋体"/>
          <w:b w:val="0"/>
          <w:bCs/>
          <w:color w:val="auto"/>
          <w:sz w:val="24"/>
          <w:highlight w:val="none"/>
          <w:lang w:val="en-US" w:eastAsia="zh-CN"/>
        </w:rPr>
      </w:pPr>
    </w:p>
    <w:p w14:paraId="7FFDC76F">
      <w:pPr>
        <w:pStyle w:val="69"/>
        <w:spacing w:line="360" w:lineRule="auto"/>
        <w:ind w:firstLine="480" w:firstLineChars="200"/>
        <w:jc w:val="left"/>
        <w:rPr>
          <w:rFonts w:hAnsi="宋体"/>
          <w:color w:val="auto"/>
          <w:sz w:val="24"/>
          <w:highlight w:val="none"/>
        </w:rPr>
      </w:pPr>
      <w:r>
        <w:rPr>
          <w:rFonts w:hint="eastAsia" w:hAnsi="宋体"/>
          <w:b w:val="0"/>
          <w:bCs/>
          <w:color w:val="auto"/>
          <w:sz w:val="24"/>
          <w:highlight w:val="none"/>
          <w:lang w:val="en-US" w:eastAsia="zh-CN"/>
        </w:rPr>
        <w:t xml:space="preserve"> </w:t>
      </w:r>
      <w:r>
        <w:rPr>
          <w:rFonts w:hint="eastAsia" w:ascii="宋体" w:hAnsi="宋体"/>
          <w:color w:val="auto"/>
          <w:sz w:val="24"/>
          <w:highlight w:val="none"/>
        </w:rPr>
        <w:t>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14:paraId="2124AE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25" w:hRule="atLeast"/>
          <w:jc w:val="center"/>
        </w:trPr>
        <w:tc>
          <w:tcPr>
            <w:tcW w:w="2708" w:type="dxa"/>
            <w:vMerge w:val="restart"/>
            <w:tcBorders>
              <w:top w:val="single" w:color="auto" w:sz="4" w:space="0"/>
              <w:left w:val="single" w:color="auto" w:sz="4" w:space="0"/>
              <w:right w:val="single" w:color="auto" w:sz="4" w:space="0"/>
            </w:tcBorders>
            <w:noWrap w:val="0"/>
            <w:vAlign w:val="center"/>
          </w:tcPr>
          <w:p w14:paraId="10581D9F">
            <w:pPr>
              <w:jc w:val="center"/>
              <w:rPr>
                <w:rFonts w:ascii="宋体" w:hAnsi="宋体"/>
                <w:b/>
                <w:color w:val="auto"/>
                <w:sz w:val="24"/>
                <w:highlight w:val="none"/>
              </w:rPr>
            </w:pPr>
            <w:r>
              <w:rPr>
                <w:rFonts w:hint="eastAsia" w:ascii="宋体" w:hAnsi="宋体"/>
                <w:b/>
                <w:color w:val="auto"/>
                <w:sz w:val="24"/>
                <w:highlight w:val="none"/>
              </w:rPr>
              <w:t>投标</w:t>
            </w:r>
            <w:r>
              <w:rPr>
                <w:rFonts w:hint="eastAsia" w:ascii="宋体" w:hAnsi="宋体"/>
                <w:b/>
                <w:color w:val="auto"/>
                <w:sz w:val="24"/>
                <w:highlight w:val="none"/>
                <w:lang w:eastAsia="zh-CN"/>
              </w:rPr>
              <w:t>报</w:t>
            </w:r>
            <w:r>
              <w:rPr>
                <w:rFonts w:hint="eastAsia" w:ascii="宋体" w:hAnsi="宋体"/>
                <w:b/>
                <w:color w:val="auto"/>
                <w:sz w:val="24"/>
                <w:highlight w:val="none"/>
              </w:rPr>
              <w:t>价(</w:t>
            </w:r>
            <w:r>
              <w:rPr>
                <w:rFonts w:hint="eastAsia" w:ascii="宋体" w:hAnsi="宋体"/>
                <w:b/>
                <w:color w:val="auto"/>
                <w:sz w:val="24"/>
                <w:highlight w:val="none"/>
                <w:lang w:eastAsia="zh-CN"/>
              </w:rPr>
              <w:t>人民币</w:t>
            </w:r>
            <w:r>
              <w:rPr>
                <w:rFonts w:hint="eastAsia" w:ascii="宋体" w:hAnsi="宋体"/>
                <w:b/>
                <w:color w:val="auto"/>
                <w:sz w:val="24"/>
                <w:highlight w:val="none"/>
                <w:lang w:val="en-US" w:eastAsia="zh-CN"/>
              </w:rPr>
              <w:t>/</w:t>
            </w:r>
            <w:r>
              <w:rPr>
                <w:rFonts w:hint="eastAsia" w:ascii="宋体" w:hAnsi="宋体"/>
                <w:b/>
                <w:color w:val="auto"/>
                <w:sz w:val="24"/>
                <w:highlight w:val="none"/>
              </w:rPr>
              <w:t>元)</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C279D3B">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1F3A996F">
            <w:pPr>
              <w:autoSpaceDE w:val="0"/>
              <w:autoSpaceDN w:val="0"/>
              <w:spacing w:line="450" w:lineRule="exact"/>
              <w:jc w:val="center"/>
              <w:textAlignment w:val="bottom"/>
              <w:rPr>
                <w:rFonts w:ascii="宋体" w:hAnsi="宋体"/>
                <w:b/>
                <w:color w:val="auto"/>
                <w:sz w:val="24"/>
                <w:highlight w:val="none"/>
              </w:rPr>
            </w:pPr>
          </w:p>
        </w:tc>
      </w:tr>
      <w:tr w14:paraId="178740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2" w:hRule="atLeast"/>
          <w:jc w:val="center"/>
        </w:trPr>
        <w:tc>
          <w:tcPr>
            <w:tcW w:w="2708" w:type="dxa"/>
            <w:vMerge w:val="continue"/>
            <w:tcBorders>
              <w:left w:val="single" w:color="auto" w:sz="4" w:space="0"/>
              <w:bottom w:val="single" w:color="auto" w:sz="4" w:space="0"/>
              <w:right w:val="single" w:color="auto" w:sz="4" w:space="0"/>
            </w:tcBorders>
            <w:noWrap w:val="0"/>
            <w:vAlign w:val="center"/>
          </w:tcPr>
          <w:p w14:paraId="7186699A">
            <w:pPr>
              <w:jc w:val="center"/>
              <w:rPr>
                <w:rFonts w:hint="eastAsia" w:ascii="宋体" w:hAnsi="宋体"/>
                <w:b/>
                <w:color w:val="auto"/>
                <w:sz w:val="24"/>
                <w:highlight w:val="none"/>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9794383">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2B164BB8">
            <w:pPr>
              <w:autoSpaceDE w:val="0"/>
              <w:autoSpaceDN w:val="0"/>
              <w:spacing w:line="450" w:lineRule="exact"/>
              <w:jc w:val="center"/>
              <w:textAlignment w:val="bottom"/>
              <w:rPr>
                <w:rFonts w:ascii="宋体" w:hAnsi="宋体"/>
                <w:b/>
                <w:color w:val="auto"/>
                <w:sz w:val="24"/>
                <w:highlight w:val="none"/>
              </w:rPr>
            </w:pPr>
          </w:p>
        </w:tc>
      </w:tr>
    </w:tbl>
    <w:p w14:paraId="16610D5B">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42910C11">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报价是履行合同的最终价格，包括货款、标准附件、备品备件、专用工具、包装、运输、装卸、保险、税金、货到就位以及安装、调试、验收、培训、保修、合同包含的所有风险责任等各项费用及不可预见费等一切费用。</w:t>
      </w:r>
    </w:p>
    <w:p w14:paraId="4C858868">
      <w:pPr>
        <w:spacing w:line="360" w:lineRule="auto"/>
        <w:ind w:firstLine="480" w:firstLineChars="200"/>
        <w:rPr>
          <w:rFonts w:ascii="宋体" w:hAnsi="宋体"/>
          <w:b/>
          <w:i/>
          <w:color w:val="auto"/>
          <w:sz w:val="24"/>
          <w:szCs w:val="24"/>
          <w:highlight w:val="none"/>
          <w:u w:val="singl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58DE7E85">
      <w:pPr>
        <w:spacing w:line="360" w:lineRule="auto"/>
        <w:ind w:left="420"/>
        <w:rPr>
          <w:rFonts w:ascii="宋体" w:hAnsi="宋体"/>
          <w:color w:val="auto"/>
          <w:sz w:val="24"/>
          <w:szCs w:val="24"/>
          <w:highlight w:val="none"/>
        </w:rPr>
      </w:pPr>
    </w:p>
    <w:p w14:paraId="1F2078B6">
      <w:pPr>
        <w:ind w:left="420"/>
        <w:rPr>
          <w:rFonts w:hint="eastAsia" w:ascii="宋体" w:hAnsi="宋体"/>
          <w:color w:val="auto"/>
          <w:sz w:val="24"/>
          <w:szCs w:val="24"/>
          <w:highlight w:val="none"/>
        </w:rPr>
      </w:pPr>
    </w:p>
    <w:p w14:paraId="348B7F5C">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00FF26E4">
      <w:pPr>
        <w:ind w:left="420"/>
        <w:rPr>
          <w:rFonts w:ascii="宋体" w:hAnsi="宋体"/>
          <w:color w:val="auto"/>
          <w:sz w:val="24"/>
          <w:szCs w:val="24"/>
          <w:highlight w:val="none"/>
        </w:rPr>
      </w:pPr>
    </w:p>
    <w:p w14:paraId="77470839">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14:paraId="370D502E">
      <w:pPr>
        <w:rPr>
          <w:rFonts w:ascii="宋体" w:hAnsi="宋体"/>
          <w:color w:val="auto"/>
          <w:sz w:val="24"/>
          <w:szCs w:val="24"/>
          <w:highlight w:val="none"/>
        </w:rPr>
      </w:pPr>
    </w:p>
    <w:p w14:paraId="10D658EB">
      <w:pPr>
        <w:ind w:firstLine="435"/>
        <w:rPr>
          <w:rFonts w:hint="default" w:ascii="宋体" w:hAnsi="宋体"/>
          <w:b/>
          <w:color w:val="auto"/>
          <w:sz w:val="28"/>
          <w:highlight w:val="none"/>
          <w:lang w:val="en-US"/>
        </w:rPr>
        <w:sectPr>
          <w:pgSz w:w="11907" w:h="16840"/>
          <w:pgMar w:top="1417" w:right="1474" w:bottom="1247" w:left="1474" w:header="851" w:footer="992" w:gutter="0"/>
          <w:pgBorders>
            <w:top w:val="none" w:sz="0" w:space="0"/>
            <w:left w:val="none" w:sz="0" w:space="0"/>
            <w:bottom w:val="none" w:sz="0" w:space="0"/>
            <w:right w:val="none" w:sz="0" w:space="0"/>
          </w:pgBorders>
          <w:pgNumType w:start="1"/>
          <w:cols w:space="720" w:num="1"/>
          <w:titlePg/>
          <w:docGrid w:type="lines" w:linePitch="319" w:charSpace="0"/>
        </w:sectPr>
      </w:pPr>
      <w:r>
        <w:rPr>
          <w:rFonts w:hint="eastAsia" w:ascii="宋体" w:hAnsi="宋体"/>
          <w:color w:val="auto"/>
          <w:sz w:val="24"/>
          <w:szCs w:val="24"/>
          <w:highlight w:val="none"/>
        </w:rPr>
        <w:t>日        期：</w:t>
      </w:r>
      <w:r>
        <w:rPr>
          <w:rFonts w:hint="eastAsia" w:ascii="宋体" w:hAnsi="宋体"/>
          <w:color w:val="auto"/>
          <w:sz w:val="24"/>
          <w:highlight w:val="none"/>
          <w:lang w:val="en-US" w:eastAsia="zh-CN"/>
        </w:rPr>
        <w:t>2024年   月   日</w:t>
      </w:r>
    </w:p>
    <w:p w14:paraId="508A8633">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16：</w:t>
      </w:r>
    </w:p>
    <w:p w14:paraId="5D1D49CC">
      <w:pPr>
        <w:spacing w:line="360" w:lineRule="auto"/>
        <w:ind w:left="480"/>
        <w:jc w:val="center"/>
        <w:rPr>
          <w:rFonts w:hint="eastAsia" w:ascii="宋体" w:hAnsi="宋体" w:eastAsia="宋体"/>
          <w:color w:val="auto"/>
          <w:highlight w:val="none"/>
          <w:lang w:eastAsia="zh-CN"/>
        </w:rPr>
      </w:pPr>
      <w:r>
        <w:rPr>
          <w:rFonts w:hint="eastAsia" w:ascii="宋体" w:hAnsi="宋体"/>
          <w:b/>
          <w:color w:val="auto"/>
          <w:sz w:val="32"/>
          <w:szCs w:val="32"/>
          <w:highlight w:val="none"/>
        </w:rPr>
        <w:t>报价明细表</w:t>
      </w:r>
    </w:p>
    <w:p w14:paraId="1475F1C5">
      <w:pPr>
        <w:spacing w:line="360" w:lineRule="auto"/>
        <w:jc w:val="right"/>
        <w:rPr>
          <w:rFonts w:hint="eastAsia" w:ascii="宋体" w:hAnsi="宋体"/>
          <w:color w:val="auto"/>
          <w:sz w:val="24"/>
          <w:highlight w:val="none"/>
        </w:rPr>
      </w:pPr>
      <w:r>
        <w:rPr>
          <w:rFonts w:hint="eastAsia" w:ascii="宋体" w:hAnsi="宋体"/>
          <w:color w:val="auto"/>
          <w:sz w:val="24"/>
          <w:highlight w:val="none"/>
        </w:rPr>
        <w:t>[货币单位：人民币/元]</w:t>
      </w:r>
    </w:p>
    <w:tbl>
      <w:tblPr>
        <w:tblStyle w:val="39"/>
        <w:tblW w:w="9320" w:type="dxa"/>
        <w:jc w:val="center"/>
        <w:tblLayout w:type="fixed"/>
        <w:tblCellMar>
          <w:top w:w="0" w:type="dxa"/>
          <w:left w:w="108" w:type="dxa"/>
          <w:bottom w:w="0" w:type="dxa"/>
          <w:right w:w="108" w:type="dxa"/>
        </w:tblCellMar>
      </w:tblPr>
      <w:tblGrid>
        <w:gridCol w:w="461"/>
        <w:gridCol w:w="1365"/>
        <w:gridCol w:w="3396"/>
        <w:gridCol w:w="1095"/>
        <w:gridCol w:w="1050"/>
        <w:gridCol w:w="873"/>
        <w:gridCol w:w="1080"/>
      </w:tblGrid>
      <w:tr w14:paraId="53D860E8">
        <w:tblPrEx>
          <w:tblCellMar>
            <w:top w:w="0" w:type="dxa"/>
            <w:left w:w="108" w:type="dxa"/>
            <w:bottom w:w="0" w:type="dxa"/>
            <w:right w:w="108" w:type="dxa"/>
          </w:tblCellMar>
        </w:tblPrEx>
        <w:trPr>
          <w:trHeight w:val="772" w:hRule="atLeast"/>
          <w:jc w:val="center"/>
        </w:trPr>
        <w:tc>
          <w:tcPr>
            <w:tcW w:w="46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8A2676D">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136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8258270">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33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F5E098">
            <w:pPr>
              <w:adjustRightInd w:val="0"/>
              <w:snapToGrid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品牌</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规格型号</w:t>
            </w:r>
          </w:p>
        </w:tc>
        <w:tc>
          <w:tcPr>
            <w:tcW w:w="10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67CE8C2">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A08A59">
            <w:pPr>
              <w:adjustRightInd w:val="0"/>
              <w:snapToGrid w:val="0"/>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bidi="ar"/>
              </w:rPr>
              <w:t>数量</w:t>
            </w:r>
          </w:p>
        </w:tc>
        <w:tc>
          <w:tcPr>
            <w:tcW w:w="873" w:type="dxa"/>
            <w:tcBorders>
              <w:top w:val="single" w:color="000000" w:sz="8" w:space="0"/>
              <w:left w:val="single" w:color="000000" w:sz="4" w:space="0"/>
              <w:right w:val="single" w:color="000000" w:sz="4" w:space="0"/>
            </w:tcBorders>
            <w:shd w:val="clear" w:color="FFFFFF" w:fill="FFFFFF"/>
            <w:vAlign w:val="center"/>
          </w:tcPr>
          <w:p w14:paraId="25EDD0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单价</w:t>
            </w: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11AD4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小计</w:t>
            </w:r>
          </w:p>
        </w:tc>
      </w:tr>
      <w:tr w14:paraId="1D6882C9">
        <w:tblPrEx>
          <w:tblCellMar>
            <w:top w:w="0" w:type="dxa"/>
            <w:left w:w="108" w:type="dxa"/>
            <w:bottom w:w="0" w:type="dxa"/>
            <w:right w:w="108" w:type="dxa"/>
          </w:tblCellMar>
        </w:tblPrEx>
        <w:trPr>
          <w:trHeight w:val="772" w:hRule="atLeast"/>
          <w:jc w:val="center"/>
        </w:trPr>
        <w:tc>
          <w:tcPr>
            <w:tcW w:w="46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4277F12">
            <w:pPr>
              <w:adjustRightInd w:val="0"/>
              <w:snapToGrid w:val="0"/>
              <w:jc w:val="center"/>
              <w:textAlignment w:val="center"/>
              <w:rPr>
                <w:rFonts w:hint="eastAsia" w:ascii="宋体" w:hAnsi="宋体" w:cs="宋体"/>
                <w:color w:val="auto"/>
                <w:sz w:val="18"/>
                <w:szCs w:val="18"/>
                <w:highlight w:val="none"/>
                <w:lang w:bidi="ar"/>
              </w:rPr>
            </w:pPr>
          </w:p>
        </w:tc>
        <w:tc>
          <w:tcPr>
            <w:tcW w:w="136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E01B440">
            <w:pPr>
              <w:adjustRightInd w:val="0"/>
              <w:snapToGrid w:val="0"/>
              <w:jc w:val="center"/>
              <w:textAlignment w:val="center"/>
              <w:rPr>
                <w:rFonts w:hint="eastAsia" w:ascii="宋体" w:hAnsi="宋体" w:cs="宋体"/>
                <w:color w:val="auto"/>
                <w:sz w:val="18"/>
                <w:szCs w:val="18"/>
                <w:highlight w:val="none"/>
                <w:lang w:bidi="ar"/>
              </w:rPr>
            </w:pPr>
          </w:p>
        </w:tc>
        <w:tc>
          <w:tcPr>
            <w:tcW w:w="33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C7098C">
            <w:pPr>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F063A51">
            <w:pPr>
              <w:adjustRightInd w:val="0"/>
              <w:snapToGrid w:val="0"/>
              <w:jc w:val="center"/>
              <w:textAlignment w:val="center"/>
              <w:rPr>
                <w:rFonts w:hint="eastAsia" w:ascii="宋体" w:hAnsi="宋体" w:cs="宋体"/>
                <w:color w:val="auto"/>
                <w:sz w:val="18"/>
                <w:szCs w:val="18"/>
                <w:highlight w:val="none"/>
                <w:lang w:bidi="ar"/>
              </w:rPr>
            </w:pP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C20990">
            <w:pPr>
              <w:adjustRightInd w:val="0"/>
              <w:snapToGrid w:val="0"/>
              <w:jc w:val="center"/>
              <w:textAlignment w:val="center"/>
              <w:rPr>
                <w:rFonts w:hint="eastAsia" w:ascii="宋体" w:hAnsi="宋体" w:cs="宋体"/>
                <w:color w:val="auto"/>
                <w:sz w:val="18"/>
                <w:szCs w:val="18"/>
                <w:highlight w:val="none"/>
                <w:lang w:bidi="ar"/>
              </w:rPr>
            </w:pPr>
          </w:p>
        </w:tc>
        <w:tc>
          <w:tcPr>
            <w:tcW w:w="873" w:type="dxa"/>
            <w:tcBorders>
              <w:top w:val="single" w:color="000000" w:sz="8" w:space="0"/>
              <w:left w:val="single" w:color="000000" w:sz="4" w:space="0"/>
              <w:right w:val="single" w:color="000000" w:sz="4" w:space="0"/>
            </w:tcBorders>
            <w:shd w:val="clear" w:color="FFFFFF" w:fill="FFFFFF"/>
            <w:vAlign w:val="center"/>
          </w:tcPr>
          <w:p w14:paraId="187486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1A90A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468BD9E">
        <w:tblPrEx>
          <w:tblCellMar>
            <w:top w:w="0" w:type="dxa"/>
            <w:left w:w="108" w:type="dxa"/>
            <w:bottom w:w="0" w:type="dxa"/>
            <w:right w:w="108" w:type="dxa"/>
          </w:tblCellMar>
        </w:tblPrEx>
        <w:trPr>
          <w:trHeight w:val="601" w:hRule="atLeast"/>
          <w:jc w:val="center"/>
        </w:trPr>
        <w:tc>
          <w:tcPr>
            <w:tcW w:w="8240"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3A8C29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C81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p>
        </w:tc>
      </w:tr>
      <w:tr w14:paraId="76B5EE42">
        <w:tblPrEx>
          <w:tblCellMar>
            <w:top w:w="0" w:type="dxa"/>
            <w:left w:w="108" w:type="dxa"/>
            <w:bottom w:w="0" w:type="dxa"/>
            <w:right w:w="108" w:type="dxa"/>
          </w:tblCellMar>
        </w:tblPrEx>
        <w:trPr>
          <w:trHeight w:val="601" w:hRule="atLeast"/>
          <w:jc w:val="center"/>
        </w:trPr>
        <w:tc>
          <w:tcPr>
            <w:tcW w:w="932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3A5217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color w:val="auto"/>
                <w:sz w:val="18"/>
                <w:szCs w:val="18"/>
                <w:highlight w:val="none"/>
              </w:rPr>
              <w:t>投标</w:t>
            </w:r>
            <w:r>
              <w:rPr>
                <w:rFonts w:hint="eastAsia" w:ascii="宋体" w:hAnsi="宋体"/>
                <w:color w:val="auto"/>
                <w:sz w:val="18"/>
                <w:szCs w:val="18"/>
                <w:highlight w:val="none"/>
                <w:lang w:eastAsia="zh-CN"/>
              </w:rPr>
              <w:t>总报</w:t>
            </w:r>
            <w:r>
              <w:rPr>
                <w:rFonts w:hint="eastAsia" w:ascii="宋体" w:hAnsi="宋体"/>
                <w:color w:val="auto"/>
                <w:sz w:val="18"/>
                <w:szCs w:val="18"/>
                <w:highlight w:val="none"/>
              </w:rPr>
              <w:t>价（人民币）：</w:t>
            </w:r>
            <w:r>
              <w:rPr>
                <w:rFonts w:hint="eastAsia" w:ascii="宋体" w:hAnsi="宋体"/>
                <w:b/>
                <w:color w:val="auto"/>
                <w:sz w:val="18"/>
                <w:szCs w:val="18"/>
                <w:highlight w:val="none"/>
              </w:rPr>
              <w:t>大写                        小写</w:t>
            </w:r>
            <w:r>
              <w:rPr>
                <w:rFonts w:hint="eastAsia" w:ascii="宋体" w:hAnsi="宋体"/>
                <w:b/>
                <w:color w:val="auto"/>
                <w:sz w:val="18"/>
                <w:szCs w:val="18"/>
                <w:highlight w:val="none"/>
                <w:lang w:eastAsia="zh-CN"/>
              </w:rPr>
              <w:t>：</w:t>
            </w:r>
          </w:p>
        </w:tc>
      </w:tr>
    </w:tbl>
    <w:p w14:paraId="721FBF40">
      <w:pPr>
        <w:spacing w:line="360" w:lineRule="auto"/>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8C98690">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14:paraId="68613E1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本表为《开标一览表》的报价明细表，如有缺项、漏项，视为投标报价中已包含相关费用，采购人无需另外支付任何费用。</w:t>
      </w:r>
    </w:p>
    <w:p w14:paraId="4F326B7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ascii="宋体"/>
          <w:color w:val="auto"/>
          <w:sz w:val="24"/>
          <w:szCs w:val="24"/>
          <w:highlight w:val="none"/>
          <w:lang w:val="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color w:val="auto"/>
          <w:sz w:val="24"/>
          <w:szCs w:val="24"/>
          <w:highlight w:val="none"/>
          <w:lang w:val="zh-CN"/>
        </w:rPr>
        <w:t>“投标报价明细表”中的投标总报价应与“开标一览表”中的投标总报价相一致，不一致时，以开标一览表为准。</w:t>
      </w:r>
    </w:p>
    <w:p w14:paraId="183D575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en-US" w:eastAsia="zh-CN"/>
        </w:rPr>
        <w:t>3</w:t>
      </w:r>
      <w:r>
        <w:rPr>
          <w:rFonts w:hint="eastAsia" w:ascii="宋体"/>
          <w:color w:val="auto"/>
          <w:sz w:val="24"/>
          <w:szCs w:val="24"/>
          <w:highlight w:val="none"/>
        </w:rPr>
        <w:t>.</w:t>
      </w:r>
      <w:r>
        <w:rPr>
          <w:rFonts w:hint="eastAsia" w:ascii="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2C1E5B76">
      <w:pPr>
        <w:rPr>
          <w:rFonts w:hint="eastAsia" w:ascii="宋体" w:hAnsi="宋体"/>
          <w:color w:val="auto"/>
          <w:sz w:val="24"/>
          <w:szCs w:val="24"/>
          <w:highlight w:val="none"/>
        </w:rPr>
      </w:pPr>
    </w:p>
    <w:p w14:paraId="0C790D4C">
      <w:pPr>
        <w:ind w:left="420"/>
        <w:rPr>
          <w:rFonts w:hint="eastAsia" w:ascii="宋体" w:hAnsi="宋体"/>
          <w:color w:val="auto"/>
          <w:sz w:val="24"/>
          <w:szCs w:val="24"/>
          <w:highlight w:val="none"/>
        </w:rPr>
      </w:pPr>
    </w:p>
    <w:p w14:paraId="03B29BA5">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1C529C25">
      <w:pPr>
        <w:rPr>
          <w:rFonts w:ascii="宋体" w:hAnsi="宋体"/>
          <w:color w:val="auto"/>
          <w:sz w:val="24"/>
          <w:szCs w:val="24"/>
          <w:highlight w:val="none"/>
        </w:rPr>
      </w:pPr>
    </w:p>
    <w:p w14:paraId="0F35C695">
      <w:pPr>
        <w:ind w:firstLine="435"/>
        <w:rPr>
          <w:rFonts w:ascii="宋体" w:hAnsi="宋体"/>
          <w:color w:val="auto"/>
          <w:sz w:val="24"/>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0168901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17</w:t>
      </w:r>
      <w:r>
        <w:rPr>
          <w:rFonts w:hint="eastAsia" w:ascii="宋体" w:hAnsi="宋体" w:eastAsia="宋体" w:cs="宋体"/>
          <w:b/>
          <w:bCs/>
          <w:color w:val="auto"/>
          <w:sz w:val="28"/>
          <w:szCs w:val="28"/>
          <w:highlight w:val="none"/>
        </w:rPr>
        <w:t>：</w:t>
      </w:r>
    </w:p>
    <w:p w14:paraId="66A9580A">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货物类</w:t>
      </w:r>
      <w:r>
        <w:rPr>
          <w:rFonts w:hint="eastAsia" w:ascii="宋体" w:hAnsi="宋体" w:eastAsia="宋体" w:cs="宋体"/>
          <w:b/>
          <w:color w:val="auto"/>
          <w:sz w:val="32"/>
          <w:szCs w:val="32"/>
          <w:highlight w:val="none"/>
        </w:rPr>
        <w:t>）</w:t>
      </w:r>
    </w:p>
    <w:p w14:paraId="7EB45458">
      <w:pPr>
        <w:snapToGrid w:val="0"/>
        <w:spacing w:line="312" w:lineRule="auto"/>
        <w:ind w:firstLine="480" w:firstLineChars="200"/>
        <w:rPr>
          <w:rFonts w:hint="eastAsia" w:ascii="宋体" w:hAnsi="宋体" w:eastAsia="宋体" w:cs="宋体"/>
          <w:color w:val="auto"/>
          <w:sz w:val="24"/>
          <w:szCs w:val="24"/>
          <w:highlight w:val="none"/>
        </w:rPr>
      </w:pPr>
    </w:p>
    <w:p w14:paraId="368AD67D">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办法》（财库［2020］46号）的规定，本公司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lang w:eastAsia="zh-CN"/>
        </w:rPr>
        <w:t>）采购活动，</w:t>
      </w:r>
      <w:r>
        <w:rPr>
          <w:rFonts w:hint="eastAsia" w:ascii="宋体" w:hAnsi="宋体" w:eastAsia="宋体" w:cs="宋体"/>
          <w:b/>
          <w:bCs/>
          <w:color w:val="auto"/>
          <w:sz w:val="24"/>
          <w:szCs w:val="24"/>
          <w:highlight w:val="none"/>
          <w:lang w:eastAsia="zh-CN"/>
        </w:rPr>
        <w:t>提供的货物全部由符合政策要求的中小企业制造</w:t>
      </w:r>
      <w:r>
        <w:rPr>
          <w:rFonts w:hint="eastAsia" w:ascii="宋体" w:hAnsi="宋体" w:eastAsia="宋体" w:cs="宋体"/>
          <w:color w:val="auto"/>
          <w:sz w:val="24"/>
          <w:szCs w:val="24"/>
          <w:highlight w:val="none"/>
          <w:lang w:eastAsia="zh-CN"/>
        </w:rPr>
        <w:t>。相关企业（含联合体中的中小企业、签订分包意向协议的中小企业）的具体情况如下：</w:t>
      </w:r>
    </w:p>
    <w:p w14:paraId="7571585C">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3CC2A2AA">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2FCC0BCB">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2D85C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C14FC0">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695B3B23">
      <w:pPr>
        <w:ind w:left="420"/>
        <w:rPr>
          <w:rFonts w:hint="eastAsia" w:ascii="宋体" w:hAnsi="宋体"/>
          <w:b/>
          <w:bCs/>
          <w:color w:val="auto"/>
          <w:sz w:val="21"/>
          <w:szCs w:val="21"/>
          <w:highlight w:val="none"/>
          <w:lang w:eastAsia="zh-CN"/>
        </w:rPr>
      </w:pPr>
    </w:p>
    <w:p w14:paraId="7C615368">
      <w:pPr>
        <w:ind w:left="420"/>
        <w:rPr>
          <w:rFonts w:hint="eastAsia" w:ascii="宋体" w:hAnsi="宋体"/>
          <w:color w:val="auto"/>
          <w:sz w:val="24"/>
          <w:szCs w:val="24"/>
          <w:highlight w:val="none"/>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r>
        <w:rPr>
          <w:rFonts w:hint="eastAsia" w:ascii="宋体" w:hAnsi="宋体" w:eastAsia="宋体" w:cs="宋体"/>
          <w:b/>
          <w:bCs/>
          <w:color w:val="auto"/>
          <w:sz w:val="21"/>
          <w:szCs w:val="21"/>
          <w:highlight w:val="none"/>
          <w:lang w:eastAsia="zh-CN"/>
        </w:rPr>
        <w:t>非</w:t>
      </w:r>
      <w:r>
        <w:rPr>
          <w:rFonts w:hint="eastAsia" w:ascii="宋体" w:hAnsi="宋体" w:eastAsia="宋体" w:cs="宋体"/>
          <w:b/>
          <w:bCs/>
          <w:color w:val="auto"/>
          <w:sz w:val="21"/>
          <w:szCs w:val="21"/>
          <w:highlight w:val="none"/>
          <w:lang w:val="en-GB" w:eastAsia="zh-CN"/>
        </w:rPr>
        <w:t>中小企业无需提供此声明函。</w:t>
      </w:r>
    </w:p>
    <w:p w14:paraId="5D61B2FB">
      <w:pPr>
        <w:ind w:left="420"/>
        <w:rPr>
          <w:rFonts w:hint="eastAsia" w:ascii="宋体" w:hAnsi="宋体"/>
          <w:color w:val="auto"/>
          <w:sz w:val="24"/>
          <w:szCs w:val="24"/>
          <w:highlight w:val="none"/>
        </w:rPr>
      </w:pPr>
    </w:p>
    <w:p w14:paraId="626E5945">
      <w:pPr>
        <w:ind w:left="420"/>
        <w:rPr>
          <w:rFonts w:hint="eastAsia" w:ascii="宋体" w:hAnsi="宋体"/>
          <w:color w:val="auto"/>
          <w:sz w:val="24"/>
          <w:szCs w:val="24"/>
          <w:highlight w:val="none"/>
        </w:rPr>
      </w:pPr>
    </w:p>
    <w:p w14:paraId="0BBFE04B">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76477182">
      <w:pPr>
        <w:spacing w:line="360" w:lineRule="auto"/>
        <w:jc w:val="left"/>
        <w:rPr>
          <w:rFonts w:hint="eastAsia" w:ascii="宋体" w:hAnsi="宋体"/>
          <w:b w:val="0"/>
          <w:bCs/>
          <w:color w:val="auto"/>
          <w:sz w:val="24"/>
          <w:szCs w:val="24"/>
          <w:highlight w:val="none"/>
          <w:lang w:val="en-US" w:eastAsia="zh-CN"/>
        </w:rPr>
      </w:pPr>
    </w:p>
    <w:p w14:paraId="44386FC3">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年  月   日</w:t>
      </w:r>
    </w:p>
    <w:p w14:paraId="447970C6">
      <w:pPr>
        <w:pStyle w:val="16"/>
        <w:rPr>
          <w:rFonts w:hint="eastAsia"/>
          <w:color w:val="auto"/>
          <w:highlight w:val="none"/>
        </w:rPr>
      </w:pPr>
    </w:p>
    <w:p w14:paraId="105B29F3">
      <w:pPr>
        <w:spacing w:line="380" w:lineRule="exact"/>
        <w:ind w:firstLine="482"/>
        <w:rPr>
          <w:rFonts w:hint="eastAsia" w:ascii="宋体" w:hAnsi="宋体"/>
          <w:b/>
          <w:color w:val="auto"/>
          <w:sz w:val="28"/>
          <w:highlight w:val="none"/>
        </w:rPr>
      </w:pPr>
    </w:p>
    <w:p w14:paraId="3AF26356">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18：</w:t>
      </w:r>
    </w:p>
    <w:p w14:paraId="5FEAF5A8">
      <w:pPr>
        <w:pStyle w:val="21"/>
        <w:spacing w:line="360" w:lineRule="auto"/>
        <w:jc w:val="center"/>
        <w:outlineLvl w:val="1"/>
        <w:rPr>
          <w:rFonts w:hAnsi="宋体"/>
          <w:b/>
          <w:color w:val="auto"/>
          <w:sz w:val="32"/>
          <w:szCs w:val="32"/>
          <w:highlight w:val="none"/>
          <w:lang w:val="en-GB"/>
        </w:rPr>
      </w:pPr>
    </w:p>
    <w:p w14:paraId="79ED910E">
      <w:pPr>
        <w:pStyle w:val="21"/>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CD0D898">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DB48C68">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05357C94">
      <w:pPr>
        <w:tabs>
          <w:tab w:val="left" w:pos="4860"/>
        </w:tabs>
        <w:spacing w:line="588" w:lineRule="exact"/>
        <w:ind w:right="1560" w:firstLine="504" w:firstLineChars="200"/>
        <w:jc w:val="center"/>
        <w:rPr>
          <w:rFonts w:ascii="宋体" w:hAnsi="宋体"/>
          <w:color w:val="auto"/>
          <w:spacing w:val="6"/>
          <w:sz w:val="24"/>
          <w:highlight w:val="none"/>
        </w:rPr>
      </w:pPr>
    </w:p>
    <w:p w14:paraId="767BEF22">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5C183712">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14:paraId="7F39B050">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年   月   日</w:t>
      </w:r>
    </w:p>
    <w:p w14:paraId="51E165AC">
      <w:pPr>
        <w:pStyle w:val="62"/>
        <w:spacing w:line="360" w:lineRule="auto"/>
        <w:rPr>
          <w:rFonts w:ascii="宋体" w:hAnsi="宋体"/>
          <w:b/>
          <w:color w:val="auto"/>
          <w:sz w:val="28"/>
          <w:szCs w:val="28"/>
          <w:highlight w:val="none"/>
        </w:rPr>
      </w:pPr>
    </w:p>
    <w:p w14:paraId="109D6322">
      <w:pPr>
        <w:pStyle w:val="62"/>
        <w:spacing w:line="360" w:lineRule="auto"/>
        <w:rPr>
          <w:rFonts w:ascii="宋体" w:hAnsi="宋体"/>
          <w:b/>
          <w:color w:val="auto"/>
          <w:sz w:val="28"/>
          <w:szCs w:val="28"/>
          <w:highlight w:val="none"/>
        </w:rPr>
      </w:pPr>
    </w:p>
    <w:p w14:paraId="2FB25A28">
      <w:pPr>
        <w:pStyle w:val="62"/>
        <w:spacing w:line="360" w:lineRule="auto"/>
        <w:rPr>
          <w:rFonts w:ascii="宋体" w:hAnsi="宋体"/>
          <w:b/>
          <w:color w:val="auto"/>
          <w:sz w:val="28"/>
          <w:szCs w:val="28"/>
          <w:highlight w:val="none"/>
        </w:rPr>
      </w:pPr>
    </w:p>
    <w:p w14:paraId="72D3E088">
      <w:pPr>
        <w:widowControl w:val="0"/>
        <w:spacing w:line="480" w:lineRule="auto"/>
        <w:ind w:firstLine="482" w:firstLineChars="200"/>
        <w:textAlignment w:val="baseline"/>
        <w:rPr>
          <w:rFonts w:ascii="宋体" w:hAnsi="宋体"/>
          <w:snapToGrid w:val="0"/>
          <w:color w:val="auto"/>
          <w:sz w:val="24"/>
          <w:highlight w:val="none"/>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bookmarkEnd w:id="40"/>
      <w:bookmarkEnd w:id="55"/>
    </w:p>
    <w:sectPr>
      <w:pgSz w:w="11907" w:h="16840"/>
      <w:pgMar w:top="1701" w:right="1474" w:bottom="1701"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Dotum">
    <w:panose1 w:val="020B0600000101010101"/>
    <w:charset w:val="81"/>
    <w:family w:val="modern"/>
    <w:pitch w:val="default"/>
    <w:sig w:usb0="B00002AF" w:usb1="69D77CFB" w:usb2="00000030" w:usb3="00000000" w:csb0="4008009F" w:csb1="DFD7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6456">
    <w:pPr>
      <w:pStyle w:val="26"/>
      <w:tabs>
        <w:tab w:val="center" w:pos="4153"/>
        <w:tab w:val="right" w:pos="8306"/>
        <w:tab w:val="clear" w:pos="4140"/>
        <w:tab w:val="clear" w:pos="8300"/>
      </w:tabs>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2078E5">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IdABAACq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Hgy7z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f7/IdABAACqAwAADgAAAAAAAAABACAAAAAeAQAAZHJz&#10;L2Uyb0RvYy54bWxQSwUGAAAAAAYABgBZAQAAYAUAAAAA&#10;">
              <v:fill on="f" focussize="0,0"/>
              <v:stroke on="f"/>
              <v:imagedata o:title=""/>
              <o:lock v:ext="edit" aspectratio="f"/>
              <v:textbox inset="0mm,0mm,0mm,0mm" style="mso-fit-shape-to-text:t;">
                <w:txbxContent>
                  <w:p w14:paraId="3D2078E5">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FCE1">
    <w:pPr>
      <w:pStyle w:val="26"/>
      <w:tabs>
        <w:tab w:val="center" w:pos="4153"/>
        <w:tab w:val="right" w:pos="8306"/>
        <w:tab w:val="clear" w:pos="4140"/>
        <w:tab w:val="clear" w:pos="8300"/>
      </w:tabs>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EFA96F">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5d3NABAACq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c5d3NABAACqAwAADgAAAAAAAAABACAAAAAeAQAAZHJz&#10;L2Uyb0RvYy54bWxQSwUGAAAAAAYABgBZAQAAYAUAAAAA&#10;">
              <v:fill on="f" focussize="0,0"/>
              <v:stroke on="f"/>
              <v:imagedata o:title=""/>
              <o:lock v:ext="edit" aspectratio="f"/>
              <v:textbox inset="0mm,0mm,0mm,0mm" style="mso-fit-shape-to-text:t;">
                <w:txbxContent>
                  <w:p w14:paraId="78EFA96F">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CB5F">
    <w:pPr>
      <w:pStyle w:val="27"/>
      <w:pBdr>
        <w:bottom w:val="none" w:color="auto" w:sz="0" w:space="1"/>
      </w:pBdr>
      <w:tabs>
        <w:tab w:val="center" w:pos="4156"/>
        <w:tab w:val="left" w:pos="6279"/>
        <w:tab w:val="right" w:pos="8306"/>
        <w:tab w:val="clear" w:pos="4140"/>
        <w:tab w:val="clear" w:pos="8300"/>
      </w:tabs>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5FEF">
    <w:pPr>
      <w:pStyle w:val="27"/>
      <w:pBdr>
        <w:bottom w:val="none" w:color="auto" w:sz="0" w:space="1"/>
      </w:pBdr>
      <w:tabs>
        <w:tab w:val="center" w:pos="4153"/>
        <w:tab w:val="left" w:pos="6279"/>
        <w:tab w:val="right" w:pos="8306"/>
        <w:tab w:val="clear" w:pos="4140"/>
        <w:tab w:val="clear" w:pos="8300"/>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DFFEF"/>
    <w:multiLevelType w:val="singleLevel"/>
    <w:tmpl w:val="91BDFFEF"/>
    <w:lvl w:ilvl="0" w:tentative="0">
      <w:start w:val="5"/>
      <w:numFmt w:val="chineseCounting"/>
      <w:suff w:val="nothing"/>
      <w:lvlText w:val="%1、"/>
      <w:lvlJc w:val="left"/>
      <w:rPr>
        <w:rFonts w:hint="eastAsia"/>
      </w:rPr>
    </w:lvl>
  </w:abstractNum>
  <w:abstractNum w:abstractNumId="1">
    <w:nsid w:val="B778F772"/>
    <w:multiLevelType w:val="singleLevel"/>
    <w:tmpl w:val="B778F772"/>
    <w:lvl w:ilvl="0" w:tentative="0">
      <w:start w:val="1"/>
      <w:numFmt w:val="decimal"/>
      <w:lvlText w:val="%1."/>
      <w:lvlJc w:val="left"/>
      <w:pPr>
        <w:tabs>
          <w:tab w:val="left" w:pos="312"/>
        </w:tabs>
      </w:pPr>
    </w:lvl>
  </w:abstractNum>
  <w:abstractNum w:abstractNumId="2">
    <w:nsid w:val="E97052A3"/>
    <w:multiLevelType w:val="singleLevel"/>
    <w:tmpl w:val="E97052A3"/>
    <w:lvl w:ilvl="0" w:tentative="0">
      <w:start w:val="8"/>
      <w:numFmt w:val="decimal"/>
      <w:suff w:val="nothing"/>
      <w:lvlText w:val="%1、"/>
      <w:lvlJc w:val="left"/>
    </w:lvl>
  </w:abstractNum>
  <w:abstractNum w:abstractNumId="3">
    <w:nsid w:val="00000003"/>
    <w:multiLevelType w:val="singleLevel"/>
    <w:tmpl w:val="00000003"/>
    <w:lvl w:ilvl="0" w:tentative="0">
      <w:start w:val="1"/>
      <w:numFmt w:val="upperLetter"/>
      <w:pStyle w:val="4"/>
      <w:lvlText w:val="%1、"/>
      <w:lvlJc w:val="left"/>
      <w:pPr>
        <w:tabs>
          <w:tab w:val="left" w:pos="1335"/>
        </w:tabs>
        <w:ind w:left="1335" w:hanging="720"/>
      </w:pPr>
      <w:rPr>
        <w:rFonts w:hint="eastAsia"/>
      </w:rPr>
    </w:lvl>
  </w:abstractNum>
  <w:abstractNum w:abstractNumId="4">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8"/>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31741A4"/>
    <w:multiLevelType w:val="multilevel"/>
    <w:tmpl w:val="031741A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922DB2"/>
    <w:multiLevelType w:val="multilevel"/>
    <w:tmpl w:val="07922DB2"/>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09052E4A"/>
    <w:multiLevelType w:val="multilevel"/>
    <w:tmpl w:val="09052E4A"/>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9CA2EBD"/>
    <w:multiLevelType w:val="multilevel"/>
    <w:tmpl w:val="09CA2EB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13BD7F4D"/>
    <w:multiLevelType w:val="multilevel"/>
    <w:tmpl w:val="13BD7F4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0">
    <w:nsid w:val="1A47454F"/>
    <w:multiLevelType w:val="multilevel"/>
    <w:tmpl w:val="1A47454F"/>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1">
    <w:nsid w:val="1B94240F"/>
    <w:multiLevelType w:val="multilevel"/>
    <w:tmpl w:val="1B94240F"/>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2">
    <w:nsid w:val="23E4259D"/>
    <w:multiLevelType w:val="multilevel"/>
    <w:tmpl w:val="23E4259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3">
    <w:nsid w:val="29B93AEA"/>
    <w:multiLevelType w:val="singleLevel"/>
    <w:tmpl w:val="29B93AEA"/>
    <w:lvl w:ilvl="0" w:tentative="0">
      <w:start w:val="1"/>
      <w:numFmt w:val="decimal"/>
      <w:suff w:val="nothing"/>
      <w:lvlText w:val="（%1）"/>
      <w:lvlJc w:val="left"/>
    </w:lvl>
  </w:abstractNum>
  <w:abstractNum w:abstractNumId="14">
    <w:nsid w:val="2C380E1D"/>
    <w:multiLevelType w:val="multilevel"/>
    <w:tmpl w:val="2C380E1D"/>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5">
    <w:nsid w:val="3D814BC0"/>
    <w:multiLevelType w:val="multilevel"/>
    <w:tmpl w:val="3D814BC0"/>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6">
    <w:nsid w:val="41481B79"/>
    <w:multiLevelType w:val="multilevel"/>
    <w:tmpl w:val="41481B79"/>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7">
    <w:nsid w:val="455D3FF4"/>
    <w:multiLevelType w:val="multilevel"/>
    <w:tmpl w:val="455D3FF4"/>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8">
    <w:nsid w:val="46561F12"/>
    <w:multiLevelType w:val="multilevel"/>
    <w:tmpl w:val="46561F12"/>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9">
    <w:nsid w:val="46C514C3"/>
    <w:multiLevelType w:val="singleLevel"/>
    <w:tmpl w:val="46C514C3"/>
    <w:lvl w:ilvl="0" w:tentative="0">
      <w:start w:val="1"/>
      <w:numFmt w:val="chineseCounting"/>
      <w:suff w:val="nothing"/>
      <w:lvlText w:val="%1、"/>
      <w:lvlJc w:val="left"/>
      <w:rPr>
        <w:rFonts w:hint="eastAsia"/>
      </w:rPr>
    </w:lvl>
  </w:abstractNum>
  <w:abstractNum w:abstractNumId="20">
    <w:nsid w:val="46F736B1"/>
    <w:multiLevelType w:val="multilevel"/>
    <w:tmpl w:val="46F736B1"/>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1">
    <w:nsid w:val="4A86285B"/>
    <w:multiLevelType w:val="multilevel"/>
    <w:tmpl w:val="4A86285B"/>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2">
    <w:nsid w:val="64A67360"/>
    <w:multiLevelType w:val="multilevel"/>
    <w:tmpl w:val="64A67360"/>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3">
    <w:nsid w:val="64BD66C3"/>
    <w:multiLevelType w:val="multilevel"/>
    <w:tmpl w:val="64BD66C3"/>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4">
    <w:nsid w:val="69077CC1"/>
    <w:multiLevelType w:val="multilevel"/>
    <w:tmpl w:val="69077CC1"/>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5">
    <w:nsid w:val="694841A3"/>
    <w:multiLevelType w:val="multilevel"/>
    <w:tmpl w:val="694841A3"/>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6">
    <w:nsid w:val="6A0B8EEB"/>
    <w:multiLevelType w:val="singleLevel"/>
    <w:tmpl w:val="6A0B8EEB"/>
    <w:lvl w:ilvl="0" w:tentative="0">
      <w:start w:val="4"/>
      <w:numFmt w:val="chineseCounting"/>
      <w:suff w:val="space"/>
      <w:lvlText w:val="第%1章"/>
      <w:lvlJc w:val="left"/>
      <w:rPr>
        <w:rFonts w:hint="eastAsia"/>
      </w:rPr>
    </w:lvl>
  </w:abstractNum>
  <w:abstractNum w:abstractNumId="27">
    <w:nsid w:val="6C140102"/>
    <w:multiLevelType w:val="multilevel"/>
    <w:tmpl w:val="6C140102"/>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8">
    <w:nsid w:val="72404E54"/>
    <w:multiLevelType w:val="multilevel"/>
    <w:tmpl w:val="72404E54"/>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9">
    <w:nsid w:val="75CF4E55"/>
    <w:multiLevelType w:val="multilevel"/>
    <w:tmpl w:val="75CF4E55"/>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0">
    <w:nsid w:val="77C517B3"/>
    <w:multiLevelType w:val="multilevel"/>
    <w:tmpl w:val="77C517B3"/>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1">
    <w:nsid w:val="7BC93F80"/>
    <w:multiLevelType w:val="singleLevel"/>
    <w:tmpl w:val="7BC93F80"/>
    <w:lvl w:ilvl="0" w:tentative="0">
      <w:start w:val="4"/>
      <w:numFmt w:val="decimal"/>
      <w:suff w:val="nothing"/>
      <w:lvlText w:val="%1、"/>
      <w:lvlJc w:val="left"/>
    </w:lvl>
  </w:abstractNum>
  <w:abstractNum w:abstractNumId="32">
    <w:nsid w:val="7F9D7AB0"/>
    <w:multiLevelType w:val="multilevel"/>
    <w:tmpl w:val="7F9D7AB0"/>
    <w:lvl w:ilvl="0" w:tentative="0">
      <w:start w:val="1"/>
      <w:numFmt w:val="decimal"/>
      <w:lvlText w:val="%1"/>
      <w:lvlJc w:val="left"/>
      <w:pPr>
        <w:tabs>
          <w:tab w:val="left" w:pos="600"/>
        </w:tabs>
        <w:ind w:left="600" w:hanging="4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3"/>
  </w:num>
  <w:num w:numId="2">
    <w:abstractNumId w:val="4"/>
  </w:num>
  <w:num w:numId="3">
    <w:abstractNumId w:val="19"/>
  </w:num>
  <w:num w:numId="4">
    <w:abstractNumId w:val="31"/>
  </w:num>
  <w:num w:numId="5">
    <w:abstractNumId w:val="0"/>
  </w:num>
  <w:num w:numId="6">
    <w:abstractNumId w:val="13"/>
  </w:num>
  <w:num w:numId="7">
    <w:abstractNumId w:val="26"/>
  </w:num>
  <w:num w:numId="8">
    <w:abstractNumId w:val="28"/>
  </w:num>
  <w:num w:numId="9">
    <w:abstractNumId w:val="27"/>
  </w:num>
  <w:num w:numId="10">
    <w:abstractNumId w:val="24"/>
  </w:num>
  <w:num w:numId="11">
    <w:abstractNumId w:val="9"/>
  </w:num>
  <w:num w:numId="12">
    <w:abstractNumId w:val="10"/>
  </w:num>
  <w:num w:numId="13">
    <w:abstractNumId w:val="22"/>
  </w:num>
  <w:num w:numId="14">
    <w:abstractNumId w:val="16"/>
  </w:num>
  <w:num w:numId="15">
    <w:abstractNumId w:val="7"/>
  </w:num>
  <w:num w:numId="16">
    <w:abstractNumId w:val="14"/>
  </w:num>
  <w:num w:numId="17">
    <w:abstractNumId w:val="17"/>
  </w:num>
  <w:num w:numId="18">
    <w:abstractNumId w:val="11"/>
  </w:num>
  <w:num w:numId="19">
    <w:abstractNumId w:val="32"/>
  </w:num>
  <w:num w:numId="20">
    <w:abstractNumId w:val="29"/>
  </w:num>
  <w:num w:numId="21">
    <w:abstractNumId w:val="12"/>
  </w:num>
  <w:num w:numId="22">
    <w:abstractNumId w:val="18"/>
  </w:num>
  <w:num w:numId="23">
    <w:abstractNumId w:val="20"/>
  </w:num>
  <w:num w:numId="24">
    <w:abstractNumId w:val="6"/>
  </w:num>
  <w:num w:numId="25">
    <w:abstractNumId w:val="25"/>
  </w:num>
  <w:num w:numId="26">
    <w:abstractNumId w:val="23"/>
  </w:num>
  <w:num w:numId="27">
    <w:abstractNumId w:val="8"/>
  </w:num>
  <w:num w:numId="28">
    <w:abstractNumId w:val="21"/>
  </w:num>
  <w:num w:numId="29">
    <w:abstractNumId w:val="15"/>
  </w:num>
  <w:num w:numId="30">
    <w:abstractNumId w:val="30"/>
  </w:num>
  <w:num w:numId="31">
    <w:abstractNumId w:val="5"/>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mE0ZjAyY2Y2NzdjZjg2NWNhY2Y0Y2Q3NmFhMDQ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58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5AA4"/>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D73"/>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2D92"/>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1F4"/>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172554"/>
    <w:rsid w:val="012836AB"/>
    <w:rsid w:val="01313B61"/>
    <w:rsid w:val="014337F8"/>
    <w:rsid w:val="01467270"/>
    <w:rsid w:val="015930D4"/>
    <w:rsid w:val="015A2254"/>
    <w:rsid w:val="016E5345"/>
    <w:rsid w:val="01910A08"/>
    <w:rsid w:val="01936896"/>
    <w:rsid w:val="019B2BEF"/>
    <w:rsid w:val="01A1515B"/>
    <w:rsid w:val="01A5051B"/>
    <w:rsid w:val="01BC694C"/>
    <w:rsid w:val="01BE41B4"/>
    <w:rsid w:val="01CF1393"/>
    <w:rsid w:val="01DE06EF"/>
    <w:rsid w:val="01E01E72"/>
    <w:rsid w:val="01E25409"/>
    <w:rsid w:val="01E67B95"/>
    <w:rsid w:val="01F00421"/>
    <w:rsid w:val="02141E34"/>
    <w:rsid w:val="022E19A6"/>
    <w:rsid w:val="02380E83"/>
    <w:rsid w:val="024332FC"/>
    <w:rsid w:val="025714DE"/>
    <w:rsid w:val="02641762"/>
    <w:rsid w:val="02645FCD"/>
    <w:rsid w:val="02672492"/>
    <w:rsid w:val="02806D9E"/>
    <w:rsid w:val="02810BAA"/>
    <w:rsid w:val="0289274A"/>
    <w:rsid w:val="029479EF"/>
    <w:rsid w:val="02A05BF8"/>
    <w:rsid w:val="02AF65EE"/>
    <w:rsid w:val="02B31491"/>
    <w:rsid w:val="02BC7A87"/>
    <w:rsid w:val="02D210B5"/>
    <w:rsid w:val="02D63416"/>
    <w:rsid w:val="02EC6717"/>
    <w:rsid w:val="02F01FD6"/>
    <w:rsid w:val="02F17925"/>
    <w:rsid w:val="03084089"/>
    <w:rsid w:val="03084D2C"/>
    <w:rsid w:val="032441CD"/>
    <w:rsid w:val="032558AB"/>
    <w:rsid w:val="032B6844"/>
    <w:rsid w:val="03477FD7"/>
    <w:rsid w:val="0349048D"/>
    <w:rsid w:val="034D095E"/>
    <w:rsid w:val="03521790"/>
    <w:rsid w:val="035646E8"/>
    <w:rsid w:val="036D199D"/>
    <w:rsid w:val="036F0A09"/>
    <w:rsid w:val="03880FBC"/>
    <w:rsid w:val="038B52E4"/>
    <w:rsid w:val="038E7529"/>
    <w:rsid w:val="03975C7F"/>
    <w:rsid w:val="039D3ACF"/>
    <w:rsid w:val="03A215C5"/>
    <w:rsid w:val="03A81539"/>
    <w:rsid w:val="03B52C9F"/>
    <w:rsid w:val="03DB4DCB"/>
    <w:rsid w:val="03DE5488"/>
    <w:rsid w:val="03E71BA1"/>
    <w:rsid w:val="03EE2141"/>
    <w:rsid w:val="03FD4132"/>
    <w:rsid w:val="04053849"/>
    <w:rsid w:val="04207E21"/>
    <w:rsid w:val="04247911"/>
    <w:rsid w:val="04325583"/>
    <w:rsid w:val="043D4027"/>
    <w:rsid w:val="04402C33"/>
    <w:rsid w:val="04575F38"/>
    <w:rsid w:val="04585332"/>
    <w:rsid w:val="0466617C"/>
    <w:rsid w:val="046866E8"/>
    <w:rsid w:val="047273A7"/>
    <w:rsid w:val="04731F18"/>
    <w:rsid w:val="049A3DD9"/>
    <w:rsid w:val="049E7D14"/>
    <w:rsid w:val="04A4660C"/>
    <w:rsid w:val="04B7399C"/>
    <w:rsid w:val="04C35F9E"/>
    <w:rsid w:val="04D454AC"/>
    <w:rsid w:val="04DA6E5D"/>
    <w:rsid w:val="04E90B26"/>
    <w:rsid w:val="04F77C89"/>
    <w:rsid w:val="05017C52"/>
    <w:rsid w:val="0505573F"/>
    <w:rsid w:val="05220687"/>
    <w:rsid w:val="052A12A6"/>
    <w:rsid w:val="052D4EEB"/>
    <w:rsid w:val="05493801"/>
    <w:rsid w:val="05597A8E"/>
    <w:rsid w:val="055A7DAD"/>
    <w:rsid w:val="056224AE"/>
    <w:rsid w:val="056E00E6"/>
    <w:rsid w:val="05743E7D"/>
    <w:rsid w:val="05756DDB"/>
    <w:rsid w:val="058406E3"/>
    <w:rsid w:val="0590627B"/>
    <w:rsid w:val="05972BB1"/>
    <w:rsid w:val="059B3217"/>
    <w:rsid w:val="059D6138"/>
    <w:rsid w:val="05A76A6B"/>
    <w:rsid w:val="05AE452E"/>
    <w:rsid w:val="05AF0003"/>
    <w:rsid w:val="05C4665B"/>
    <w:rsid w:val="05D074D8"/>
    <w:rsid w:val="05DA5BB6"/>
    <w:rsid w:val="06011C8F"/>
    <w:rsid w:val="0601209F"/>
    <w:rsid w:val="060E3AC1"/>
    <w:rsid w:val="063F04B4"/>
    <w:rsid w:val="06493E30"/>
    <w:rsid w:val="065770DE"/>
    <w:rsid w:val="0668582F"/>
    <w:rsid w:val="066F2FDB"/>
    <w:rsid w:val="069B1EDA"/>
    <w:rsid w:val="06A01F59"/>
    <w:rsid w:val="06A86537"/>
    <w:rsid w:val="06B11CB1"/>
    <w:rsid w:val="06BA1363"/>
    <w:rsid w:val="06C36EBD"/>
    <w:rsid w:val="06C46847"/>
    <w:rsid w:val="06C91A39"/>
    <w:rsid w:val="06CC603E"/>
    <w:rsid w:val="06D005E1"/>
    <w:rsid w:val="06EC712E"/>
    <w:rsid w:val="06F25C5E"/>
    <w:rsid w:val="06FA07E4"/>
    <w:rsid w:val="072A5E0B"/>
    <w:rsid w:val="07427B69"/>
    <w:rsid w:val="07457A1D"/>
    <w:rsid w:val="07485449"/>
    <w:rsid w:val="074919E0"/>
    <w:rsid w:val="074C3A1B"/>
    <w:rsid w:val="07506C6F"/>
    <w:rsid w:val="0758193C"/>
    <w:rsid w:val="076062D1"/>
    <w:rsid w:val="076D37B1"/>
    <w:rsid w:val="0770185E"/>
    <w:rsid w:val="07711FB9"/>
    <w:rsid w:val="0790434A"/>
    <w:rsid w:val="07911444"/>
    <w:rsid w:val="07987BB6"/>
    <w:rsid w:val="079A3885"/>
    <w:rsid w:val="07BD6315"/>
    <w:rsid w:val="07C66394"/>
    <w:rsid w:val="07CC02E2"/>
    <w:rsid w:val="07D23B28"/>
    <w:rsid w:val="07F03130"/>
    <w:rsid w:val="07F51F62"/>
    <w:rsid w:val="07F97F0A"/>
    <w:rsid w:val="07FF49CB"/>
    <w:rsid w:val="08010E93"/>
    <w:rsid w:val="080D02E6"/>
    <w:rsid w:val="08283748"/>
    <w:rsid w:val="08413F01"/>
    <w:rsid w:val="08581177"/>
    <w:rsid w:val="086157C9"/>
    <w:rsid w:val="08641B39"/>
    <w:rsid w:val="087E632A"/>
    <w:rsid w:val="088D4034"/>
    <w:rsid w:val="08A96526"/>
    <w:rsid w:val="08B17016"/>
    <w:rsid w:val="08B75413"/>
    <w:rsid w:val="08B80F70"/>
    <w:rsid w:val="08D51B22"/>
    <w:rsid w:val="08D60380"/>
    <w:rsid w:val="08DE653E"/>
    <w:rsid w:val="08DE6EF0"/>
    <w:rsid w:val="08F76E29"/>
    <w:rsid w:val="09076DD4"/>
    <w:rsid w:val="090A1282"/>
    <w:rsid w:val="092616B9"/>
    <w:rsid w:val="092F1D8A"/>
    <w:rsid w:val="093127E7"/>
    <w:rsid w:val="093530B4"/>
    <w:rsid w:val="093F74A5"/>
    <w:rsid w:val="094B4D7F"/>
    <w:rsid w:val="09571134"/>
    <w:rsid w:val="09695102"/>
    <w:rsid w:val="096A3384"/>
    <w:rsid w:val="09716D1D"/>
    <w:rsid w:val="09835F50"/>
    <w:rsid w:val="09860D84"/>
    <w:rsid w:val="098849A1"/>
    <w:rsid w:val="0994031E"/>
    <w:rsid w:val="099B44B1"/>
    <w:rsid w:val="099F5C8C"/>
    <w:rsid w:val="09A432A2"/>
    <w:rsid w:val="09AB118C"/>
    <w:rsid w:val="09B4249C"/>
    <w:rsid w:val="09B81DF8"/>
    <w:rsid w:val="09D1358C"/>
    <w:rsid w:val="09D82983"/>
    <w:rsid w:val="09F1515E"/>
    <w:rsid w:val="0A0568B8"/>
    <w:rsid w:val="0A0A1A02"/>
    <w:rsid w:val="0A122DE9"/>
    <w:rsid w:val="0A134D8C"/>
    <w:rsid w:val="0A203C7F"/>
    <w:rsid w:val="0A2368BD"/>
    <w:rsid w:val="0A2C2AA0"/>
    <w:rsid w:val="0A313491"/>
    <w:rsid w:val="0A3678CB"/>
    <w:rsid w:val="0A64493F"/>
    <w:rsid w:val="0A771B42"/>
    <w:rsid w:val="0A784B8F"/>
    <w:rsid w:val="0A8B2365"/>
    <w:rsid w:val="0A8D4EC8"/>
    <w:rsid w:val="0AB14B3A"/>
    <w:rsid w:val="0ABA3A4D"/>
    <w:rsid w:val="0ABF65E6"/>
    <w:rsid w:val="0AD30F8B"/>
    <w:rsid w:val="0AE77A89"/>
    <w:rsid w:val="0AEC712A"/>
    <w:rsid w:val="0AF614D2"/>
    <w:rsid w:val="0B246E3A"/>
    <w:rsid w:val="0B2470AA"/>
    <w:rsid w:val="0B260413"/>
    <w:rsid w:val="0B3D46A1"/>
    <w:rsid w:val="0B41746C"/>
    <w:rsid w:val="0B4A2E5C"/>
    <w:rsid w:val="0B5D5030"/>
    <w:rsid w:val="0B6D16D3"/>
    <w:rsid w:val="0B6E3627"/>
    <w:rsid w:val="0B720E98"/>
    <w:rsid w:val="0B862E0B"/>
    <w:rsid w:val="0B8B46B2"/>
    <w:rsid w:val="0B8D5A02"/>
    <w:rsid w:val="0B9A470E"/>
    <w:rsid w:val="0BAA5135"/>
    <w:rsid w:val="0BAB6B6A"/>
    <w:rsid w:val="0BAF504F"/>
    <w:rsid w:val="0BBE064B"/>
    <w:rsid w:val="0BC35889"/>
    <w:rsid w:val="0BE8220E"/>
    <w:rsid w:val="0C17232E"/>
    <w:rsid w:val="0C1C6680"/>
    <w:rsid w:val="0C1F7A17"/>
    <w:rsid w:val="0C2174CA"/>
    <w:rsid w:val="0C385CDB"/>
    <w:rsid w:val="0C526721"/>
    <w:rsid w:val="0C5C3CF4"/>
    <w:rsid w:val="0C643E15"/>
    <w:rsid w:val="0C797A47"/>
    <w:rsid w:val="0C7C1E00"/>
    <w:rsid w:val="0C9F20C6"/>
    <w:rsid w:val="0CA57AED"/>
    <w:rsid w:val="0CA96C0E"/>
    <w:rsid w:val="0CAA6E21"/>
    <w:rsid w:val="0CB81220"/>
    <w:rsid w:val="0CCF22C5"/>
    <w:rsid w:val="0CDB347F"/>
    <w:rsid w:val="0CE40418"/>
    <w:rsid w:val="0CF86F62"/>
    <w:rsid w:val="0D0F183E"/>
    <w:rsid w:val="0D1156C0"/>
    <w:rsid w:val="0D12359B"/>
    <w:rsid w:val="0D231D6B"/>
    <w:rsid w:val="0D240717"/>
    <w:rsid w:val="0D45798F"/>
    <w:rsid w:val="0D4736EA"/>
    <w:rsid w:val="0D4B4161"/>
    <w:rsid w:val="0D4B74CA"/>
    <w:rsid w:val="0D4F3A4A"/>
    <w:rsid w:val="0D5E4AD1"/>
    <w:rsid w:val="0D635C60"/>
    <w:rsid w:val="0D7144B5"/>
    <w:rsid w:val="0D975F08"/>
    <w:rsid w:val="0DC61A39"/>
    <w:rsid w:val="0DD80C88"/>
    <w:rsid w:val="0DDA7E4C"/>
    <w:rsid w:val="0DE336F6"/>
    <w:rsid w:val="0DF16786"/>
    <w:rsid w:val="0DFE2ACA"/>
    <w:rsid w:val="0E1705E2"/>
    <w:rsid w:val="0E1B3CE7"/>
    <w:rsid w:val="0E2415A7"/>
    <w:rsid w:val="0E2D25E1"/>
    <w:rsid w:val="0E4B4619"/>
    <w:rsid w:val="0E4E7A83"/>
    <w:rsid w:val="0E653000"/>
    <w:rsid w:val="0E712BB1"/>
    <w:rsid w:val="0E71409B"/>
    <w:rsid w:val="0EAF24CD"/>
    <w:rsid w:val="0EAF2A15"/>
    <w:rsid w:val="0EC17C44"/>
    <w:rsid w:val="0ED81D2A"/>
    <w:rsid w:val="0EF06CED"/>
    <w:rsid w:val="0F1E2C34"/>
    <w:rsid w:val="0F3251D7"/>
    <w:rsid w:val="0F4966D4"/>
    <w:rsid w:val="0F657AA4"/>
    <w:rsid w:val="0F684963"/>
    <w:rsid w:val="0F735E00"/>
    <w:rsid w:val="0F7F4595"/>
    <w:rsid w:val="0F8F5323"/>
    <w:rsid w:val="0FA10B50"/>
    <w:rsid w:val="0FB17097"/>
    <w:rsid w:val="0FBF4992"/>
    <w:rsid w:val="0FC71A8E"/>
    <w:rsid w:val="0FCB1D2B"/>
    <w:rsid w:val="0FCD0E93"/>
    <w:rsid w:val="0FCE5575"/>
    <w:rsid w:val="0FEB39D9"/>
    <w:rsid w:val="0FF94935"/>
    <w:rsid w:val="101D1605"/>
    <w:rsid w:val="10247196"/>
    <w:rsid w:val="10321D0D"/>
    <w:rsid w:val="10420DF2"/>
    <w:rsid w:val="10434FED"/>
    <w:rsid w:val="10516C6D"/>
    <w:rsid w:val="105A46BB"/>
    <w:rsid w:val="106C75C2"/>
    <w:rsid w:val="107D309D"/>
    <w:rsid w:val="10865CE4"/>
    <w:rsid w:val="10983E16"/>
    <w:rsid w:val="10AD5147"/>
    <w:rsid w:val="10C7709F"/>
    <w:rsid w:val="10CF0248"/>
    <w:rsid w:val="10EE7C14"/>
    <w:rsid w:val="114E6938"/>
    <w:rsid w:val="11535CDA"/>
    <w:rsid w:val="11637D0E"/>
    <w:rsid w:val="11646494"/>
    <w:rsid w:val="117402B1"/>
    <w:rsid w:val="117F6ACF"/>
    <w:rsid w:val="11807396"/>
    <w:rsid w:val="1184463E"/>
    <w:rsid w:val="118F6B82"/>
    <w:rsid w:val="11960235"/>
    <w:rsid w:val="11985138"/>
    <w:rsid w:val="11BB452B"/>
    <w:rsid w:val="11D377F0"/>
    <w:rsid w:val="11E8114C"/>
    <w:rsid w:val="11E835B0"/>
    <w:rsid w:val="11F009E3"/>
    <w:rsid w:val="11F209C0"/>
    <w:rsid w:val="11FB2072"/>
    <w:rsid w:val="120526FB"/>
    <w:rsid w:val="120B00CA"/>
    <w:rsid w:val="122347E7"/>
    <w:rsid w:val="12247572"/>
    <w:rsid w:val="122F07C6"/>
    <w:rsid w:val="123221E3"/>
    <w:rsid w:val="124216FA"/>
    <w:rsid w:val="124C701F"/>
    <w:rsid w:val="124E024F"/>
    <w:rsid w:val="124E0FE8"/>
    <w:rsid w:val="124F30D4"/>
    <w:rsid w:val="12557964"/>
    <w:rsid w:val="12644CDC"/>
    <w:rsid w:val="12712DD6"/>
    <w:rsid w:val="12771554"/>
    <w:rsid w:val="129F39F4"/>
    <w:rsid w:val="12A10CC7"/>
    <w:rsid w:val="12A92EA8"/>
    <w:rsid w:val="12B121A2"/>
    <w:rsid w:val="12BE6787"/>
    <w:rsid w:val="12C13BBD"/>
    <w:rsid w:val="12C27010"/>
    <w:rsid w:val="12CB6FA3"/>
    <w:rsid w:val="12DA4C33"/>
    <w:rsid w:val="12F9530B"/>
    <w:rsid w:val="13033FDB"/>
    <w:rsid w:val="130E74F4"/>
    <w:rsid w:val="13221B8C"/>
    <w:rsid w:val="13405962"/>
    <w:rsid w:val="1363260B"/>
    <w:rsid w:val="13637988"/>
    <w:rsid w:val="1364544C"/>
    <w:rsid w:val="136E1C5E"/>
    <w:rsid w:val="13736AE7"/>
    <w:rsid w:val="13765309"/>
    <w:rsid w:val="139879D4"/>
    <w:rsid w:val="13AE3138"/>
    <w:rsid w:val="13D50C28"/>
    <w:rsid w:val="13D55A90"/>
    <w:rsid w:val="13D94299"/>
    <w:rsid w:val="13EF21DA"/>
    <w:rsid w:val="13F548A2"/>
    <w:rsid w:val="140A176B"/>
    <w:rsid w:val="140D4561"/>
    <w:rsid w:val="141E5215"/>
    <w:rsid w:val="142735E0"/>
    <w:rsid w:val="14292D22"/>
    <w:rsid w:val="143F60A1"/>
    <w:rsid w:val="143F6A31"/>
    <w:rsid w:val="144A1B83"/>
    <w:rsid w:val="145F1156"/>
    <w:rsid w:val="14652F40"/>
    <w:rsid w:val="148643DB"/>
    <w:rsid w:val="14956E55"/>
    <w:rsid w:val="14BA61D0"/>
    <w:rsid w:val="14BB4554"/>
    <w:rsid w:val="14BE77B5"/>
    <w:rsid w:val="14E91105"/>
    <w:rsid w:val="14EC010C"/>
    <w:rsid w:val="14EE1265"/>
    <w:rsid w:val="14EE40CB"/>
    <w:rsid w:val="14EF43A6"/>
    <w:rsid w:val="14F36F96"/>
    <w:rsid w:val="14FB043E"/>
    <w:rsid w:val="15236152"/>
    <w:rsid w:val="15260831"/>
    <w:rsid w:val="15336765"/>
    <w:rsid w:val="15366D60"/>
    <w:rsid w:val="15386876"/>
    <w:rsid w:val="153D4CD7"/>
    <w:rsid w:val="153F7072"/>
    <w:rsid w:val="155470A1"/>
    <w:rsid w:val="155C2501"/>
    <w:rsid w:val="157C35E9"/>
    <w:rsid w:val="15861E4C"/>
    <w:rsid w:val="15891CCA"/>
    <w:rsid w:val="1589314D"/>
    <w:rsid w:val="158A77F0"/>
    <w:rsid w:val="159A54F3"/>
    <w:rsid w:val="15DC577B"/>
    <w:rsid w:val="15F278A5"/>
    <w:rsid w:val="16136E91"/>
    <w:rsid w:val="162963ED"/>
    <w:rsid w:val="162C303A"/>
    <w:rsid w:val="164E62CB"/>
    <w:rsid w:val="1662152F"/>
    <w:rsid w:val="16735A30"/>
    <w:rsid w:val="16781D3E"/>
    <w:rsid w:val="16950B84"/>
    <w:rsid w:val="169D08EE"/>
    <w:rsid w:val="16AE5FD3"/>
    <w:rsid w:val="16B674EF"/>
    <w:rsid w:val="16BB453F"/>
    <w:rsid w:val="16E12936"/>
    <w:rsid w:val="16E65218"/>
    <w:rsid w:val="16FB7F28"/>
    <w:rsid w:val="16FD3E78"/>
    <w:rsid w:val="170B4925"/>
    <w:rsid w:val="170C6559"/>
    <w:rsid w:val="17145727"/>
    <w:rsid w:val="171830E0"/>
    <w:rsid w:val="17304F9C"/>
    <w:rsid w:val="17347B2F"/>
    <w:rsid w:val="1736351B"/>
    <w:rsid w:val="174029F3"/>
    <w:rsid w:val="174A6688"/>
    <w:rsid w:val="1776514E"/>
    <w:rsid w:val="177A1862"/>
    <w:rsid w:val="1785299A"/>
    <w:rsid w:val="17872239"/>
    <w:rsid w:val="178727D3"/>
    <w:rsid w:val="1791130A"/>
    <w:rsid w:val="17952E1F"/>
    <w:rsid w:val="17A42169"/>
    <w:rsid w:val="17B37B2B"/>
    <w:rsid w:val="17BE3205"/>
    <w:rsid w:val="17E34612"/>
    <w:rsid w:val="17E6780D"/>
    <w:rsid w:val="17F1286F"/>
    <w:rsid w:val="17FD68B7"/>
    <w:rsid w:val="181548AB"/>
    <w:rsid w:val="18166861"/>
    <w:rsid w:val="181737A8"/>
    <w:rsid w:val="18194E5B"/>
    <w:rsid w:val="181B0B6B"/>
    <w:rsid w:val="18251831"/>
    <w:rsid w:val="183B1636"/>
    <w:rsid w:val="18413B99"/>
    <w:rsid w:val="18555E72"/>
    <w:rsid w:val="18692EE3"/>
    <w:rsid w:val="187409DE"/>
    <w:rsid w:val="18950FEF"/>
    <w:rsid w:val="189700ED"/>
    <w:rsid w:val="189803AA"/>
    <w:rsid w:val="18A71F2D"/>
    <w:rsid w:val="18A752D9"/>
    <w:rsid w:val="18B8540F"/>
    <w:rsid w:val="18C32E5E"/>
    <w:rsid w:val="18E2316A"/>
    <w:rsid w:val="18F72DB0"/>
    <w:rsid w:val="190120E7"/>
    <w:rsid w:val="19052716"/>
    <w:rsid w:val="191064DA"/>
    <w:rsid w:val="191F4170"/>
    <w:rsid w:val="19323839"/>
    <w:rsid w:val="19504F97"/>
    <w:rsid w:val="196373C1"/>
    <w:rsid w:val="198A32BC"/>
    <w:rsid w:val="19916CB6"/>
    <w:rsid w:val="199450E1"/>
    <w:rsid w:val="199A1B89"/>
    <w:rsid w:val="19B259F9"/>
    <w:rsid w:val="19B7492C"/>
    <w:rsid w:val="19B97D58"/>
    <w:rsid w:val="19BA5B92"/>
    <w:rsid w:val="19D13599"/>
    <w:rsid w:val="19ED2094"/>
    <w:rsid w:val="19FB5C3F"/>
    <w:rsid w:val="1A01637E"/>
    <w:rsid w:val="1A02235B"/>
    <w:rsid w:val="1A0A53A3"/>
    <w:rsid w:val="1A141D7E"/>
    <w:rsid w:val="1A15364C"/>
    <w:rsid w:val="1A1F512C"/>
    <w:rsid w:val="1A207237"/>
    <w:rsid w:val="1A462EA7"/>
    <w:rsid w:val="1A5C1A9C"/>
    <w:rsid w:val="1A7F20BE"/>
    <w:rsid w:val="1A8A26F3"/>
    <w:rsid w:val="1AA03C83"/>
    <w:rsid w:val="1AB858B3"/>
    <w:rsid w:val="1AB87DA0"/>
    <w:rsid w:val="1AD9358B"/>
    <w:rsid w:val="1AE10336"/>
    <w:rsid w:val="1AE57BC0"/>
    <w:rsid w:val="1AE709FD"/>
    <w:rsid w:val="1AE87493"/>
    <w:rsid w:val="1AF5783F"/>
    <w:rsid w:val="1AF65255"/>
    <w:rsid w:val="1B045F43"/>
    <w:rsid w:val="1B16625F"/>
    <w:rsid w:val="1B180363"/>
    <w:rsid w:val="1B260A4F"/>
    <w:rsid w:val="1B3C73DD"/>
    <w:rsid w:val="1B3D2AC3"/>
    <w:rsid w:val="1B5121F2"/>
    <w:rsid w:val="1B552F03"/>
    <w:rsid w:val="1B6768E5"/>
    <w:rsid w:val="1B746C0E"/>
    <w:rsid w:val="1B7F1749"/>
    <w:rsid w:val="1B865F0D"/>
    <w:rsid w:val="1B8D054D"/>
    <w:rsid w:val="1B900A47"/>
    <w:rsid w:val="1B9C0A2C"/>
    <w:rsid w:val="1B9E2247"/>
    <w:rsid w:val="1BA0157A"/>
    <w:rsid w:val="1BC44873"/>
    <w:rsid w:val="1BD3486C"/>
    <w:rsid w:val="1BD70C7A"/>
    <w:rsid w:val="1BDB2B53"/>
    <w:rsid w:val="1BDC201A"/>
    <w:rsid w:val="1BE200EA"/>
    <w:rsid w:val="1BE6112E"/>
    <w:rsid w:val="1C0350F3"/>
    <w:rsid w:val="1C2761E9"/>
    <w:rsid w:val="1C3D5EF1"/>
    <w:rsid w:val="1C40165E"/>
    <w:rsid w:val="1C507A73"/>
    <w:rsid w:val="1C5172BA"/>
    <w:rsid w:val="1C5C0E07"/>
    <w:rsid w:val="1C646FED"/>
    <w:rsid w:val="1C802DCA"/>
    <w:rsid w:val="1C845DB7"/>
    <w:rsid w:val="1CB76584"/>
    <w:rsid w:val="1CB76FE3"/>
    <w:rsid w:val="1CBA333B"/>
    <w:rsid w:val="1CC12F73"/>
    <w:rsid w:val="1CE41C38"/>
    <w:rsid w:val="1CE62F81"/>
    <w:rsid w:val="1CF15A2E"/>
    <w:rsid w:val="1D036957"/>
    <w:rsid w:val="1D171D9D"/>
    <w:rsid w:val="1D34623A"/>
    <w:rsid w:val="1D4806BC"/>
    <w:rsid w:val="1D48081E"/>
    <w:rsid w:val="1D4F036D"/>
    <w:rsid w:val="1D532BBD"/>
    <w:rsid w:val="1D5D25F7"/>
    <w:rsid w:val="1D6B27EC"/>
    <w:rsid w:val="1D7C10B8"/>
    <w:rsid w:val="1D875C5D"/>
    <w:rsid w:val="1D8B05A9"/>
    <w:rsid w:val="1D8E1F7F"/>
    <w:rsid w:val="1D9B167E"/>
    <w:rsid w:val="1DA056E4"/>
    <w:rsid w:val="1DBA49EB"/>
    <w:rsid w:val="1DD17348"/>
    <w:rsid w:val="1DDD79FE"/>
    <w:rsid w:val="1DE60A78"/>
    <w:rsid w:val="1DEF78F1"/>
    <w:rsid w:val="1DF95513"/>
    <w:rsid w:val="1E0219FF"/>
    <w:rsid w:val="1E053B72"/>
    <w:rsid w:val="1E156DA1"/>
    <w:rsid w:val="1E18431B"/>
    <w:rsid w:val="1E342EB0"/>
    <w:rsid w:val="1E373F54"/>
    <w:rsid w:val="1E470609"/>
    <w:rsid w:val="1E6341ED"/>
    <w:rsid w:val="1E674B72"/>
    <w:rsid w:val="1E6830D1"/>
    <w:rsid w:val="1E70677F"/>
    <w:rsid w:val="1E78777E"/>
    <w:rsid w:val="1E8474D2"/>
    <w:rsid w:val="1E9611F9"/>
    <w:rsid w:val="1EA24EB9"/>
    <w:rsid w:val="1EB342A2"/>
    <w:rsid w:val="1ED75BF2"/>
    <w:rsid w:val="1EE2244B"/>
    <w:rsid w:val="1EF71079"/>
    <w:rsid w:val="1EFC4A67"/>
    <w:rsid w:val="1F033F33"/>
    <w:rsid w:val="1F08013D"/>
    <w:rsid w:val="1F186525"/>
    <w:rsid w:val="1F1A3F97"/>
    <w:rsid w:val="1F3222D3"/>
    <w:rsid w:val="1F330EF8"/>
    <w:rsid w:val="1F377773"/>
    <w:rsid w:val="1F4C1BCF"/>
    <w:rsid w:val="1F4D4ED3"/>
    <w:rsid w:val="1F5B0742"/>
    <w:rsid w:val="1F7F1573"/>
    <w:rsid w:val="1F8C4EA3"/>
    <w:rsid w:val="1F900E29"/>
    <w:rsid w:val="1F9A2D26"/>
    <w:rsid w:val="1FA85D93"/>
    <w:rsid w:val="1FB05C91"/>
    <w:rsid w:val="1FBC09E1"/>
    <w:rsid w:val="1FC33BE4"/>
    <w:rsid w:val="1FD84971"/>
    <w:rsid w:val="2011123A"/>
    <w:rsid w:val="202B1DDC"/>
    <w:rsid w:val="202C474F"/>
    <w:rsid w:val="202D1DEC"/>
    <w:rsid w:val="202D7D58"/>
    <w:rsid w:val="20344BFB"/>
    <w:rsid w:val="203505F3"/>
    <w:rsid w:val="203567AB"/>
    <w:rsid w:val="203675AA"/>
    <w:rsid w:val="203E27EF"/>
    <w:rsid w:val="20496AA1"/>
    <w:rsid w:val="204B5250"/>
    <w:rsid w:val="204E462E"/>
    <w:rsid w:val="20546077"/>
    <w:rsid w:val="206921B9"/>
    <w:rsid w:val="208328D1"/>
    <w:rsid w:val="20970256"/>
    <w:rsid w:val="20AA353D"/>
    <w:rsid w:val="20B3596D"/>
    <w:rsid w:val="20B64CFF"/>
    <w:rsid w:val="20B77F9F"/>
    <w:rsid w:val="20DA787E"/>
    <w:rsid w:val="21017F3F"/>
    <w:rsid w:val="21033200"/>
    <w:rsid w:val="210466A8"/>
    <w:rsid w:val="211B6C9E"/>
    <w:rsid w:val="211F1734"/>
    <w:rsid w:val="213D2D2C"/>
    <w:rsid w:val="21507A24"/>
    <w:rsid w:val="21666E2B"/>
    <w:rsid w:val="216D6944"/>
    <w:rsid w:val="217750CC"/>
    <w:rsid w:val="219213A8"/>
    <w:rsid w:val="21A67760"/>
    <w:rsid w:val="21A95773"/>
    <w:rsid w:val="21AC0DE5"/>
    <w:rsid w:val="21B87ABA"/>
    <w:rsid w:val="21C83B7A"/>
    <w:rsid w:val="21CB71C6"/>
    <w:rsid w:val="21EB2C99"/>
    <w:rsid w:val="21F8721A"/>
    <w:rsid w:val="220315D9"/>
    <w:rsid w:val="222C6789"/>
    <w:rsid w:val="223D1C96"/>
    <w:rsid w:val="2240693B"/>
    <w:rsid w:val="224274DB"/>
    <w:rsid w:val="224C47AB"/>
    <w:rsid w:val="224D5E56"/>
    <w:rsid w:val="225278E7"/>
    <w:rsid w:val="2256442B"/>
    <w:rsid w:val="22590C76"/>
    <w:rsid w:val="22616671"/>
    <w:rsid w:val="226944BD"/>
    <w:rsid w:val="22813D29"/>
    <w:rsid w:val="228F2486"/>
    <w:rsid w:val="228F6446"/>
    <w:rsid w:val="22924ADF"/>
    <w:rsid w:val="22925F36"/>
    <w:rsid w:val="22936405"/>
    <w:rsid w:val="229975EA"/>
    <w:rsid w:val="22A2301D"/>
    <w:rsid w:val="22B227B1"/>
    <w:rsid w:val="22B67E76"/>
    <w:rsid w:val="22CB1BF7"/>
    <w:rsid w:val="22E17B76"/>
    <w:rsid w:val="22E22013"/>
    <w:rsid w:val="23060E83"/>
    <w:rsid w:val="231A0EBB"/>
    <w:rsid w:val="233711B9"/>
    <w:rsid w:val="2339017E"/>
    <w:rsid w:val="233968C3"/>
    <w:rsid w:val="23420873"/>
    <w:rsid w:val="234E237A"/>
    <w:rsid w:val="23515A40"/>
    <w:rsid w:val="235B0367"/>
    <w:rsid w:val="236B0627"/>
    <w:rsid w:val="236B5133"/>
    <w:rsid w:val="23711DE0"/>
    <w:rsid w:val="23814BAB"/>
    <w:rsid w:val="23A16EF0"/>
    <w:rsid w:val="23A44A38"/>
    <w:rsid w:val="23A462FF"/>
    <w:rsid w:val="23A6663E"/>
    <w:rsid w:val="23AA303C"/>
    <w:rsid w:val="23C95D75"/>
    <w:rsid w:val="24013431"/>
    <w:rsid w:val="242475BD"/>
    <w:rsid w:val="24420670"/>
    <w:rsid w:val="244439FC"/>
    <w:rsid w:val="244472A9"/>
    <w:rsid w:val="244E1C1C"/>
    <w:rsid w:val="245660D2"/>
    <w:rsid w:val="245A1A40"/>
    <w:rsid w:val="245E4322"/>
    <w:rsid w:val="24610820"/>
    <w:rsid w:val="24715820"/>
    <w:rsid w:val="24715D06"/>
    <w:rsid w:val="247950E5"/>
    <w:rsid w:val="247E1EA1"/>
    <w:rsid w:val="24837C87"/>
    <w:rsid w:val="249D50A2"/>
    <w:rsid w:val="249D7573"/>
    <w:rsid w:val="24A0493A"/>
    <w:rsid w:val="24A45D00"/>
    <w:rsid w:val="24AF07F7"/>
    <w:rsid w:val="24DA54EA"/>
    <w:rsid w:val="24ED2E6B"/>
    <w:rsid w:val="24F67473"/>
    <w:rsid w:val="25000996"/>
    <w:rsid w:val="252D2B03"/>
    <w:rsid w:val="252F6899"/>
    <w:rsid w:val="254A0B89"/>
    <w:rsid w:val="256709E9"/>
    <w:rsid w:val="2567551F"/>
    <w:rsid w:val="256A3574"/>
    <w:rsid w:val="257930FB"/>
    <w:rsid w:val="257C53A7"/>
    <w:rsid w:val="25951CC7"/>
    <w:rsid w:val="25B36DA5"/>
    <w:rsid w:val="25D71715"/>
    <w:rsid w:val="25E76599"/>
    <w:rsid w:val="25F3597F"/>
    <w:rsid w:val="25FD1AEE"/>
    <w:rsid w:val="26015603"/>
    <w:rsid w:val="2618419A"/>
    <w:rsid w:val="262A5762"/>
    <w:rsid w:val="26320832"/>
    <w:rsid w:val="26471449"/>
    <w:rsid w:val="26501D9C"/>
    <w:rsid w:val="2657624E"/>
    <w:rsid w:val="266661B1"/>
    <w:rsid w:val="266B01B8"/>
    <w:rsid w:val="268E6C47"/>
    <w:rsid w:val="26907325"/>
    <w:rsid w:val="26937A1E"/>
    <w:rsid w:val="269B7AAF"/>
    <w:rsid w:val="26A4028B"/>
    <w:rsid w:val="26A45DC6"/>
    <w:rsid w:val="26D22DA5"/>
    <w:rsid w:val="26D42FC1"/>
    <w:rsid w:val="26D568A8"/>
    <w:rsid w:val="26DF312E"/>
    <w:rsid w:val="26E055AF"/>
    <w:rsid w:val="26EF1BA9"/>
    <w:rsid w:val="26FF4019"/>
    <w:rsid w:val="270242CE"/>
    <w:rsid w:val="270322B5"/>
    <w:rsid w:val="2704514D"/>
    <w:rsid w:val="270E4E76"/>
    <w:rsid w:val="27103C37"/>
    <w:rsid w:val="271A4528"/>
    <w:rsid w:val="274102F8"/>
    <w:rsid w:val="27510394"/>
    <w:rsid w:val="276302B5"/>
    <w:rsid w:val="276B148B"/>
    <w:rsid w:val="27B532B4"/>
    <w:rsid w:val="27E61EC8"/>
    <w:rsid w:val="27EE17FA"/>
    <w:rsid w:val="28263994"/>
    <w:rsid w:val="282E04AF"/>
    <w:rsid w:val="283262B7"/>
    <w:rsid w:val="283B57DB"/>
    <w:rsid w:val="28485A15"/>
    <w:rsid w:val="2852620E"/>
    <w:rsid w:val="2862716C"/>
    <w:rsid w:val="28676D2A"/>
    <w:rsid w:val="287E59BE"/>
    <w:rsid w:val="287E5F7A"/>
    <w:rsid w:val="288B7B7B"/>
    <w:rsid w:val="289266E8"/>
    <w:rsid w:val="28A033C0"/>
    <w:rsid w:val="28A62A29"/>
    <w:rsid w:val="28A773F8"/>
    <w:rsid w:val="28A8197C"/>
    <w:rsid w:val="28AE0D69"/>
    <w:rsid w:val="28CF53FB"/>
    <w:rsid w:val="28D70D73"/>
    <w:rsid w:val="28E63FAD"/>
    <w:rsid w:val="28E72C12"/>
    <w:rsid w:val="28E832F5"/>
    <w:rsid w:val="29093F2A"/>
    <w:rsid w:val="29142B05"/>
    <w:rsid w:val="292278EC"/>
    <w:rsid w:val="29270B7B"/>
    <w:rsid w:val="293E052D"/>
    <w:rsid w:val="29404F42"/>
    <w:rsid w:val="29416EE0"/>
    <w:rsid w:val="294431F0"/>
    <w:rsid w:val="29547F2A"/>
    <w:rsid w:val="29626662"/>
    <w:rsid w:val="296A73EC"/>
    <w:rsid w:val="296C128F"/>
    <w:rsid w:val="2972419C"/>
    <w:rsid w:val="298564F9"/>
    <w:rsid w:val="298B3301"/>
    <w:rsid w:val="29B322A3"/>
    <w:rsid w:val="29C26E32"/>
    <w:rsid w:val="29D40BAB"/>
    <w:rsid w:val="29E40680"/>
    <w:rsid w:val="29F5442D"/>
    <w:rsid w:val="29FB7609"/>
    <w:rsid w:val="2A004862"/>
    <w:rsid w:val="2A022FA4"/>
    <w:rsid w:val="2A050A91"/>
    <w:rsid w:val="2A0A5577"/>
    <w:rsid w:val="2A0E6E81"/>
    <w:rsid w:val="2A1A6F3D"/>
    <w:rsid w:val="2A2711D5"/>
    <w:rsid w:val="2A290F42"/>
    <w:rsid w:val="2A407E45"/>
    <w:rsid w:val="2A4E6BE6"/>
    <w:rsid w:val="2A6E0CE3"/>
    <w:rsid w:val="2A7725E1"/>
    <w:rsid w:val="2A785ACA"/>
    <w:rsid w:val="2A87175D"/>
    <w:rsid w:val="2A906B1E"/>
    <w:rsid w:val="2A9406BB"/>
    <w:rsid w:val="2AA64E95"/>
    <w:rsid w:val="2AC51155"/>
    <w:rsid w:val="2ADF3319"/>
    <w:rsid w:val="2AEF7B62"/>
    <w:rsid w:val="2AF672CF"/>
    <w:rsid w:val="2B071154"/>
    <w:rsid w:val="2B072593"/>
    <w:rsid w:val="2B076855"/>
    <w:rsid w:val="2B174737"/>
    <w:rsid w:val="2B421EAD"/>
    <w:rsid w:val="2B533C47"/>
    <w:rsid w:val="2B66534F"/>
    <w:rsid w:val="2B681F2A"/>
    <w:rsid w:val="2B837037"/>
    <w:rsid w:val="2BB80308"/>
    <w:rsid w:val="2BC25ADE"/>
    <w:rsid w:val="2BC3634F"/>
    <w:rsid w:val="2BD145B3"/>
    <w:rsid w:val="2BDA157A"/>
    <w:rsid w:val="2BE02F8A"/>
    <w:rsid w:val="2BFB2468"/>
    <w:rsid w:val="2BFF4F94"/>
    <w:rsid w:val="2C0458B5"/>
    <w:rsid w:val="2C143318"/>
    <w:rsid w:val="2C15018D"/>
    <w:rsid w:val="2C223FF3"/>
    <w:rsid w:val="2C2830CC"/>
    <w:rsid w:val="2C2C7325"/>
    <w:rsid w:val="2C3052D2"/>
    <w:rsid w:val="2C387CAA"/>
    <w:rsid w:val="2C56440E"/>
    <w:rsid w:val="2C8207CE"/>
    <w:rsid w:val="2C820DC9"/>
    <w:rsid w:val="2C9C4788"/>
    <w:rsid w:val="2CAC07C0"/>
    <w:rsid w:val="2CCD0296"/>
    <w:rsid w:val="2CDC2BCF"/>
    <w:rsid w:val="2CF9108B"/>
    <w:rsid w:val="2CFC0845"/>
    <w:rsid w:val="2CFD2AE3"/>
    <w:rsid w:val="2D031F57"/>
    <w:rsid w:val="2D0F5EEB"/>
    <w:rsid w:val="2D1D4D20"/>
    <w:rsid w:val="2D1F13E2"/>
    <w:rsid w:val="2D215E7C"/>
    <w:rsid w:val="2D220053"/>
    <w:rsid w:val="2D2B234B"/>
    <w:rsid w:val="2D371BB4"/>
    <w:rsid w:val="2D63236E"/>
    <w:rsid w:val="2D734E99"/>
    <w:rsid w:val="2D794E7F"/>
    <w:rsid w:val="2D7F135A"/>
    <w:rsid w:val="2D854DFA"/>
    <w:rsid w:val="2D864F32"/>
    <w:rsid w:val="2D9B57C3"/>
    <w:rsid w:val="2DA16859"/>
    <w:rsid w:val="2DAE5E05"/>
    <w:rsid w:val="2DB54F89"/>
    <w:rsid w:val="2DD50979"/>
    <w:rsid w:val="2DD755F8"/>
    <w:rsid w:val="2DE05DB7"/>
    <w:rsid w:val="2DE24075"/>
    <w:rsid w:val="2DEA3988"/>
    <w:rsid w:val="2DFD075B"/>
    <w:rsid w:val="2DFE6DCE"/>
    <w:rsid w:val="2DFF4659"/>
    <w:rsid w:val="2E0E23C4"/>
    <w:rsid w:val="2E112BC3"/>
    <w:rsid w:val="2E135AF6"/>
    <w:rsid w:val="2E1450AE"/>
    <w:rsid w:val="2E2C0453"/>
    <w:rsid w:val="2E2C082E"/>
    <w:rsid w:val="2E3771AC"/>
    <w:rsid w:val="2E395903"/>
    <w:rsid w:val="2E3D61CB"/>
    <w:rsid w:val="2E6A7D67"/>
    <w:rsid w:val="2E6E3CFB"/>
    <w:rsid w:val="2E6F7294"/>
    <w:rsid w:val="2E7018B3"/>
    <w:rsid w:val="2E7B32A0"/>
    <w:rsid w:val="2E9976CD"/>
    <w:rsid w:val="2E9C4881"/>
    <w:rsid w:val="2EA426A2"/>
    <w:rsid w:val="2EA96DDB"/>
    <w:rsid w:val="2EBE07DF"/>
    <w:rsid w:val="2EEF1A9A"/>
    <w:rsid w:val="2EFF6258"/>
    <w:rsid w:val="2F033656"/>
    <w:rsid w:val="2F2D7F6F"/>
    <w:rsid w:val="2F3B056A"/>
    <w:rsid w:val="2F5E39C7"/>
    <w:rsid w:val="2F656241"/>
    <w:rsid w:val="2F730FC1"/>
    <w:rsid w:val="2F7F6FEF"/>
    <w:rsid w:val="2F806BEE"/>
    <w:rsid w:val="2F833313"/>
    <w:rsid w:val="2F84485B"/>
    <w:rsid w:val="2F8D0C6C"/>
    <w:rsid w:val="2F987882"/>
    <w:rsid w:val="2F9B2FC0"/>
    <w:rsid w:val="2F9C2C9B"/>
    <w:rsid w:val="2FA23C5C"/>
    <w:rsid w:val="2FA40DB9"/>
    <w:rsid w:val="2FAC1798"/>
    <w:rsid w:val="2FBC3359"/>
    <w:rsid w:val="2FD4253A"/>
    <w:rsid w:val="2FD92D63"/>
    <w:rsid w:val="2FE757AD"/>
    <w:rsid w:val="300A30F9"/>
    <w:rsid w:val="301048EC"/>
    <w:rsid w:val="30136908"/>
    <w:rsid w:val="30200D2D"/>
    <w:rsid w:val="303D15EA"/>
    <w:rsid w:val="304822FC"/>
    <w:rsid w:val="30567C88"/>
    <w:rsid w:val="30585760"/>
    <w:rsid w:val="30647F48"/>
    <w:rsid w:val="307B4848"/>
    <w:rsid w:val="308D6491"/>
    <w:rsid w:val="30924889"/>
    <w:rsid w:val="30A93A3E"/>
    <w:rsid w:val="30B46C17"/>
    <w:rsid w:val="30B935A0"/>
    <w:rsid w:val="30BA4FD6"/>
    <w:rsid w:val="30C04342"/>
    <w:rsid w:val="30CA23A8"/>
    <w:rsid w:val="30D2231F"/>
    <w:rsid w:val="30D25709"/>
    <w:rsid w:val="30D3118B"/>
    <w:rsid w:val="30D60F59"/>
    <w:rsid w:val="3102026B"/>
    <w:rsid w:val="310226A6"/>
    <w:rsid w:val="310701C5"/>
    <w:rsid w:val="310D1D0A"/>
    <w:rsid w:val="311F27C4"/>
    <w:rsid w:val="31203C10"/>
    <w:rsid w:val="313F55FF"/>
    <w:rsid w:val="31415A6B"/>
    <w:rsid w:val="31614900"/>
    <w:rsid w:val="31653BA4"/>
    <w:rsid w:val="31767C2B"/>
    <w:rsid w:val="317D0F1C"/>
    <w:rsid w:val="317D7134"/>
    <w:rsid w:val="3193367D"/>
    <w:rsid w:val="319611C3"/>
    <w:rsid w:val="31B579E5"/>
    <w:rsid w:val="31B614E7"/>
    <w:rsid w:val="31BF0288"/>
    <w:rsid w:val="31CA4D73"/>
    <w:rsid w:val="31D15EAE"/>
    <w:rsid w:val="31D5081C"/>
    <w:rsid w:val="31D73AA7"/>
    <w:rsid w:val="31DF5E3D"/>
    <w:rsid w:val="31E108C9"/>
    <w:rsid w:val="31E400E7"/>
    <w:rsid w:val="31E50AA9"/>
    <w:rsid w:val="31EF31FB"/>
    <w:rsid w:val="32072E57"/>
    <w:rsid w:val="322E5C62"/>
    <w:rsid w:val="322F4594"/>
    <w:rsid w:val="32307ABE"/>
    <w:rsid w:val="32413A62"/>
    <w:rsid w:val="32452715"/>
    <w:rsid w:val="3253185A"/>
    <w:rsid w:val="32674F8B"/>
    <w:rsid w:val="326E3302"/>
    <w:rsid w:val="3273182D"/>
    <w:rsid w:val="328F2013"/>
    <w:rsid w:val="329865EF"/>
    <w:rsid w:val="32C3769A"/>
    <w:rsid w:val="32D9262C"/>
    <w:rsid w:val="32DF7E8D"/>
    <w:rsid w:val="32E00AFB"/>
    <w:rsid w:val="32E04899"/>
    <w:rsid w:val="32E14A9C"/>
    <w:rsid w:val="32E829BE"/>
    <w:rsid w:val="332005EB"/>
    <w:rsid w:val="332B2843"/>
    <w:rsid w:val="332E5076"/>
    <w:rsid w:val="333872C2"/>
    <w:rsid w:val="3343768E"/>
    <w:rsid w:val="33516538"/>
    <w:rsid w:val="33582E91"/>
    <w:rsid w:val="335A3CBB"/>
    <w:rsid w:val="3363590D"/>
    <w:rsid w:val="33664C07"/>
    <w:rsid w:val="336749AC"/>
    <w:rsid w:val="336A6DFA"/>
    <w:rsid w:val="33751273"/>
    <w:rsid w:val="33783DF6"/>
    <w:rsid w:val="337B3959"/>
    <w:rsid w:val="337D28AA"/>
    <w:rsid w:val="33860224"/>
    <w:rsid w:val="338B1FDE"/>
    <w:rsid w:val="3391371B"/>
    <w:rsid w:val="33962600"/>
    <w:rsid w:val="33987442"/>
    <w:rsid w:val="339A3413"/>
    <w:rsid w:val="33A06F34"/>
    <w:rsid w:val="33C37925"/>
    <w:rsid w:val="33D04B10"/>
    <w:rsid w:val="33DD477A"/>
    <w:rsid w:val="33E11DFA"/>
    <w:rsid w:val="341370BD"/>
    <w:rsid w:val="341C2519"/>
    <w:rsid w:val="342F0D9B"/>
    <w:rsid w:val="34312300"/>
    <w:rsid w:val="3445105A"/>
    <w:rsid w:val="344D4701"/>
    <w:rsid w:val="344F012B"/>
    <w:rsid w:val="344F1ED9"/>
    <w:rsid w:val="34755873"/>
    <w:rsid w:val="347D5CAE"/>
    <w:rsid w:val="34800A79"/>
    <w:rsid w:val="349246D9"/>
    <w:rsid w:val="34A03C89"/>
    <w:rsid w:val="34B10968"/>
    <w:rsid w:val="34D327E6"/>
    <w:rsid w:val="34E425CD"/>
    <w:rsid w:val="34E60E9A"/>
    <w:rsid w:val="34EB6ED0"/>
    <w:rsid w:val="34FC0BFD"/>
    <w:rsid w:val="3507764B"/>
    <w:rsid w:val="350B5E00"/>
    <w:rsid w:val="350D6D7C"/>
    <w:rsid w:val="35154ED0"/>
    <w:rsid w:val="351B1DBB"/>
    <w:rsid w:val="351E1066"/>
    <w:rsid w:val="3520395D"/>
    <w:rsid w:val="3521502B"/>
    <w:rsid w:val="35354043"/>
    <w:rsid w:val="355E5AD1"/>
    <w:rsid w:val="35680382"/>
    <w:rsid w:val="35844722"/>
    <w:rsid w:val="3589155F"/>
    <w:rsid w:val="358F4C83"/>
    <w:rsid w:val="359A57B7"/>
    <w:rsid w:val="359B203F"/>
    <w:rsid w:val="359F7753"/>
    <w:rsid w:val="35A53398"/>
    <w:rsid w:val="35D308DD"/>
    <w:rsid w:val="35D356D0"/>
    <w:rsid w:val="35E21C9A"/>
    <w:rsid w:val="35EF44A1"/>
    <w:rsid w:val="35F119E8"/>
    <w:rsid w:val="35F15ACF"/>
    <w:rsid w:val="35F7511F"/>
    <w:rsid w:val="35FE4BC9"/>
    <w:rsid w:val="362641F0"/>
    <w:rsid w:val="362A5657"/>
    <w:rsid w:val="36312EFB"/>
    <w:rsid w:val="36355178"/>
    <w:rsid w:val="3649337E"/>
    <w:rsid w:val="366025AA"/>
    <w:rsid w:val="366C4FC4"/>
    <w:rsid w:val="367C16EC"/>
    <w:rsid w:val="369B29C7"/>
    <w:rsid w:val="36BA3D0F"/>
    <w:rsid w:val="36BC7FF0"/>
    <w:rsid w:val="36BF250B"/>
    <w:rsid w:val="36C606E8"/>
    <w:rsid w:val="36C93C0A"/>
    <w:rsid w:val="36D10EAE"/>
    <w:rsid w:val="36DC0821"/>
    <w:rsid w:val="36FA61F2"/>
    <w:rsid w:val="37040D59"/>
    <w:rsid w:val="370451FC"/>
    <w:rsid w:val="3712263F"/>
    <w:rsid w:val="371A2D05"/>
    <w:rsid w:val="371B2B6D"/>
    <w:rsid w:val="372066CC"/>
    <w:rsid w:val="372D788E"/>
    <w:rsid w:val="37501C96"/>
    <w:rsid w:val="37666A85"/>
    <w:rsid w:val="37677539"/>
    <w:rsid w:val="376F35EB"/>
    <w:rsid w:val="3776777C"/>
    <w:rsid w:val="377C4D93"/>
    <w:rsid w:val="37805C70"/>
    <w:rsid w:val="37806480"/>
    <w:rsid w:val="378A495E"/>
    <w:rsid w:val="379F0A81"/>
    <w:rsid w:val="37A27B41"/>
    <w:rsid w:val="37B53632"/>
    <w:rsid w:val="37B77DF6"/>
    <w:rsid w:val="37BB6A10"/>
    <w:rsid w:val="37CE75B8"/>
    <w:rsid w:val="37D77CE9"/>
    <w:rsid w:val="37DF589E"/>
    <w:rsid w:val="37F171CB"/>
    <w:rsid w:val="37FD659E"/>
    <w:rsid w:val="3800745C"/>
    <w:rsid w:val="380F3919"/>
    <w:rsid w:val="38232540"/>
    <w:rsid w:val="38257A4E"/>
    <w:rsid w:val="382B3E68"/>
    <w:rsid w:val="383A520B"/>
    <w:rsid w:val="383B7DB2"/>
    <w:rsid w:val="383F34B2"/>
    <w:rsid w:val="38517386"/>
    <w:rsid w:val="386140A0"/>
    <w:rsid w:val="38783410"/>
    <w:rsid w:val="38785CA3"/>
    <w:rsid w:val="387D3A85"/>
    <w:rsid w:val="38951808"/>
    <w:rsid w:val="389A7E27"/>
    <w:rsid w:val="38C43ED0"/>
    <w:rsid w:val="38C64C42"/>
    <w:rsid w:val="38D76F4E"/>
    <w:rsid w:val="38ED0DEE"/>
    <w:rsid w:val="38EF3C50"/>
    <w:rsid w:val="391C4B83"/>
    <w:rsid w:val="391F4B95"/>
    <w:rsid w:val="39210694"/>
    <w:rsid w:val="393A6CBF"/>
    <w:rsid w:val="39557916"/>
    <w:rsid w:val="395875CB"/>
    <w:rsid w:val="395C4C40"/>
    <w:rsid w:val="39775BEF"/>
    <w:rsid w:val="39790E55"/>
    <w:rsid w:val="397C498B"/>
    <w:rsid w:val="39C649EB"/>
    <w:rsid w:val="39C945C3"/>
    <w:rsid w:val="39CA4A0F"/>
    <w:rsid w:val="39CF1402"/>
    <w:rsid w:val="39E06A55"/>
    <w:rsid w:val="39EE6480"/>
    <w:rsid w:val="39F63954"/>
    <w:rsid w:val="39FC040D"/>
    <w:rsid w:val="3A0207E2"/>
    <w:rsid w:val="3A02190E"/>
    <w:rsid w:val="3A03618A"/>
    <w:rsid w:val="3A156DA2"/>
    <w:rsid w:val="3A177134"/>
    <w:rsid w:val="3A184B1B"/>
    <w:rsid w:val="3A280408"/>
    <w:rsid w:val="3A2A0BA5"/>
    <w:rsid w:val="3A2E248B"/>
    <w:rsid w:val="3A310217"/>
    <w:rsid w:val="3A317DCE"/>
    <w:rsid w:val="3A3B6A3F"/>
    <w:rsid w:val="3A3C3705"/>
    <w:rsid w:val="3A4A233E"/>
    <w:rsid w:val="3A6201EB"/>
    <w:rsid w:val="3A6F27F2"/>
    <w:rsid w:val="3A72247D"/>
    <w:rsid w:val="3A7C0148"/>
    <w:rsid w:val="3A8C7039"/>
    <w:rsid w:val="3A9A7800"/>
    <w:rsid w:val="3AA90280"/>
    <w:rsid w:val="3ABE4758"/>
    <w:rsid w:val="3AC07B28"/>
    <w:rsid w:val="3AC52864"/>
    <w:rsid w:val="3ADC63F6"/>
    <w:rsid w:val="3AEC1B19"/>
    <w:rsid w:val="3AF36E4F"/>
    <w:rsid w:val="3B047629"/>
    <w:rsid w:val="3B13132B"/>
    <w:rsid w:val="3B144C0F"/>
    <w:rsid w:val="3B161B52"/>
    <w:rsid w:val="3B181C56"/>
    <w:rsid w:val="3B5457FF"/>
    <w:rsid w:val="3B620B6F"/>
    <w:rsid w:val="3B646A37"/>
    <w:rsid w:val="3B6A3BAF"/>
    <w:rsid w:val="3B802A3A"/>
    <w:rsid w:val="3B814A64"/>
    <w:rsid w:val="3B8561E0"/>
    <w:rsid w:val="3B9C4CB8"/>
    <w:rsid w:val="3B9F72A2"/>
    <w:rsid w:val="3BB23479"/>
    <w:rsid w:val="3BCD6080"/>
    <w:rsid w:val="3C090C3D"/>
    <w:rsid w:val="3C136DB5"/>
    <w:rsid w:val="3C197AED"/>
    <w:rsid w:val="3C1D4E4C"/>
    <w:rsid w:val="3C2C31E4"/>
    <w:rsid w:val="3C35570C"/>
    <w:rsid w:val="3C367675"/>
    <w:rsid w:val="3C5719E3"/>
    <w:rsid w:val="3C5D4E87"/>
    <w:rsid w:val="3C6B52A6"/>
    <w:rsid w:val="3C970A66"/>
    <w:rsid w:val="3C9F6CB2"/>
    <w:rsid w:val="3CB15A8A"/>
    <w:rsid w:val="3CC44D9F"/>
    <w:rsid w:val="3CD43102"/>
    <w:rsid w:val="3CD64902"/>
    <w:rsid w:val="3CD7622E"/>
    <w:rsid w:val="3CD81A93"/>
    <w:rsid w:val="3CDA4A83"/>
    <w:rsid w:val="3CE07B72"/>
    <w:rsid w:val="3CEA0167"/>
    <w:rsid w:val="3CEB7DBB"/>
    <w:rsid w:val="3CEF520D"/>
    <w:rsid w:val="3CFE26DD"/>
    <w:rsid w:val="3D2441D9"/>
    <w:rsid w:val="3D405E28"/>
    <w:rsid w:val="3D5C05EC"/>
    <w:rsid w:val="3D643744"/>
    <w:rsid w:val="3D7A232D"/>
    <w:rsid w:val="3D7D2E9D"/>
    <w:rsid w:val="3D89101F"/>
    <w:rsid w:val="3DA55D16"/>
    <w:rsid w:val="3DAA40CA"/>
    <w:rsid w:val="3DB159B2"/>
    <w:rsid w:val="3DB469BA"/>
    <w:rsid w:val="3DB52BDD"/>
    <w:rsid w:val="3DBD7F31"/>
    <w:rsid w:val="3DC678FB"/>
    <w:rsid w:val="3DCA40B4"/>
    <w:rsid w:val="3DD7535B"/>
    <w:rsid w:val="3DD94891"/>
    <w:rsid w:val="3DE03BA2"/>
    <w:rsid w:val="3DE50851"/>
    <w:rsid w:val="3DEE4511"/>
    <w:rsid w:val="3E1C2E2C"/>
    <w:rsid w:val="3E3E2F90"/>
    <w:rsid w:val="3E416325"/>
    <w:rsid w:val="3E426AC0"/>
    <w:rsid w:val="3E545486"/>
    <w:rsid w:val="3E552C22"/>
    <w:rsid w:val="3E560328"/>
    <w:rsid w:val="3E5F4D29"/>
    <w:rsid w:val="3E7C4764"/>
    <w:rsid w:val="3E7C7FFD"/>
    <w:rsid w:val="3E80351F"/>
    <w:rsid w:val="3E895FE7"/>
    <w:rsid w:val="3E8D3A7F"/>
    <w:rsid w:val="3E8F2193"/>
    <w:rsid w:val="3E926B8E"/>
    <w:rsid w:val="3E93623E"/>
    <w:rsid w:val="3EA60185"/>
    <w:rsid w:val="3EB7176B"/>
    <w:rsid w:val="3EBF13D7"/>
    <w:rsid w:val="3ECE5CEF"/>
    <w:rsid w:val="3EDE44DF"/>
    <w:rsid w:val="3EE24BE5"/>
    <w:rsid w:val="3F055788"/>
    <w:rsid w:val="3F071A9F"/>
    <w:rsid w:val="3F0C52E1"/>
    <w:rsid w:val="3F185371"/>
    <w:rsid w:val="3F1C5008"/>
    <w:rsid w:val="3F265447"/>
    <w:rsid w:val="3F2A22F2"/>
    <w:rsid w:val="3F3338ED"/>
    <w:rsid w:val="3F35554A"/>
    <w:rsid w:val="3F453B1B"/>
    <w:rsid w:val="3F60215B"/>
    <w:rsid w:val="3F7B4848"/>
    <w:rsid w:val="3F8E7D59"/>
    <w:rsid w:val="3F9C1B4D"/>
    <w:rsid w:val="3F9D21FD"/>
    <w:rsid w:val="3FAA6588"/>
    <w:rsid w:val="3FAB545D"/>
    <w:rsid w:val="3FAC4683"/>
    <w:rsid w:val="3FB35A12"/>
    <w:rsid w:val="3FBA6C71"/>
    <w:rsid w:val="3FBB44EA"/>
    <w:rsid w:val="3FC26FB4"/>
    <w:rsid w:val="3FC60A95"/>
    <w:rsid w:val="3FCB719D"/>
    <w:rsid w:val="3FF86AFD"/>
    <w:rsid w:val="3FFA0F4B"/>
    <w:rsid w:val="3FFF4CB5"/>
    <w:rsid w:val="400F1BBD"/>
    <w:rsid w:val="401C1CB3"/>
    <w:rsid w:val="402A197B"/>
    <w:rsid w:val="403103A6"/>
    <w:rsid w:val="4039029B"/>
    <w:rsid w:val="4043702F"/>
    <w:rsid w:val="40502FD3"/>
    <w:rsid w:val="405F3590"/>
    <w:rsid w:val="40637A0F"/>
    <w:rsid w:val="406E4030"/>
    <w:rsid w:val="407D69C0"/>
    <w:rsid w:val="408727EB"/>
    <w:rsid w:val="409704B5"/>
    <w:rsid w:val="40AC34B9"/>
    <w:rsid w:val="40D02AD4"/>
    <w:rsid w:val="40DA589D"/>
    <w:rsid w:val="40F8380A"/>
    <w:rsid w:val="410439F7"/>
    <w:rsid w:val="41140C3E"/>
    <w:rsid w:val="41276809"/>
    <w:rsid w:val="412B6D90"/>
    <w:rsid w:val="412F10C8"/>
    <w:rsid w:val="413071D1"/>
    <w:rsid w:val="414450CB"/>
    <w:rsid w:val="41456B3D"/>
    <w:rsid w:val="415B3C6B"/>
    <w:rsid w:val="41621926"/>
    <w:rsid w:val="416D36BD"/>
    <w:rsid w:val="4171661B"/>
    <w:rsid w:val="4176581B"/>
    <w:rsid w:val="419251BF"/>
    <w:rsid w:val="419453CF"/>
    <w:rsid w:val="41B02301"/>
    <w:rsid w:val="41BC0B35"/>
    <w:rsid w:val="41BD2B78"/>
    <w:rsid w:val="41C00F1E"/>
    <w:rsid w:val="41C41CCC"/>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7F34F2"/>
    <w:rsid w:val="42932517"/>
    <w:rsid w:val="42A85AE3"/>
    <w:rsid w:val="42B60E6C"/>
    <w:rsid w:val="42BA534A"/>
    <w:rsid w:val="42C1343B"/>
    <w:rsid w:val="42C86A01"/>
    <w:rsid w:val="42CB6BCE"/>
    <w:rsid w:val="42CE4ABC"/>
    <w:rsid w:val="42E225EC"/>
    <w:rsid w:val="42EA67C4"/>
    <w:rsid w:val="42F7075B"/>
    <w:rsid w:val="433810A7"/>
    <w:rsid w:val="43494F8B"/>
    <w:rsid w:val="435B3028"/>
    <w:rsid w:val="436402C2"/>
    <w:rsid w:val="436B74C1"/>
    <w:rsid w:val="4372687F"/>
    <w:rsid w:val="438C4983"/>
    <w:rsid w:val="438D2D05"/>
    <w:rsid w:val="43993170"/>
    <w:rsid w:val="439F566E"/>
    <w:rsid w:val="43B34CB9"/>
    <w:rsid w:val="43BD0F66"/>
    <w:rsid w:val="43C97DB2"/>
    <w:rsid w:val="43CB49FE"/>
    <w:rsid w:val="43EC07D9"/>
    <w:rsid w:val="43EE526A"/>
    <w:rsid w:val="4402367B"/>
    <w:rsid w:val="44091C00"/>
    <w:rsid w:val="440C749E"/>
    <w:rsid w:val="440E49EF"/>
    <w:rsid w:val="44230AC2"/>
    <w:rsid w:val="444A6A14"/>
    <w:rsid w:val="444D0300"/>
    <w:rsid w:val="444E3F5B"/>
    <w:rsid w:val="44720D73"/>
    <w:rsid w:val="447B7530"/>
    <w:rsid w:val="448171FF"/>
    <w:rsid w:val="44817AA4"/>
    <w:rsid w:val="4484172B"/>
    <w:rsid w:val="44B30262"/>
    <w:rsid w:val="44CA54C3"/>
    <w:rsid w:val="44CE5204"/>
    <w:rsid w:val="44CF745E"/>
    <w:rsid w:val="44D70D0E"/>
    <w:rsid w:val="44DF0186"/>
    <w:rsid w:val="44F27761"/>
    <w:rsid w:val="44FC5855"/>
    <w:rsid w:val="44FE4782"/>
    <w:rsid w:val="450319F0"/>
    <w:rsid w:val="450737FA"/>
    <w:rsid w:val="451E1B7F"/>
    <w:rsid w:val="454F7C8F"/>
    <w:rsid w:val="457B4379"/>
    <w:rsid w:val="4594719D"/>
    <w:rsid w:val="45A308CB"/>
    <w:rsid w:val="45B7168C"/>
    <w:rsid w:val="45C2519A"/>
    <w:rsid w:val="45C83B16"/>
    <w:rsid w:val="45CD1B48"/>
    <w:rsid w:val="45CF52AB"/>
    <w:rsid w:val="45F12E6A"/>
    <w:rsid w:val="45F865CB"/>
    <w:rsid w:val="45FE7FC8"/>
    <w:rsid w:val="460B627B"/>
    <w:rsid w:val="46324801"/>
    <w:rsid w:val="464000B5"/>
    <w:rsid w:val="46482AC3"/>
    <w:rsid w:val="464949DA"/>
    <w:rsid w:val="464B4902"/>
    <w:rsid w:val="464D7AD2"/>
    <w:rsid w:val="464E715C"/>
    <w:rsid w:val="46677292"/>
    <w:rsid w:val="466A6238"/>
    <w:rsid w:val="46AD1C5F"/>
    <w:rsid w:val="46C42A4C"/>
    <w:rsid w:val="46E241D9"/>
    <w:rsid w:val="46E9298E"/>
    <w:rsid w:val="46E95A67"/>
    <w:rsid w:val="46F34946"/>
    <w:rsid w:val="46F73D44"/>
    <w:rsid w:val="47021076"/>
    <w:rsid w:val="47165344"/>
    <w:rsid w:val="471B7D96"/>
    <w:rsid w:val="471C241E"/>
    <w:rsid w:val="472741D1"/>
    <w:rsid w:val="47412B84"/>
    <w:rsid w:val="474943C6"/>
    <w:rsid w:val="474B7C34"/>
    <w:rsid w:val="4758576E"/>
    <w:rsid w:val="476D2662"/>
    <w:rsid w:val="47764B16"/>
    <w:rsid w:val="479A1C8E"/>
    <w:rsid w:val="47A0234E"/>
    <w:rsid w:val="47A3366D"/>
    <w:rsid w:val="47C36B62"/>
    <w:rsid w:val="47C94762"/>
    <w:rsid w:val="47F17689"/>
    <w:rsid w:val="47F4319F"/>
    <w:rsid w:val="47FB6760"/>
    <w:rsid w:val="48043476"/>
    <w:rsid w:val="48060812"/>
    <w:rsid w:val="48136F82"/>
    <w:rsid w:val="4832622E"/>
    <w:rsid w:val="4835217B"/>
    <w:rsid w:val="48390A7E"/>
    <w:rsid w:val="48432EE0"/>
    <w:rsid w:val="4848025D"/>
    <w:rsid w:val="484802BA"/>
    <w:rsid w:val="484A2CB8"/>
    <w:rsid w:val="48561630"/>
    <w:rsid w:val="48592741"/>
    <w:rsid w:val="485C6846"/>
    <w:rsid w:val="485E04E5"/>
    <w:rsid w:val="485F7DEE"/>
    <w:rsid w:val="4863714C"/>
    <w:rsid w:val="4871646A"/>
    <w:rsid w:val="48A06F9B"/>
    <w:rsid w:val="48AE18BC"/>
    <w:rsid w:val="48B57794"/>
    <w:rsid w:val="48B725D8"/>
    <w:rsid w:val="48BD62F5"/>
    <w:rsid w:val="48C77E38"/>
    <w:rsid w:val="48DA08FB"/>
    <w:rsid w:val="493B187A"/>
    <w:rsid w:val="494D5220"/>
    <w:rsid w:val="4960505A"/>
    <w:rsid w:val="49706BCD"/>
    <w:rsid w:val="49886893"/>
    <w:rsid w:val="498E5B81"/>
    <w:rsid w:val="49902929"/>
    <w:rsid w:val="499135FB"/>
    <w:rsid w:val="49BC221E"/>
    <w:rsid w:val="49C40710"/>
    <w:rsid w:val="49CD5155"/>
    <w:rsid w:val="49E102DB"/>
    <w:rsid w:val="49E9072A"/>
    <w:rsid w:val="49ED78B3"/>
    <w:rsid w:val="49EE2057"/>
    <w:rsid w:val="49F65078"/>
    <w:rsid w:val="49FA3FD3"/>
    <w:rsid w:val="4A183041"/>
    <w:rsid w:val="4A275DEF"/>
    <w:rsid w:val="4A35566D"/>
    <w:rsid w:val="4A391C53"/>
    <w:rsid w:val="4A3D387A"/>
    <w:rsid w:val="4A406708"/>
    <w:rsid w:val="4A421423"/>
    <w:rsid w:val="4A4D472D"/>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17A90"/>
    <w:rsid w:val="4B1A64B8"/>
    <w:rsid w:val="4B1F3585"/>
    <w:rsid w:val="4B214EEB"/>
    <w:rsid w:val="4B2225AF"/>
    <w:rsid w:val="4B294DDA"/>
    <w:rsid w:val="4B321ACE"/>
    <w:rsid w:val="4B5E2798"/>
    <w:rsid w:val="4B625472"/>
    <w:rsid w:val="4B633583"/>
    <w:rsid w:val="4B643EDA"/>
    <w:rsid w:val="4B7575DC"/>
    <w:rsid w:val="4B773789"/>
    <w:rsid w:val="4B7D565C"/>
    <w:rsid w:val="4B85035E"/>
    <w:rsid w:val="4B954798"/>
    <w:rsid w:val="4B961795"/>
    <w:rsid w:val="4B9E747A"/>
    <w:rsid w:val="4BB4579A"/>
    <w:rsid w:val="4BB80DD9"/>
    <w:rsid w:val="4BBC79FC"/>
    <w:rsid w:val="4BC318DA"/>
    <w:rsid w:val="4BC43AB0"/>
    <w:rsid w:val="4BCE5F30"/>
    <w:rsid w:val="4BE3410F"/>
    <w:rsid w:val="4BE71594"/>
    <w:rsid w:val="4C056C04"/>
    <w:rsid w:val="4C144358"/>
    <w:rsid w:val="4C21124C"/>
    <w:rsid w:val="4C566580"/>
    <w:rsid w:val="4C795801"/>
    <w:rsid w:val="4C7C5EB0"/>
    <w:rsid w:val="4C806881"/>
    <w:rsid w:val="4C840E8A"/>
    <w:rsid w:val="4C8E1BE9"/>
    <w:rsid w:val="4C985BF4"/>
    <w:rsid w:val="4CA576B6"/>
    <w:rsid w:val="4CD63930"/>
    <w:rsid w:val="4CEF795D"/>
    <w:rsid w:val="4CF22148"/>
    <w:rsid w:val="4CFD59CA"/>
    <w:rsid w:val="4D1F063D"/>
    <w:rsid w:val="4D2364BB"/>
    <w:rsid w:val="4D2B6A7D"/>
    <w:rsid w:val="4D3A37E5"/>
    <w:rsid w:val="4D5B69AC"/>
    <w:rsid w:val="4D720627"/>
    <w:rsid w:val="4DA349C1"/>
    <w:rsid w:val="4DA74D6F"/>
    <w:rsid w:val="4DA94899"/>
    <w:rsid w:val="4DCB0391"/>
    <w:rsid w:val="4DD92AE7"/>
    <w:rsid w:val="4DF510D1"/>
    <w:rsid w:val="4DFD4262"/>
    <w:rsid w:val="4E112224"/>
    <w:rsid w:val="4E122CAD"/>
    <w:rsid w:val="4E2C5043"/>
    <w:rsid w:val="4E3119F2"/>
    <w:rsid w:val="4E3C76AF"/>
    <w:rsid w:val="4E3F2A27"/>
    <w:rsid w:val="4E4E1BAA"/>
    <w:rsid w:val="4E6F1092"/>
    <w:rsid w:val="4E8A2CE5"/>
    <w:rsid w:val="4E945737"/>
    <w:rsid w:val="4E9B0858"/>
    <w:rsid w:val="4E9D63D1"/>
    <w:rsid w:val="4EAE123E"/>
    <w:rsid w:val="4EB27A77"/>
    <w:rsid w:val="4EC00FBC"/>
    <w:rsid w:val="4EF120B3"/>
    <w:rsid w:val="4EF60057"/>
    <w:rsid w:val="4F0F2539"/>
    <w:rsid w:val="4F123838"/>
    <w:rsid w:val="4F160280"/>
    <w:rsid w:val="4F247CF0"/>
    <w:rsid w:val="4F3D55AF"/>
    <w:rsid w:val="4F561F6B"/>
    <w:rsid w:val="4F592AAA"/>
    <w:rsid w:val="4F5E4CD0"/>
    <w:rsid w:val="4F9A3895"/>
    <w:rsid w:val="4FAD1EC2"/>
    <w:rsid w:val="4FB2111F"/>
    <w:rsid w:val="4FB8672C"/>
    <w:rsid w:val="4FD4672F"/>
    <w:rsid w:val="4FD91CD1"/>
    <w:rsid w:val="4FE43BD6"/>
    <w:rsid w:val="4FF721F0"/>
    <w:rsid w:val="50037719"/>
    <w:rsid w:val="5006515D"/>
    <w:rsid w:val="500E6D4B"/>
    <w:rsid w:val="502F0840"/>
    <w:rsid w:val="50321ED3"/>
    <w:rsid w:val="503421E0"/>
    <w:rsid w:val="503A35E5"/>
    <w:rsid w:val="503C787C"/>
    <w:rsid w:val="503D0938"/>
    <w:rsid w:val="50477848"/>
    <w:rsid w:val="504C0278"/>
    <w:rsid w:val="5051105B"/>
    <w:rsid w:val="506643DA"/>
    <w:rsid w:val="50664C51"/>
    <w:rsid w:val="50731EF7"/>
    <w:rsid w:val="5079410E"/>
    <w:rsid w:val="50900C87"/>
    <w:rsid w:val="50903B3A"/>
    <w:rsid w:val="50951237"/>
    <w:rsid w:val="509A1058"/>
    <w:rsid w:val="509A46CA"/>
    <w:rsid w:val="50A70A76"/>
    <w:rsid w:val="50B705D3"/>
    <w:rsid w:val="50BE3DD1"/>
    <w:rsid w:val="50CC2903"/>
    <w:rsid w:val="50D23802"/>
    <w:rsid w:val="50E55EF6"/>
    <w:rsid w:val="50E76220"/>
    <w:rsid w:val="50FD4E79"/>
    <w:rsid w:val="51036EF4"/>
    <w:rsid w:val="510B29AA"/>
    <w:rsid w:val="51110DBF"/>
    <w:rsid w:val="51452154"/>
    <w:rsid w:val="51452B82"/>
    <w:rsid w:val="514F53C8"/>
    <w:rsid w:val="515074F8"/>
    <w:rsid w:val="515A4AB9"/>
    <w:rsid w:val="51694182"/>
    <w:rsid w:val="517A638F"/>
    <w:rsid w:val="51811320"/>
    <w:rsid w:val="51914DDE"/>
    <w:rsid w:val="51A649EB"/>
    <w:rsid w:val="51AA61F9"/>
    <w:rsid w:val="51BD5BD9"/>
    <w:rsid w:val="51CE0489"/>
    <w:rsid w:val="51DC34BB"/>
    <w:rsid w:val="51EA36AB"/>
    <w:rsid w:val="52102850"/>
    <w:rsid w:val="52163234"/>
    <w:rsid w:val="52165232"/>
    <w:rsid w:val="521F5DE8"/>
    <w:rsid w:val="52414F39"/>
    <w:rsid w:val="524E477D"/>
    <w:rsid w:val="52603B9D"/>
    <w:rsid w:val="526D3860"/>
    <w:rsid w:val="52781629"/>
    <w:rsid w:val="528C7799"/>
    <w:rsid w:val="528F7B2F"/>
    <w:rsid w:val="52A55760"/>
    <w:rsid w:val="52C703C4"/>
    <w:rsid w:val="52E50C98"/>
    <w:rsid w:val="52E60DB2"/>
    <w:rsid w:val="53001957"/>
    <w:rsid w:val="53051283"/>
    <w:rsid w:val="531248F5"/>
    <w:rsid w:val="5318568A"/>
    <w:rsid w:val="53245530"/>
    <w:rsid w:val="533E4E87"/>
    <w:rsid w:val="53464DE5"/>
    <w:rsid w:val="53487DC7"/>
    <w:rsid w:val="535B443A"/>
    <w:rsid w:val="53682217"/>
    <w:rsid w:val="536A52DA"/>
    <w:rsid w:val="538B66CB"/>
    <w:rsid w:val="53AE0572"/>
    <w:rsid w:val="53C3272B"/>
    <w:rsid w:val="53CE3258"/>
    <w:rsid w:val="53DA64A6"/>
    <w:rsid w:val="53EF7959"/>
    <w:rsid w:val="53FD5056"/>
    <w:rsid w:val="53FF6D28"/>
    <w:rsid w:val="5400109C"/>
    <w:rsid w:val="54143544"/>
    <w:rsid w:val="541B39AE"/>
    <w:rsid w:val="5421528D"/>
    <w:rsid w:val="54222258"/>
    <w:rsid w:val="542B6B62"/>
    <w:rsid w:val="543677BB"/>
    <w:rsid w:val="543F11CA"/>
    <w:rsid w:val="544E1B5A"/>
    <w:rsid w:val="54634209"/>
    <w:rsid w:val="54773981"/>
    <w:rsid w:val="54857AB0"/>
    <w:rsid w:val="54885549"/>
    <w:rsid w:val="54D05485"/>
    <w:rsid w:val="54D9743E"/>
    <w:rsid w:val="54DC05AA"/>
    <w:rsid w:val="54E90D27"/>
    <w:rsid w:val="54FA5282"/>
    <w:rsid w:val="54FD7EE2"/>
    <w:rsid w:val="55085A60"/>
    <w:rsid w:val="5513257F"/>
    <w:rsid w:val="55174AE0"/>
    <w:rsid w:val="552C4101"/>
    <w:rsid w:val="552D4163"/>
    <w:rsid w:val="55443A1E"/>
    <w:rsid w:val="55770C3A"/>
    <w:rsid w:val="5589149C"/>
    <w:rsid w:val="55AD03B6"/>
    <w:rsid w:val="55B54592"/>
    <w:rsid w:val="55B66FF7"/>
    <w:rsid w:val="55E633B0"/>
    <w:rsid w:val="55E64893"/>
    <w:rsid w:val="55F90918"/>
    <w:rsid w:val="55FA2F99"/>
    <w:rsid w:val="560C7CB4"/>
    <w:rsid w:val="56191E14"/>
    <w:rsid w:val="561C2F07"/>
    <w:rsid w:val="562B5F3D"/>
    <w:rsid w:val="562C2AE4"/>
    <w:rsid w:val="563A29E2"/>
    <w:rsid w:val="56427EB0"/>
    <w:rsid w:val="564D1D0F"/>
    <w:rsid w:val="564F1105"/>
    <w:rsid w:val="566601D4"/>
    <w:rsid w:val="5666084C"/>
    <w:rsid w:val="5677623D"/>
    <w:rsid w:val="567E4EDF"/>
    <w:rsid w:val="56876685"/>
    <w:rsid w:val="5694322C"/>
    <w:rsid w:val="56A31EE4"/>
    <w:rsid w:val="56A874FB"/>
    <w:rsid w:val="56B0415D"/>
    <w:rsid w:val="56CD4FDB"/>
    <w:rsid w:val="56CF2329"/>
    <w:rsid w:val="56D9694E"/>
    <w:rsid w:val="56FD2B09"/>
    <w:rsid w:val="571A19B0"/>
    <w:rsid w:val="571E4B7D"/>
    <w:rsid w:val="57227E77"/>
    <w:rsid w:val="573D76AA"/>
    <w:rsid w:val="57485E22"/>
    <w:rsid w:val="579E7522"/>
    <w:rsid w:val="57A02153"/>
    <w:rsid w:val="57A14A77"/>
    <w:rsid w:val="57B80B89"/>
    <w:rsid w:val="57C01983"/>
    <w:rsid w:val="57C90386"/>
    <w:rsid w:val="57C94F71"/>
    <w:rsid w:val="57D759FC"/>
    <w:rsid w:val="57EC1669"/>
    <w:rsid w:val="57EE53E1"/>
    <w:rsid w:val="57FD7E56"/>
    <w:rsid w:val="581375D9"/>
    <w:rsid w:val="58264F43"/>
    <w:rsid w:val="584769AD"/>
    <w:rsid w:val="58493972"/>
    <w:rsid w:val="58682EAC"/>
    <w:rsid w:val="586E207E"/>
    <w:rsid w:val="587010FA"/>
    <w:rsid w:val="588A40A5"/>
    <w:rsid w:val="588B00EF"/>
    <w:rsid w:val="5898699C"/>
    <w:rsid w:val="589A7317"/>
    <w:rsid w:val="58AB6E48"/>
    <w:rsid w:val="58BD1752"/>
    <w:rsid w:val="58BD1B10"/>
    <w:rsid w:val="58C90B56"/>
    <w:rsid w:val="58CA2FFA"/>
    <w:rsid w:val="58CC702B"/>
    <w:rsid w:val="59042B51"/>
    <w:rsid w:val="591801AD"/>
    <w:rsid w:val="592C4768"/>
    <w:rsid w:val="593D0288"/>
    <w:rsid w:val="59435BE5"/>
    <w:rsid w:val="595079D6"/>
    <w:rsid w:val="59555E94"/>
    <w:rsid w:val="595F01D4"/>
    <w:rsid w:val="59605E6B"/>
    <w:rsid w:val="59711199"/>
    <w:rsid w:val="59721FFE"/>
    <w:rsid w:val="597861FB"/>
    <w:rsid w:val="5988716F"/>
    <w:rsid w:val="599A13C3"/>
    <w:rsid w:val="599F22C8"/>
    <w:rsid w:val="59A51CBC"/>
    <w:rsid w:val="59C86DD1"/>
    <w:rsid w:val="59CE3298"/>
    <w:rsid w:val="59FE3811"/>
    <w:rsid w:val="5A0D4984"/>
    <w:rsid w:val="5A125C3D"/>
    <w:rsid w:val="5A207830"/>
    <w:rsid w:val="5A2844A0"/>
    <w:rsid w:val="5A44753A"/>
    <w:rsid w:val="5A552A46"/>
    <w:rsid w:val="5A576FD8"/>
    <w:rsid w:val="5A624E1F"/>
    <w:rsid w:val="5A6F693F"/>
    <w:rsid w:val="5A775470"/>
    <w:rsid w:val="5A8D08BF"/>
    <w:rsid w:val="5A8D5E0E"/>
    <w:rsid w:val="5AB20ED5"/>
    <w:rsid w:val="5AC6483C"/>
    <w:rsid w:val="5AC959BE"/>
    <w:rsid w:val="5AE36D9A"/>
    <w:rsid w:val="5AEA5F22"/>
    <w:rsid w:val="5AF54CD9"/>
    <w:rsid w:val="5AF57FFB"/>
    <w:rsid w:val="5B063F0F"/>
    <w:rsid w:val="5B1206A7"/>
    <w:rsid w:val="5B215ACE"/>
    <w:rsid w:val="5B241698"/>
    <w:rsid w:val="5B2D3F75"/>
    <w:rsid w:val="5B31320C"/>
    <w:rsid w:val="5B4B48F9"/>
    <w:rsid w:val="5B554A58"/>
    <w:rsid w:val="5B5D424E"/>
    <w:rsid w:val="5B61570D"/>
    <w:rsid w:val="5B6339F0"/>
    <w:rsid w:val="5B8950E1"/>
    <w:rsid w:val="5B9B762E"/>
    <w:rsid w:val="5BA175EA"/>
    <w:rsid w:val="5BAE17EA"/>
    <w:rsid w:val="5BD14DFE"/>
    <w:rsid w:val="5BD23921"/>
    <w:rsid w:val="5BD377BC"/>
    <w:rsid w:val="5BE541CE"/>
    <w:rsid w:val="5BE86CC0"/>
    <w:rsid w:val="5BEE6D28"/>
    <w:rsid w:val="5BF1312B"/>
    <w:rsid w:val="5C15450E"/>
    <w:rsid w:val="5C1641D8"/>
    <w:rsid w:val="5C1A525E"/>
    <w:rsid w:val="5C1E1C10"/>
    <w:rsid w:val="5C243DEB"/>
    <w:rsid w:val="5C3418B7"/>
    <w:rsid w:val="5C3B74D1"/>
    <w:rsid w:val="5C3D00D6"/>
    <w:rsid w:val="5C442032"/>
    <w:rsid w:val="5C461148"/>
    <w:rsid w:val="5C6C4B26"/>
    <w:rsid w:val="5C766724"/>
    <w:rsid w:val="5C811BCC"/>
    <w:rsid w:val="5C8A35FB"/>
    <w:rsid w:val="5C8A38A0"/>
    <w:rsid w:val="5C974299"/>
    <w:rsid w:val="5C9B365E"/>
    <w:rsid w:val="5C9E6468"/>
    <w:rsid w:val="5C9F6CAA"/>
    <w:rsid w:val="5CD45D2F"/>
    <w:rsid w:val="5CEB7ED5"/>
    <w:rsid w:val="5D071C0A"/>
    <w:rsid w:val="5D0D0DC4"/>
    <w:rsid w:val="5D1017D3"/>
    <w:rsid w:val="5D2B0CC6"/>
    <w:rsid w:val="5D2E3EE2"/>
    <w:rsid w:val="5D341346"/>
    <w:rsid w:val="5D3D32A9"/>
    <w:rsid w:val="5D5C0214"/>
    <w:rsid w:val="5D61171E"/>
    <w:rsid w:val="5D715B0D"/>
    <w:rsid w:val="5D790EC8"/>
    <w:rsid w:val="5D7B00ED"/>
    <w:rsid w:val="5D8A7EF4"/>
    <w:rsid w:val="5DA14CA4"/>
    <w:rsid w:val="5DB25F7C"/>
    <w:rsid w:val="5DB807D8"/>
    <w:rsid w:val="5DC12101"/>
    <w:rsid w:val="5DD360B3"/>
    <w:rsid w:val="5DDB18BE"/>
    <w:rsid w:val="5DF46325"/>
    <w:rsid w:val="5DFC517B"/>
    <w:rsid w:val="5E091D1E"/>
    <w:rsid w:val="5E176F08"/>
    <w:rsid w:val="5E183B49"/>
    <w:rsid w:val="5E1A4FFD"/>
    <w:rsid w:val="5E1D1D98"/>
    <w:rsid w:val="5E224037"/>
    <w:rsid w:val="5E2B7895"/>
    <w:rsid w:val="5E3E0AF4"/>
    <w:rsid w:val="5E3E6DDE"/>
    <w:rsid w:val="5E4B3CC9"/>
    <w:rsid w:val="5E874A7F"/>
    <w:rsid w:val="5E911953"/>
    <w:rsid w:val="5E92674E"/>
    <w:rsid w:val="5E934F4C"/>
    <w:rsid w:val="5EE54836"/>
    <w:rsid w:val="5EE70A03"/>
    <w:rsid w:val="5EEC2ADA"/>
    <w:rsid w:val="5EF81FC4"/>
    <w:rsid w:val="5EFC6DC1"/>
    <w:rsid w:val="5F096BCD"/>
    <w:rsid w:val="5F0D6445"/>
    <w:rsid w:val="5F105496"/>
    <w:rsid w:val="5F1A3ADA"/>
    <w:rsid w:val="5F2E3CEF"/>
    <w:rsid w:val="5F3406E8"/>
    <w:rsid w:val="5F465D78"/>
    <w:rsid w:val="5F467E77"/>
    <w:rsid w:val="5F64596F"/>
    <w:rsid w:val="5F762E35"/>
    <w:rsid w:val="5F7A79FD"/>
    <w:rsid w:val="5F830B05"/>
    <w:rsid w:val="5F881C5C"/>
    <w:rsid w:val="5F885362"/>
    <w:rsid w:val="5F9052D1"/>
    <w:rsid w:val="5F920F7A"/>
    <w:rsid w:val="5F923248"/>
    <w:rsid w:val="5FD30784"/>
    <w:rsid w:val="5FE175D9"/>
    <w:rsid w:val="5FEE5BAD"/>
    <w:rsid w:val="5FFF55D0"/>
    <w:rsid w:val="600638B3"/>
    <w:rsid w:val="604C0310"/>
    <w:rsid w:val="606B25C6"/>
    <w:rsid w:val="606D7E94"/>
    <w:rsid w:val="60732927"/>
    <w:rsid w:val="60764101"/>
    <w:rsid w:val="60C072C6"/>
    <w:rsid w:val="60C41052"/>
    <w:rsid w:val="60C978BE"/>
    <w:rsid w:val="60D31618"/>
    <w:rsid w:val="60D904B7"/>
    <w:rsid w:val="60E4518E"/>
    <w:rsid w:val="60F31CBA"/>
    <w:rsid w:val="60F60FBB"/>
    <w:rsid w:val="60F7294C"/>
    <w:rsid w:val="60FB4FCD"/>
    <w:rsid w:val="611E6323"/>
    <w:rsid w:val="6133640D"/>
    <w:rsid w:val="613F47A1"/>
    <w:rsid w:val="61457631"/>
    <w:rsid w:val="61475B62"/>
    <w:rsid w:val="615C0565"/>
    <w:rsid w:val="615C785F"/>
    <w:rsid w:val="616D2416"/>
    <w:rsid w:val="616F6A9E"/>
    <w:rsid w:val="618A333F"/>
    <w:rsid w:val="618D2CB0"/>
    <w:rsid w:val="619F4BA1"/>
    <w:rsid w:val="61A24663"/>
    <w:rsid w:val="61AE5CE7"/>
    <w:rsid w:val="61B814DA"/>
    <w:rsid w:val="61BD7BD2"/>
    <w:rsid w:val="61D2367E"/>
    <w:rsid w:val="61DC33DC"/>
    <w:rsid w:val="61E11B0F"/>
    <w:rsid w:val="61EC3AB0"/>
    <w:rsid w:val="62045627"/>
    <w:rsid w:val="620550B4"/>
    <w:rsid w:val="620B76FE"/>
    <w:rsid w:val="62121A84"/>
    <w:rsid w:val="62257C51"/>
    <w:rsid w:val="622C5484"/>
    <w:rsid w:val="62514C9A"/>
    <w:rsid w:val="625F5177"/>
    <w:rsid w:val="626A7C77"/>
    <w:rsid w:val="626D4512"/>
    <w:rsid w:val="62793065"/>
    <w:rsid w:val="62812EEC"/>
    <w:rsid w:val="62A374DE"/>
    <w:rsid w:val="62A755A6"/>
    <w:rsid w:val="62A91495"/>
    <w:rsid w:val="62C701FA"/>
    <w:rsid w:val="62E10E11"/>
    <w:rsid w:val="62E40635"/>
    <w:rsid w:val="62EC10DD"/>
    <w:rsid w:val="62EE627F"/>
    <w:rsid w:val="630D55FF"/>
    <w:rsid w:val="632B2AFE"/>
    <w:rsid w:val="633238D4"/>
    <w:rsid w:val="633272E6"/>
    <w:rsid w:val="63386F8B"/>
    <w:rsid w:val="633B4BAF"/>
    <w:rsid w:val="635B2486"/>
    <w:rsid w:val="636E387A"/>
    <w:rsid w:val="63704850"/>
    <w:rsid w:val="63780255"/>
    <w:rsid w:val="638037CF"/>
    <w:rsid w:val="638C4F0F"/>
    <w:rsid w:val="63940A56"/>
    <w:rsid w:val="63A1584F"/>
    <w:rsid w:val="63A64DC2"/>
    <w:rsid w:val="63A65FD3"/>
    <w:rsid w:val="63AE3C76"/>
    <w:rsid w:val="63C33BCF"/>
    <w:rsid w:val="63C40A17"/>
    <w:rsid w:val="63C74D38"/>
    <w:rsid w:val="63E12A1A"/>
    <w:rsid w:val="63E437A9"/>
    <w:rsid w:val="63ED45E2"/>
    <w:rsid w:val="63F0010F"/>
    <w:rsid w:val="640843AA"/>
    <w:rsid w:val="64091905"/>
    <w:rsid w:val="641625B0"/>
    <w:rsid w:val="642018CA"/>
    <w:rsid w:val="64215A38"/>
    <w:rsid w:val="64224F96"/>
    <w:rsid w:val="64302E5A"/>
    <w:rsid w:val="644350E0"/>
    <w:rsid w:val="64596BA9"/>
    <w:rsid w:val="64680B07"/>
    <w:rsid w:val="646A7ECA"/>
    <w:rsid w:val="6480021A"/>
    <w:rsid w:val="64816F70"/>
    <w:rsid w:val="648A5CC9"/>
    <w:rsid w:val="649517DB"/>
    <w:rsid w:val="64A90EA4"/>
    <w:rsid w:val="64C814EC"/>
    <w:rsid w:val="64CD191F"/>
    <w:rsid w:val="64E10045"/>
    <w:rsid w:val="64E57E23"/>
    <w:rsid w:val="64E76529"/>
    <w:rsid w:val="64FE177B"/>
    <w:rsid w:val="650318C3"/>
    <w:rsid w:val="650758D4"/>
    <w:rsid w:val="65077911"/>
    <w:rsid w:val="6508233B"/>
    <w:rsid w:val="651805A4"/>
    <w:rsid w:val="65191978"/>
    <w:rsid w:val="652553ED"/>
    <w:rsid w:val="652F01FD"/>
    <w:rsid w:val="65366FDD"/>
    <w:rsid w:val="653F727C"/>
    <w:rsid w:val="655842FD"/>
    <w:rsid w:val="656166CD"/>
    <w:rsid w:val="658E6E6B"/>
    <w:rsid w:val="6593347A"/>
    <w:rsid w:val="65954CAD"/>
    <w:rsid w:val="65960E66"/>
    <w:rsid w:val="659E1391"/>
    <w:rsid w:val="65AA408D"/>
    <w:rsid w:val="65B51B73"/>
    <w:rsid w:val="65B732B6"/>
    <w:rsid w:val="65DD251E"/>
    <w:rsid w:val="65E73470"/>
    <w:rsid w:val="660D2F77"/>
    <w:rsid w:val="66137A5E"/>
    <w:rsid w:val="662538D7"/>
    <w:rsid w:val="663A5407"/>
    <w:rsid w:val="663A64C8"/>
    <w:rsid w:val="66412194"/>
    <w:rsid w:val="66680019"/>
    <w:rsid w:val="66697BDB"/>
    <w:rsid w:val="667E2026"/>
    <w:rsid w:val="668A15E7"/>
    <w:rsid w:val="66B84FF2"/>
    <w:rsid w:val="66BD08AB"/>
    <w:rsid w:val="66D50CAE"/>
    <w:rsid w:val="66EA4A2E"/>
    <w:rsid w:val="66F44096"/>
    <w:rsid w:val="66FF3FFE"/>
    <w:rsid w:val="67002A3B"/>
    <w:rsid w:val="670A7059"/>
    <w:rsid w:val="67254250"/>
    <w:rsid w:val="672B1DC9"/>
    <w:rsid w:val="67483CC7"/>
    <w:rsid w:val="676648E6"/>
    <w:rsid w:val="676B346A"/>
    <w:rsid w:val="677D12B1"/>
    <w:rsid w:val="678107CC"/>
    <w:rsid w:val="67AB2491"/>
    <w:rsid w:val="67C47E0C"/>
    <w:rsid w:val="67CB2826"/>
    <w:rsid w:val="67D0065F"/>
    <w:rsid w:val="67D12002"/>
    <w:rsid w:val="67D30744"/>
    <w:rsid w:val="67D6379C"/>
    <w:rsid w:val="67FD21CF"/>
    <w:rsid w:val="68090DD1"/>
    <w:rsid w:val="680B78E9"/>
    <w:rsid w:val="681E1C85"/>
    <w:rsid w:val="6827597B"/>
    <w:rsid w:val="682B7F8C"/>
    <w:rsid w:val="687D5A50"/>
    <w:rsid w:val="687E0650"/>
    <w:rsid w:val="68801660"/>
    <w:rsid w:val="68831B76"/>
    <w:rsid w:val="68975AC8"/>
    <w:rsid w:val="689F57D3"/>
    <w:rsid w:val="68C06926"/>
    <w:rsid w:val="68C835DF"/>
    <w:rsid w:val="68C83A2C"/>
    <w:rsid w:val="68E01602"/>
    <w:rsid w:val="68F760C0"/>
    <w:rsid w:val="68F857A3"/>
    <w:rsid w:val="69052EC9"/>
    <w:rsid w:val="690B0E62"/>
    <w:rsid w:val="691025E6"/>
    <w:rsid w:val="69225430"/>
    <w:rsid w:val="69245425"/>
    <w:rsid w:val="692A5C4B"/>
    <w:rsid w:val="692D7FCB"/>
    <w:rsid w:val="693A6830"/>
    <w:rsid w:val="694337E1"/>
    <w:rsid w:val="694855A7"/>
    <w:rsid w:val="696B5A16"/>
    <w:rsid w:val="69740148"/>
    <w:rsid w:val="69792A99"/>
    <w:rsid w:val="69862CE1"/>
    <w:rsid w:val="69B47AF9"/>
    <w:rsid w:val="69B83A10"/>
    <w:rsid w:val="69C32674"/>
    <w:rsid w:val="69C9039E"/>
    <w:rsid w:val="69D46296"/>
    <w:rsid w:val="69DC398E"/>
    <w:rsid w:val="69DC3E69"/>
    <w:rsid w:val="69E91EAC"/>
    <w:rsid w:val="69E94348"/>
    <w:rsid w:val="69EA1C9B"/>
    <w:rsid w:val="6A0E36C1"/>
    <w:rsid w:val="6A3550F2"/>
    <w:rsid w:val="6A4C5980"/>
    <w:rsid w:val="6A540DCD"/>
    <w:rsid w:val="6A594D9F"/>
    <w:rsid w:val="6A6449E5"/>
    <w:rsid w:val="6A83104C"/>
    <w:rsid w:val="6A8676FB"/>
    <w:rsid w:val="6A872614"/>
    <w:rsid w:val="6AA661F0"/>
    <w:rsid w:val="6AAC7200"/>
    <w:rsid w:val="6ADF0E38"/>
    <w:rsid w:val="6AFF6CED"/>
    <w:rsid w:val="6B127439"/>
    <w:rsid w:val="6B2B4F53"/>
    <w:rsid w:val="6B3709F5"/>
    <w:rsid w:val="6B3A0719"/>
    <w:rsid w:val="6B3A445E"/>
    <w:rsid w:val="6B4B4654"/>
    <w:rsid w:val="6B4F0B8E"/>
    <w:rsid w:val="6B611397"/>
    <w:rsid w:val="6B71537B"/>
    <w:rsid w:val="6B793F08"/>
    <w:rsid w:val="6B7E1E35"/>
    <w:rsid w:val="6B887791"/>
    <w:rsid w:val="6B933494"/>
    <w:rsid w:val="6BA16A56"/>
    <w:rsid w:val="6BD73D6C"/>
    <w:rsid w:val="6BF0316F"/>
    <w:rsid w:val="6BF07522"/>
    <w:rsid w:val="6BF25D01"/>
    <w:rsid w:val="6C182647"/>
    <w:rsid w:val="6C184383"/>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E638A"/>
    <w:rsid w:val="6CB57E24"/>
    <w:rsid w:val="6CBC16B5"/>
    <w:rsid w:val="6CC3323B"/>
    <w:rsid w:val="6CCB0292"/>
    <w:rsid w:val="6CEE15AB"/>
    <w:rsid w:val="6CF918E1"/>
    <w:rsid w:val="6D0D10BE"/>
    <w:rsid w:val="6D1042DD"/>
    <w:rsid w:val="6D200C8D"/>
    <w:rsid w:val="6D377024"/>
    <w:rsid w:val="6D431F29"/>
    <w:rsid w:val="6D481AA7"/>
    <w:rsid w:val="6D492C06"/>
    <w:rsid w:val="6D5565BE"/>
    <w:rsid w:val="6D5C072C"/>
    <w:rsid w:val="6D631076"/>
    <w:rsid w:val="6D656990"/>
    <w:rsid w:val="6D7502C8"/>
    <w:rsid w:val="6D824DC4"/>
    <w:rsid w:val="6D864D03"/>
    <w:rsid w:val="6D9426FD"/>
    <w:rsid w:val="6DB77826"/>
    <w:rsid w:val="6DC43BE8"/>
    <w:rsid w:val="6DD22C1D"/>
    <w:rsid w:val="6DD9266E"/>
    <w:rsid w:val="6DE23B91"/>
    <w:rsid w:val="6DE50C94"/>
    <w:rsid w:val="6DF37B12"/>
    <w:rsid w:val="6DF616C2"/>
    <w:rsid w:val="6DFC4576"/>
    <w:rsid w:val="6E4165FE"/>
    <w:rsid w:val="6E473C06"/>
    <w:rsid w:val="6E4D00A4"/>
    <w:rsid w:val="6E532F96"/>
    <w:rsid w:val="6E5C5E49"/>
    <w:rsid w:val="6E602C56"/>
    <w:rsid w:val="6E6E2980"/>
    <w:rsid w:val="6E744D77"/>
    <w:rsid w:val="6E8C3364"/>
    <w:rsid w:val="6E923460"/>
    <w:rsid w:val="6E993583"/>
    <w:rsid w:val="6E9E14B7"/>
    <w:rsid w:val="6EB02F99"/>
    <w:rsid w:val="6EB7487C"/>
    <w:rsid w:val="6EBA079B"/>
    <w:rsid w:val="6EC30F1E"/>
    <w:rsid w:val="6EEA7111"/>
    <w:rsid w:val="6EEF4944"/>
    <w:rsid w:val="6EF35326"/>
    <w:rsid w:val="6F0B4673"/>
    <w:rsid w:val="6F223DB7"/>
    <w:rsid w:val="6F394D3C"/>
    <w:rsid w:val="6F4436E1"/>
    <w:rsid w:val="6F4722E4"/>
    <w:rsid w:val="6F654AC2"/>
    <w:rsid w:val="6F6B5112"/>
    <w:rsid w:val="6F7A0434"/>
    <w:rsid w:val="6F7F302B"/>
    <w:rsid w:val="6F823570"/>
    <w:rsid w:val="6F856B16"/>
    <w:rsid w:val="6F8C056C"/>
    <w:rsid w:val="6FC954C7"/>
    <w:rsid w:val="6FD65244"/>
    <w:rsid w:val="6FE05AA0"/>
    <w:rsid w:val="6FFC7B09"/>
    <w:rsid w:val="700E65A5"/>
    <w:rsid w:val="70124CBA"/>
    <w:rsid w:val="70206492"/>
    <w:rsid w:val="70231548"/>
    <w:rsid w:val="70243B95"/>
    <w:rsid w:val="703322CD"/>
    <w:rsid w:val="705D6FAC"/>
    <w:rsid w:val="70645DE9"/>
    <w:rsid w:val="70672FD1"/>
    <w:rsid w:val="708031CE"/>
    <w:rsid w:val="70875AB6"/>
    <w:rsid w:val="708E1FF4"/>
    <w:rsid w:val="70A07D39"/>
    <w:rsid w:val="70B16233"/>
    <w:rsid w:val="70B54896"/>
    <w:rsid w:val="70DA3C6B"/>
    <w:rsid w:val="70DF3F90"/>
    <w:rsid w:val="70EC0382"/>
    <w:rsid w:val="710234DE"/>
    <w:rsid w:val="71220ACC"/>
    <w:rsid w:val="712C599F"/>
    <w:rsid w:val="71353C29"/>
    <w:rsid w:val="71591C44"/>
    <w:rsid w:val="716C5DDF"/>
    <w:rsid w:val="717F793F"/>
    <w:rsid w:val="71924BD7"/>
    <w:rsid w:val="71C85743"/>
    <w:rsid w:val="71CB1698"/>
    <w:rsid w:val="71CF3580"/>
    <w:rsid w:val="71D23226"/>
    <w:rsid w:val="71DD07EB"/>
    <w:rsid w:val="71F12AFA"/>
    <w:rsid w:val="71F65F21"/>
    <w:rsid w:val="71FA22F1"/>
    <w:rsid w:val="71FD2118"/>
    <w:rsid w:val="720158B9"/>
    <w:rsid w:val="72052AA9"/>
    <w:rsid w:val="721175B9"/>
    <w:rsid w:val="721B4A38"/>
    <w:rsid w:val="72373460"/>
    <w:rsid w:val="72534367"/>
    <w:rsid w:val="72534C70"/>
    <w:rsid w:val="72862EE6"/>
    <w:rsid w:val="72901035"/>
    <w:rsid w:val="72934F5E"/>
    <w:rsid w:val="729E75F1"/>
    <w:rsid w:val="72AB27B3"/>
    <w:rsid w:val="72AD4AF1"/>
    <w:rsid w:val="72D81BBC"/>
    <w:rsid w:val="72D83910"/>
    <w:rsid w:val="72F947CF"/>
    <w:rsid w:val="72F962C0"/>
    <w:rsid w:val="7306564A"/>
    <w:rsid w:val="731A685B"/>
    <w:rsid w:val="731F0D86"/>
    <w:rsid w:val="73223D39"/>
    <w:rsid w:val="732D0862"/>
    <w:rsid w:val="7344121A"/>
    <w:rsid w:val="73542DA9"/>
    <w:rsid w:val="7359185B"/>
    <w:rsid w:val="736729E6"/>
    <w:rsid w:val="73813156"/>
    <w:rsid w:val="7386076C"/>
    <w:rsid w:val="738642C8"/>
    <w:rsid w:val="73870154"/>
    <w:rsid w:val="7394570A"/>
    <w:rsid w:val="739B08A2"/>
    <w:rsid w:val="739E1612"/>
    <w:rsid w:val="73B00B8A"/>
    <w:rsid w:val="73B75A60"/>
    <w:rsid w:val="73B80334"/>
    <w:rsid w:val="73B96347"/>
    <w:rsid w:val="73D96AEE"/>
    <w:rsid w:val="73DB0AB8"/>
    <w:rsid w:val="73DB1A8C"/>
    <w:rsid w:val="73EC4A73"/>
    <w:rsid w:val="740252B5"/>
    <w:rsid w:val="740A6CA7"/>
    <w:rsid w:val="740F42BD"/>
    <w:rsid w:val="74174FFE"/>
    <w:rsid w:val="74217211"/>
    <w:rsid w:val="742417EC"/>
    <w:rsid w:val="7428542E"/>
    <w:rsid w:val="742B485F"/>
    <w:rsid w:val="743B3D55"/>
    <w:rsid w:val="744628D0"/>
    <w:rsid w:val="74470A6B"/>
    <w:rsid w:val="74476AE7"/>
    <w:rsid w:val="744B03AA"/>
    <w:rsid w:val="74541F94"/>
    <w:rsid w:val="745E0F58"/>
    <w:rsid w:val="745E44A5"/>
    <w:rsid w:val="747C0124"/>
    <w:rsid w:val="748F1FC1"/>
    <w:rsid w:val="74985A95"/>
    <w:rsid w:val="74A54FA2"/>
    <w:rsid w:val="74B53FE0"/>
    <w:rsid w:val="74C04A71"/>
    <w:rsid w:val="74C57072"/>
    <w:rsid w:val="74D37193"/>
    <w:rsid w:val="74E53270"/>
    <w:rsid w:val="74E83A33"/>
    <w:rsid w:val="750C62B1"/>
    <w:rsid w:val="7511573C"/>
    <w:rsid w:val="751A7246"/>
    <w:rsid w:val="751B457F"/>
    <w:rsid w:val="75285AE6"/>
    <w:rsid w:val="75454825"/>
    <w:rsid w:val="755521A4"/>
    <w:rsid w:val="7565357C"/>
    <w:rsid w:val="7565786A"/>
    <w:rsid w:val="757922AB"/>
    <w:rsid w:val="75A11A70"/>
    <w:rsid w:val="75A932DF"/>
    <w:rsid w:val="75B13007"/>
    <w:rsid w:val="75B558D6"/>
    <w:rsid w:val="75CB4D48"/>
    <w:rsid w:val="75CC00F0"/>
    <w:rsid w:val="75CC03A8"/>
    <w:rsid w:val="75CF4003"/>
    <w:rsid w:val="75E72DA6"/>
    <w:rsid w:val="75F75951"/>
    <w:rsid w:val="75FB104B"/>
    <w:rsid w:val="760309B4"/>
    <w:rsid w:val="7605176F"/>
    <w:rsid w:val="760E0D41"/>
    <w:rsid w:val="76445AED"/>
    <w:rsid w:val="7660574F"/>
    <w:rsid w:val="766C6E4C"/>
    <w:rsid w:val="767A58E4"/>
    <w:rsid w:val="769F32B5"/>
    <w:rsid w:val="76B92446"/>
    <w:rsid w:val="76CD0F92"/>
    <w:rsid w:val="76DE01EA"/>
    <w:rsid w:val="76E92322"/>
    <w:rsid w:val="76FF12D4"/>
    <w:rsid w:val="771247B1"/>
    <w:rsid w:val="77145ED7"/>
    <w:rsid w:val="771D0C64"/>
    <w:rsid w:val="77584858"/>
    <w:rsid w:val="776069F0"/>
    <w:rsid w:val="776D2CD1"/>
    <w:rsid w:val="776E1451"/>
    <w:rsid w:val="77711C78"/>
    <w:rsid w:val="77732246"/>
    <w:rsid w:val="777F4BC4"/>
    <w:rsid w:val="778E70F0"/>
    <w:rsid w:val="779B1805"/>
    <w:rsid w:val="779B1F31"/>
    <w:rsid w:val="77A130EE"/>
    <w:rsid w:val="77A64A45"/>
    <w:rsid w:val="77A65182"/>
    <w:rsid w:val="77AC6EEE"/>
    <w:rsid w:val="77C655DB"/>
    <w:rsid w:val="77D84E94"/>
    <w:rsid w:val="77FF1415"/>
    <w:rsid w:val="77FF1C07"/>
    <w:rsid w:val="780221C4"/>
    <w:rsid w:val="78075F95"/>
    <w:rsid w:val="780D69BD"/>
    <w:rsid w:val="781372EC"/>
    <w:rsid w:val="78184FA7"/>
    <w:rsid w:val="78205738"/>
    <w:rsid w:val="7822522C"/>
    <w:rsid w:val="782C7B34"/>
    <w:rsid w:val="78306EF8"/>
    <w:rsid w:val="7833479B"/>
    <w:rsid w:val="784B4E4B"/>
    <w:rsid w:val="785411CA"/>
    <w:rsid w:val="78616FBE"/>
    <w:rsid w:val="7864172F"/>
    <w:rsid w:val="787008D1"/>
    <w:rsid w:val="78955D13"/>
    <w:rsid w:val="789A45BC"/>
    <w:rsid w:val="789F5290"/>
    <w:rsid w:val="78AC75A3"/>
    <w:rsid w:val="78AE23C3"/>
    <w:rsid w:val="78AF300A"/>
    <w:rsid w:val="78BC1289"/>
    <w:rsid w:val="78C67592"/>
    <w:rsid w:val="78D86C57"/>
    <w:rsid w:val="78D91283"/>
    <w:rsid w:val="78EB40FD"/>
    <w:rsid w:val="78EE6A17"/>
    <w:rsid w:val="78F629F8"/>
    <w:rsid w:val="7901465B"/>
    <w:rsid w:val="790221D8"/>
    <w:rsid w:val="790464F1"/>
    <w:rsid w:val="790C085A"/>
    <w:rsid w:val="790C1B0A"/>
    <w:rsid w:val="791278F8"/>
    <w:rsid w:val="791B3B2C"/>
    <w:rsid w:val="79246A5D"/>
    <w:rsid w:val="7931117A"/>
    <w:rsid w:val="793B6575"/>
    <w:rsid w:val="793F0E09"/>
    <w:rsid w:val="79592A8B"/>
    <w:rsid w:val="79672E2F"/>
    <w:rsid w:val="796C3879"/>
    <w:rsid w:val="797163AB"/>
    <w:rsid w:val="797572B9"/>
    <w:rsid w:val="797A28BF"/>
    <w:rsid w:val="798E0212"/>
    <w:rsid w:val="7992121C"/>
    <w:rsid w:val="79962917"/>
    <w:rsid w:val="79CE4C1B"/>
    <w:rsid w:val="79E04993"/>
    <w:rsid w:val="79E61F64"/>
    <w:rsid w:val="79E82110"/>
    <w:rsid w:val="79FF4DD4"/>
    <w:rsid w:val="7A1F30F0"/>
    <w:rsid w:val="7A431C56"/>
    <w:rsid w:val="7A432D37"/>
    <w:rsid w:val="7A462A03"/>
    <w:rsid w:val="7A471131"/>
    <w:rsid w:val="7A7C4677"/>
    <w:rsid w:val="7AA26316"/>
    <w:rsid w:val="7AA634A2"/>
    <w:rsid w:val="7AAF37F8"/>
    <w:rsid w:val="7AB14F4C"/>
    <w:rsid w:val="7AB56968"/>
    <w:rsid w:val="7AD550FC"/>
    <w:rsid w:val="7AFA7914"/>
    <w:rsid w:val="7AFC7C00"/>
    <w:rsid w:val="7B0E3AAE"/>
    <w:rsid w:val="7B164E65"/>
    <w:rsid w:val="7B1C266B"/>
    <w:rsid w:val="7B1E0789"/>
    <w:rsid w:val="7B493CDE"/>
    <w:rsid w:val="7B5945D3"/>
    <w:rsid w:val="7B8A25D8"/>
    <w:rsid w:val="7B8C6B3B"/>
    <w:rsid w:val="7BA23C69"/>
    <w:rsid w:val="7BAD4FA6"/>
    <w:rsid w:val="7BC46065"/>
    <w:rsid w:val="7BC6204D"/>
    <w:rsid w:val="7BCE2216"/>
    <w:rsid w:val="7BF34AAE"/>
    <w:rsid w:val="7BFC4D12"/>
    <w:rsid w:val="7C0220B2"/>
    <w:rsid w:val="7C2657BF"/>
    <w:rsid w:val="7C2D49CA"/>
    <w:rsid w:val="7C363D22"/>
    <w:rsid w:val="7C455059"/>
    <w:rsid w:val="7C481105"/>
    <w:rsid w:val="7C487F90"/>
    <w:rsid w:val="7C5320F5"/>
    <w:rsid w:val="7C64199C"/>
    <w:rsid w:val="7C6545D6"/>
    <w:rsid w:val="7C7628C5"/>
    <w:rsid w:val="7C7A0AC6"/>
    <w:rsid w:val="7C7C5B04"/>
    <w:rsid w:val="7C8D66C7"/>
    <w:rsid w:val="7CA115BF"/>
    <w:rsid w:val="7CAF239E"/>
    <w:rsid w:val="7CBD545C"/>
    <w:rsid w:val="7CDE1864"/>
    <w:rsid w:val="7CE34539"/>
    <w:rsid w:val="7CF566CD"/>
    <w:rsid w:val="7CFD6155"/>
    <w:rsid w:val="7D0342D1"/>
    <w:rsid w:val="7D1A0699"/>
    <w:rsid w:val="7D39279E"/>
    <w:rsid w:val="7D4C6425"/>
    <w:rsid w:val="7D512E09"/>
    <w:rsid w:val="7D5C4C0F"/>
    <w:rsid w:val="7D8070E6"/>
    <w:rsid w:val="7D807699"/>
    <w:rsid w:val="7D9A4CB6"/>
    <w:rsid w:val="7DA56537"/>
    <w:rsid w:val="7DC60028"/>
    <w:rsid w:val="7DD246CA"/>
    <w:rsid w:val="7DEC3E7E"/>
    <w:rsid w:val="7DFE73CB"/>
    <w:rsid w:val="7E074257"/>
    <w:rsid w:val="7E0D5D12"/>
    <w:rsid w:val="7E204446"/>
    <w:rsid w:val="7E346AE6"/>
    <w:rsid w:val="7E4C423C"/>
    <w:rsid w:val="7E51336F"/>
    <w:rsid w:val="7E551D52"/>
    <w:rsid w:val="7E593BB0"/>
    <w:rsid w:val="7E59673F"/>
    <w:rsid w:val="7E6A1DB7"/>
    <w:rsid w:val="7E6F50F5"/>
    <w:rsid w:val="7E725B75"/>
    <w:rsid w:val="7E834093"/>
    <w:rsid w:val="7EA25DEF"/>
    <w:rsid w:val="7EA73FA7"/>
    <w:rsid w:val="7EB273B0"/>
    <w:rsid w:val="7EC121A0"/>
    <w:rsid w:val="7EC53C46"/>
    <w:rsid w:val="7EC65EC0"/>
    <w:rsid w:val="7ECC4517"/>
    <w:rsid w:val="7EE6719B"/>
    <w:rsid w:val="7F0954A7"/>
    <w:rsid w:val="7F0C4167"/>
    <w:rsid w:val="7F135E0F"/>
    <w:rsid w:val="7F441982"/>
    <w:rsid w:val="7F4464D8"/>
    <w:rsid w:val="7F4533E4"/>
    <w:rsid w:val="7F53287B"/>
    <w:rsid w:val="7F552A10"/>
    <w:rsid w:val="7F64318C"/>
    <w:rsid w:val="7F6E5576"/>
    <w:rsid w:val="7F8045D8"/>
    <w:rsid w:val="7FA05AF9"/>
    <w:rsid w:val="7FC90A31"/>
    <w:rsid w:val="7FC94C2F"/>
    <w:rsid w:val="7FE83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3">
    <w:name w:val="heading 1"/>
    <w:basedOn w:val="1"/>
    <w:next w:val="1"/>
    <w:autoRedefine/>
    <w:qFormat/>
    <w:uiPriority w:val="0"/>
    <w:pPr>
      <w:keepNext/>
      <w:widowControl w:val="0"/>
      <w:spacing w:line="360" w:lineRule="auto"/>
      <w:jc w:val="center"/>
      <w:outlineLvl w:val="0"/>
    </w:pPr>
    <w:rPr>
      <w:rFonts w:ascii="宋体" w:hAnsi="宋体"/>
      <w:b/>
      <w:kern w:val="2"/>
      <w:sz w:val="24"/>
    </w:rPr>
  </w:style>
  <w:style w:type="paragraph" w:styleId="4">
    <w:name w:val="heading 2"/>
    <w:basedOn w:val="1"/>
    <w:next w:val="5"/>
    <w:autoRedefine/>
    <w:qFormat/>
    <w:uiPriority w:val="0"/>
    <w:pPr>
      <w:keepNext/>
      <w:widowControl w:val="0"/>
      <w:numPr>
        <w:ilvl w:val="0"/>
        <w:numId w:val="1"/>
      </w:numPr>
      <w:spacing w:line="216" w:lineRule="auto"/>
      <w:jc w:val="both"/>
      <w:outlineLvl w:val="1"/>
    </w:pPr>
    <w:rPr>
      <w:rFonts w:ascii="宋体"/>
      <w:kern w:val="2"/>
      <w:sz w:val="28"/>
    </w:rPr>
  </w:style>
  <w:style w:type="paragraph" w:styleId="6">
    <w:name w:val="heading 3"/>
    <w:basedOn w:val="1"/>
    <w:next w:val="1"/>
    <w:autoRedefine/>
    <w:qFormat/>
    <w:uiPriority w:val="0"/>
    <w:pPr>
      <w:keepNext/>
      <w:widowControl w:val="0"/>
      <w:tabs>
        <w:tab w:val="left" w:pos="1260"/>
      </w:tabs>
      <w:spacing w:line="216" w:lineRule="auto"/>
      <w:jc w:val="both"/>
      <w:outlineLvl w:val="2"/>
    </w:pPr>
    <w:rPr>
      <w:rFonts w:ascii="宋体"/>
      <w:b/>
      <w:bCs/>
      <w:kern w:val="2"/>
      <w:sz w:val="28"/>
    </w:rPr>
  </w:style>
  <w:style w:type="paragraph" w:styleId="7">
    <w:name w:val="heading 4"/>
    <w:basedOn w:val="1"/>
    <w:next w:val="1"/>
    <w:autoRedefine/>
    <w:qFormat/>
    <w:uiPriority w:val="0"/>
    <w:pPr>
      <w:keepNext/>
      <w:widowControl w:val="0"/>
      <w:jc w:val="both"/>
      <w:outlineLvl w:val="3"/>
    </w:pPr>
    <w:rPr>
      <w:color w:val="FF0000"/>
      <w:kern w:val="2"/>
      <w:sz w:val="24"/>
      <w:u w:val="single"/>
    </w:rPr>
  </w:style>
  <w:style w:type="paragraph" w:styleId="8">
    <w:name w:val="heading 5"/>
    <w:basedOn w:val="1"/>
    <w:next w:val="5"/>
    <w:autoRedefine/>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9">
    <w:name w:val="heading 6"/>
    <w:basedOn w:val="1"/>
    <w:next w:val="1"/>
    <w:autoRedefine/>
    <w:qFormat/>
    <w:uiPriority w:val="0"/>
    <w:pPr>
      <w:keepNext/>
      <w:outlineLvl w:val="5"/>
    </w:pPr>
    <w:rPr>
      <w:color w:val="0000FF"/>
      <w:sz w:val="24"/>
    </w:rPr>
  </w:style>
  <w:style w:type="paragraph" w:styleId="10">
    <w:name w:val="heading 7"/>
    <w:basedOn w:val="1"/>
    <w:next w:val="1"/>
    <w:autoRedefine/>
    <w:qFormat/>
    <w:uiPriority w:val="0"/>
    <w:pPr>
      <w:keepNext/>
      <w:spacing w:line="480" w:lineRule="exact"/>
      <w:outlineLvl w:val="6"/>
    </w:pPr>
    <w:rPr>
      <w:rFonts w:ascii="仿宋_GB2312" w:hAnsi="宋体" w:eastAsia="仿宋_GB2312"/>
      <w:sz w:val="28"/>
    </w:rPr>
  </w:style>
  <w:style w:type="character" w:default="1" w:styleId="41">
    <w:name w:val="Default Paragraph Font"/>
    <w:autoRedefine/>
    <w:unhideWhenUsed/>
    <w:qFormat/>
    <w:uiPriority w:val="1"/>
  </w:style>
  <w:style w:type="table" w:default="1" w:styleId="39">
    <w:name w:val="Normal Table"/>
    <w:autoRedefine/>
    <w:unhideWhenUsed/>
    <w:qFormat/>
    <w:uiPriority w:val="99"/>
    <w:tblPr>
      <w:tblCellMar>
        <w:top w:w="0" w:type="dxa"/>
        <w:left w:w="108" w:type="dxa"/>
        <w:bottom w:w="0" w:type="dxa"/>
        <w:right w:w="108" w:type="dxa"/>
      </w:tblCellMar>
    </w:tblPr>
  </w:style>
  <w:style w:type="paragraph" w:customStyle="1" w:styleId="2">
    <w:name w:val="4、正文"/>
    <w:basedOn w:val="1"/>
    <w:autoRedefine/>
    <w:qFormat/>
    <w:uiPriority w:val="0"/>
    <w:pPr>
      <w:ind w:firstLine="200" w:firstLineChars="200"/>
    </w:pPr>
    <w:rPr>
      <w:rFonts w:ascii="宋体"/>
      <w:sz w:val="24"/>
      <w:szCs w:val="28"/>
    </w:rPr>
  </w:style>
  <w:style w:type="paragraph" w:styleId="5">
    <w:name w:val="Normal Indent"/>
    <w:basedOn w:val="1"/>
    <w:next w:val="1"/>
    <w:autoRedefine/>
    <w:qFormat/>
    <w:uiPriority w:val="0"/>
    <w:pPr>
      <w:widowControl w:val="0"/>
      <w:ind w:firstLine="420"/>
      <w:jc w:val="both"/>
    </w:pPr>
    <w:rPr>
      <w:kern w:val="2"/>
    </w:rPr>
  </w:style>
  <w:style w:type="paragraph" w:styleId="11">
    <w:name w:val="toc 7"/>
    <w:basedOn w:val="1"/>
    <w:next w:val="1"/>
    <w:autoRedefine/>
    <w:qFormat/>
    <w:uiPriority w:val="0"/>
    <w:pPr>
      <w:ind w:left="1200"/>
    </w:pPr>
    <w:rPr>
      <w:sz w:val="18"/>
    </w:rPr>
  </w:style>
  <w:style w:type="paragraph" w:styleId="12">
    <w:name w:val="List Number"/>
    <w:basedOn w:val="1"/>
    <w:autoRedefine/>
    <w:qFormat/>
    <w:uiPriority w:val="0"/>
    <w:pPr>
      <w:widowControl w:val="0"/>
      <w:tabs>
        <w:tab w:val="left" w:pos="360"/>
        <w:tab w:val="left" w:pos="1320"/>
      </w:tabs>
      <w:jc w:val="both"/>
    </w:pPr>
    <w:rPr>
      <w:kern w:val="2"/>
      <w:szCs w:val="24"/>
    </w:rPr>
  </w:style>
  <w:style w:type="paragraph" w:styleId="13">
    <w:name w:val="Document Map"/>
    <w:basedOn w:val="1"/>
    <w:autoRedefine/>
    <w:qFormat/>
    <w:uiPriority w:val="0"/>
    <w:pPr>
      <w:shd w:val="clear" w:color="auto" w:fill="000080"/>
    </w:pPr>
  </w:style>
  <w:style w:type="paragraph" w:styleId="14">
    <w:name w:val="annotation text"/>
    <w:basedOn w:val="1"/>
    <w:link w:val="51"/>
    <w:autoRedefine/>
    <w:qFormat/>
    <w:uiPriority w:val="0"/>
    <w:pPr>
      <w:widowControl w:val="0"/>
    </w:pPr>
    <w:rPr>
      <w:kern w:val="2"/>
      <w:szCs w:val="24"/>
    </w:rPr>
  </w:style>
  <w:style w:type="paragraph" w:styleId="15">
    <w:name w:val="Body Text 3"/>
    <w:basedOn w:val="1"/>
    <w:autoRedefine/>
    <w:qFormat/>
    <w:uiPriority w:val="0"/>
    <w:pPr>
      <w:jc w:val="center"/>
    </w:pPr>
    <w:rPr>
      <w:sz w:val="24"/>
    </w:rPr>
  </w:style>
  <w:style w:type="paragraph" w:styleId="16">
    <w:name w:val="Body Text"/>
    <w:basedOn w:val="1"/>
    <w:next w:val="17"/>
    <w:autoRedefine/>
    <w:qFormat/>
    <w:uiPriority w:val="0"/>
    <w:pPr>
      <w:snapToGrid w:val="0"/>
      <w:spacing w:line="360" w:lineRule="auto"/>
    </w:pPr>
    <w:rPr>
      <w:rFonts w:ascii="宋体"/>
      <w:sz w:val="24"/>
    </w:rPr>
  </w:style>
  <w:style w:type="paragraph" w:styleId="17">
    <w:name w:val="Body Text First Indent"/>
    <w:basedOn w:val="16"/>
    <w:next w:val="1"/>
    <w:autoRedefine/>
    <w:qFormat/>
    <w:uiPriority w:val="0"/>
    <w:pPr>
      <w:spacing w:after="120" w:line="240" w:lineRule="auto"/>
      <w:ind w:firstLine="420" w:firstLineChars="100"/>
    </w:pPr>
  </w:style>
  <w:style w:type="paragraph" w:styleId="18">
    <w:name w:val="Body Text Indent"/>
    <w:basedOn w:val="1"/>
    <w:next w:val="1"/>
    <w:link w:val="50"/>
    <w:autoRedefine/>
    <w:qFormat/>
    <w:uiPriority w:val="0"/>
    <w:pPr>
      <w:autoSpaceDE w:val="0"/>
      <w:autoSpaceDN w:val="0"/>
      <w:snapToGrid w:val="0"/>
      <w:spacing w:line="480" w:lineRule="auto"/>
      <w:ind w:firstLine="560" w:firstLineChars="200"/>
      <w:jc w:val="both"/>
    </w:pPr>
    <w:rPr>
      <w:sz w:val="28"/>
    </w:rPr>
  </w:style>
  <w:style w:type="paragraph" w:styleId="19">
    <w:name w:val="toc 5"/>
    <w:basedOn w:val="1"/>
    <w:next w:val="1"/>
    <w:autoRedefine/>
    <w:qFormat/>
    <w:uiPriority w:val="0"/>
    <w:pPr>
      <w:ind w:left="800"/>
    </w:pPr>
    <w:rPr>
      <w:sz w:val="18"/>
    </w:rPr>
  </w:style>
  <w:style w:type="paragraph" w:styleId="20">
    <w:name w:val="toc 3"/>
    <w:basedOn w:val="1"/>
    <w:next w:val="1"/>
    <w:autoRedefine/>
    <w:qFormat/>
    <w:uiPriority w:val="0"/>
    <w:pPr>
      <w:ind w:left="400"/>
    </w:pPr>
    <w:rPr>
      <w:i/>
    </w:rPr>
  </w:style>
  <w:style w:type="paragraph" w:styleId="21">
    <w:name w:val="Plain Text"/>
    <w:basedOn w:val="1"/>
    <w:next w:val="22"/>
    <w:link w:val="52"/>
    <w:autoRedefine/>
    <w:qFormat/>
    <w:uiPriority w:val="0"/>
    <w:pPr>
      <w:widowControl w:val="0"/>
      <w:tabs>
        <w:tab w:val="right" w:leader="dot" w:pos="8494"/>
      </w:tabs>
      <w:jc w:val="both"/>
    </w:pPr>
    <w:rPr>
      <w:rFonts w:ascii="宋体" w:hAnsi="Courier New"/>
      <w:kern w:val="2"/>
    </w:rPr>
  </w:style>
  <w:style w:type="paragraph" w:styleId="22">
    <w:name w:val="Date"/>
    <w:basedOn w:val="1"/>
    <w:next w:val="1"/>
    <w:autoRedefine/>
    <w:qFormat/>
    <w:uiPriority w:val="0"/>
    <w:pPr>
      <w:ind w:left="100" w:leftChars="2500"/>
    </w:pPr>
    <w:rPr>
      <w:rFonts w:ascii="宋体" w:hAnsi="宋体"/>
      <w:sz w:val="24"/>
    </w:rPr>
  </w:style>
  <w:style w:type="paragraph" w:styleId="23">
    <w:name w:val="toc 8"/>
    <w:basedOn w:val="1"/>
    <w:next w:val="1"/>
    <w:autoRedefine/>
    <w:qFormat/>
    <w:uiPriority w:val="0"/>
    <w:pPr>
      <w:ind w:left="1400"/>
    </w:pPr>
    <w:rPr>
      <w:sz w:val="18"/>
    </w:rPr>
  </w:style>
  <w:style w:type="paragraph" w:styleId="24">
    <w:name w:val="Body Text Indent 2"/>
    <w:basedOn w:val="1"/>
    <w:autoRedefine/>
    <w:qFormat/>
    <w:uiPriority w:val="0"/>
    <w:pPr>
      <w:snapToGrid w:val="0"/>
      <w:spacing w:line="312" w:lineRule="auto"/>
      <w:ind w:firstLine="480"/>
    </w:pPr>
    <w:rPr>
      <w:rFonts w:ascii="宋体" w:hAnsi="宋体"/>
      <w:sz w:val="24"/>
    </w:rPr>
  </w:style>
  <w:style w:type="paragraph" w:styleId="25">
    <w:name w:val="Balloon Text"/>
    <w:basedOn w:val="1"/>
    <w:autoRedefine/>
    <w:qFormat/>
    <w:uiPriority w:val="0"/>
    <w:rPr>
      <w:sz w:val="18"/>
    </w:rPr>
  </w:style>
  <w:style w:type="paragraph" w:styleId="26">
    <w:name w:val="footer"/>
    <w:basedOn w:val="1"/>
    <w:autoRedefine/>
    <w:qFormat/>
    <w:uiPriority w:val="0"/>
    <w:pPr>
      <w:widowControl w:val="0"/>
      <w:tabs>
        <w:tab w:val="center" w:pos="4140"/>
        <w:tab w:val="right" w:pos="8300"/>
      </w:tabs>
      <w:adjustRightInd w:val="0"/>
      <w:snapToGrid w:val="0"/>
    </w:pPr>
    <w:rPr>
      <w:sz w:val="18"/>
    </w:rPr>
  </w:style>
  <w:style w:type="paragraph" w:styleId="27">
    <w:name w:val="header"/>
    <w:basedOn w:val="1"/>
    <w:next w:val="28"/>
    <w:autoRedefine/>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customStyle="1" w:styleId="28">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29">
    <w:name w:val="toc 1"/>
    <w:basedOn w:val="1"/>
    <w:next w:val="1"/>
    <w:autoRedefine/>
    <w:qFormat/>
    <w:uiPriority w:val="0"/>
    <w:pPr>
      <w:spacing w:before="120" w:after="120"/>
    </w:pPr>
    <w:rPr>
      <w:b/>
      <w:bCs/>
      <w:caps/>
    </w:rPr>
  </w:style>
  <w:style w:type="paragraph" w:styleId="30">
    <w:name w:val="toc 4"/>
    <w:basedOn w:val="1"/>
    <w:next w:val="1"/>
    <w:autoRedefine/>
    <w:qFormat/>
    <w:uiPriority w:val="0"/>
    <w:pPr>
      <w:ind w:left="600"/>
    </w:pPr>
    <w:rPr>
      <w:sz w:val="18"/>
    </w:rPr>
  </w:style>
  <w:style w:type="paragraph" w:styleId="31">
    <w:name w:val="toc 6"/>
    <w:basedOn w:val="1"/>
    <w:next w:val="1"/>
    <w:autoRedefine/>
    <w:qFormat/>
    <w:uiPriority w:val="0"/>
    <w:pPr>
      <w:ind w:left="1000"/>
    </w:pPr>
    <w:rPr>
      <w:sz w:val="18"/>
    </w:rPr>
  </w:style>
  <w:style w:type="paragraph" w:styleId="32">
    <w:name w:val="Body Text Indent 3"/>
    <w:basedOn w:val="1"/>
    <w:autoRedefine/>
    <w:qFormat/>
    <w:uiPriority w:val="0"/>
    <w:pPr>
      <w:ind w:left="570"/>
    </w:pPr>
    <w:rPr>
      <w:sz w:val="24"/>
    </w:rPr>
  </w:style>
  <w:style w:type="paragraph" w:styleId="33">
    <w:name w:val="toc 2"/>
    <w:basedOn w:val="1"/>
    <w:next w:val="1"/>
    <w:autoRedefine/>
    <w:qFormat/>
    <w:uiPriority w:val="0"/>
    <w:pPr>
      <w:tabs>
        <w:tab w:val="right" w:leader="dot" w:pos="8494"/>
      </w:tabs>
      <w:ind w:left="200"/>
    </w:pPr>
    <w:rPr>
      <w:smallCaps/>
      <w:sz w:val="24"/>
    </w:rPr>
  </w:style>
  <w:style w:type="paragraph" w:styleId="34">
    <w:name w:val="toc 9"/>
    <w:basedOn w:val="1"/>
    <w:next w:val="1"/>
    <w:autoRedefine/>
    <w:qFormat/>
    <w:uiPriority w:val="0"/>
    <w:pPr>
      <w:ind w:left="1600"/>
    </w:pPr>
    <w:rPr>
      <w:sz w:val="18"/>
    </w:rPr>
  </w:style>
  <w:style w:type="paragraph" w:styleId="35">
    <w:name w:val="Body Text 2"/>
    <w:basedOn w:val="1"/>
    <w:autoRedefine/>
    <w:qFormat/>
    <w:uiPriority w:val="0"/>
    <w:pPr>
      <w:tabs>
        <w:tab w:val="left" w:pos="360"/>
        <w:tab w:val="left" w:pos="900"/>
      </w:tabs>
    </w:pPr>
    <w:rPr>
      <w:rFonts w:ascii="宋体" w:hAnsi="宋体"/>
      <w:sz w:val="24"/>
      <w:u w:val="single"/>
    </w:rPr>
  </w:style>
  <w:style w:type="paragraph" w:styleId="36">
    <w:name w:val="Normal (Web)"/>
    <w:basedOn w:val="1"/>
    <w:autoRedefine/>
    <w:qFormat/>
    <w:uiPriority w:val="0"/>
    <w:pPr>
      <w:spacing w:before="100" w:beforeAutospacing="1" w:after="100" w:afterAutospacing="1"/>
    </w:pPr>
    <w:rPr>
      <w:rFonts w:ascii="宋体" w:hAnsi="宋体"/>
      <w:sz w:val="24"/>
    </w:rPr>
  </w:style>
  <w:style w:type="paragraph" w:styleId="37">
    <w:name w:val="Title"/>
    <w:basedOn w:val="1"/>
    <w:next w:val="1"/>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8">
    <w:name w:val="Body Text First Indent 2"/>
    <w:basedOn w:val="18"/>
    <w:next w:val="1"/>
    <w:autoRedefine/>
    <w:qFormat/>
    <w:uiPriority w:val="0"/>
    <w:pPr>
      <w:spacing w:after="120" w:line="240" w:lineRule="auto"/>
      <w:ind w:left="420" w:leftChars="200" w:firstLine="420"/>
    </w:pPr>
    <w:rPr>
      <w:sz w:val="21"/>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rFonts w:ascii="Arial" w:hAnsi="Arial" w:eastAsia="宋体" w:cs="Times New Roman"/>
      <w:b/>
      <w:sz w:val="26"/>
      <w:u w:val="none"/>
    </w:rPr>
  </w:style>
  <w:style w:type="character" w:styleId="43">
    <w:name w:val="page number"/>
    <w:basedOn w:val="41"/>
    <w:autoRedefine/>
    <w:qFormat/>
    <w:uiPriority w:val="0"/>
    <w:rPr>
      <w:rFonts w:ascii="Times New Roman" w:hAnsi="Times New Roman" w:eastAsia="宋体" w:cs="Times New Roman"/>
    </w:rPr>
  </w:style>
  <w:style w:type="character" w:styleId="44">
    <w:name w:val="FollowedHyperlink"/>
    <w:basedOn w:val="41"/>
    <w:autoRedefine/>
    <w:qFormat/>
    <w:uiPriority w:val="0"/>
    <w:rPr>
      <w:rFonts w:ascii="Times New Roman" w:hAnsi="Times New Roman" w:eastAsia="宋体" w:cs="Times New Roman"/>
      <w:color w:val="800080"/>
      <w:u w:val="single"/>
    </w:rPr>
  </w:style>
  <w:style w:type="character" w:styleId="45">
    <w:name w:val="Hyperlink"/>
    <w:basedOn w:val="41"/>
    <w:autoRedefine/>
    <w:qFormat/>
    <w:uiPriority w:val="0"/>
    <w:rPr>
      <w:rFonts w:ascii="Times New Roman" w:hAnsi="Times New Roman" w:eastAsia="宋体" w:cs="Times New Roman"/>
      <w:color w:val="0000FF"/>
      <w:u w:val="single"/>
    </w:rPr>
  </w:style>
  <w:style w:type="character" w:styleId="46">
    <w:name w:val="annotation reference"/>
    <w:basedOn w:val="41"/>
    <w:autoRedefine/>
    <w:qFormat/>
    <w:uiPriority w:val="0"/>
    <w:rPr>
      <w:rFonts w:ascii="Times New Roman" w:hAnsi="Times New Roman" w:eastAsia="宋体" w:cs="Times New Roman"/>
      <w:sz w:val="21"/>
      <w:szCs w:val="21"/>
    </w:rPr>
  </w:style>
  <w:style w:type="paragraph" w:customStyle="1" w:styleId="47">
    <w:name w:val="_Style 1"/>
    <w:autoRedefine/>
    <w:qFormat/>
    <w:uiPriority w:val="0"/>
    <w:rPr>
      <w:rFonts w:ascii="Calibri" w:hAnsi="Calibri" w:eastAsia="宋体" w:cs="宋体"/>
      <w:kern w:val="2"/>
      <w:sz w:val="28"/>
      <w:szCs w:val="22"/>
      <w:lang w:val="en-US" w:eastAsia="zh-CN" w:bidi="ar-SA"/>
    </w:rPr>
  </w:style>
  <w:style w:type="paragraph" w:customStyle="1" w:styleId="48">
    <w:name w:val="标准正文"/>
    <w:basedOn w:val="1"/>
    <w:autoRedefine/>
    <w:qFormat/>
    <w:uiPriority w:val="0"/>
    <w:pPr>
      <w:spacing w:line="360" w:lineRule="auto"/>
      <w:ind w:firstLine="200" w:firstLineChars="200"/>
    </w:pPr>
    <w:rPr>
      <w:sz w:val="24"/>
      <w:szCs w:val="20"/>
    </w:rPr>
  </w:style>
  <w:style w:type="paragraph" w:customStyle="1" w:styleId="49">
    <w:name w:val="表格文字"/>
    <w:basedOn w:val="1"/>
    <w:next w:val="16"/>
    <w:autoRedefine/>
    <w:qFormat/>
    <w:uiPriority w:val="0"/>
    <w:pPr>
      <w:adjustRightInd w:val="0"/>
      <w:spacing w:line="420" w:lineRule="atLeast"/>
      <w:jc w:val="left"/>
      <w:textAlignment w:val="baseline"/>
    </w:pPr>
    <w:rPr>
      <w:rFonts w:ascii="Calibri" w:hAnsi="Calibri" w:eastAsia="宋体" w:cs="Times New Roman"/>
      <w:kern w:val="0"/>
    </w:rPr>
  </w:style>
  <w:style w:type="character" w:customStyle="1" w:styleId="50">
    <w:name w:val="正文文本缩进 Char"/>
    <w:basedOn w:val="41"/>
    <w:link w:val="18"/>
    <w:autoRedefine/>
    <w:qFormat/>
    <w:uiPriority w:val="0"/>
    <w:rPr>
      <w:rFonts w:ascii="Times New Roman" w:hAnsi="Times New Roman" w:eastAsia="宋体" w:cs="Times New Roman"/>
      <w:sz w:val="28"/>
      <w:lang w:val="en-US" w:eastAsia="zh-CN" w:bidi="ar-SA"/>
    </w:rPr>
  </w:style>
  <w:style w:type="character" w:customStyle="1" w:styleId="51">
    <w:name w:val="批注文字 Char"/>
    <w:basedOn w:val="41"/>
    <w:link w:val="14"/>
    <w:autoRedefine/>
    <w:qFormat/>
    <w:uiPriority w:val="0"/>
    <w:rPr>
      <w:rFonts w:ascii="Times New Roman" w:hAnsi="Times New Roman" w:eastAsia="宋体" w:cs="Times New Roman"/>
      <w:kern w:val="2"/>
      <w:sz w:val="21"/>
      <w:szCs w:val="24"/>
      <w:lang w:val="en-US" w:eastAsia="zh-CN" w:bidi="ar-SA"/>
    </w:rPr>
  </w:style>
  <w:style w:type="character" w:customStyle="1" w:styleId="52">
    <w:name w:val="纯文本 Char"/>
    <w:link w:val="21"/>
    <w:autoRedefine/>
    <w:qFormat/>
    <w:uiPriority w:val="0"/>
    <w:rPr>
      <w:rFonts w:ascii="宋体" w:hAnsi="Courier New" w:eastAsia="宋体" w:cs="Times New Roman"/>
      <w:kern w:val="2"/>
      <w:sz w:val="21"/>
      <w:lang w:val="en-US" w:eastAsia="zh-CN" w:bidi="ar-SA"/>
    </w:rPr>
  </w:style>
  <w:style w:type="paragraph" w:customStyle="1" w:styleId="53">
    <w:name w:val="纯文本1"/>
    <w:basedOn w:val="1"/>
    <w:autoRedefine/>
    <w:qFormat/>
    <w:uiPriority w:val="0"/>
    <w:pPr>
      <w:widowControl w:val="0"/>
      <w:jc w:val="both"/>
    </w:pPr>
    <w:rPr>
      <w:rFonts w:hint="eastAsia" w:hAnsi="Courier New"/>
      <w:kern w:val="2"/>
    </w:rPr>
  </w:style>
  <w:style w:type="paragraph" w:customStyle="1" w:styleId="54">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55">
    <w:name w:val="纯文本_3"/>
    <w:basedOn w:val="56"/>
    <w:autoRedefine/>
    <w:qFormat/>
    <w:uiPriority w:val="0"/>
    <w:pPr>
      <w:widowControl/>
      <w:jc w:val="left"/>
    </w:pPr>
    <w:rPr>
      <w:rFonts w:ascii="宋体" w:hAnsi="Courier New"/>
      <w:szCs w:val="21"/>
    </w:rPr>
  </w:style>
  <w:style w:type="paragraph" w:customStyle="1" w:styleId="5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Char Char Char Char Char Char Char Char Char Char"/>
    <w:basedOn w:val="1"/>
    <w:autoRedefine/>
    <w:qFormat/>
    <w:uiPriority w:val="0"/>
    <w:pPr>
      <w:spacing w:line="360" w:lineRule="auto"/>
      <w:ind w:firstLine="200" w:firstLineChars="200"/>
    </w:pPr>
  </w:style>
  <w:style w:type="paragraph" w:customStyle="1" w:styleId="58">
    <w:name w:val="p0"/>
    <w:basedOn w:val="1"/>
    <w:autoRedefine/>
    <w:qFormat/>
    <w:uiPriority w:val="0"/>
    <w:pPr>
      <w:jc w:val="both"/>
    </w:pPr>
    <w:rPr>
      <w:szCs w:val="21"/>
    </w:rPr>
  </w:style>
  <w:style w:type="paragraph" w:customStyle="1" w:styleId="59">
    <w:name w:val="Char"/>
    <w:basedOn w:val="1"/>
    <w:autoRedefine/>
    <w:qFormat/>
    <w:uiPriority w:val="0"/>
    <w:pPr>
      <w:widowControl w:val="0"/>
      <w:jc w:val="both"/>
    </w:pPr>
    <w:rPr>
      <w:rFonts w:ascii="宋体" w:hAnsi="宋体"/>
      <w:b/>
      <w:kern w:val="2"/>
      <w:sz w:val="24"/>
      <w:szCs w:val="24"/>
    </w:rPr>
  </w:style>
  <w:style w:type="paragraph" w:customStyle="1" w:styleId="60">
    <w:name w:val="样式 楷体_GB2312 小四 Char Char Char Char Char Char Char Char Char Char Char Char"/>
    <w:basedOn w:val="1"/>
    <w:next w:val="1"/>
    <w:autoRedefine/>
    <w:qFormat/>
    <w:uiPriority w:val="0"/>
    <w:pPr>
      <w:widowControl w:val="0"/>
      <w:spacing w:line="360" w:lineRule="auto"/>
      <w:jc w:val="both"/>
    </w:pPr>
    <w:rPr>
      <w:rFonts w:ascii="楷体_GB2312" w:eastAsia="楷体_GB2312"/>
      <w:kern w:val="2"/>
      <w:sz w:val="24"/>
    </w:rPr>
  </w:style>
  <w:style w:type="paragraph" w:customStyle="1" w:styleId="61">
    <w:name w:val="默认段落字体 Para Char Char Char Char Char Char Char Char Char1 Char Char Char Char"/>
    <w:basedOn w:val="1"/>
    <w:autoRedefine/>
    <w:qFormat/>
    <w:uiPriority w:val="0"/>
    <w:pPr>
      <w:widowControl w:val="0"/>
      <w:jc w:val="both"/>
    </w:pPr>
    <w:rPr>
      <w:rFonts w:ascii="Tahoma" w:hAnsi="Tahoma"/>
      <w:kern w:val="2"/>
      <w:sz w:val="24"/>
    </w:rPr>
  </w:style>
  <w:style w:type="paragraph" w:customStyle="1" w:styleId="6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0_1"/>
    <w:basedOn w:val="1"/>
    <w:autoRedefine/>
    <w:qFormat/>
    <w:uiPriority w:val="0"/>
    <w:rPr>
      <w:rFonts w:ascii="宋体" w:hAnsi="Courier New"/>
      <w:kern w:val="2"/>
      <w:szCs w:val="21"/>
    </w:rPr>
  </w:style>
  <w:style w:type="paragraph" w:customStyle="1" w:styleId="64">
    <w:name w:val="Char Char Char Char Char Char Char"/>
    <w:basedOn w:val="1"/>
    <w:autoRedefine/>
    <w:qFormat/>
    <w:uiPriority w:val="0"/>
    <w:pPr>
      <w:widowControl w:val="0"/>
      <w:jc w:val="both"/>
    </w:pPr>
    <w:rPr>
      <w:kern w:val="2"/>
    </w:rPr>
  </w:style>
  <w:style w:type="paragraph" w:customStyle="1" w:styleId="65">
    <w:name w:val="列出段落1"/>
    <w:basedOn w:val="1"/>
    <w:autoRedefine/>
    <w:qFormat/>
    <w:uiPriority w:val="0"/>
    <w:pPr>
      <w:widowControl w:val="0"/>
      <w:ind w:firstLine="420" w:firstLineChars="200"/>
      <w:jc w:val="both"/>
    </w:pPr>
    <w:rPr>
      <w:rFonts w:ascii="Calibri" w:hAnsi="Calibri"/>
      <w:kern w:val="2"/>
      <w:szCs w:val="22"/>
    </w:rPr>
  </w:style>
  <w:style w:type="paragraph" w:customStyle="1" w:styleId="66">
    <w:name w:val="Char Char2 Char Char Char Char Char Char Char Char Char Char"/>
    <w:basedOn w:val="1"/>
    <w:autoRedefine/>
    <w:qFormat/>
    <w:uiPriority w:val="0"/>
    <w:pPr>
      <w:widowControl w:val="0"/>
      <w:jc w:val="both"/>
    </w:pPr>
    <w:rPr>
      <w:kern w:val="2"/>
      <w:sz w:val="24"/>
      <w:szCs w:val="24"/>
    </w:rPr>
  </w:style>
  <w:style w:type="paragraph" w:customStyle="1" w:styleId="6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Blockquote"/>
    <w:basedOn w:val="1"/>
    <w:autoRedefine/>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列出段落11"/>
    <w:basedOn w:val="1"/>
    <w:autoRedefine/>
    <w:qFormat/>
    <w:uiPriority w:val="0"/>
    <w:pPr>
      <w:widowControl w:val="0"/>
      <w:ind w:firstLine="420" w:firstLineChars="200"/>
      <w:jc w:val="both"/>
    </w:pPr>
    <w:rPr>
      <w:rFonts w:ascii="Calibri" w:hAnsi="Calibri"/>
    </w:rPr>
  </w:style>
  <w:style w:type="paragraph" w:customStyle="1" w:styleId="72">
    <w:name w:val="正文_14"/>
    <w:autoRedefine/>
    <w:qFormat/>
    <w:uiPriority w:val="0"/>
    <w:rPr>
      <w:rFonts w:ascii="Times New Roman" w:hAnsi="Times New Roman" w:eastAsia="宋体" w:cs="Times New Roman"/>
      <w:sz w:val="21"/>
      <w:szCs w:val="22"/>
      <w:lang w:val="en-US" w:eastAsia="zh-CN" w:bidi="ar-SA"/>
    </w:rPr>
  </w:style>
  <w:style w:type="paragraph" w:customStyle="1" w:styleId="7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zw"/>
    <w:basedOn w:val="1"/>
    <w:autoRedefine/>
    <w:qFormat/>
    <w:uiPriority w:val="0"/>
    <w:pPr>
      <w:spacing w:before="30"/>
      <w:ind w:left="100" w:right="100"/>
      <w:jc w:val="both"/>
    </w:pPr>
    <w:rPr>
      <w:rFonts w:ascii="方正书宋简体" w:hAnsi="宋体" w:eastAsia="方正书宋简体"/>
      <w:color w:val="000000"/>
      <w:szCs w:val="21"/>
    </w:rPr>
  </w:style>
  <w:style w:type="paragraph" w:customStyle="1" w:styleId="75">
    <w:name w:val="_Style 3"/>
    <w:basedOn w:val="1"/>
    <w:next w:val="1"/>
    <w:autoRedefine/>
    <w:qFormat/>
    <w:uiPriority w:val="0"/>
    <w:pPr>
      <w:pBdr>
        <w:top w:val="single" w:color="auto" w:sz="6" w:space="1"/>
      </w:pBdr>
      <w:jc w:val="center"/>
    </w:pPr>
    <w:rPr>
      <w:rFonts w:ascii="Arial"/>
      <w:vanish/>
      <w:sz w:val="16"/>
    </w:rPr>
  </w:style>
  <w:style w:type="paragraph" w:customStyle="1" w:styleId="7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表内文字"/>
    <w:basedOn w:val="1"/>
    <w:autoRedefine/>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Char11"/>
    <w:basedOn w:val="1"/>
    <w:autoRedefine/>
    <w:qFormat/>
    <w:uiPriority w:val="0"/>
    <w:pPr>
      <w:widowControl w:val="0"/>
      <w:jc w:val="both"/>
    </w:pPr>
    <w:rPr>
      <w:rFonts w:ascii="仿宋_GB2312" w:eastAsia="仿宋_GB2312"/>
      <w:b/>
      <w:kern w:val="2"/>
      <w:sz w:val="32"/>
      <w:szCs w:val="32"/>
    </w:rPr>
  </w:style>
  <w:style w:type="paragraph" w:customStyle="1" w:styleId="81">
    <w:name w:val="标题6"/>
    <w:basedOn w:val="1"/>
    <w:next w:val="3"/>
    <w:autoRedefine/>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2">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3">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普通(网站)11"/>
    <w:basedOn w:val="1"/>
    <w:autoRedefine/>
    <w:qFormat/>
    <w:uiPriority w:val="0"/>
    <w:pPr>
      <w:spacing w:beforeAutospacing="1" w:afterAutospacing="1"/>
    </w:pPr>
    <w:rPr>
      <w:rFonts w:ascii="宋体" w:hAnsi="宋体"/>
      <w:sz w:val="24"/>
    </w:rPr>
  </w:style>
  <w:style w:type="paragraph" w:customStyle="1" w:styleId="8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Char1"/>
    <w:basedOn w:val="1"/>
    <w:autoRedefine/>
    <w:qFormat/>
    <w:uiPriority w:val="0"/>
    <w:pPr>
      <w:widowControl w:val="0"/>
      <w:jc w:val="both"/>
    </w:pPr>
    <w:rPr>
      <w:kern w:val="2"/>
      <w:sz w:val="24"/>
      <w:szCs w:val="24"/>
    </w:rPr>
  </w:style>
  <w:style w:type="character" w:customStyle="1" w:styleId="87">
    <w:name w:val="tpc_content1"/>
    <w:basedOn w:val="41"/>
    <w:autoRedefine/>
    <w:qFormat/>
    <w:uiPriority w:val="0"/>
    <w:rPr>
      <w:rFonts w:ascii="Times New Roman" w:hAnsi="Times New Roman" w:eastAsia="宋体" w:cs="Times New Roman"/>
      <w:sz w:val="20"/>
    </w:rPr>
  </w:style>
  <w:style w:type="character" w:customStyle="1" w:styleId="88">
    <w:name w:val="正文对齐 Char"/>
    <w:basedOn w:val="41"/>
    <w:autoRedefine/>
    <w:qFormat/>
    <w:uiPriority w:val="0"/>
    <w:rPr>
      <w:rFonts w:ascii="Times New Roman" w:hAnsi="Times New Roman" w:eastAsia="宋体" w:cs="Times New Roman"/>
      <w:kern w:val="2"/>
      <w:sz w:val="21"/>
      <w:lang w:val="en-US" w:eastAsia="zh-CN"/>
    </w:rPr>
  </w:style>
  <w:style w:type="character" w:customStyle="1" w:styleId="89">
    <w:name w:val="wj1"/>
    <w:basedOn w:val="41"/>
    <w:autoRedefine/>
    <w:qFormat/>
    <w:uiPriority w:val="0"/>
    <w:rPr>
      <w:rFonts w:ascii="Times New Roman" w:hAnsi="Times New Roman" w:eastAsia="宋体" w:cs="Times New Roman"/>
      <w:color w:val="000000"/>
      <w:sz w:val="18"/>
      <w:u w:val="none"/>
    </w:rPr>
  </w:style>
  <w:style w:type="character" w:customStyle="1" w:styleId="90">
    <w:name w:val="style6"/>
    <w:basedOn w:val="41"/>
    <w:autoRedefine/>
    <w:qFormat/>
    <w:uiPriority w:val="0"/>
    <w:rPr>
      <w:rFonts w:ascii="Times New Roman" w:hAnsi="Times New Roman" w:eastAsia="宋体" w:cs="Times New Roman"/>
      <w:sz w:val="18"/>
    </w:rPr>
  </w:style>
  <w:style w:type="character" w:customStyle="1" w:styleId="91">
    <w:name w:val="htd0"/>
    <w:basedOn w:val="41"/>
    <w:autoRedefine/>
    <w:qFormat/>
    <w:uiPriority w:val="0"/>
    <w:rPr>
      <w:rFonts w:ascii="Times New Roman" w:hAnsi="Times New Roman" w:eastAsia="宋体" w:cs="Times New Roman"/>
    </w:rPr>
  </w:style>
  <w:style w:type="character" w:customStyle="1" w:styleId="92">
    <w:name w:val="Char Char1"/>
    <w:basedOn w:val="41"/>
    <w:autoRedefine/>
    <w:qFormat/>
    <w:uiPriority w:val="0"/>
    <w:rPr>
      <w:rFonts w:ascii="宋体" w:hAnsi="Courier New" w:eastAsia="宋体" w:cs="Times New Roman"/>
      <w:kern w:val="2"/>
      <w:sz w:val="21"/>
      <w:lang w:val="en-US" w:eastAsia="zh-CN" w:bidi="ar-SA"/>
    </w:rPr>
  </w:style>
  <w:style w:type="character" w:customStyle="1" w:styleId="93">
    <w:name w:val="普通文字 Char Char1"/>
    <w:basedOn w:val="41"/>
    <w:autoRedefine/>
    <w:qFormat/>
    <w:uiPriority w:val="0"/>
    <w:rPr>
      <w:rFonts w:ascii="宋体" w:hAnsi="Courier New" w:eastAsia="宋体" w:cs="Times New Roman"/>
      <w:kern w:val="2"/>
      <w:sz w:val="21"/>
      <w:lang w:val="en-US" w:eastAsia="zh-CN"/>
    </w:rPr>
  </w:style>
  <w:style w:type="character" w:customStyle="1" w:styleId="94">
    <w:name w:val="样式 标题 3 + 加粗 Char"/>
    <w:basedOn w:val="41"/>
    <w:autoRedefine/>
    <w:qFormat/>
    <w:uiPriority w:val="0"/>
    <w:rPr>
      <w:rFonts w:ascii="Arial" w:hAnsi="Arial" w:eastAsia="黑体" w:cs="Times New Roman"/>
      <w:b/>
      <w:spacing w:val="14"/>
      <w:kern w:val="24"/>
      <w:sz w:val="24"/>
      <w:lang w:val="en-US" w:eastAsia="zh-CN"/>
    </w:rPr>
  </w:style>
  <w:style w:type="paragraph" w:customStyle="1" w:styleId="95">
    <w:name w:val="BodyText1I2"/>
    <w:basedOn w:val="96"/>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6">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7">
    <w:name w:val="List Paragraph"/>
    <w:basedOn w:val="1"/>
    <w:autoRedefine/>
    <w:qFormat/>
    <w:uiPriority w:val="0"/>
    <w:pPr>
      <w:ind w:firstLine="420" w:firstLineChars="200"/>
    </w:pPr>
    <w:rPr>
      <w:rFonts w:ascii="Calibri" w:hAnsi="Calibri" w:eastAsia="宋体" w:cs="Times New Roman"/>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正文（首行缩进2字符）"/>
    <w:basedOn w:val="1"/>
    <w:autoRedefine/>
    <w:qFormat/>
    <w:uiPriority w:val="0"/>
    <w:pPr>
      <w:spacing w:line="360" w:lineRule="auto"/>
      <w:ind w:firstLine="420" w:firstLineChars="200"/>
    </w:pPr>
    <w:rPr>
      <w:szCs w:val="21"/>
    </w:rPr>
  </w:style>
  <w:style w:type="paragraph" w:customStyle="1" w:styleId="100">
    <w:name w:val="Table Paragraph"/>
    <w:basedOn w:val="1"/>
    <w:autoRedefine/>
    <w:qFormat/>
    <w:uiPriority w:val="1"/>
    <w:rPr>
      <w:rFonts w:ascii="宋体" w:hAnsi="宋体" w:cs="宋体"/>
      <w:lang w:val="zh-CN" w:bidi="zh-CN"/>
    </w:rPr>
  </w:style>
  <w:style w:type="paragraph" w:customStyle="1" w:styleId="101">
    <w:name w:val="正文首行缩进1"/>
    <w:basedOn w:val="16"/>
    <w:autoRedefine/>
    <w:qFormat/>
    <w:uiPriority w:val="0"/>
    <w:pPr>
      <w:ind w:firstLine="420" w:firstLineChars="100"/>
    </w:pPr>
  </w:style>
  <w:style w:type="character" w:customStyle="1" w:styleId="102">
    <w:name w:val="bjh-p"/>
    <w:autoRedefine/>
    <w:qFormat/>
    <w:uiPriority w:val="0"/>
    <w:rPr>
      <w:rFonts w:ascii="Calibri" w:hAnsi="Calibri" w:eastAsia="宋体" w:cs="Times New Roman"/>
    </w:rPr>
  </w:style>
  <w:style w:type="paragraph" w:customStyle="1" w:styleId="103">
    <w:name w:val="列表段落1"/>
    <w:basedOn w:val="1"/>
    <w:autoRedefine/>
    <w:qFormat/>
    <w:uiPriority w:val="0"/>
    <w:pPr>
      <w:widowControl w:val="0"/>
      <w:ind w:firstLine="420" w:firstLineChars="200"/>
      <w:jc w:val="both"/>
    </w:pPr>
    <w:rPr>
      <w:rFonts w:ascii="Calibri" w:hAnsi="Calibri" w:eastAsia="宋体" w:cs="Times New Roman"/>
      <w:kern w:val="2"/>
      <w:sz w:val="21"/>
      <w:szCs w:val="22"/>
    </w:rPr>
  </w:style>
  <w:style w:type="paragraph" w:customStyle="1" w:styleId="104">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105">
    <w:name w:val="_Style 10"/>
    <w:basedOn w:val="1"/>
    <w:autoRedefine/>
    <w:qFormat/>
    <w:uiPriority w:val="34"/>
    <w:pPr>
      <w:widowControl/>
      <w:spacing w:after="160" w:line="240" w:lineRule="exact"/>
      <w:jc w:val="left"/>
    </w:pPr>
  </w:style>
  <w:style w:type="paragraph" w:customStyle="1" w:styleId="106">
    <w:name w:val="正文_1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正文_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8">
    <w:name w:val="font11"/>
    <w:basedOn w:val="41"/>
    <w:qFormat/>
    <w:uiPriority w:val="0"/>
    <w:rPr>
      <w:rFonts w:hint="eastAsia" w:ascii="宋体" w:hAnsi="宋体" w:eastAsia="宋体" w:cs="宋体"/>
      <w:color w:val="000000"/>
      <w:sz w:val="20"/>
      <w:szCs w:val="20"/>
      <w:u w:val="none"/>
    </w:rPr>
  </w:style>
  <w:style w:type="character" w:customStyle="1" w:styleId="109">
    <w:name w:val="font81"/>
    <w:basedOn w:val="41"/>
    <w:qFormat/>
    <w:uiPriority w:val="0"/>
    <w:rPr>
      <w:rFonts w:hint="eastAsia" w:ascii="宋体" w:hAnsi="宋体" w:eastAsia="宋体" w:cs="宋体"/>
      <w:color w:val="000000"/>
      <w:sz w:val="20"/>
      <w:szCs w:val="20"/>
      <w:u w:val="none"/>
    </w:rPr>
  </w:style>
  <w:style w:type="character" w:customStyle="1" w:styleId="110">
    <w:name w:val="font51"/>
    <w:basedOn w:val="41"/>
    <w:qFormat/>
    <w:uiPriority w:val="0"/>
    <w:rPr>
      <w:rFonts w:hint="default" w:ascii="Times New Roman" w:hAnsi="Times New Roman" w:cs="Times New Roman"/>
      <w:color w:val="000000"/>
      <w:sz w:val="20"/>
      <w:szCs w:val="20"/>
      <w:u w:val="none"/>
    </w:rPr>
  </w:style>
  <w:style w:type="character" w:customStyle="1" w:styleId="111">
    <w:name w:val="font61"/>
    <w:basedOn w:val="41"/>
    <w:qFormat/>
    <w:uiPriority w:val="0"/>
    <w:rPr>
      <w:rFonts w:hint="eastAsia" w:ascii="宋体" w:hAnsi="宋体" w:eastAsia="宋体" w:cs="宋体"/>
      <w:color w:val="000000"/>
      <w:sz w:val="20"/>
      <w:szCs w:val="20"/>
      <w:u w:val="none"/>
    </w:rPr>
  </w:style>
  <w:style w:type="character" w:customStyle="1" w:styleId="112">
    <w:name w:val="font21"/>
    <w:basedOn w:val="41"/>
    <w:qFormat/>
    <w:uiPriority w:val="0"/>
    <w:rPr>
      <w:rFonts w:hint="eastAsia" w:ascii="宋体" w:hAnsi="宋体" w:eastAsia="宋体" w:cs="宋体"/>
      <w:color w:val="000000"/>
      <w:sz w:val="20"/>
      <w:szCs w:val="20"/>
      <w:u w:val="none"/>
    </w:rPr>
  </w:style>
  <w:style w:type="character" w:customStyle="1" w:styleId="113">
    <w:name w:val="font41"/>
    <w:basedOn w:val="41"/>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66</Pages>
  <Words>36334</Words>
  <Characters>38618</Characters>
  <Lines>308</Lines>
  <Paragraphs>86</Paragraphs>
  <TotalTime>7</TotalTime>
  <ScaleCrop>false</ScaleCrop>
  <LinksUpToDate>false</LinksUpToDate>
  <CharactersWithSpaces>40787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大达搭哒答</cp:lastModifiedBy>
  <cp:lastPrinted>2024-04-22T01:38:00Z</cp:lastPrinted>
  <dcterms:modified xsi:type="dcterms:W3CDTF">2024-08-28T00:48:52Z</dcterms:modified>
  <dc:title>路桥区政府采购文件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31B7EAD27C6B408980FBE57968E1015A_13</vt:lpwstr>
  </property>
</Properties>
</file>