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3"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w:t>
      </w:r>
      <w:r>
        <w:rPr>
          <w:rFonts w:hint="eastAsia" w:ascii="宋体"/>
          <w:b/>
          <w:kern w:val="0"/>
          <w:sz w:val="32"/>
          <w:lang w:val="en-US" w:eastAsia="zh-CN"/>
        </w:rPr>
        <w:t>-2024-GK042</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hint="default" w:ascii="宋体" w:eastAsia="宋体"/>
          <w:kern w:val="0"/>
          <w:sz w:val="28"/>
          <w:lang w:val="en-US" w:eastAsia="zh-CN"/>
        </w:rPr>
      </w:pPr>
      <w:r>
        <w:rPr>
          <w:rFonts w:hint="eastAsia" w:ascii="宋体"/>
          <w:kern w:val="0"/>
          <w:sz w:val="28"/>
        </w:rPr>
        <w:t>采购项目：</w:t>
      </w:r>
      <w:r>
        <w:rPr>
          <w:rFonts w:hint="eastAsia" w:ascii="宋体"/>
          <w:kern w:val="0"/>
          <w:sz w:val="28"/>
          <w:lang w:val="en-US" w:eastAsia="zh-CN"/>
        </w:rPr>
        <w:t>教学环境智能化提质升级项目（信息化智能化升级）</w:t>
      </w: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人：台州职业技术学院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w:t>
      </w:r>
      <w:r>
        <w:rPr>
          <w:rFonts w:hint="eastAsia" w:ascii="宋体" w:hAnsi="宋体" w:cs="宋体"/>
          <w:color w:val="auto"/>
          <w:kern w:val="0"/>
          <w:sz w:val="28"/>
          <w:szCs w:val="28"/>
        </w:rPr>
        <w:t>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auto"/>
        </w:rPr>
      </w:pPr>
      <w:r>
        <w:rPr>
          <w:rFonts w:hint="eastAsia" w:ascii="宋体" w:hAnsi="宋体" w:cs="宋体"/>
          <w:color w:val="auto"/>
          <w:kern w:val="0"/>
          <w:sz w:val="28"/>
          <w:szCs w:val="28"/>
          <w:lang w:val="en-US" w:eastAsia="zh-CN"/>
        </w:rPr>
        <w:t>2024</w:t>
      </w:r>
      <w:r>
        <w:rPr>
          <w:rFonts w:hint="eastAsia" w:ascii="宋体" w:hAnsi="宋体" w:cs="宋体"/>
          <w:color w:val="auto"/>
          <w:kern w:val="0"/>
          <w:sz w:val="28"/>
          <w:szCs w:val="28"/>
        </w:rPr>
        <w:t xml:space="preserve">年 </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 xml:space="preserve"> 月 </w:t>
      </w:r>
      <w:r>
        <w:rPr>
          <w:rFonts w:hint="eastAsia" w:ascii="宋体" w:hAnsi="宋体" w:cs="宋体"/>
          <w:color w:val="auto"/>
          <w:kern w:val="0"/>
          <w:sz w:val="28"/>
          <w:szCs w:val="28"/>
          <w:lang w:val="en-US" w:eastAsia="zh-CN"/>
        </w:rPr>
        <w:t>22</w:t>
      </w:r>
      <w:r>
        <w:rPr>
          <w:rFonts w:hint="eastAsia" w:ascii="宋体" w:hAnsi="宋体" w:cs="宋体"/>
          <w:color w:val="auto"/>
          <w:kern w:val="0"/>
          <w:sz w:val="28"/>
          <w:szCs w:val="28"/>
        </w:rPr>
        <w:t xml:space="preserve"> </w:t>
      </w:r>
      <w:r>
        <w:rPr>
          <w:rFonts w:hint="eastAsia" w:ascii="宋体" w:hAnsi="宋体" w:cs="宋体"/>
          <w:color w:val="auto"/>
          <w:kern w:val="0"/>
          <w:sz w:val="28"/>
          <w:szCs w:val="28"/>
        </w:rPr>
        <w:t>日</w:t>
      </w:r>
    </w:p>
    <w:p>
      <w:pPr>
        <w:spacing w:line="360" w:lineRule="auto"/>
      </w:pPr>
    </w:p>
    <w:p>
      <w:pPr>
        <w:pStyle w:val="2"/>
      </w:pPr>
    </w:p>
    <w:p>
      <w:pPr>
        <w:pStyle w:val="2"/>
      </w:pPr>
    </w:p>
    <w:p>
      <w:pPr>
        <w:pStyle w:val="2"/>
      </w:pPr>
    </w:p>
    <w:p>
      <w:pPr>
        <w:pStyle w:val="2"/>
      </w:pPr>
    </w:p>
    <w:p>
      <w:pPr>
        <w:pStyle w:val="2"/>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both"/>
            <w:rPr>
              <w:rFonts w:ascii="宋体" w:hAnsi="宋体"/>
              <w:kern w:val="0"/>
              <w:sz w:val="28"/>
              <w:szCs w:val="28"/>
            </w:rPr>
          </w:pPr>
          <w:bookmarkStart w:id="0" w:name="_Toc25017_WPSOffice_Type1"/>
        </w:p>
        <w:p>
          <w:pPr>
            <w:pStyle w:val="2"/>
          </w:pPr>
        </w:p>
        <w:p>
          <w:pPr>
            <w:spacing w:line="480" w:lineRule="auto"/>
            <w:jc w:val="center"/>
            <w:rPr>
              <w:rFonts w:hint="eastAsia" w:ascii="宋体" w:hAnsi="宋体"/>
              <w:b/>
              <w:bCs/>
              <w:sz w:val="36"/>
              <w:szCs w:val="36"/>
            </w:rPr>
          </w:pPr>
          <w:r>
            <w:rPr>
              <w:rFonts w:hint="eastAsia" w:ascii="宋体" w:hAnsi="宋体"/>
              <w:b/>
              <w:bCs/>
              <w:sz w:val="36"/>
              <w:szCs w:val="36"/>
            </w:rPr>
            <w:t>目  录</w:t>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7"/>
            <w:tabs>
              <w:tab w:val="right" w:leader="dot" w:pos="8620"/>
            </w:tabs>
            <w:rPr>
              <w:rFonts w:hint="eastAsia" w:eastAsiaTheme="minorEastAsia" w:cstheme="minorBidi"/>
              <w:sz w:val="28"/>
              <w:szCs w:val="28"/>
              <w:lang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pPr>
            <w:pStyle w:val="17"/>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hint="eastAsia" w:eastAsiaTheme="minorEastAsia" w:cstheme="minorBidi"/>
              <w:sz w:val="28"/>
              <w:szCs w:val="28"/>
            </w:rPr>
            <w:tab/>
          </w:r>
          <w:r>
            <w:rPr>
              <w:rFonts w:hint="eastAsia" w:eastAsiaTheme="minorEastAsia" w:cstheme="minorBidi"/>
              <w:sz w:val="28"/>
              <w:szCs w:val="28"/>
              <w:lang w:val="en-US" w:eastAsia="zh-CN"/>
            </w:rPr>
            <w:t>3</w:t>
          </w:r>
          <w:r>
            <w:rPr>
              <w:rFonts w:hint="eastAsia" w:eastAsiaTheme="minorEastAsia" w:cstheme="minorBidi"/>
              <w:sz w:val="28"/>
              <w:szCs w:val="28"/>
            </w:rPr>
            <w:fldChar w:fldCharType="end"/>
          </w:r>
          <w:r>
            <w:rPr>
              <w:rFonts w:hint="eastAsia" w:eastAsiaTheme="minorEastAsia" w:cstheme="minorBidi"/>
              <w:sz w:val="28"/>
              <w:szCs w:val="28"/>
              <w:lang w:val="en-US" w:eastAsia="zh-CN"/>
            </w:rPr>
            <w:t>7</w:t>
          </w:r>
        </w:p>
        <w:p>
          <w:pPr>
            <w:pStyle w:val="17"/>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r>
            <w:rPr>
              <w:rFonts w:hint="eastAsia" w:eastAsiaTheme="minorEastAsia" w:cstheme="minorBidi"/>
              <w:sz w:val="28"/>
              <w:szCs w:val="28"/>
              <w:lang w:val="en-US" w:eastAsia="zh-CN"/>
            </w:rPr>
            <w:t>4</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pPr>
            <w:pStyle w:val="17"/>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r>
            <w:rPr>
              <w:rFonts w:hint="eastAsia" w:eastAsiaTheme="minorEastAsia" w:cstheme="minorBidi"/>
              <w:sz w:val="28"/>
              <w:szCs w:val="28"/>
            </w:rPr>
            <w:fldChar w:fldCharType="end"/>
          </w:r>
          <w:r>
            <w:rPr>
              <w:rFonts w:hint="eastAsia" w:eastAsiaTheme="minorEastAsia" w:cstheme="minorBidi"/>
              <w:sz w:val="28"/>
              <w:szCs w:val="28"/>
              <w:lang w:val="en-US" w:eastAsia="zh-CN"/>
            </w:rPr>
            <w:t>50</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2" w:name="_Toc4350_WPSOffice_Level1"/>
      <w:r>
        <w:rPr>
          <w:rFonts w:hint="eastAsia" w:ascii="宋体" w:hAnsi="宋体" w:cs="宋体"/>
          <w:b/>
          <w:kern w:val="0"/>
          <w:sz w:val="36"/>
          <w:szCs w:val="36"/>
        </w:rPr>
        <w:t>投标邀请</w:t>
      </w:r>
      <w:bookmarkEnd w:id="2"/>
    </w:p>
    <w:p>
      <w:pPr>
        <w:pStyle w:val="5"/>
        <w:ind w:firstLine="480" w:firstLineChars="200"/>
        <w:rPr>
          <w:rFonts w:cs="宋体"/>
          <w:b w:val="0"/>
          <w:sz w:val="24"/>
          <w:szCs w:val="24"/>
        </w:rPr>
      </w:pPr>
      <w:bookmarkStart w:id="3" w:name="_Toc35393621"/>
      <w:bookmarkStart w:id="4" w:name="_Toc28359002"/>
      <w:bookmarkStart w:id="5" w:name="_Toc35393790"/>
      <w:bookmarkStart w:id="6" w:name="_Toc28359079"/>
      <w:bookmarkStart w:id="7"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受台州职业技术学院委托，就台州职业技术学院教学环境智能化提质升级项目（信息化智能化升级）进行公开招标，欢迎符合资格条件的国内投标人参加投标。</w:t>
      </w:r>
    </w:p>
    <w:p>
      <w:pPr>
        <w:pStyle w:val="5"/>
        <w:ind w:firstLine="482" w:firstLineChars="200"/>
        <w:rPr>
          <w:rFonts w:cs="宋体"/>
          <w:bCs/>
          <w:sz w:val="24"/>
          <w:szCs w:val="24"/>
        </w:rPr>
      </w:pPr>
      <w:r>
        <w:rPr>
          <w:rFonts w:hint="eastAsia" w:cs="宋体"/>
          <w:bCs/>
          <w:sz w:val="24"/>
          <w:szCs w:val="24"/>
        </w:rPr>
        <w:t>一、项目基本情况</w:t>
      </w:r>
      <w:bookmarkEnd w:id="3"/>
      <w:bookmarkEnd w:id="4"/>
      <w:bookmarkEnd w:id="5"/>
      <w:bookmarkEnd w:id="6"/>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TZCG-2024-G</w:t>
      </w:r>
      <w:r>
        <w:rPr>
          <w:rFonts w:hint="eastAsia" w:ascii="宋体" w:hAnsi="宋体" w:cs="宋体"/>
          <w:color w:val="auto"/>
          <w:sz w:val="24"/>
          <w:lang w:val="en-US" w:eastAsia="zh-CN"/>
        </w:rPr>
        <w:t>K042</w:t>
      </w:r>
      <w:r>
        <w:rPr>
          <w:rFonts w:hint="eastAsia" w:asciiTheme="minorEastAsia" w:hAnsiTheme="minorEastAsia" w:eastAsiaTheme="minorEastAsia" w:cstheme="minorEastAsia"/>
          <w:sz w:val="24"/>
        </w:rPr>
        <w:t>号</w:t>
      </w:r>
      <w:bookmarkStart w:id="120" w:name="_GoBack"/>
      <w:bookmarkEnd w:id="120"/>
    </w:p>
    <w:bookmarkEnd w:id="7"/>
    <w:p>
      <w:pPr>
        <w:spacing w:line="360" w:lineRule="auto"/>
        <w:ind w:firstLine="480" w:firstLineChars="200"/>
        <w:rPr>
          <w:rFonts w:hint="eastAsia" w:ascii="宋体" w:hAnsi="宋体" w:cs="宋体"/>
          <w:color w:val="FF0000"/>
          <w:kern w:val="0"/>
          <w:sz w:val="24"/>
        </w:rPr>
      </w:pPr>
      <w:r>
        <w:rPr>
          <w:rFonts w:hint="eastAsia" w:ascii="宋体" w:hAnsi="宋体" w:cs="宋体"/>
          <w:sz w:val="24"/>
        </w:rPr>
        <w:t>项目名称：</w:t>
      </w:r>
      <w:r>
        <w:rPr>
          <w:rFonts w:hint="eastAsia" w:cs="宋体"/>
          <w:b w:val="0"/>
          <w:sz w:val="24"/>
          <w:szCs w:val="24"/>
        </w:rPr>
        <w:t>台州职业技术学院教学环境智能化提质升级项目（信息化智能化升级）</w:t>
      </w:r>
    </w:p>
    <w:tbl>
      <w:tblPr>
        <w:tblStyle w:val="21"/>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2741" w:type="dxa"/>
            <w:vAlign w:val="center"/>
          </w:tcPr>
          <w:p>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触控一体机</w:t>
            </w:r>
            <w:r>
              <w:rPr>
                <w:rFonts w:hint="eastAsia" w:ascii="宋体" w:hAnsi="宋体" w:cs="宋体"/>
                <w:b w:val="0"/>
                <w:bCs/>
                <w:sz w:val="21"/>
                <w:szCs w:val="21"/>
                <w:lang w:val="en-US" w:eastAsia="zh-CN"/>
              </w:rPr>
              <w:t>、智慧黑板、LED显示屏及配套设备</w:t>
            </w:r>
          </w:p>
        </w:tc>
        <w:tc>
          <w:tcPr>
            <w:tcW w:w="99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97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批</w:t>
            </w:r>
          </w:p>
        </w:tc>
        <w:tc>
          <w:tcPr>
            <w:tcW w:w="1303" w:type="dxa"/>
            <w:vAlign w:val="center"/>
          </w:tcPr>
          <w:p>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338.64</w:t>
            </w:r>
          </w:p>
        </w:tc>
        <w:tc>
          <w:tcPr>
            <w:tcW w:w="1585" w:type="dxa"/>
            <w:vAlign w:val="center"/>
          </w:tcPr>
          <w:p>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338.64</w:t>
            </w:r>
          </w:p>
        </w:tc>
      </w:tr>
    </w:tbl>
    <w:p>
      <w:pPr>
        <w:pStyle w:val="5"/>
        <w:ind w:right="0" w:firstLine="482" w:firstLineChars="200"/>
        <w:rPr>
          <w:rFonts w:cs="宋体"/>
          <w:bCs/>
          <w:sz w:val="24"/>
          <w:szCs w:val="24"/>
        </w:rPr>
      </w:pPr>
      <w:bookmarkStart w:id="8" w:name="_Toc28359080"/>
      <w:bookmarkStart w:id="9" w:name="_Toc35393791"/>
      <w:bookmarkStart w:id="10" w:name="_Toc35393622"/>
      <w:bookmarkStart w:id="11" w:name="_Toc28359003"/>
      <w:r>
        <w:rPr>
          <w:rFonts w:hint="eastAsia" w:cs="宋体"/>
          <w:bCs/>
          <w:sz w:val="24"/>
          <w:szCs w:val="24"/>
        </w:rPr>
        <w:t>二、投标人的资格要求</w:t>
      </w:r>
      <w:bookmarkEnd w:id="8"/>
      <w:bookmarkEnd w:id="9"/>
      <w:bookmarkEnd w:id="10"/>
      <w:bookmarkEnd w:id="11"/>
    </w:p>
    <w:p>
      <w:pPr>
        <w:spacing w:line="360" w:lineRule="auto"/>
        <w:ind w:firstLine="480" w:firstLineChars="200"/>
        <w:rPr>
          <w:rFonts w:ascii="宋体" w:hAnsi="宋体" w:cs="宋体"/>
          <w:color w:val="auto"/>
          <w:sz w:val="24"/>
        </w:rPr>
      </w:pPr>
      <w:r>
        <w:rPr>
          <w:rFonts w:hint="eastAsia" w:ascii="宋体" w:hAnsi="宋体" w:cs="宋体"/>
          <w:color w:val="auto"/>
          <w:sz w:val="24"/>
        </w:rPr>
        <w:t>（一）满足《中华人民共和国政府采购法》第二十二条规定</w:t>
      </w:r>
      <w:bookmarkStart w:id="12" w:name="_Toc35393623"/>
      <w:bookmarkStart w:id="13" w:name="_Toc28359004"/>
      <w:bookmarkStart w:id="14" w:name="_Toc28359081"/>
      <w:bookmarkStart w:id="15" w:name="_Toc35393792"/>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（二）本项目的特定资格要求：</w:t>
      </w:r>
      <w:r>
        <w:rPr>
          <w:rFonts w:hint="eastAsia" w:ascii="宋体" w:hAnsi="宋体" w:cs="宋体"/>
          <w:color w:val="auto"/>
          <w:sz w:val="24"/>
          <w:lang w:val="en-US" w:eastAsia="zh-CN"/>
        </w:rPr>
        <w:t>无</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color w:val="auto"/>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w:t>
      </w:r>
      <w:r>
        <w:rPr>
          <w:rFonts w:hint="eastAsia" w:ascii="宋体" w:hAnsi="宋体" w:cs="宋体"/>
          <w:color w:val="auto"/>
          <w:sz w:val="24"/>
        </w:rPr>
        <w:t>足该条款）。</w:t>
      </w:r>
    </w:p>
    <w:p>
      <w:pPr>
        <w:pStyle w:val="5"/>
        <w:ind w:right="0" w:firstLine="482" w:firstLineChars="200"/>
        <w:rPr>
          <w:rFonts w:cs="宋体"/>
          <w:bCs/>
          <w:color w:val="auto"/>
          <w:sz w:val="24"/>
          <w:szCs w:val="24"/>
        </w:rPr>
      </w:pPr>
      <w:r>
        <w:rPr>
          <w:rFonts w:hint="eastAsia" w:cs="宋体"/>
          <w:bCs/>
          <w:color w:val="auto"/>
          <w:sz w:val="24"/>
          <w:szCs w:val="24"/>
        </w:rPr>
        <w:t>三、获取招标文件</w:t>
      </w:r>
      <w:bookmarkEnd w:id="12"/>
      <w:bookmarkEnd w:id="13"/>
      <w:bookmarkEnd w:id="14"/>
      <w:bookmarkEnd w:id="15"/>
    </w:p>
    <w:p>
      <w:pPr>
        <w:spacing w:line="360" w:lineRule="auto"/>
        <w:ind w:firstLine="480" w:firstLineChars="200"/>
        <w:rPr>
          <w:rFonts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23 </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p>
    <w:p>
      <w:pPr>
        <w:pStyle w:val="28"/>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pPr>
        <w:pStyle w:val="5"/>
        <w:ind w:right="0" w:firstLine="482" w:firstLineChars="200"/>
        <w:rPr>
          <w:rFonts w:cs="宋体"/>
          <w:bCs/>
          <w:color w:val="auto"/>
          <w:sz w:val="24"/>
          <w:szCs w:val="24"/>
        </w:rPr>
      </w:pPr>
      <w:bookmarkStart w:id="16" w:name="_Toc35393793"/>
      <w:bookmarkStart w:id="17" w:name="_Toc28359005"/>
      <w:bookmarkStart w:id="18" w:name="_Toc28359082"/>
      <w:bookmarkStart w:id="19" w:name="_Toc35393624"/>
      <w:r>
        <w:rPr>
          <w:rFonts w:hint="eastAsia" w:cs="宋体"/>
          <w:bCs/>
          <w:color w:val="auto"/>
          <w:sz w:val="24"/>
          <w:szCs w:val="24"/>
        </w:rPr>
        <w:t>四、提交投标文件</w:t>
      </w:r>
      <w:bookmarkEnd w:id="16"/>
      <w:bookmarkEnd w:id="17"/>
      <w:bookmarkEnd w:id="18"/>
      <w:bookmarkEnd w:id="19"/>
    </w:p>
    <w:p>
      <w:pPr>
        <w:spacing w:line="360" w:lineRule="auto"/>
        <w:ind w:firstLine="480" w:firstLineChars="200"/>
        <w:rPr>
          <w:rFonts w:ascii="宋体" w:hAnsi="宋体" w:cs="宋体"/>
          <w:iCs/>
          <w:sz w:val="24"/>
          <w:u w:val="single"/>
        </w:rPr>
      </w:pPr>
      <w:bookmarkStart w:id="20" w:name="_Toc28359007"/>
      <w:bookmarkStart w:id="21" w:name="_Toc28359084"/>
      <w:bookmarkStart w:id="22" w:name="_Toc35393625"/>
      <w:bookmarkStart w:id="23" w:name="_Toc35393794"/>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2024</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8</w:t>
      </w:r>
      <w:r>
        <w:rPr>
          <w:rFonts w:hint="eastAsia" w:ascii="宋体" w:hAnsi="宋体" w:cs="宋体"/>
          <w:bCs/>
          <w:color w:val="auto"/>
          <w:sz w:val="24"/>
          <w:u w:val="single"/>
        </w:rPr>
        <w:t>月</w:t>
      </w:r>
      <w:r>
        <w:rPr>
          <w:rFonts w:hint="eastAsia" w:ascii="宋体" w:hAnsi="宋体" w:cs="宋体"/>
          <w:color w:val="auto"/>
          <w:sz w:val="24"/>
          <w:u w:val="single"/>
          <w:lang w:val="en-US" w:eastAsia="zh-CN"/>
        </w:rPr>
        <w:t>14</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 xml:space="preserve"> 9</w:t>
      </w:r>
      <w:r>
        <w:rPr>
          <w:rFonts w:hint="eastAsia" w:ascii="宋体" w:hAnsi="宋体" w:cs="宋体"/>
          <w:bCs/>
          <w:color w:val="auto"/>
          <w:sz w:val="24"/>
          <w:u w:val="single"/>
        </w:rPr>
        <w:t>点整</w:t>
      </w:r>
      <w:r>
        <w:rPr>
          <w:rFonts w:hint="eastAsia" w:ascii="宋体" w:hAnsi="宋体" w:cs="宋体"/>
          <w:bCs/>
          <w:color w:val="auto"/>
          <w:sz w:val="24"/>
        </w:rPr>
        <w:t>（北京时</w:t>
      </w:r>
      <w:r>
        <w:rPr>
          <w:rFonts w:hint="eastAsia" w:ascii="宋体" w:hAnsi="宋体" w:cs="宋体"/>
          <w:bCs/>
          <w:sz w:val="24"/>
        </w:rPr>
        <w:t>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0"/>
    <w:bookmarkEnd w:id="21"/>
    <w:bookmarkEnd w:id="22"/>
    <w:bookmarkEnd w:id="23"/>
    <w:p>
      <w:pPr>
        <w:pStyle w:val="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5"/>
        <w:ind w:right="0" w:firstLine="482" w:firstLineChars="200"/>
        <w:rPr>
          <w:rFonts w:cs="宋体"/>
          <w:bCs/>
          <w:sz w:val="24"/>
          <w:szCs w:val="24"/>
        </w:rPr>
      </w:pPr>
      <w:bookmarkStart w:id="24" w:name="_Toc35393626"/>
      <w:bookmarkStart w:id="25" w:name="_Toc35393795"/>
      <w:r>
        <w:rPr>
          <w:rFonts w:hint="eastAsia" w:cs="宋体"/>
          <w:bCs/>
          <w:sz w:val="24"/>
          <w:szCs w:val="24"/>
        </w:rPr>
        <w:t>六、</w:t>
      </w:r>
      <w:bookmarkEnd w:id="24"/>
      <w:bookmarkEnd w:id="25"/>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投标人需登录浙江省政府采购网（https://zfcg.czt.zj.gov.cn/）进行注册报名。</w:t>
      </w:r>
    </w:p>
    <w:p>
      <w:pPr>
        <w:pStyle w:val="5"/>
        <w:ind w:right="0" w:firstLine="482" w:firstLineChars="200"/>
        <w:rPr>
          <w:rFonts w:cs="宋体"/>
          <w:bCs/>
          <w:sz w:val="24"/>
          <w:szCs w:val="24"/>
        </w:rPr>
      </w:pPr>
      <w:bookmarkStart w:id="26" w:name="_Toc35393627"/>
      <w:bookmarkStart w:id="27" w:name="_Toc35393796"/>
      <w:bookmarkStart w:id="28" w:name="_Toc28359085"/>
      <w:bookmarkStart w:id="29" w:name="_Toc28359008"/>
      <w:r>
        <w:rPr>
          <w:rFonts w:hint="eastAsia" w:cs="宋体"/>
          <w:bCs/>
          <w:sz w:val="24"/>
          <w:szCs w:val="24"/>
        </w:rPr>
        <w:t>七、联系</w:t>
      </w:r>
      <w:bookmarkEnd w:id="26"/>
      <w:bookmarkEnd w:id="27"/>
      <w:bookmarkEnd w:id="28"/>
      <w:bookmarkEnd w:id="29"/>
      <w:r>
        <w:rPr>
          <w:rFonts w:hint="eastAsia" w:cs="宋体"/>
          <w:bCs/>
          <w:sz w:val="24"/>
          <w:szCs w:val="24"/>
        </w:rPr>
        <w:t>方式</w:t>
      </w:r>
    </w:p>
    <w:p>
      <w:pPr>
        <w:snapToGrid w:val="0"/>
        <w:spacing w:line="360" w:lineRule="auto"/>
        <w:ind w:firstLine="482" w:firstLineChars="200"/>
        <w:rPr>
          <w:rFonts w:ascii="宋体" w:hAnsi="宋体" w:cs="宋体"/>
          <w:b/>
          <w:bCs/>
          <w:sz w:val="24"/>
        </w:rPr>
      </w:pPr>
      <w:bookmarkStart w:id="30" w:name="_Toc28359087"/>
      <w:bookmarkStart w:id="31" w:name="_Toc28359010"/>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cs="宋体"/>
          <w:b w:val="0"/>
          <w:sz w:val="24"/>
          <w:szCs w:val="24"/>
        </w:rPr>
        <w:t>台州职业技术学院</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址：台州市椒江区学院路788号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联系人：何</w:t>
      </w:r>
      <w:r>
        <w:rPr>
          <w:rFonts w:hint="eastAsia" w:ascii="宋体" w:hAnsi="宋体" w:cs="宋体"/>
          <w:sz w:val="24"/>
          <w:highlight w:val="none"/>
          <w:lang w:val="en-US" w:eastAsia="zh-CN"/>
        </w:rPr>
        <w:t>先生</w:t>
      </w:r>
      <w:bookmarkStart w:id="32" w:name="_Toc28359086"/>
      <w:bookmarkStart w:id="33" w:name="_Toc28359009"/>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eastAsia="宋体" w:cs="宋体"/>
          <w:sz w:val="24"/>
          <w:szCs w:val="24"/>
          <w:lang w:val="en-US" w:eastAsia="zh-CN"/>
        </w:rPr>
        <w:t>0576-88665117</w:t>
      </w:r>
    </w:p>
    <w:bookmarkEnd w:id="32"/>
    <w:bookmarkEnd w:id="33"/>
    <w:p>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pPr>
        <w:spacing w:line="360" w:lineRule="auto"/>
        <w:ind w:firstLine="480" w:firstLineChars="200"/>
        <w:jc w:val="left"/>
        <w:rPr>
          <w:rFonts w:ascii="宋体" w:hAnsi="宋体" w:cs="宋体"/>
          <w:sz w:val="24"/>
        </w:rPr>
      </w:pPr>
      <w:r>
        <w:rPr>
          <w:rFonts w:hint="eastAsia" w:ascii="宋体" w:hAnsi="宋体" w:cs="宋体"/>
          <w:sz w:val="24"/>
        </w:rPr>
        <w:t>名 称：台州市政府采购中心</w:t>
      </w:r>
    </w:p>
    <w:p>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pPr>
        <w:spacing w:line="360" w:lineRule="auto"/>
        <w:ind w:firstLine="480" w:firstLineChars="200"/>
        <w:jc w:val="left"/>
        <w:rPr>
          <w:rFonts w:ascii="宋体" w:hAnsi="宋体" w:cs="宋体"/>
          <w:sz w:val="24"/>
        </w:rPr>
      </w:pPr>
      <w:r>
        <w:rPr>
          <w:rFonts w:hint="eastAsia" w:ascii="宋体" w:hAnsi="宋体" w:cs="宋体"/>
          <w:sz w:val="24"/>
        </w:rPr>
        <w:t>项目联系人：陈先生</w:t>
      </w:r>
    </w:p>
    <w:p>
      <w:pPr>
        <w:spacing w:line="360" w:lineRule="auto"/>
        <w:ind w:firstLine="480" w:firstLineChars="200"/>
        <w:jc w:val="left"/>
        <w:rPr>
          <w:rFonts w:ascii="宋体" w:hAnsi="宋体" w:cs="宋体"/>
          <w:sz w:val="24"/>
        </w:rPr>
      </w:pPr>
      <w:r>
        <w:rPr>
          <w:rFonts w:hint="eastAsia" w:ascii="宋体" w:hAnsi="宋体" w:cs="宋体"/>
          <w:sz w:val="24"/>
        </w:rPr>
        <w:t>联系电话：0576-88325289</w:t>
      </w:r>
    </w:p>
    <w:p>
      <w:pPr>
        <w:spacing w:line="360" w:lineRule="auto"/>
        <w:ind w:firstLine="480" w:firstLineChars="200"/>
        <w:jc w:val="left"/>
        <w:rPr>
          <w:rFonts w:ascii="宋体" w:hAnsi="宋体" w:cs="宋体"/>
          <w:sz w:val="24"/>
        </w:rPr>
      </w:pPr>
      <w:r>
        <w:rPr>
          <w:rFonts w:hint="eastAsia" w:ascii="宋体" w:hAnsi="宋体" w:cs="宋体"/>
          <w:sz w:val="24"/>
        </w:rPr>
        <w:t>受理联系人：侯女士（受理注册、中标结果相关质疑及答复）</w:t>
      </w:r>
    </w:p>
    <w:p>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技术人员：徐</w:t>
      </w:r>
      <w:r>
        <w:rPr>
          <w:rFonts w:hint="eastAsia" w:ascii="宋体" w:hAnsi="宋体" w:cs="宋体"/>
          <w:sz w:val="24"/>
          <w:lang w:val="en-US" w:eastAsia="zh-CN"/>
        </w:rPr>
        <w:t>女士</w:t>
      </w:r>
    </w:p>
    <w:p>
      <w:pPr>
        <w:spacing w:line="360" w:lineRule="auto"/>
        <w:ind w:firstLine="480" w:firstLineChars="200"/>
        <w:jc w:val="left"/>
        <w:rPr>
          <w:rFonts w:ascii="宋体" w:hAnsi="宋体" w:cs="宋体"/>
          <w:sz w:val="24"/>
        </w:rPr>
      </w:pPr>
      <w:r>
        <w:rPr>
          <w:rFonts w:hint="eastAsia" w:ascii="宋体" w:hAnsi="宋体" w:cs="宋体"/>
          <w:sz w:val="24"/>
        </w:rPr>
        <w:t>联系电话：0576-88685161</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rPr>
      </w:pPr>
      <w:r>
        <w:rPr>
          <w:rFonts w:hint="eastAsia" w:ascii="宋体" w:hAnsi="宋体" w:cs="宋体"/>
          <w:sz w:val="24"/>
        </w:rPr>
        <w:t>名 称：台州市财政局政府采购监管处</w:t>
      </w:r>
    </w:p>
    <w:p>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pPr>
        <w:spacing w:line="360" w:lineRule="auto"/>
        <w:ind w:firstLine="480" w:firstLineChars="200"/>
        <w:jc w:val="left"/>
        <w:rPr>
          <w:rFonts w:ascii="宋体" w:hAnsi="宋体" w:cs="宋体"/>
          <w:sz w:val="24"/>
        </w:rPr>
      </w:pPr>
      <w:r>
        <w:rPr>
          <w:rFonts w:hint="eastAsia" w:ascii="宋体" w:hAnsi="宋体" w:cs="宋体"/>
          <w:sz w:val="24"/>
        </w:rPr>
        <w:t>联系人：陈女士</w:t>
      </w:r>
    </w:p>
    <w:p>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联系电话：0576-88206705</w:t>
      </w:r>
    </w:p>
    <w:p>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pPr>
        <w:spacing w:line="360" w:lineRule="auto"/>
        <w:ind w:firstLine="480" w:firstLineChars="200"/>
        <w:jc w:val="left"/>
        <w:rPr>
          <w:rFonts w:ascii="宋体" w:hAnsi="宋体" w:cs="宋体"/>
          <w:sz w:val="24"/>
        </w:rPr>
      </w:pPr>
      <w:r>
        <w:rPr>
          <w:rFonts w:hint="eastAsia" w:ascii="宋体" w:hAnsi="宋体" w:cs="宋体"/>
          <w:sz w:val="24"/>
          <w:u w:val="none"/>
        </w:rPr>
        <w:t>联系电话：</w:t>
      </w:r>
      <w:r>
        <w:rPr>
          <w:rFonts w:hint="eastAsia" w:ascii="宋体" w:hAnsi="宋体" w:cs="宋体"/>
          <w:sz w:val="24"/>
          <w:u w:val="none"/>
          <w:lang w:val="en-US" w:eastAsia="zh-CN"/>
        </w:rPr>
        <w:t>95763</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sz w:val="24"/>
          <w:shd w:val="clear" w:color="auto" w:fill="FFFFFF"/>
          <w:lang w:val="en-US" w:eastAsia="zh-CN"/>
        </w:rPr>
        <w:t>台州市</w:t>
      </w:r>
      <w:r>
        <w:rPr>
          <w:rFonts w:hint="eastAsia" w:ascii="宋体" w:hAnsi="宋体" w:cs="宋体"/>
          <w:color w:val="auto"/>
          <w:sz w:val="24"/>
          <w:shd w:val="clear" w:color="auto" w:fill="FFFFFF"/>
        </w:rPr>
        <w:t>政府采购中心</w:t>
      </w:r>
      <w:r>
        <w:rPr>
          <w:rFonts w:hint="eastAsia" w:ascii="宋体" w:hAnsi="宋体" w:cs="宋体"/>
          <w:color w:val="auto"/>
          <w:kern w:val="0"/>
          <w:sz w:val="24"/>
        </w:rPr>
        <w:t xml:space="preserve">  </w:t>
      </w:r>
    </w:p>
    <w:p>
      <w:pPr>
        <w:widowControl/>
        <w:spacing w:line="360" w:lineRule="auto"/>
        <w:jc w:val="right"/>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lang w:val="en-US" w:eastAsia="zh-CN"/>
        </w:rPr>
        <w:t>2024</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22</w:t>
      </w:r>
      <w:r>
        <w:rPr>
          <w:rFonts w:hint="eastAsia" w:asciiTheme="minorEastAsia" w:hAnsiTheme="minorEastAsia" w:eastAsiaTheme="minorEastAsia" w:cstheme="minorEastAsia"/>
          <w:color w:val="auto"/>
          <w:kern w:val="0"/>
          <w:sz w:val="24"/>
        </w:rPr>
        <w:t>日</w:t>
      </w:r>
    </w:p>
    <w:p>
      <w:pPr>
        <w:pStyle w:val="2"/>
      </w:pPr>
    </w:p>
    <w:bookmarkEnd w:id="30"/>
    <w:bookmarkEnd w:id="31"/>
    <w:p>
      <w:pPr>
        <w:numPr>
          <w:ilvl w:val="0"/>
          <w:numId w:val="4"/>
        </w:numPr>
        <w:spacing w:line="360" w:lineRule="auto"/>
        <w:jc w:val="center"/>
        <w:rPr>
          <w:rFonts w:asciiTheme="minorEastAsia" w:hAnsiTheme="minorEastAsia" w:eastAsiaTheme="minorEastAsia"/>
          <w:b/>
          <w:sz w:val="36"/>
          <w:szCs w:val="36"/>
        </w:rPr>
      </w:pPr>
      <w:bookmarkStart w:id="34" w:name="_Toc25017_WPSOffice_Level1"/>
      <w:r>
        <w:rPr>
          <w:rFonts w:hint="eastAsia" w:asciiTheme="minorEastAsia" w:hAnsiTheme="minorEastAsia" w:eastAsiaTheme="minorEastAsia"/>
          <w:b/>
          <w:sz w:val="36"/>
          <w:szCs w:val="36"/>
        </w:rPr>
        <w:t>投标人须知</w:t>
      </w:r>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1"/>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□是 /</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lang w:val="en-US" w:eastAsia="zh-CN"/>
              </w:rPr>
              <w:t>是否需要提供预付款保函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lang w:eastAsia="zh-CN"/>
              </w:rPr>
              <w:t>□</w:t>
            </w:r>
            <w:r>
              <w:rPr>
                <w:rFonts w:hint="eastAsia" w:ascii="宋体" w:hAnsi="宋体" w:eastAsia="宋体" w:cs="宋体"/>
                <w:color w:val="auto"/>
              </w:rPr>
              <w:t xml:space="preserve"> 是/</w:t>
            </w:r>
            <w:r>
              <w:rPr>
                <w:rFonts w:hint="eastAsia" w:ascii="宋体" w:hAnsi="宋体" w:cs="宋体"/>
                <w:color w:val="auto"/>
                <w:lang w:eastAsia="zh-CN"/>
              </w:rPr>
              <w:t>☑</w:t>
            </w:r>
            <w:r>
              <w:rPr>
                <w:rFonts w:hint="eastAsia" w:ascii="宋体" w:hAnsi="宋体" w:eastAsia="宋体" w:cs="宋体"/>
                <w:color w:val="auto"/>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获取招标文件后，采购人将统一组织现场勘察，各潜在投标人请在202</w:t>
            </w:r>
            <w:r>
              <w:rPr>
                <w:rFonts w:hint="eastAsia" w:ascii="宋体" w:hAnsi="宋体" w:cs="宋体"/>
                <w:color w:val="auto"/>
                <w:kern w:val="0"/>
                <w:szCs w:val="21"/>
                <w:lang w:val="en-US" w:eastAsia="zh-CN"/>
              </w:rPr>
              <w:t>4</w:t>
            </w:r>
            <w:r>
              <w:rPr>
                <w:rFonts w:hint="eastAsia" w:ascii="宋体" w:hAnsi="宋体" w:eastAsia="宋体" w:cs="宋体"/>
                <w:color w:val="auto"/>
                <w:kern w:val="0"/>
                <w:szCs w:val="21"/>
              </w:rPr>
              <w:t>年</w:t>
            </w:r>
            <w:r>
              <w:rPr>
                <w:rFonts w:hint="eastAsia" w:ascii="宋体" w:hAnsi="宋体" w:cs="宋体"/>
                <w:color w:val="auto"/>
                <w:kern w:val="0"/>
                <w:szCs w:val="21"/>
                <w:lang w:val="en-US" w:eastAsia="zh-CN"/>
              </w:rPr>
              <w:t>8</w:t>
            </w:r>
            <w:r>
              <w:rPr>
                <w:rFonts w:hint="eastAsia" w:ascii="宋体" w:hAnsi="宋体" w:eastAsia="宋体" w:cs="宋体"/>
                <w:color w:val="auto"/>
                <w:kern w:val="0"/>
                <w:szCs w:val="21"/>
              </w:rPr>
              <w:t>月</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日</w:t>
            </w:r>
            <w:r>
              <w:rPr>
                <w:rFonts w:hint="eastAsia" w:ascii="宋体" w:hAnsi="宋体" w:eastAsia="宋体" w:cs="宋体"/>
                <w:color w:val="auto"/>
                <w:kern w:val="0"/>
                <w:szCs w:val="21"/>
              </w:rPr>
              <w:t>前将公司名称、联系人、联系电话告知采购联系人：</w:t>
            </w:r>
            <w:r>
              <w:rPr>
                <w:rFonts w:hint="eastAsia" w:ascii="宋体" w:hAnsi="宋体" w:cs="宋体"/>
                <w:color w:val="auto"/>
                <w:kern w:val="0"/>
                <w:szCs w:val="21"/>
                <w:lang w:val="en-US" w:eastAsia="zh-CN"/>
              </w:rPr>
              <w:t>蒋先生</w:t>
            </w:r>
            <w:r>
              <w:rPr>
                <w:rFonts w:hint="eastAsia" w:ascii="宋体" w:hAnsi="宋体" w:eastAsia="宋体" w:cs="宋体"/>
                <w:color w:val="auto"/>
                <w:kern w:val="0"/>
                <w:szCs w:val="21"/>
              </w:rPr>
              <w:t>，联系方式：13857655195，具体勘察时间、地点另行通知。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Cs w:val="21"/>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eastAsia="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cs="宋体"/>
                <w:sz w:val="21"/>
                <w:szCs w:val="21"/>
                <w:u w:val="single"/>
                <w:lang w:val="en-US" w:eastAsia="zh-CN"/>
              </w:rPr>
              <w:t>50</w:t>
            </w:r>
            <w:r>
              <w:rPr>
                <w:rFonts w:hint="eastAsia" w:ascii="宋体" w:hAnsi="宋体" w:cs="宋体"/>
                <w:sz w:val="21"/>
                <w:szCs w:val="21"/>
                <w:u w:val="none"/>
                <w:lang w:val="en-US" w:eastAsia="zh-CN"/>
              </w:rPr>
              <w:t>（</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szCs w:val="21"/>
              </w:rPr>
            </w:pPr>
            <w:r>
              <w:rPr>
                <w:rFonts w:hint="eastAsia" w:ascii="宋体" w:hAnsi="宋体" w:eastAsia="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9"/>
              <w:keepNext w:val="0"/>
              <w:keepLines w:val="0"/>
              <w:pageBreakBefore w:val="0"/>
              <w:kinsoku/>
              <w:wordWrap/>
              <w:overflowPunct/>
              <w:topLinePunct w:val="0"/>
              <w:bidi w:val="0"/>
              <w:adjustRightInd/>
              <w:snapToGrid/>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eastAsia="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eastAsia="宋体" w:cs="宋体"/>
                <w:sz w:val="21"/>
                <w:szCs w:val="21"/>
                <w:lang w:eastAsia="zh-CN"/>
              </w:rPr>
              <w:t>投标</w:t>
            </w:r>
            <w:r>
              <w:rPr>
                <w:rFonts w:hint="eastAsia" w:ascii="宋体" w:hAnsi="宋体" w:eastAsia="宋体" w:cs="宋体"/>
                <w:sz w:val="21"/>
                <w:szCs w:val="21"/>
              </w:rPr>
              <w:t>文件，所有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0"/>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cs="宋体"/>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eastAsia="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2"/>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1.本项目实行电子投标，投标人自行承担投标一切费用。</w:t>
            </w:r>
          </w:p>
          <w:p>
            <w:pPr>
              <w:pStyle w:val="12"/>
              <w:keepNext w:val="0"/>
              <w:keepLines w:val="0"/>
              <w:pageBreakBefore w:val="0"/>
              <w:kinsoku/>
              <w:wordWrap/>
              <w:overflowPunct/>
              <w:topLinePunct w:val="0"/>
              <w:bidi w:val="0"/>
              <w:adjustRightInd/>
              <w:snapToGrid/>
              <w:spacing w:line="300" w:lineRule="auto"/>
              <w:ind w:firstLine="420" w:firstLineChars="200"/>
              <w:textAlignment w:val="auto"/>
              <w:rPr>
                <w:rFonts w:hint="default"/>
                <w:lang w:val="en-US" w:eastAsia="zh-CN"/>
              </w:rPr>
            </w:pPr>
            <w:r>
              <w:rPr>
                <w:rFonts w:hint="eastAsia" w:ascii="宋体" w:hAnsi="宋体" w:eastAsia="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Cs w:val="21"/>
              </w:rPr>
              <w:t>http://www.creditchina.gov.cn</w:t>
            </w:r>
            <w:r>
              <w:rPr>
                <w:rFonts w:hint="eastAsia" w:ascii="宋体" w:hAnsi="宋体" w:eastAsia="宋体" w:cs="宋体"/>
                <w:szCs w:val="21"/>
              </w:rPr>
              <w:fldChar w:fldCharType="end"/>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中国政府采购网（网址：http://www.ccgp.gov.cn</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根据《政府采购促进中小企业发展管理办法》</w:t>
            </w:r>
            <w:r>
              <w:rPr>
                <w:rFonts w:hint="eastAsia" w:ascii="宋体" w:hAnsi="宋体" w:cs="宋体"/>
                <w:szCs w:val="21"/>
                <w:lang w:eastAsia="zh-CN"/>
              </w:rPr>
              <w:t>（</w:t>
            </w:r>
            <w:r>
              <w:rPr>
                <w:rFonts w:hint="eastAsia" w:ascii="宋体" w:hAnsi="宋体" w:eastAsia="宋体" w:cs="宋体"/>
                <w:szCs w:val="21"/>
              </w:rPr>
              <w:t>财库〔2020〕46号</w:t>
            </w:r>
            <w:r>
              <w:rPr>
                <w:rFonts w:hint="eastAsia" w:ascii="宋体" w:hAnsi="宋体" w:cs="宋体"/>
                <w:szCs w:val="21"/>
                <w:lang w:eastAsia="zh-CN"/>
              </w:rPr>
              <w:t>）</w:t>
            </w:r>
            <w:r>
              <w:rPr>
                <w:rFonts w:hint="eastAsia" w:ascii="宋体" w:hAnsi="宋体" w:eastAsia="宋体" w:cs="宋体"/>
                <w:szCs w:val="21"/>
              </w:rPr>
              <w:t>文件的规定，本项目(□是 /</w:t>
            </w:r>
            <w:r>
              <w:rPr>
                <w:rFonts w:hint="eastAsia" w:ascii="宋体" w:hAnsi="宋体" w:cs="宋体"/>
                <w:szCs w:val="21"/>
                <w:lang w:eastAsia="zh-CN"/>
              </w:rPr>
              <w:t>☑</w:t>
            </w:r>
            <w:r>
              <w:rPr>
                <w:rFonts w:hint="eastAsia" w:ascii="宋体" w:hAnsi="宋体" w:eastAsia="宋体" w:cs="宋体"/>
                <w:szCs w:val="21"/>
              </w:rPr>
              <w:t xml:space="preserve"> 否</w:t>
            </w:r>
            <w:r>
              <w:rPr>
                <w:rFonts w:hint="eastAsia" w:ascii="宋体" w:hAnsi="宋体" w:eastAsia="宋体" w:cs="宋体"/>
                <w:szCs w:val="21"/>
                <w:shd w:val="clear" w:color="auto" w:fill="FFFFFF"/>
              </w:rPr>
              <w:t>)</w:t>
            </w:r>
            <w:r>
              <w:rPr>
                <w:rFonts w:hint="eastAsia" w:ascii="宋体" w:hAnsi="宋体" w:eastAsia="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1.项目属性</w:t>
            </w:r>
            <w:r>
              <w:rPr>
                <w:rFonts w:hint="eastAsia" w:ascii="宋体" w:hAnsi="宋体" w:cs="宋体"/>
                <w:szCs w:val="21"/>
                <w:u w:val="none"/>
                <w:lang w:eastAsia="zh-CN"/>
              </w:rPr>
              <w:t>：</w:t>
            </w:r>
            <w:r>
              <w:rPr>
                <w:rFonts w:hint="eastAsia" w:ascii="宋体" w:hAnsi="宋体" w:eastAsia="宋体" w:cs="宋体"/>
                <w:szCs w:val="21"/>
                <w:u w:val="single"/>
              </w:rPr>
              <w:t>货物类</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2.中小企业划分标准所属行业（具体根据《中小企业划型标准规定》执行）</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采购标的：</w:t>
            </w:r>
            <w:r>
              <w:rPr>
                <w:rFonts w:hint="eastAsia" w:ascii="宋体" w:hAnsi="宋体" w:eastAsia="宋体" w:cs="宋体"/>
                <w:szCs w:val="21"/>
                <w:u w:val="single"/>
              </w:rPr>
              <w:t>触控一体机、智慧黑板、LED显示屏及配套设备</w:t>
            </w:r>
            <w:r>
              <w:rPr>
                <w:rFonts w:hint="eastAsia" w:ascii="宋体" w:hAnsi="宋体" w:eastAsia="宋体" w:cs="宋体"/>
                <w:szCs w:val="21"/>
              </w:rPr>
              <w:t>，所属行业：</w:t>
            </w:r>
            <w:r>
              <w:rPr>
                <w:rFonts w:hint="eastAsia" w:ascii="宋体" w:hAnsi="宋体" w:cs="宋体"/>
                <w:szCs w:val="21"/>
                <w:u w:val="single"/>
                <w:lang w:val="en-US" w:eastAsia="zh-CN"/>
              </w:rPr>
              <w:t>制造业</w:t>
            </w:r>
            <w:r>
              <w:rPr>
                <w:rFonts w:hint="eastAsia" w:ascii="宋体" w:hAnsi="宋体" w:eastAsia="宋体" w:cs="宋体"/>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color w:val="111F2C"/>
                <w:szCs w:val="21"/>
                <w:shd w:val="clear" w:color="auto" w:fill="FFFFFF"/>
              </w:rPr>
            </w:pPr>
            <w:r>
              <w:rPr>
                <w:rFonts w:hint="eastAsia" w:ascii="宋体" w:hAnsi="宋体" w:eastAsia="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kern w:val="0"/>
                <w:szCs w:val="21"/>
                <w:lang w:val="zh-CN"/>
              </w:rPr>
              <w:t>带“</w:t>
            </w:r>
            <w:r>
              <w:rPr>
                <w:rFonts w:hint="eastAsia" w:ascii="宋体" w:hAnsi="宋体" w:eastAsia="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带“★”的条款是</w:t>
            </w:r>
            <w:r>
              <w:rPr>
                <w:rFonts w:hint="eastAsia" w:ascii="宋体" w:hAnsi="宋体" w:eastAsia="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本招标文件解释权属于采购人和采购组织机构。</w:t>
            </w:r>
          </w:p>
        </w:tc>
      </w:tr>
    </w:tbl>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1"/>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pStyle w:val="2"/>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bCs w:val="0"/>
          <w:sz w:val="24"/>
          <w:szCs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9"/>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2"/>
        <w:snapToGrid w:val="0"/>
        <w:spacing w:line="360" w:lineRule="auto"/>
        <w:ind w:firstLine="482" w:firstLineChars="200"/>
        <w:rPr>
          <w:rFonts w:hAnsi="宋体" w:cs="宋体"/>
          <w:b/>
          <w:sz w:val="24"/>
        </w:rPr>
      </w:pPr>
      <w:r>
        <w:rPr>
          <w:rFonts w:hint="eastAsia" w:hAnsi="宋体" w:cs="宋体"/>
          <w:b/>
          <w:sz w:val="24"/>
        </w:rPr>
        <w:t>（七）特别说明</w:t>
      </w:r>
    </w:p>
    <w:p>
      <w:pPr>
        <w:pStyle w:val="12"/>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hint="eastAsia" w:ascii="宋体" w:hAnsi="宋体"/>
          <w:b/>
          <w:sz w:val="24"/>
          <w:highlight w:val="none"/>
        </w:rPr>
      </w:pPr>
      <w:r>
        <w:rPr>
          <w:rFonts w:hint="eastAsia" w:ascii="宋体" w:hAnsi="宋体" w:cs="宋体" w:eastAsiaTheme="minorEastAsia"/>
          <w:b/>
          <w:sz w:val="24"/>
          <w:lang w:val="en-US" w:eastAsia="zh-CN"/>
        </w:rPr>
        <w:t xml:space="preserve"> </w:t>
      </w:r>
      <w:r>
        <w:rPr>
          <w:rFonts w:hint="eastAsia" w:asciiTheme="minorEastAsia" w:hAnsiTheme="minorEastAsia" w:eastAsiaTheme="minorEastAsia"/>
          <w:b/>
          <w:sz w:val="24"/>
        </w:rPr>
        <w:t>1.资</w:t>
      </w:r>
      <w:r>
        <w:rPr>
          <w:rFonts w:hint="eastAsia" w:asciiTheme="minorEastAsia" w:hAnsiTheme="minorEastAsia" w:eastAsiaTheme="minorEastAsia"/>
          <w:b/>
          <w:sz w:val="24"/>
          <w:highlight w:val="none"/>
        </w:rPr>
        <w:t>格证明</w:t>
      </w:r>
      <w:r>
        <w:rPr>
          <w:rFonts w:asciiTheme="minorEastAsia" w:hAnsiTheme="minorEastAsia" w:eastAsiaTheme="minorEastAsia"/>
          <w:b/>
          <w:sz w:val="24"/>
          <w:highlight w:val="none"/>
        </w:rPr>
        <w:t>文件</w:t>
      </w:r>
      <w:r>
        <w:rPr>
          <w:rFonts w:hint="eastAsia" w:ascii="宋体" w:hAnsi="宋体"/>
          <w:b/>
          <w:sz w:val="24"/>
          <w:highlight w:val="none"/>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本项目</w:t>
      </w:r>
      <w:r>
        <w:rPr>
          <w:rFonts w:hint="eastAsia" w:ascii="宋体" w:hAnsi="宋体" w:cs="宋体"/>
          <w:sz w:val="24"/>
          <w:lang w:val="en-US" w:eastAsia="zh-CN"/>
        </w:rPr>
        <w:t>资格审查</w:t>
      </w:r>
      <w:r>
        <w:rPr>
          <w:rFonts w:hint="eastAsia" w:ascii="宋体" w:hAnsi="宋体" w:cs="宋体"/>
          <w:sz w:val="24"/>
        </w:rPr>
        <w:t>要求的</w:t>
      </w:r>
      <w:r>
        <w:rPr>
          <w:rFonts w:hint="eastAsia" w:ascii="宋体" w:hAnsi="宋体" w:cs="宋体"/>
          <w:sz w:val="24"/>
          <w:lang w:val="en-US" w:eastAsia="zh-CN"/>
        </w:rPr>
        <w:t>相关</w:t>
      </w:r>
      <w:r>
        <w:rPr>
          <w:rFonts w:hint="eastAsia" w:ascii="宋体" w:hAnsi="宋体" w:cs="宋体"/>
          <w:sz w:val="24"/>
          <w:lang w:eastAsia="zh-CN"/>
        </w:rPr>
        <w:t>的承诺函（</w:t>
      </w:r>
      <w:r>
        <w:rPr>
          <w:rFonts w:hint="eastAsia" w:ascii="宋体" w:hAnsi="宋体" w:cs="宋体"/>
          <w:sz w:val="24"/>
          <w:lang w:val="en-US" w:eastAsia="zh-CN"/>
        </w:rPr>
        <w:t>详见第四章评标-评标程序-资格审查表中要求</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8"/>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（1）技术方案描述部分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w:t>
      </w:r>
      <w:r>
        <w:rPr>
          <w:rFonts w:hint="eastAsia" w:ascii="宋体" w:hAnsi="宋体" w:cs="宋体"/>
          <w:sz w:val="24"/>
          <w:szCs w:val="24"/>
          <w:lang w:eastAsia="zh-CN"/>
        </w:rPr>
        <w:t>（</w:t>
      </w:r>
      <w:r>
        <w:rPr>
          <w:rFonts w:hint="eastAsia" w:ascii="宋体" w:hAnsi="宋体" w:cs="宋体"/>
          <w:sz w:val="24"/>
          <w:szCs w:val="24"/>
        </w:rPr>
        <w:t>投标人对项目现状及需求的理解</w:t>
      </w:r>
      <w:r>
        <w:rPr>
          <w:rFonts w:hint="eastAsia" w:ascii="宋体" w:hAnsi="宋体" w:cs="宋体"/>
          <w:sz w:val="24"/>
          <w:szCs w:val="24"/>
          <w:lang w:eastAsia="zh-CN"/>
        </w:rPr>
        <w:t>状况</w:t>
      </w:r>
      <w:r>
        <w:rPr>
          <w:rFonts w:hint="eastAsia" w:ascii="宋体" w:hAnsi="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cs="宋体"/>
          <w:sz w:val="24"/>
          <w:szCs w:val="24"/>
          <w:lang w:eastAsia="zh-CN"/>
        </w:rPr>
        <w:t>）</w:t>
      </w:r>
      <w:r>
        <w:rPr>
          <w:rFonts w:hint="eastAsia" w:ascii="宋体" w:hAnsi="宋体" w:cs="宋体"/>
          <w:sz w:val="24"/>
          <w:szCs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w:t>
      </w:r>
      <w:r>
        <w:rPr>
          <w:rFonts w:hint="eastAsia" w:ascii="宋体" w:hAnsi="宋体" w:cs="宋体"/>
          <w:sz w:val="24"/>
          <w:szCs w:val="24"/>
          <w:highlight w:val="none"/>
        </w:rPr>
        <w:t>（包括</w:t>
      </w:r>
      <w:r>
        <w:rPr>
          <w:rFonts w:hint="eastAsia" w:ascii="宋体" w:hAnsi="宋体" w:cs="宋体"/>
          <w:sz w:val="24"/>
          <w:szCs w:val="24"/>
          <w:highlight w:val="none"/>
          <w:lang w:val="en-US" w:eastAsia="zh-CN"/>
        </w:rPr>
        <w:t>分包方案、</w:t>
      </w:r>
      <w:r>
        <w:rPr>
          <w:rFonts w:hint="eastAsia" w:ascii="宋体" w:hAnsi="宋体" w:cs="宋体"/>
          <w:sz w:val="24"/>
          <w:szCs w:val="24"/>
          <w:highlight w:val="none"/>
        </w:rPr>
        <w:t>项目工期、确保项目供货的措施或方案、项目实施进度安排、项目实施人员及项目负责人</w:t>
      </w:r>
      <w:r>
        <w:rPr>
          <w:rFonts w:hint="eastAsia" w:ascii="宋体" w:hAnsi="宋体" w:cs="宋体"/>
          <w:sz w:val="24"/>
          <w:szCs w:val="24"/>
        </w:rPr>
        <w:t>的资质、类似经验及社保证明等）；</w:t>
      </w:r>
    </w:p>
    <w:p>
      <w:pPr>
        <w:pStyle w:val="8"/>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8"/>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（2）投标产品描述部分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8"/>
        <w:widowControl/>
        <w:adjustRightInd w:val="0"/>
        <w:snapToGrid w:val="0"/>
        <w:spacing w:line="360" w:lineRule="auto"/>
        <w:ind w:firstLine="480" w:firstLineChars="200"/>
        <w:rPr>
          <w:sz w:val="24"/>
        </w:rPr>
      </w:pPr>
      <w:r>
        <w:rPr>
          <w:rFonts w:hint="eastAsia"/>
          <w:sz w:val="24"/>
        </w:rPr>
        <w:t>②技术需求响应表；</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8"/>
        <w:widowControl/>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B.针对本项目的售后服务措施及承诺（售后技术服务方案、人员配备、故障响应时间、技术培训方案等）</w:t>
      </w:r>
      <w:r>
        <w:rPr>
          <w:rFonts w:hint="eastAsia" w:ascii="宋体" w:hAnsi="宋体" w:cs="宋体"/>
          <w:sz w:val="24"/>
          <w:szCs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hint="eastAsia" w:asciiTheme="minorEastAsia" w:hAnsiTheme="minorEastAsia" w:eastAsiaTheme="minorEastAsia"/>
          <w:b/>
          <w:kern w:val="0"/>
          <w:sz w:val="24"/>
          <w:lang w:eastAsia="zh-CN"/>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（2）报价明细表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en-GB" w:eastAsia="zh-CN"/>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eastAsia="zh-CN"/>
        </w:rPr>
        <w:t>；</w:t>
      </w:r>
    </w:p>
    <w:p>
      <w:pPr>
        <w:autoSpaceDE w:val="0"/>
        <w:autoSpaceDN w:val="0"/>
        <w:adjustRightInd w:val="0"/>
        <w:spacing w:line="360" w:lineRule="auto"/>
        <w:ind w:firstLine="480" w:firstLineChars="200"/>
        <w:rPr>
          <w:rFonts w:hint="eastAsia" w:asciiTheme="minorEastAsia" w:hAnsiTheme="minorEastAsia" w:eastAsiaTheme="minorEastAsia"/>
          <w:b/>
          <w:kern w:val="0"/>
          <w:sz w:val="24"/>
          <w:lang w:eastAsia="zh-CN"/>
        </w:rPr>
      </w:pPr>
      <w:r>
        <w:rPr>
          <w:rFonts w:hint="eastAsia" w:asciiTheme="minorEastAsia" w:hAnsiTheme="minorEastAsia" w:eastAsiaTheme="minorEastAsia"/>
          <w:kern w:val="0"/>
          <w:sz w:val="24"/>
        </w:rPr>
        <w:t>（4）针对报价投标人认为其他需要说明的</w:t>
      </w:r>
      <w:r>
        <w:rPr>
          <w:rFonts w:hint="eastAsia" w:asciiTheme="minorEastAsia" w:hAnsiTheme="minorEastAsia" w:eastAsiaTheme="minorEastAsia"/>
          <w:kern w:val="0"/>
          <w:sz w:val="24"/>
          <w:lang w:eastAsia="zh-CN"/>
        </w:rPr>
        <w:t>。</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8"/>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w:t>
      </w:r>
      <w:r>
        <w:rPr>
          <w:rFonts w:hint="eastAsia" w:asciiTheme="minorEastAsia" w:hAnsiTheme="minorEastAsia" w:eastAsiaTheme="minorEastAsia"/>
          <w:kern w:val="0"/>
          <w:sz w:val="24"/>
          <w:highlight w:val="none"/>
        </w:rPr>
        <w:t>机构</w:t>
      </w:r>
      <w:r>
        <w:rPr>
          <w:rFonts w:hint="eastAsia" w:asciiTheme="minorEastAsia" w:hAnsiTheme="minorEastAsia" w:eastAsiaTheme="minorEastAsia"/>
          <w:kern w:val="0"/>
          <w:sz w:val="24"/>
          <w:highlight w:val="none"/>
          <w:lang w:val="en-US" w:eastAsia="zh-CN"/>
        </w:rPr>
        <w:t>顺延</w:t>
      </w:r>
      <w:r>
        <w:rPr>
          <w:rFonts w:hint="eastAsia" w:asciiTheme="minorEastAsia" w:hAnsiTheme="minorEastAsia" w:eastAsiaTheme="minorEastAsia"/>
          <w:kern w:val="0"/>
          <w:sz w:val="24"/>
          <w:highlight w:val="none"/>
        </w:rPr>
        <w:t>截止时</w:t>
      </w:r>
      <w:r>
        <w:rPr>
          <w:rFonts w:hint="eastAsia" w:asciiTheme="minorEastAsia" w:hAnsiTheme="minorEastAsia" w:eastAsiaTheme="minorEastAsia"/>
          <w:kern w:val="0"/>
          <w:sz w:val="24"/>
        </w:rPr>
        <w:t>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2"/>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9"/>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6"/>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发布中标结果公告</w:t>
      </w:r>
    </w:p>
    <w:p>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pPr>
        <w:pStyle w:val="10"/>
        <w:numPr>
          <w:ilvl w:val="0"/>
          <w:numId w:val="6"/>
        </w:numPr>
        <w:spacing w:line="360" w:lineRule="auto"/>
        <w:ind w:left="0" w:leftChars="0"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发放中标通知书</w:t>
      </w:r>
    </w:p>
    <w:p>
      <w:pPr>
        <w:pStyle w:val="10"/>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9"/>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pPr>
        <w:pStyle w:val="19"/>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0"/>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0"/>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0"/>
        <w:spacing w:line="360" w:lineRule="auto"/>
        <w:ind w:firstLine="482" w:firstLineChars="200"/>
        <w:jc w:val="both"/>
        <w:rPr>
          <w:rFonts w:ascii="宋体" w:hAnsi="宋体"/>
          <w:b/>
          <w:bCs/>
          <w:sz w:val="24"/>
        </w:rPr>
      </w:pPr>
      <w:r>
        <w:rPr>
          <w:rFonts w:hint="eastAsia" w:ascii="宋体" w:hAnsi="宋体"/>
          <w:b/>
          <w:bCs/>
          <w:sz w:val="24"/>
        </w:rPr>
        <w:t>（一）询问</w:t>
      </w:r>
    </w:p>
    <w:p>
      <w:pPr>
        <w:pStyle w:val="10"/>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0"/>
        <w:spacing w:line="360" w:lineRule="auto"/>
        <w:ind w:firstLine="482" w:firstLineChars="200"/>
        <w:jc w:val="both"/>
        <w:rPr>
          <w:rFonts w:ascii="宋体" w:hAnsi="宋体"/>
          <w:b/>
          <w:bCs/>
          <w:sz w:val="24"/>
        </w:rPr>
      </w:pPr>
      <w:r>
        <w:rPr>
          <w:rFonts w:hint="eastAsia" w:ascii="宋体" w:hAnsi="宋体"/>
          <w:b/>
          <w:bCs/>
          <w:sz w:val="24"/>
        </w:rPr>
        <w:t>（二）质疑</w:t>
      </w:r>
    </w:p>
    <w:p>
      <w:pPr>
        <w:pStyle w:val="10"/>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0"/>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10"/>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0"/>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pPr>
        <w:pStyle w:val="10"/>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0"/>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sz w:val="24"/>
        </w:rPr>
      </w:pPr>
      <w:r>
        <w:rPr>
          <w:rFonts w:hint="eastAsia" w:ascii="宋体" w:hAnsi="宋体"/>
          <w:b/>
          <w:bCs/>
          <w:sz w:val="24"/>
        </w:rPr>
        <w:t>（三）投诉</w:t>
      </w:r>
    </w:p>
    <w:p>
      <w:pPr>
        <w:pStyle w:val="10"/>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0"/>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5" w:name="_Toc13072_WPSOffice_Level1"/>
      <w:r>
        <w:rPr>
          <w:rFonts w:hint="eastAsia" w:asciiTheme="minorEastAsia" w:hAnsiTheme="minorEastAsia" w:eastAsiaTheme="minorEastAsia"/>
          <w:b/>
          <w:sz w:val="36"/>
          <w:szCs w:val="36"/>
        </w:rPr>
        <w:t>招标需求</w:t>
      </w:r>
      <w:bookmarkEnd w:id="35"/>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1"/>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477"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991"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1477" w:type="dxa"/>
            <w:vAlign w:val="center"/>
          </w:tcPr>
          <w:p>
            <w:pPr>
              <w:tabs>
                <w:tab w:val="left" w:pos="8280"/>
              </w:tabs>
              <w:autoSpaceDE w:val="0"/>
              <w:autoSpaceDN w:val="0"/>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触控一体机、智慧黑板、LED显示屏及配套设备</w:t>
            </w:r>
          </w:p>
        </w:tc>
        <w:tc>
          <w:tcPr>
            <w:tcW w:w="1991"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批</w:t>
            </w:r>
          </w:p>
        </w:tc>
        <w:tc>
          <w:tcPr>
            <w:tcW w:w="1142" w:type="dxa"/>
            <w:vAlign w:val="center"/>
          </w:tcPr>
          <w:p>
            <w:pPr>
              <w:tabs>
                <w:tab w:val="left" w:pos="8280"/>
              </w:tabs>
              <w:autoSpaceDE w:val="0"/>
              <w:autoSpaceDN w:val="0"/>
              <w:adjustRightInd w:val="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338.64</w:t>
            </w:r>
          </w:p>
        </w:tc>
        <w:tc>
          <w:tcPr>
            <w:tcW w:w="1203" w:type="dxa"/>
            <w:vAlign w:val="center"/>
          </w:tcPr>
          <w:p>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338.64</w:t>
            </w:r>
          </w:p>
        </w:tc>
      </w:tr>
    </w:tbl>
    <w:p>
      <w:pPr>
        <w:tabs>
          <w:tab w:val="left" w:pos="8280"/>
        </w:tabs>
        <w:autoSpaceDE w:val="0"/>
        <w:autoSpaceDN w:val="0"/>
        <w:adjustRightIn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二、技术需求</w:t>
      </w:r>
    </w:p>
    <w:p>
      <w:pPr>
        <w:tabs>
          <w:tab w:val="left" w:pos="8280"/>
        </w:tabs>
        <w:autoSpaceDE w:val="0"/>
        <w:autoSpaceDN w:val="0"/>
        <w:adjustRightInd w:val="0"/>
        <w:spacing w:line="360" w:lineRule="auto"/>
        <w:ind w:firstLine="482"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（一）项目目标</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本项目旨在升级改造全校教学环境（多媒体教室、实训室）信息化、智能化水平，着力改变传统单一的教学与课程组织模式，增强课堂视听效果，有效提升课堂教学质量，全面提升全校信息化教学水平。本项目具体的目标或功能主要如下：</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一是通过创建智能化教学环境，突破教学空间限制，开展沉浸式、体验式教学等深度课堂互动，满足更多新形态课堂的教学组织需要，提高课堂教学有效性和师生满意度。</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二是通过课堂现场画面监测、数据采集与分析、教学资源共享，达到满足数字化教学改革以及持续改进课堂教学质量目标需求，不断提升人才培养质量，践行“以教学为中心”理念。</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三是通过教务系统、巡课系统与教学楼信息展示系统数据融合，实现各教学楼教室（实训室）教学状态展示、实时教学画面轮播、考场信息指引等功能，有效促进学校管理、教学、育人、社会服务等功能的有机融合。</w:t>
      </w:r>
    </w:p>
    <w:p>
      <w:pPr>
        <w:tabs>
          <w:tab w:val="left" w:pos="8280"/>
        </w:tabs>
        <w:autoSpaceDE w:val="0"/>
        <w:autoSpaceDN w:val="0"/>
        <w:adjustRightInd w:val="0"/>
        <w:spacing w:line="360" w:lineRule="auto"/>
        <w:ind w:firstLine="482"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二</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项目所需要执行的国家标准、行业标准、地方标准或者其他标准、规范</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1.</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 xml:space="preserve"> </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GB</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 xml:space="preserve"> </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 xml:space="preserve">28231-2011《书写板安全卫生要求》 </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2.</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 xml:space="preserve"> </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 xml:space="preserve">GB 21027-2007《学生用品的安全通用要求》 </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3.</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 xml:space="preserve"> </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 xml:space="preserve">GB 4943.1-2022 《信息技术设备》 </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4.</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 xml:space="preserve"> </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GB/T 25000.51-2016《系统与软件工程 系统与软件质量要求和评价》</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5.</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 xml:space="preserve"> </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GB/T 12060.5-2011《声系统设备 第5部分：扬声器主要性能测试方法》</w:t>
      </w:r>
    </w:p>
    <w:p>
      <w:pPr>
        <w:tabs>
          <w:tab w:val="left" w:pos="8280"/>
        </w:tabs>
        <w:autoSpaceDE w:val="0"/>
        <w:autoSpaceDN w:val="0"/>
        <w:adjustRightInd w:val="0"/>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tabs>
          <w:tab w:val="left" w:pos="8280"/>
        </w:tabs>
        <w:autoSpaceDE w:val="0"/>
        <w:autoSpaceDN w:val="0"/>
        <w:adjustRightInd w:val="0"/>
        <w:spacing w:line="360" w:lineRule="auto"/>
        <w:ind w:firstLine="482" w:firstLineChars="200"/>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三</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采购内容一览表</w:t>
      </w:r>
    </w:p>
    <w:tbl>
      <w:tblPr>
        <w:tblStyle w:val="21"/>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310"/>
        <w:gridCol w:w="1310"/>
        <w:gridCol w:w="1310"/>
        <w:gridCol w:w="1310"/>
        <w:gridCol w:w="131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序号</w:t>
            </w:r>
          </w:p>
        </w:tc>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采购内容</w:t>
            </w:r>
          </w:p>
        </w:tc>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数量</w:t>
            </w:r>
          </w:p>
        </w:tc>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单位</w:t>
            </w:r>
          </w:p>
        </w:tc>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是否为核心产品</w:t>
            </w:r>
          </w:p>
        </w:tc>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是否为主要产品</w:t>
            </w:r>
          </w:p>
        </w:tc>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86寸触控一体机</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83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是</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是</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落地移动支架</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9</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有源音箱</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68</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套</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4</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无线手持麦克风</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68</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5</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D0D0D"/>
                <w:kern w:val="0"/>
                <w:szCs w:val="21"/>
                <w:lang w:val="en-US" w:eastAsia="zh-CN"/>
              </w:rPr>
              <w:t>搪瓷</w:t>
            </w:r>
            <w:r>
              <w:rPr>
                <w:rFonts w:hint="eastAsia" w:ascii="宋体" w:hAnsi="宋体" w:cs="宋体"/>
                <w:color w:val="0D0D0D"/>
                <w:kern w:val="0"/>
                <w:szCs w:val="21"/>
              </w:rPr>
              <w:t>白板</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65</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D0D0D"/>
                <w:kern w:val="0"/>
                <w:szCs w:val="21"/>
              </w:rPr>
              <w:t>副</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color w:val="000000"/>
                <w:kern w:val="0"/>
                <w:szCs w:val="21"/>
              </w:rPr>
              <w:t>6</w:t>
            </w:r>
          </w:p>
        </w:tc>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120寸激光智慧黑板</w:t>
            </w:r>
          </w:p>
        </w:tc>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13</w:t>
            </w:r>
          </w:p>
        </w:tc>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套</w:t>
            </w:r>
          </w:p>
        </w:tc>
        <w:tc>
          <w:tcPr>
            <w:tcW w:w="1310" w:type="dxa"/>
            <w:noWrap w:val="0"/>
            <w:vAlign w:val="center"/>
          </w:tcPr>
          <w:p>
            <w:pPr>
              <w:adjustRightInd w:val="0"/>
              <w:snapToGrid w:val="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是</w:t>
            </w:r>
          </w:p>
        </w:tc>
        <w:tc>
          <w:tcPr>
            <w:tcW w:w="1310" w:type="dxa"/>
            <w:noWrap w:val="0"/>
            <w:vAlign w:val="center"/>
          </w:tcPr>
          <w:p>
            <w:pPr>
              <w:adjustRightInd w:val="0"/>
              <w:snapToGrid w:val="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是</w:t>
            </w:r>
          </w:p>
        </w:tc>
        <w:tc>
          <w:tcPr>
            <w:tcW w:w="1310" w:type="dxa"/>
            <w:noWrap w:val="0"/>
            <w:vAlign w:val="center"/>
          </w:tcPr>
          <w:p>
            <w:pPr>
              <w:adjustRightInd w:val="0"/>
              <w:snapToGrid w:val="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7</w:t>
            </w:r>
          </w:p>
        </w:tc>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szCs w:val="21"/>
              </w:rPr>
              <w:t>超短焦激光投影机</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szCs w:val="21"/>
              </w:rPr>
              <w:t>12</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8</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szCs w:val="21"/>
              </w:rPr>
              <w:t>150寸电子白板</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12</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9</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上下推拉绿板</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7</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套</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10</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上下推拉互联绿板1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6</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套</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szCs w:val="21"/>
              </w:rPr>
              <w:t>上下推拉互联绿板2</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szCs w:val="21"/>
              </w:rPr>
              <w:t>8</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12</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szCs w:val="21"/>
              </w:rPr>
              <w:t>智能红外无线功放</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szCs w:val="21"/>
              </w:rPr>
              <w:t>红外线传感器</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6</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14</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红外线颈挂式话筒</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个</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15</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红外线手持话筒</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个</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16</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有线鹅颈话筒</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个</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17</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组合式双路充电座</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个</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18</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垂直阵列主扩扬声器</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12</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19</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65寸大屏显示终端</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56</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20</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75寸大屏显示终端</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szCs w:val="21"/>
              </w:rPr>
              <w:t>10</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85寸大屏显示终端</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22</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高清LED显示屏1（含配套）</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szCs w:val="21"/>
              </w:rPr>
              <w:t>21.9</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平方</w:t>
            </w:r>
            <w:r>
              <w:rPr>
                <w:rFonts w:hint="eastAsia" w:ascii="宋体" w:hAnsi="宋体" w:cs="宋体"/>
                <w:color w:val="000000"/>
                <w:kern w:val="0"/>
                <w:szCs w:val="21"/>
                <w:lang w:val="en-US" w:eastAsia="zh-CN"/>
              </w:rPr>
              <w:t>米</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是</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是</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视频处理器1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24</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高清LED显示屏2（含配套）</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29.5</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平方</w:t>
            </w:r>
            <w:r>
              <w:rPr>
                <w:rFonts w:hint="eastAsia" w:ascii="宋体" w:hAnsi="宋体" w:cs="宋体"/>
                <w:color w:val="000000"/>
                <w:kern w:val="0"/>
                <w:szCs w:val="21"/>
                <w:lang w:val="en-US" w:eastAsia="zh-CN"/>
              </w:rPr>
              <w:t>米</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是</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是</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25</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视频处理器2</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26</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管理控制终端</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27</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触摸显示器</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28</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HDMI延长器</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66</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套</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29</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一分八HDMI分配器</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4</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30</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一分四HDMI分配器</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15</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一分二HDMI分配器</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14</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32</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升降讲台桌</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张</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33</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网络机柜</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个</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34</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信息发布盒</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7</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35</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教学楼信息展示系统</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套</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36</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网络视频编码器</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50</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台</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37</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巡课录像存储设备</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套</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color w:val="000000"/>
                <w:kern w:val="0"/>
                <w:szCs w:val="21"/>
              </w:rPr>
              <w:t>38</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墙面及地面改造</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项</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39</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辅材</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项</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widowControl/>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40</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设备</w:t>
            </w:r>
            <w:r>
              <w:rPr>
                <w:rFonts w:hint="eastAsia" w:ascii="宋体" w:hAnsi="宋体" w:cs="宋体"/>
                <w:color w:val="000000"/>
                <w:kern w:val="0"/>
                <w:szCs w:val="21"/>
                <w:lang w:val="en-US" w:eastAsia="zh-CN"/>
              </w:rPr>
              <w:t>集成</w:t>
            </w:r>
            <w:r>
              <w:rPr>
                <w:rFonts w:hint="eastAsia" w:ascii="宋体" w:hAnsi="宋体" w:cs="宋体"/>
                <w:color w:val="000000"/>
                <w:kern w:val="0"/>
                <w:szCs w:val="21"/>
              </w:rPr>
              <w:t>调试</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1</w:t>
            </w:r>
          </w:p>
        </w:tc>
        <w:tc>
          <w:tcPr>
            <w:tcW w:w="1310" w:type="dxa"/>
            <w:noWrap w:val="0"/>
            <w:vAlign w:val="center"/>
          </w:tcPr>
          <w:p>
            <w:pPr>
              <w:widowControl/>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Cs w:val="21"/>
              </w:rPr>
              <w:t>项</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c>
          <w:tcPr>
            <w:tcW w:w="1310" w:type="dxa"/>
            <w:noWrap w:val="0"/>
            <w:vAlign w:val="center"/>
          </w:tcPr>
          <w:p>
            <w:pPr>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Cs/>
                <w:kern w:val="0"/>
                <w:szCs w:val="21"/>
              </w:rPr>
              <w:t>否</w:t>
            </w:r>
          </w:p>
        </w:tc>
      </w:tr>
    </w:tbl>
    <w:p>
      <w:pPr>
        <w:pStyle w:val="8"/>
        <w:spacing w:line="360" w:lineRule="auto"/>
        <w:ind w:left="0" w:leftChars="0" w:firstLine="0" w:firstLineChars="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8"/>
        <w:spacing w:line="360" w:lineRule="auto"/>
        <w:ind w:firstLine="482"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四</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具体参数需求</w:t>
      </w:r>
    </w:p>
    <w:tbl>
      <w:tblPr>
        <w:tblStyle w:val="22"/>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906"/>
        <w:gridCol w:w="648"/>
        <w:gridCol w:w="678"/>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shd w:val="clear" w:color="auto" w:fill="AEAAAA" w:themeFill="background2" w:themeFillShade="BF"/>
            <w:vAlign w:val="center"/>
          </w:tcPr>
          <w:p>
            <w:pPr>
              <w:widowControl/>
              <w:jc w:val="center"/>
              <w:textAlignment w:val="center"/>
              <w:rPr>
                <w:rFonts w:ascii="宋体" w:hAnsi="宋体" w:cs="宋体"/>
                <w:bCs/>
                <w:w w:val="80"/>
                <w:sz w:val="21"/>
                <w:szCs w:val="21"/>
              </w:rPr>
            </w:pPr>
            <w:r>
              <w:rPr>
                <w:rFonts w:hint="eastAsia" w:ascii="宋体" w:hAnsi="宋体" w:cs="宋体"/>
                <w:b/>
                <w:color w:val="000000"/>
                <w:kern w:val="0"/>
                <w:sz w:val="21"/>
                <w:szCs w:val="21"/>
              </w:rPr>
              <w:t>序号</w:t>
            </w:r>
          </w:p>
        </w:tc>
        <w:tc>
          <w:tcPr>
            <w:tcW w:w="494" w:type="pct"/>
            <w:shd w:val="clear" w:color="auto" w:fill="AEAAAA" w:themeFill="background2" w:themeFillShade="BF"/>
            <w:vAlign w:val="center"/>
          </w:tcPr>
          <w:p>
            <w:pPr>
              <w:widowControl/>
              <w:jc w:val="center"/>
              <w:textAlignment w:val="center"/>
              <w:rPr>
                <w:rFonts w:hint="eastAsia" w:ascii="宋体" w:hAnsi="宋体" w:cs="宋体"/>
                <w:b/>
                <w:color w:val="000000"/>
                <w:kern w:val="0"/>
                <w:sz w:val="21"/>
                <w:szCs w:val="21"/>
              </w:rPr>
            </w:pPr>
            <w:r>
              <w:rPr>
                <w:rFonts w:hint="eastAsia" w:ascii="宋体" w:hAnsi="宋体" w:cs="宋体"/>
                <w:b/>
                <w:color w:val="000000"/>
                <w:kern w:val="0"/>
                <w:sz w:val="21"/>
                <w:szCs w:val="21"/>
              </w:rPr>
              <w:t>货物</w:t>
            </w:r>
          </w:p>
          <w:p>
            <w:pPr>
              <w:widowControl/>
              <w:jc w:val="center"/>
              <w:textAlignment w:val="center"/>
              <w:rPr>
                <w:rFonts w:ascii="宋体" w:hAnsi="宋体" w:cs="宋体"/>
                <w:bCs/>
                <w:w w:val="80"/>
                <w:sz w:val="21"/>
                <w:szCs w:val="21"/>
              </w:rPr>
            </w:pPr>
            <w:r>
              <w:rPr>
                <w:rFonts w:hint="eastAsia" w:ascii="宋体" w:hAnsi="宋体" w:cs="宋体"/>
                <w:b/>
                <w:color w:val="000000"/>
                <w:kern w:val="0"/>
                <w:sz w:val="21"/>
                <w:szCs w:val="21"/>
              </w:rPr>
              <w:t>名称</w:t>
            </w:r>
          </w:p>
        </w:tc>
        <w:tc>
          <w:tcPr>
            <w:tcW w:w="353" w:type="pct"/>
            <w:shd w:val="clear" w:color="auto" w:fill="AEAAAA" w:themeFill="background2" w:themeFillShade="BF"/>
            <w:vAlign w:val="center"/>
          </w:tcPr>
          <w:p>
            <w:pPr>
              <w:widowControl/>
              <w:jc w:val="center"/>
              <w:textAlignment w:val="center"/>
              <w:rPr>
                <w:rFonts w:ascii="宋体" w:hAnsi="宋体" w:cs="宋体"/>
                <w:bCs/>
                <w:w w:val="80"/>
                <w:sz w:val="21"/>
                <w:szCs w:val="21"/>
              </w:rPr>
            </w:pPr>
            <w:r>
              <w:rPr>
                <w:rFonts w:hint="eastAsia" w:ascii="宋体" w:hAnsi="宋体" w:cs="宋体"/>
                <w:b/>
                <w:color w:val="000000"/>
                <w:kern w:val="0"/>
                <w:sz w:val="21"/>
                <w:szCs w:val="21"/>
              </w:rPr>
              <w:t>数量</w:t>
            </w:r>
          </w:p>
        </w:tc>
        <w:tc>
          <w:tcPr>
            <w:tcW w:w="370" w:type="pct"/>
            <w:shd w:val="clear" w:color="auto" w:fill="AEAAAA" w:themeFill="background2" w:themeFillShade="BF"/>
            <w:vAlign w:val="center"/>
          </w:tcPr>
          <w:p>
            <w:pPr>
              <w:widowControl/>
              <w:jc w:val="center"/>
              <w:textAlignment w:val="center"/>
              <w:rPr>
                <w:rFonts w:ascii="宋体" w:hAnsi="宋体" w:cs="宋体"/>
                <w:bCs/>
                <w:w w:val="80"/>
                <w:sz w:val="21"/>
                <w:szCs w:val="21"/>
              </w:rPr>
            </w:pPr>
            <w:r>
              <w:rPr>
                <w:rFonts w:hint="eastAsia" w:ascii="宋体" w:hAnsi="宋体" w:cs="宋体"/>
                <w:b/>
                <w:color w:val="000000"/>
                <w:kern w:val="0"/>
                <w:sz w:val="21"/>
                <w:szCs w:val="21"/>
              </w:rPr>
              <w:t>单位</w:t>
            </w:r>
          </w:p>
        </w:tc>
        <w:tc>
          <w:tcPr>
            <w:tcW w:w="3498" w:type="pct"/>
            <w:shd w:val="clear" w:color="auto" w:fill="AEAAAA" w:themeFill="background2" w:themeFillShade="BF"/>
            <w:vAlign w:val="center"/>
          </w:tcPr>
          <w:p>
            <w:pPr>
              <w:widowControl/>
              <w:jc w:val="center"/>
              <w:textAlignment w:val="center"/>
              <w:rPr>
                <w:rFonts w:ascii="宋体" w:hAnsi="宋体" w:cs="宋体"/>
                <w:bCs/>
                <w:w w:val="80"/>
                <w:sz w:val="21"/>
                <w:szCs w:val="21"/>
              </w:rPr>
            </w:pPr>
            <w:r>
              <w:rPr>
                <w:rFonts w:hint="eastAsia" w:ascii="宋体" w:hAnsi="宋体" w:cs="宋体"/>
                <w:b/>
                <w:color w:val="000000"/>
                <w:kern w:val="0"/>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86寸触控一体机</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83</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一、整体设计</w:t>
            </w:r>
          </w:p>
          <w:p>
            <w:pPr>
              <w:widowControl/>
              <w:jc w:val="left"/>
              <w:textAlignment w:val="center"/>
              <w:rPr>
                <w:rFonts w:ascii="宋体" w:hAnsi="宋体" w:cs="宋体"/>
                <w:sz w:val="21"/>
                <w:szCs w:val="21"/>
              </w:rPr>
            </w:pPr>
            <w:r>
              <w:rPr>
                <w:rFonts w:hint="eastAsia" w:ascii="宋体" w:hAnsi="宋体" w:cs="宋体"/>
                <w:color w:val="000000"/>
                <w:kern w:val="0"/>
                <w:sz w:val="21"/>
                <w:szCs w:val="21"/>
              </w:rPr>
              <w:t>★1.整机采用86英寸超高清LED液晶屏，显示比例16:9，分辨率3840×2160，支持色彩空间可选，包含标准模式和sRGB模式，在sRGB模式下可做到高色准△E≤1.0，钢化玻璃表面硬度≥9H；</w:t>
            </w:r>
            <w:r>
              <w:rPr>
                <w:rFonts w:hint="eastAsia" w:ascii="宋体" w:hAnsi="宋体" w:cs="宋体"/>
                <w:sz w:val="21"/>
                <w:szCs w:val="21"/>
              </w:rPr>
              <w:t>（需提供国家认可的第三方检测机构所出具的检测报告扫描件）</w:t>
            </w:r>
          </w:p>
          <w:p>
            <w:pPr>
              <w:widowControl/>
              <w:jc w:val="left"/>
              <w:textAlignment w:val="center"/>
              <w:rPr>
                <w:rFonts w:ascii="宋体" w:hAnsi="宋体" w:cs="宋体"/>
                <w:color w:val="auto"/>
                <w:kern w:val="0"/>
                <w:sz w:val="21"/>
                <w:szCs w:val="21"/>
              </w:rPr>
            </w:pPr>
            <w:r>
              <w:rPr>
                <w:rFonts w:hint="eastAsia" w:ascii="宋体" w:hAnsi="宋体" w:cs="宋体"/>
                <w:color w:val="000000"/>
                <w:kern w:val="0"/>
                <w:sz w:val="21"/>
                <w:szCs w:val="21"/>
              </w:rPr>
              <w:t>2.硬件低蓝光：整机采用硬件低蓝光背光技术，在源头减少有害蓝光波段能量，蓝光占比（有害蓝光</w:t>
            </w:r>
            <w:r>
              <w:rPr>
                <w:rFonts w:hint="eastAsia" w:ascii="宋体" w:hAnsi="宋体" w:cs="宋体"/>
                <w:color w:val="auto"/>
                <w:kern w:val="0"/>
                <w:sz w:val="21"/>
                <w:szCs w:val="21"/>
              </w:rPr>
              <w:t>415～455nm能量综合）/（整体蓝光400～500能量综合）＜50%，低蓝光保护显示不偏色、不泛黄；</w:t>
            </w:r>
          </w:p>
          <w:p>
            <w:pPr>
              <w:widowControl/>
              <w:jc w:val="left"/>
              <w:textAlignment w:val="center"/>
              <w:rPr>
                <w:rFonts w:ascii="宋体" w:hAnsi="宋体" w:cs="宋体"/>
                <w:color w:val="000000"/>
                <w:kern w:val="0"/>
                <w:sz w:val="21"/>
                <w:szCs w:val="21"/>
              </w:rPr>
            </w:pPr>
            <w:r>
              <w:rPr>
                <w:rFonts w:hint="eastAsia" w:ascii="宋体" w:hAnsi="宋体" w:cs="宋体"/>
                <w:color w:val="auto"/>
                <w:kern w:val="0"/>
                <w:sz w:val="21"/>
                <w:szCs w:val="21"/>
              </w:rPr>
              <w:t>3.整机内置2.2声道扬声器，位于设备上边框，顶置朝前发声，额</w:t>
            </w:r>
            <w:r>
              <w:rPr>
                <w:rFonts w:hint="eastAsia" w:ascii="宋体" w:hAnsi="宋体" w:cs="宋体"/>
                <w:color w:val="000000"/>
                <w:kern w:val="0"/>
                <w:sz w:val="21"/>
                <w:szCs w:val="21"/>
              </w:rPr>
              <w:t>定总功率≥50W；</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4.整机内置非独立外扩展的8阵列麦克风，拾音角度≥160°，可用于对教室环境音频进行采集，拾音距离≥10m；</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★5.整机上边框内置非独立式摄像头，采用一体化集成设计，摄像头数量≥4个</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其中</w:t>
            </w:r>
            <w:r>
              <w:rPr>
                <w:rFonts w:hint="eastAsia" w:ascii="宋体" w:hAnsi="宋体" w:cs="宋体"/>
                <w:color w:val="auto"/>
                <w:kern w:val="0"/>
                <w:sz w:val="21"/>
                <w:szCs w:val="21"/>
              </w:rPr>
              <w:t>智能拼接摄像头≥3个</w:t>
            </w:r>
            <w:r>
              <w:rPr>
                <w:rFonts w:hint="eastAsia" w:ascii="宋体" w:hAnsi="宋体" w:cs="宋体"/>
                <w:color w:val="000000"/>
                <w:kern w:val="0"/>
                <w:sz w:val="21"/>
                <w:szCs w:val="21"/>
              </w:rPr>
              <w:t>，支持清晰度TV lines≥1600 lines。视场角≥141度且水平视场角≥139度，可拍摄≥1600万像素的照片，支持输出8192×2048分辨率的照片和视频，支持画面畸变矫正功能；</w:t>
            </w:r>
            <w:r>
              <w:rPr>
                <w:rFonts w:hint="eastAsia" w:ascii="宋体" w:hAnsi="宋体" w:cs="宋体"/>
                <w:sz w:val="21"/>
                <w:szCs w:val="21"/>
              </w:rPr>
              <w:t>（需提供国家认可的第三方检测机构所出具的检测报告扫描件）</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.整机支持蓝牙Blue</w:t>
            </w:r>
            <w:r>
              <w:rPr>
                <w:rFonts w:hint="eastAsia" w:ascii="宋体" w:hAnsi="宋体" w:cs="宋体"/>
                <w:color w:val="auto"/>
                <w:kern w:val="0"/>
                <w:sz w:val="21"/>
                <w:szCs w:val="21"/>
              </w:rPr>
              <w:t xml:space="preserve">tooth 5.4标准； </w:t>
            </w:r>
          </w:p>
          <w:p>
            <w:pPr>
              <w:widowControl/>
              <w:jc w:val="left"/>
              <w:textAlignment w:val="center"/>
              <w:rPr>
                <w:rFonts w:ascii="宋体" w:hAnsi="宋体" w:cs="宋体"/>
                <w:color w:val="auto"/>
                <w:kern w:val="0"/>
                <w:sz w:val="21"/>
                <w:szCs w:val="21"/>
              </w:rPr>
            </w:pP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.整机Windows通道支持文件传输应用，支持多人同时将手机文件传输到整机上；支持通过扫码、wifi直联、超声三种方式与手机进行握手连接，实现文件传输功能，传输方式支持公网传输、局域网传</w:t>
            </w:r>
            <w:r>
              <w:rPr>
                <w:rFonts w:hint="eastAsia" w:ascii="宋体" w:hAnsi="宋体" w:cs="宋体"/>
                <w:color w:val="auto"/>
                <w:kern w:val="0"/>
                <w:sz w:val="21"/>
                <w:szCs w:val="21"/>
              </w:rPr>
              <w:t>输、WiFi 直连传输；</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cs="宋体"/>
                <w:color w:val="auto"/>
                <w:kern w:val="0"/>
                <w:sz w:val="21"/>
                <w:szCs w:val="21"/>
              </w:rPr>
              <w:t>.整机接口：侧置输入接口具备≥2路HDMI、≥1路RS232、≥1路USB接口；侧置输出接口具备≥1路音频输出、≥1路触控USB输出；前置输入接口具备≥3路USB接口（包含1路Type-C、2路USB）；</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.整机关机状态下，通过长按电源键进入设置界面后，可点击屏幕选择恢复Android系统及Windows操作系统到出厂默认状态，无需额外工具辅助；</w:t>
            </w:r>
          </w:p>
          <w:p>
            <w:pPr>
              <w:widowControl/>
              <w:jc w:val="left"/>
              <w:textAlignment w:val="center"/>
            </w:pPr>
            <w:r>
              <w:rPr>
                <w:rFonts w:hint="eastAsia" w:ascii="宋体" w:hAnsi="宋体" w:eastAsia="宋体" w:cs="宋体"/>
                <w:color w:val="000000"/>
                <w:kern w:val="0"/>
                <w:szCs w:val="21"/>
                <w:lang w:val="en-US" w:eastAsia="zh-CN"/>
              </w:rPr>
              <w:t>10.设备支持≥5个自定义前置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sz w:val="21"/>
                <w:szCs w:val="21"/>
              </w:rPr>
              <w:t>（演示</w:t>
            </w:r>
            <w:r>
              <w:rPr>
                <w:rFonts w:hint="eastAsia" w:ascii="宋体" w:hAnsi="宋体" w:cs="宋体"/>
                <w:sz w:val="21"/>
                <w:szCs w:val="21"/>
                <w:lang w:val="en-US" w:eastAsia="zh-CN"/>
              </w:rPr>
              <w:t>内容</w:t>
            </w:r>
            <w:r>
              <w:rPr>
                <w:rFonts w:hint="eastAsia" w:ascii="宋体" w:hAnsi="宋体" w:cs="宋体"/>
                <w:sz w:val="21"/>
                <w:szCs w:val="21"/>
                <w:lang w:eastAsia="zh-CN"/>
              </w:rPr>
              <w:t>，</w:t>
            </w:r>
            <w:r>
              <w:rPr>
                <w:rFonts w:hint="eastAsia" w:ascii="宋体" w:hAnsi="宋体" w:cs="宋体"/>
                <w:sz w:val="21"/>
                <w:szCs w:val="21"/>
                <w:lang w:val="en-US" w:eastAsia="zh-CN"/>
              </w:rPr>
              <w:t>不计入负偏离扣分</w:t>
            </w:r>
            <w:r>
              <w:rPr>
                <w:rFonts w:hint="eastAsia" w:ascii="宋体" w:hAnsi="宋体" w:eastAsia="宋体" w:cs="宋体"/>
                <w:sz w:val="21"/>
                <w:szCs w:val="21"/>
              </w:rPr>
              <w:t>）</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.嵌入式系统版本不低于Android 13，内存≥2GB，存储空间≥8GB；</w:t>
            </w:r>
          </w:p>
          <w:p>
            <w:pPr>
              <w:widowControl/>
              <w:jc w:val="left"/>
              <w:textAlignment w:val="center"/>
              <w:rPr>
                <w:rFonts w:ascii="宋体" w:hAnsi="宋体" w:cs="宋体"/>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.采用红外触控方式，支持Windows系统中进行40点或以上触控，支持在Android系统中进行40点或以上触控。</w:t>
            </w:r>
            <w:r>
              <w:rPr>
                <w:rFonts w:hint="eastAsia" w:ascii="宋体" w:hAnsi="宋体" w:cs="宋体"/>
                <w:sz w:val="21"/>
                <w:szCs w:val="21"/>
              </w:rPr>
              <w:t>（需提供国家认可的第三方检测机构所出具的检测报告扫描件）</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二、OPS主机</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13.搭载不低于12代Intel 酷睿系列i5 CPU。内存：16GB DDR4笔记本内存或以上配置。硬盘：512GB或以上SSD固态硬盘；</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14.模块接口设有≥1路HDMI ，USB接口：≥3路USB。</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三、课堂教学互动软件</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15.不需借助任何外接设备，在公网环境下即可支持学生端手机、平板同教师端进行连接；</w:t>
            </w:r>
          </w:p>
          <w:p>
            <w:pPr>
              <w:widowControl/>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16.设备自带的教学系统具备公网互动反馈功能，将所有学生端和教师端连接一起构建成互动反馈系统，在系统里面教师可以单选，多选，判断，观点，抢答，抽选，文件下发，批注下发，且查看到学生的入班考勤情况，包括学生姓名、头像等。（演示</w:t>
            </w:r>
            <w:r>
              <w:rPr>
                <w:rFonts w:hint="eastAsia" w:ascii="宋体" w:hAnsi="宋体" w:cs="宋体"/>
                <w:color w:val="000000"/>
                <w:kern w:val="0"/>
                <w:sz w:val="21"/>
                <w:szCs w:val="21"/>
                <w:lang w:val="en-US" w:eastAsia="zh-CN"/>
              </w:rPr>
              <w:t>内容</w:t>
            </w:r>
            <w:r>
              <w:rPr>
                <w:rFonts w:hint="eastAsia" w:ascii="宋体" w:hAnsi="宋体" w:cs="宋体"/>
                <w:color w:val="000000"/>
                <w:kern w:val="0"/>
                <w:sz w:val="21"/>
                <w:szCs w:val="21"/>
              </w:rPr>
              <w:t>，不计入负偏离扣分）</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.教师播放课件时，提供授课小工具，包括画笔、橡皮擦、板中板、放大镜和批注分享功能，同时支持计时器、截图推送功能；</w:t>
            </w:r>
          </w:p>
          <w:p>
            <w:pPr>
              <w:widowControl/>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18.互动反馈系统在上课结束后支持实时生成课程报告，课堂报告支持查看签到人数，课堂互动总数，平均参与度，提问个数，支持查看考勤详情，互动详情和提问详情。 资料分发，随时调用课堂发生过的答题，抽选，抢答和观点几种课堂活动的记录进行回顾解答。（演示</w:t>
            </w:r>
            <w:r>
              <w:rPr>
                <w:rFonts w:hint="eastAsia" w:ascii="宋体" w:hAnsi="宋体" w:cs="宋体"/>
                <w:color w:val="000000"/>
                <w:kern w:val="0"/>
                <w:sz w:val="21"/>
                <w:szCs w:val="21"/>
                <w:lang w:val="en-US" w:eastAsia="zh-CN"/>
              </w:rPr>
              <w:t>内容</w:t>
            </w:r>
            <w:r>
              <w:rPr>
                <w:rFonts w:hint="eastAsia" w:ascii="宋体" w:hAnsi="宋体" w:cs="宋体"/>
                <w:color w:val="000000"/>
                <w:kern w:val="0"/>
                <w:sz w:val="21"/>
                <w:szCs w:val="21"/>
              </w:rPr>
              <w:t>，不计入负偏离扣分）</w:t>
            </w:r>
          </w:p>
          <w:p>
            <w:pPr>
              <w:widowControl/>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19.可通过整机内置摄像头进行人脸识别账号登陆，登陆后进入到教师账号云空间，可自动同步教师个人最近使用课件，并一键调用教师云空间及校本资源课件。（演示</w:t>
            </w:r>
            <w:r>
              <w:rPr>
                <w:rFonts w:hint="eastAsia" w:ascii="宋体" w:hAnsi="宋体" w:cs="宋体"/>
                <w:color w:val="000000"/>
                <w:kern w:val="0"/>
                <w:sz w:val="21"/>
                <w:szCs w:val="21"/>
                <w:lang w:val="en-US" w:eastAsia="zh-CN"/>
              </w:rPr>
              <w:t>内容</w:t>
            </w:r>
            <w:r>
              <w:rPr>
                <w:rFonts w:hint="eastAsia" w:ascii="宋体" w:hAnsi="宋体" w:cs="宋体"/>
                <w:color w:val="000000"/>
                <w:kern w:val="0"/>
                <w:sz w:val="21"/>
                <w:szCs w:val="21"/>
              </w:rPr>
              <w:t>，不计入负偏离扣分）</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.教师端工具栏支持无线传屏，点击开启无线传屏则打开传屏码，老师自带笔记本在互动教学软件输入传屏码即可进行无线传屏；</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.支持老师一键调起黑板进行板书书写，书写支持笔锋书写，同时支持把老师书写的笔记转换成文字；书写笔记支持背手擦除，一键扫码打走，保存云端，发送给学生。</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四、集中控制系统</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22</w:t>
            </w:r>
            <w:r>
              <w:rPr>
                <w:rFonts w:hint="eastAsia" w:ascii="宋体" w:hAnsi="宋体" w:cs="宋体"/>
                <w:color w:val="000000"/>
                <w:kern w:val="0"/>
                <w:sz w:val="21"/>
                <w:szCs w:val="21"/>
              </w:rPr>
              <w:t>.支持系统智能分析设备违规使用情况，并提供对应的处理策略。包含：支持分析设备在非教学时间段使用，提供节能策略设置措施，以保护设备屏幕，延长设备寿命；支持分析设备使用的非教学软件情况，提供一键拦截功能，以防学生违规使用设备；支持分析设备访问的网址信息，标识违规网址，以便学校针对性管理。支持每周自动生成设备管理周报，以便管理者日常汇报工作，以及回顾管理成效；</w:t>
            </w:r>
            <w:r>
              <w:rPr>
                <w:rFonts w:hint="eastAsia" w:ascii="宋体" w:hAnsi="宋体" w:cs="宋体"/>
                <w:sz w:val="21"/>
                <w:szCs w:val="21"/>
              </w:rPr>
              <w:t>（需提供国家认可的第三方检测机构所出具的检测报告扫描件）</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★2</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hint="eastAsia" w:ascii="宋体" w:hAnsi="宋体" w:cs="宋体"/>
                <w:sz w:val="21"/>
                <w:szCs w:val="21"/>
              </w:rPr>
              <w:t>（需提供国家认可的第三方检测机构所出具的检测报告扫描件）</w:t>
            </w:r>
          </w:p>
          <w:p>
            <w:pPr>
              <w:widowControl/>
              <w:jc w:val="left"/>
              <w:textAlignment w:val="center"/>
              <w:rPr>
                <w:rFonts w:ascii="宋体" w:hAnsi="宋体" w:cs="宋体"/>
                <w:sz w:val="21"/>
                <w:szCs w:val="21"/>
              </w:rPr>
            </w:pPr>
            <w:r>
              <w:rPr>
                <w:rFonts w:hint="eastAsia" w:ascii="宋体" w:hAnsi="宋体" w:cs="宋体"/>
                <w:color w:val="000000"/>
                <w:kern w:val="0"/>
                <w:sz w:val="21"/>
                <w:szCs w:val="21"/>
              </w:rPr>
              <w:t>2</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落地移动支架</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kern w:val="0"/>
                <w:sz w:val="21"/>
                <w:szCs w:val="21"/>
              </w:rPr>
              <w:t>1.底座设有万向轮，方便推拉；</w:t>
            </w:r>
            <w:r>
              <w:rPr>
                <w:rFonts w:hint="eastAsia" w:ascii="宋体" w:hAnsi="宋体" w:cs="宋体"/>
                <w:kern w:val="0"/>
                <w:sz w:val="21"/>
                <w:szCs w:val="21"/>
              </w:rPr>
              <w:br w:type="textWrapping"/>
            </w:r>
            <w:r>
              <w:rPr>
                <w:rFonts w:hint="eastAsia" w:ascii="宋体" w:hAnsi="宋体" w:cs="宋体"/>
                <w:kern w:val="0"/>
                <w:sz w:val="21"/>
                <w:szCs w:val="21"/>
              </w:rPr>
              <w:t>2.适配86寸触控一体机。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有源音箱</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68</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3498" w:type="pct"/>
          </w:tcPr>
          <w:p>
            <w:pPr>
              <w:widowControl/>
              <w:jc w:val="left"/>
              <w:textAlignment w:val="top"/>
              <w:rPr>
                <w:rFonts w:ascii="宋体" w:hAnsi="宋体" w:cs="宋体"/>
                <w:color w:val="000000"/>
                <w:kern w:val="0"/>
                <w:sz w:val="21"/>
                <w:szCs w:val="21"/>
              </w:rPr>
            </w:pPr>
            <w:r>
              <w:rPr>
                <w:rFonts w:hint="eastAsia" w:ascii="宋体" w:hAnsi="宋体" w:cs="宋体"/>
                <w:color w:val="000000"/>
                <w:kern w:val="0"/>
                <w:sz w:val="21"/>
                <w:szCs w:val="21"/>
              </w:rPr>
              <w:t>1.输出额定功率≥2x40W；</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2.音箱灵敏度≥85dB，1W/1M。信噪比≥83dB；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3.全频喇叭单元尺寸≥6.5英寸，高音喇叭单元尺寸≥3英寸；</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4.声频响70Hz-18kHz；</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5.距离音箱10米处声压级≥75dB；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6.具备≥1路电源开关、1路Audio in、1路Audio out、1路Mic in、1路USB 接口。USB接口可外接U盘设备对音箱固件进行升级；</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7.配置独立音频数字信号处理芯片，支持啸叫抑制功能；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8.支持蓝牙无线接收，可分享移动设备上的音频。支持密码模式，防止学生连接；</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9.支持安卓手机通过蓝牙无线连接音箱，实现控制有源音箱的音量、设置蓝牙名称、设置蓝牙密码等功能，方便教师对音箱的管控；</w:t>
            </w:r>
          </w:p>
          <w:p>
            <w:pPr>
              <w:widowControl/>
              <w:jc w:val="left"/>
              <w:textAlignment w:val="top"/>
              <w:rPr>
                <w:rFonts w:ascii="宋体" w:hAnsi="宋体" w:cs="宋体"/>
                <w:sz w:val="21"/>
                <w:szCs w:val="21"/>
              </w:rPr>
            </w:pPr>
            <w:r>
              <w:rPr>
                <w:rFonts w:hint="eastAsia" w:ascii="宋体" w:hAnsi="宋体" w:cs="宋体"/>
                <w:color w:val="000000"/>
                <w:kern w:val="0"/>
                <w:sz w:val="21"/>
                <w:szCs w:val="21"/>
              </w:rPr>
              <w:t>10.支持交互智能平板显示设备通过蓝牙无线连接音箱，实现控制有源音箱的音量的功能。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无线手持麦克风</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68</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3498" w:type="pct"/>
          </w:tcPr>
          <w:p>
            <w:pPr>
              <w:widowControl/>
              <w:jc w:val="left"/>
              <w:textAlignment w:val="top"/>
              <w:rPr>
                <w:rFonts w:ascii="宋体" w:hAnsi="宋体" w:cs="宋体"/>
                <w:color w:val="000000"/>
                <w:kern w:val="0"/>
                <w:sz w:val="21"/>
                <w:szCs w:val="21"/>
              </w:rPr>
            </w:pPr>
            <w:r>
              <w:rPr>
                <w:rFonts w:hint="eastAsia" w:ascii="宋体" w:hAnsi="宋体" w:cs="宋体"/>
                <w:color w:val="000000"/>
                <w:kern w:val="0"/>
                <w:sz w:val="21"/>
                <w:szCs w:val="21"/>
              </w:rPr>
              <w:t>1.无线麦克风集音频发射处理器、天线、电池、拾音麦克风于一体，配合一体化有源音箱，无需任何外接辅助设备即可实现本地扩声功能；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2.采样率≥48KHz，16bit；扩音增益≥15dB；声频响150Hz-16kHz，声信噪比≥60dB；配合一体化有源音箱，扩音延时≤35ms；</w:t>
            </w:r>
          </w:p>
          <w:p>
            <w:pPr>
              <w:widowControl/>
              <w:jc w:val="left"/>
              <w:textAlignment w:val="top"/>
              <w:rPr>
                <w:rFonts w:ascii="宋体" w:hAnsi="宋体" w:cs="宋体"/>
                <w:color w:val="000000"/>
                <w:kern w:val="0"/>
                <w:sz w:val="21"/>
                <w:szCs w:val="21"/>
              </w:rPr>
            </w:pPr>
            <w:r>
              <w:rPr>
                <w:rFonts w:hint="eastAsia" w:ascii="宋体" w:hAnsi="宋体" w:cs="宋体"/>
                <w:color w:val="000000"/>
                <w:kern w:val="0"/>
                <w:sz w:val="21"/>
                <w:szCs w:val="21"/>
              </w:rPr>
              <w:t>3.用Wi-Fi射频频段传输，有效避免环境中运营商U段（700MHz）信号干扰；</w:t>
            </w:r>
          </w:p>
          <w:p>
            <w:pPr>
              <w:widowControl/>
              <w:jc w:val="left"/>
              <w:textAlignment w:val="top"/>
              <w:rPr>
                <w:rFonts w:ascii="宋体" w:hAnsi="宋体" w:cs="宋体"/>
                <w:color w:val="000000"/>
                <w:kern w:val="0"/>
                <w:sz w:val="21"/>
                <w:szCs w:val="21"/>
              </w:rPr>
            </w:pPr>
            <w:r>
              <w:rPr>
                <w:rFonts w:hint="eastAsia" w:ascii="宋体" w:hAnsi="宋体" w:cs="宋体"/>
                <w:color w:val="000000"/>
                <w:kern w:val="0"/>
                <w:sz w:val="21"/>
                <w:szCs w:val="21"/>
              </w:rPr>
              <w:t>4.支持2.4GHz与5GHz双频段工作，信道数量≥26个；</w:t>
            </w:r>
          </w:p>
          <w:p>
            <w:pPr>
              <w:widowControl/>
              <w:jc w:val="left"/>
              <w:textAlignment w:val="top"/>
              <w:rPr>
                <w:rFonts w:ascii="宋体" w:hAnsi="宋体" w:cs="宋体"/>
                <w:sz w:val="21"/>
                <w:szCs w:val="21"/>
              </w:rPr>
            </w:pPr>
            <w:r>
              <w:rPr>
                <w:rFonts w:hint="eastAsia" w:ascii="宋体" w:hAnsi="宋体" w:cs="宋体"/>
                <w:color w:val="000000"/>
                <w:kern w:val="0"/>
                <w:sz w:val="21"/>
                <w:szCs w:val="21"/>
              </w:rPr>
              <w:t>5.电续航时间≥7小时，满电状态可满足一天内10节课（45分钟/一节课）的高频授课，充电10分钟满足一节课（45分钟/一节课）授课时间；</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★6.采用红外对码方式连接，避免连接到其他教室音箱。可在5S内快速完成与教学扩声音箱对码，无需繁琐操作；</w:t>
            </w:r>
            <w:r>
              <w:rPr>
                <w:rFonts w:hint="eastAsia" w:ascii="宋体" w:hAnsi="宋体" w:cs="宋体"/>
                <w:sz w:val="21"/>
                <w:szCs w:val="21"/>
              </w:rPr>
              <w:t>（需提供国家认可的第三方检测机构所出具的检测报告扫描件）</w:t>
            </w:r>
          </w:p>
          <w:p>
            <w:pPr>
              <w:widowControl/>
              <w:jc w:val="left"/>
              <w:textAlignment w:val="top"/>
              <w:rPr>
                <w:rFonts w:ascii="宋体" w:hAnsi="宋体" w:cs="宋体"/>
                <w:sz w:val="21"/>
                <w:szCs w:val="21"/>
              </w:rPr>
            </w:pPr>
            <w:r>
              <w:rPr>
                <w:rFonts w:hint="eastAsia" w:ascii="宋体" w:hAnsi="宋体" w:cs="宋体"/>
                <w:color w:val="000000"/>
                <w:kern w:val="0"/>
                <w:sz w:val="21"/>
                <w:szCs w:val="21"/>
              </w:rPr>
              <w:t>7.支持两个无线麦克风同时配对一套一体化有源音箱使用，实现两个麦克风混音输出进行扩音；</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8.具备3.5mm外置麦克风接口，可搭配其他麦克风进行使用，比如头戴式、挂耳式的外置麦克风。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w:t>
            </w:r>
          </w:p>
        </w:tc>
        <w:tc>
          <w:tcPr>
            <w:tcW w:w="494" w:type="pct"/>
            <w:vAlign w:val="center"/>
          </w:tcPr>
          <w:p>
            <w:pPr>
              <w:widowControl/>
              <w:jc w:val="center"/>
              <w:textAlignment w:val="center"/>
              <w:rPr>
                <w:rFonts w:ascii="宋体" w:hAnsi="宋体" w:cs="宋体"/>
                <w:color w:val="0D0D0D"/>
                <w:sz w:val="21"/>
                <w:szCs w:val="21"/>
              </w:rPr>
            </w:pPr>
            <w:r>
              <w:rPr>
                <w:rFonts w:hint="eastAsia" w:ascii="宋体" w:hAnsi="宋体" w:cs="宋体"/>
                <w:color w:val="0D0D0D"/>
                <w:kern w:val="0"/>
                <w:sz w:val="21"/>
                <w:szCs w:val="21"/>
              </w:rPr>
              <w:t>搪瓷白板</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65</w:t>
            </w:r>
          </w:p>
        </w:tc>
        <w:tc>
          <w:tcPr>
            <w:tcW w:w="370" w:type="pct"/>
            <w:vAlign w:val="center"/>
          </w:tcPr>
          <w:p>
            <w:pPr>
              <w:widowControl/>
              <w:jc w:val="center"/>
              <w:textAlignment w:val="center"/>
              <w:rPr>
                <w:rFonts w:ascii="宋体" w:hAnsi="宋体" w:cs="宋体"/>
                <w:color w:val="0D0D0D"/>
                <w:sz w:val="21"/>
                <w:szCs w:val="21"/>
              </w:rPr>
            </w:pPr>
            <w:r>
              <w:rPr>
                <w:rFonts w:hint="eastAsia" w:ascii="宋体" w:hAnsi="宋体" w:cs="宋体"/>
                <w:color w:val="0D0D0D"/>
                <w:kern w:val="0"/>
                <w:sz w:val="21"/>
                <w:szCs w:val="21"/>
              </w:rPr>
              <w:t>副</w:t>
            </w:r>
          </w:p>
        </w:tc>
        <w:tc>
          <w:tcPr>
            <w:tcW w:w="3498" w:type="pct"/>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1.结构：双层结构，内层为固定书写板，外层为滑动书写板，滑动板配装刻有黑板品牌LOGO标识的挂锁，开闭自如确保一体机的安全管理，支持电子产品居中放置；</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2.规格：长度≥4300mm*1305，高度可根据所配电子产品适当调整，确保与电子产品的有效配套；</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3.板面：采用进口搪瓷白板，漆膜硬度≥9H,板面颜色亚光白板，厚度≥0.4mm。没有因黑板本身原因产生的眩光。书写流畅字迹清晰、色彩协调可视效果佳，有效的缓解学生视觉疲劳；板面表面附有一层透明保护膜，符合GB28231-2011《书写板安全卫生要求》；</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4.衬板：选用高强度、吸音、防潮、阻燃聚苯乙烯板，厚度≥14mm；</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5.背板：采用优质镀锌钢板，厚度≥0.2mm，机械化流水线一次成型，设有凹槽加强筋，增加板体强度；</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6.覆板：采用环保型双组份聚氨酯胶水，自动化流水线覆板作业，确保粘接牢固板面平整，甲醛释放量≤0.025mg/L，符合GB 28231-2011《书写板安全卫生要求》；</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7.边框：采用高强度香槟色电泳铝合金型材，性能符合GB 5237.3-2008标准。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8.包角：采用抗老化高强度ABS工程塑料注塑成型，采用双壁成腔流线型设计，黑板品牌标识与包角一次模具成型，无尖角毛刺，符合GB 21027-2007《学生用品的安全通用要求》；</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9.滑轮：双组高精度轴承上吊轮，下平滑动系统，上下均匀安装，滑动流畅、噪音小、前后定位精确；</w:t>
            </w:r>
          </w:p>
          <w:p>
            <w:pPr>
              <w:widowControl/>
              <w:jc w:val="left"/>
              <w:textAlignment w:val="center"/>
              <w:rPr>
                <w:rFonts w:ascii="宋体" w:hAnsi="宋体" w:cs="宋体"/>
                <w:sz w:val="21"/>
                <w:szCs w:val="21"/>
              </w:rPr>
            </w:pPr>
            <w:r>
              <w:rPr>
                <w:rFonts w:hint="eastAsia" w:ascii="宋体" w:hAnsi="宋体" w:cs="宋体"/>
                <w:color w:val="000000"/>
                <w:kern w:val="0"/>
                <w:sz w:val="21"/>
                <w:szCs w:val="21"/>
              </w:rPr>
              <w:t>10.安全性：一把锁实现对滑动黑板的锁定，钥匙通用，方便实用。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120寸激光智慧黑板</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13</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3498" w:type="pct"/>
          </w:tcPr>
          <w:p>
            <w:pPr>
              <w:widowControl/>
              <w:numPr>
                <w:ilvl w:val="0"/>
                <w:numId w:val="7"/>
              </w:numPr>
              <w:jc w:val="left"/>
              <w:textAlignment w:val="top"/>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整体硬件要求：</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1.整机采用一体化设计，外观尺寸长度≥2700mm，高≥1600mm。整机包含红外触控显示面板、激光显示单元、智能中控、电脑主机、功放、音箱等功能，集成在整个框架内；无外露连接线，整机安装无需触控板触摸线、中控等布线施工；</w:t>
            </w:r>
            <w:r>
              <w:rPr>
                <w:rFonts w:hint="eastAsia" w:ascii="宋体" w:hAnsi="宋体" w:cs="宋体"/>
                <w:sz w:val="21"/>
                <w:szCs w:val="21"/>
              </w:rPr>
              <w:t>（需提供国家认可的第三方检测机构所出具的检测报告扫描件）</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2.整机顶部中央位置竖直向下设置有安装插槽，搭配专用激光显示单元使用，激光显示单元底部设置有插入安装在插槽内的安装支架，方便使用者在安装过程中将激光显示单元直接插入安装插槽，不需要任何调节，即可完成安装，整机无需进行画面校准；</w:t>
            </w:r>
          </w:p>
          <w:p>
            <w:pPr>
              <w:widowControl/>
              <w:jc w:val="left"/>
              <w:textAlignment w:val="top"/>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★3.主屏采用红外触摸技术，显示屏可视尺寸及可触控尺寸≥120 英寸，显示比例16:9，最高可支持 20 点触控。（需提供国家认可的第三方检测机构所出具的检测报告扫描件）</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eastAsia="宋体" w:cs="宋体"/>
                <w:szCs w:val="21"/>
                <w:lang w:val="en-US" w:eastAsia="zh-CN"/>
              </w:rPr>
              <w:t>4.</w:t>
            </w:r>
            <w:r>
              <w:rPr>
                <w:rFonts w:hint="eastAsia" w:ascii="宋体" w:hAnsi="宋体" w:eastAsia="宋体" w:cs="宋体"/>
                <w:szCs w:val="21"/>
              </w:rPr>
              <w:t>具备软件悬浮菜单三指跟随功能，五指按压快速开关黑板背光，关闭屏幕的同时，触摸功能也自动关闭，防止误操作。</w:t>
            </w:r>
            <w:r>
              <w:rPr>
                <w:rFonts w:hint="eastAsia" w:ascii="宋体" w:hAnsi="宋体" w:eastAsia="宋体" w:cs="宋体"/>
                <w:sz w:val="21"/>
                <w:szCs w:val="21"/>
              </w:rPr>
              <w:t>（演示</w:t>
            </w:r>
            <w:r>
              <w:rPr>
                <w:rFonts w:hint="eastAsia" w:ascii="宋体" w:hAnsi="宋体" w:cs="宋体"/>
                <w:sz w:val="21"/>
                <w:szCs w:val="21"/>
                <w:lang w:val="en-US" w:eastAsia="zh-CN"/>
              </w:rPr>
              <w:t>内容</w:t>
            </w:r>
            <w:r>
              <w:rPr>
                <w:rFonts w:hint="eastAsia" w:ascii="宋体" w:hAnsi="宋体" w:cs="宋体"/>
                <w:sz w:val="21"/>
                <w:szCs w:val="21"/>
                <w:lang w:eastAsia="zh-CN"/>
              </w:rPr>
              <w:t>，</w:t>
            </w:r>
            <w:r>
              <w:rPr>
                <w:rFonts w:hint="eastAsia" w:ascii="宋体" w:hAnsi="宋体" w:cs="宋体"/>
                <w:sz w:val="21"/>
                <w:szCs w:val="21"/>
                <w:lang w:val="en-US" w:eastAsia="zh-CN"/>
              </w:rPr>
              <w:t>不计入负偏离扣分</w:t>
            </w:r>
            <w:r>
              <w:rPr>
                <w:rFonts w:hint="eastAsia" w:ascii="宋体" w:hAnsi="宋体" w:eastAsia="宋体" w:cs="宋体"/>
                <w:sz w:val="21"/>
                <w:szCs w:val="21"/>
              </w:rPr>
              <w:t>）</w:t>
            </w:r>
          </w:p>
          <w:p>
            <w:pPr>
              <w:widowControl/>
              <w:jc w:val="left"/>
              <w:textAlignment w:val="top"/>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cs="宋体"/>
                <w:color w:val="000000" w:themeColor="text1"/>
                <w:kern w:val="0"/>
                <w:sz w:val="21"/>
                <w:szCs w:val="21"/>
                <w14:textFill>
                  <w14:solidFill>
                    <w14:schemeClr w14:val="tx1"/>
                  </w14:solidFill>
                </w14:textFill>
              </w:rPr>
              <w:t>.出音口正前方置顶设计，采用格栅阵列发声技术，让声音无阻碍传播，完全覆盖整个教室，无声音盲区，满足每个学生听课需求；</w:t>
            </w:r>
          </w:p>
          <w:p>
            <w:pPr>
              <w:widowControl/>
              <w:jc w:val="left"/>
              <w:textAlignment w:val="top"/>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6</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eastAsia="宋体" w:cs="宋体"/>
                <w:szCs w:val="21"/>
              </w:rPr>
              <w:t>整机具备前置电容中控按键，可对激光显示单元进行独立操作，具有调节显示模式功能，控制开关机功能，方便用户操作</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eastAsia="宋体" w:cs="宋体"/>
                <w:sz w:val="21"/>
                <w:szCs w:val="21"/>
              </w:rPr>
              <w:t>（演示</w:t>
            </w:r>
            <w:r>
              <w:rPr>
                <w:rFonts w:hint="eastAsia" w:ascii="宋体" w:hAnsi="宋体" w:cs="宋体"/>
                <w:sz w:val="21"/>
                <w:szCs w:val="21"/>
                <w:lang w:val="en-US" w:eastAsia="zh-CN"/>
              </w:rPr>
              <w:t>内容</w:t>
            </w:r>
            <w:r>
              <w:rPr>
                <w:rFonts w:hint="eastAsia" w:ascii="宋体" w:hAnsi="宋体" w:cs="宋体"/>
                <w:sz w:val="21"/>
                <w:szCs w:val="21"/>
                <w:lang w:eastAsia="zh-CN"/>
              </w:rPr>
              <w:t>，</w:t>
            </w:r>
            <w:r>
              <w:rPr>
                <w:rFonts w:hint="eastAsia" w:ascii="宋体" w:hAnsi="宋体" w:cs="宋体"/>
                <w:sz w:val="21"/>
                <w:szCs w:val="21"/>
                <w:lang w:val="en-US" w:eastAsia="zh-CN"/>
              </w:rPr>
              <w:t>不计入负偏离扣分</w:t>
            </w:r>
            <w:r>
              <w:rPr>
                <w:rFonts w:hint="eastAsia" w:ascii="宋体" w:hAnsi="宋体" w:eastAsia="宋体" w:cs="宋体"/>
                <w:sz w:val="21"/>
                <w:szCs w:val="21"/>
              </w:rPr>
              <w:t>）</w:t>
            </w:r>
          </w:p>
          <w:p>
            <w:pPr>
              <w:widowControl/>
              <w:jc w:val="left"/>
              <w:textAlignment w:val="top"/>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7</w:t>
            </w:r>
            <w:r>
              <w:rPr>
                <w:rFonts w:hint="eastAsia" w:ascii="宋体" w:hAnsi="宋体" w:cs="宋体"/>
                <w:color w:val="000000" w:themeColor="text1"/>
                <w:kern w:val="0"/>
                <w:sz w:val="21"/>
                <w:szCs w:val="21"/>
                <w14:textFill>
                  <w14:solidFill>
                    <w14:schemeClr w14:val="tx1"/>
                  </w14:solidFill>
                </w14:textFill>
              </w:rPr>
              <w:t>.整机前置接口至少包含 TYPE-C、TOUCH USB，HDMI，≥3路USB3.0，且所有按键及接口需位于黑板屏幕下侧，不占用显示面积，提供完整的显示及书写板面；</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lang w:val="en-US" w:eastAsia="zh-CN"/>
                <w14:textFill>
                  <w14:solidFill>
                    <w14:schemeClr w14:val="tx1"/>
                  </w14:solidFill>
                </w14:textFill>
              </w:rPr>
              <w:t>8</w:t>
            </w:r>
            <w:r>
              <w:rPr>
                <w:rFonts w:hint="eastAsia" w:ascii="宋体" w:hAnsi="宋体" w:cs="宋体"/>
                <w:color w:val="000000" w:themeColor="text1"/>
                <w:kern w:val="0"/>
                <w:sz w:val="21"/>
                <w:szCs w:val="21"/>
                <w14:textFill>
                  <w14:solidFill>
                    <w14:schemeClr w14:val="tx1"/>
                  </w14:solidFill>
                </w14:textFill>
              </w:rPr>
              <w:t>.后置接口至少包含 RS232 串口通迅*1，AUDIO OUT（接功放输出）*1，HDMI OUT*1，AC IN(110V~220V)*1，AC OUT(110V~220V)*1；</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lang w:val="en-US" w:eastAsia="zh-CN"/>
                <w14:textFill>
                  <w14:solidFill>
                    <w14:schemeClr w14:val="tx1"/>
                  </w14:solidFill>
                </w14:textFill>
              </w:rPr>
              <w:t>9</w:t>
            </w:r>
            <w:r>
              <w:rPr>
                <w:rFonts w:hint="eastAsia" w:ascii="宋体" w:hAnsi="宋体" w:cs="宋体"/>
                <w:color w:val="000000" w:themeColor="text1"/>
                <w:kern w:val="0"/>
                <w:sz w:val="21"/>
                <w:szCs w:val="21"/>
                <w14:textFill>
                  <w14:solidFill>
                    <w14:schemeClr w14:val="tx1"/>
                  </w14:solidFill>
                </w14:textFill>
              </w:rPr>
              <w:t>.支持多种开机方式，包括 NFC开机、按键开机、遥控开机，NFC 专用卡片支持手机读卡复制功能，实现手机开机；</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lang w:val="en-US" w:eastAsia="zh-CN"/>
                <w14:textFill>
                  <w14:solidFill>
                    <w14:schemeClr w14:val="tx1"/>
                  </w14:solidFill>
                </w14:textFill>
              </w:rPr>
              <w:t>10</w:t>
            </w:r>
            <w:r>
              <w:rPr>
                <w:rFonts w:hint="eastAsia" w:ascii="宋体" w:hAnsi="宋体" w:cs="宋体"/>
                <w:color w:val="000000" w:themeColor="text1"/>
                <w:kern w:val="0"/>
                <w:sz w:val="21"/>
                <w:szCs w:val="21"/>
                <w14:textFill>
                  <w14:solidFill>
                    <w14:schemeClr w14:val="tx1"/>
                  </w14:solidFill>
                </w14:textFill>
              </w:rPr>
              <w:t>.整机内置≥1300万像素摄像头，摄像头对角角度≥120度，具备非独立外扩展的8阵列拾音麦克风，拾音距离10米以上，方便录制师生人声；</w:t>
            </w:r>
          </w:p>
          <w:p>
            <w:pPr>
              <w:widowControl/>
              <w:jc w:val="left"/>
              <w:textAlignment w:val="top"/>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.同时支持安卓/电脑双系统操作，一键切</w:t>
            </w:r>
            <w:r>
              <w:rPr>
                <w:rFonts w:hint="eastAsia" w:ascii="宋体" w:hAnsi="宋体" w:cs="宋体"/>
                <w:color w:val="auto"/>
                <w:kern w:val="0"/>
                <w:sz w:val="21"/>
                <w:szCs w:val="21"/>
              </w:rPr>
              <w:t>换；</w:t>
            </w:r>
            <w:r>
              <w:rPr>
                <w:rFonts w:hint="eastAsia" w:ascii="宋体" w:hAnsi="宋体" w:cs="宋体"/>
                <w:color w:val="auto"/>
                <w:kern w:val="0"/>
                <w:sz w:val="21"/>
                <w:szCs w:val="21"/>
                <w:lang w:val="en-US" w:eastAsia="zh-CN"/>
              </w:rPr>
              <w:t>不低于</w:t>
            </w:r>
            <w:r>
              <w:rPr>
                <w:rFonts w:hint="eastAsia" w:ascii="宋体" w:hAnsi="宋体" w:cs="宋体"/>
                <w:color w:val="auto"/>
                <w:kern w:val="0"/>
                <w:sz w:val="21"/>
                <w:szCs w:val="21"/>
              </w:rPr>
              <w:t>安卓12.0；内存≥2GB，存储空间≥8GB；</w:t>
            </w:r>
            <w:r>
              <w:rPr>
                <w:rFonts w:hint="eastAsia" w:ascii="宋体" w:hAnsi="宋体" w:cs="宋体"/>
                <w:color w:val="000000" w:themeColor="text1"/>
                <w:kern w:val="0"/>
                <w:sz w:val="21"/>
                <w:szCs w:val="21"/>
                <w14:textFill>
                  <w14:solidFill>
                    <w14:schemeClr w14:val="tx1"/>
                  </w14:solidFill>
                </w14:textFill>
              </w:rPr>
              <w:t>支持蓝牙5.0/</w:t>
            </w:r>
            <w:r>
              <w:rPr>
                <w:rFonts w:hint="eastAsia" w:ascii="宋体" w:hAnsi="宋体" w:cs="宋体"/>
                <w:color w:val="000000" w:themeColor="text1"/>
                <w:kern w:val="0"/>
                <w:sz w:val="21"/>
                <w:szCs w:val="21"/>
                <w:lang w:val="en-US" w:eastAsia="zh-CN"/>
                <w14:textFill>
                  <w14:solidFill>
                    <w14:schemeClr w14:val="tx1"/>
                  </w14:solidFill>
                </w14:textFill>
              </w:rPr>
              <w:t>WIFI</w:t>
            </w:r>
            <w:r>
              <w:rPr>
                <w:rFonts w:hint="eastAsia" w:ascii="宋体" w:hAnsi="宋体" w:cs="宋体"/>
                <w:color w:val="000000" w:themeColor="text1"/>
                <w:kern w:val="0"/>
                <w:sz w:val="21"/>
                <w:szCs w:val="21"/>
                <w14:textFill>
                  <w14:solidFill>
                    <w14:schemeClr w14:val="tx1"/>
                  </w14:solidFill>
                </w14:textFill>
              </w:rPr>
              <w:t xml:space="preserve"> 5G连接；（需提供国家认可的第三方检测机构所出具的检测报告扫描件）</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cs="宋体"/>
                <w:color w:val="000000" w:themeColor="text1"/>
                <w:kern w:val="0"/>
                <w:sz w:val="21"/>
                <w:szCs w:val="21"/>
                <w14:textFill>
                  <w14:solidFill>
                    <w14:schemeClr w14:val="tx1"/>
                  </w14:solidFill>
                </w14:textFill>
              </w:rPr>
              <w:t>.支持无线投屏；支持安卓手机Miracast投屏功能，移动端不需要下载任何第三软件，直接利用移动端自带投屏功能进行投屏，包含声音和图像；</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cs="宋体"/>
                <w:color w:val="000000" w:themeColor="text1"/>
                <w:kern w:val="0"/>
                <w:sz w:val="21"/>
                <w:szCs w:val="21"/>
                <w14:textFill>
                  <w14:solidFill>
                    <w14:schemeClr w14:val="tx1"/>
                  </w14:solidFill>
                </w14:textFill>
              </w:rPr>
              <w:t>.为适应不同身高操作人员的需求，在不采用任何物理升降结构的前提下，可实现全通道一键下移功能，并不影响正常使用触摸，且为保证系统兼容性和稳定性不支持第三方应用程序方式实现屏幕下移功能；</w:t>
            </w:r>
            <w:r>
              <w:rPr>
                <w:rFonts w:hint="eastAsia" w:ascii="宋体" w:hAnsi="宋体" w:eastAsia="宋体" w:cs="宋体"/>
                <w:sz w:val="21"/>
                <w:szCs w:val="21"/>
              </w:rPr>
              <w:t>（演示</w:t>
            </w:r>
            <w:r>
              <w:rPr>
                <w:rFonts w:hint="eastAsia" w:ascii="宋体" w:hAnsi="宋体" w:cs="宋体"/>
                <w:sz w:val="21"/>
                <w:szCs w:val="21"/>
                <w:lang w:val="en-US" w:eastAsia="zh-CN"/>
              </w:rPr>
              <w:t>内容</w:t>
            </w:r>
            <w:r>
              <w:rPr>
                <w:rFonts w:hint="eastAsia" w:ascii="宋体" w:hAnsi="宋体" w:cs="宋体"/>
                <w:sz w:val="21"/>
                <w:szCs w:val="21"/>
                <w:lang w:eastAsia="zh-CN"/>
              </w:rPr>
              <w:t>，</w:t>
            </w:r>
            <w:r>
              <w:rPr>
                <w:rFonts w:hint="eastAsia" w:ascii="宋体" w:hAnsi="宋体" w:cs="宋体"/>
                <w:sz w:val="21"/>
                <w:szCs w:val="21"/>
                <w:lang w:val="en-US" w:eastAsia="zh-CN"/>
              </w:rPr>
              <w:t>不计入负偏离扣分</w:t>
            </w:r>
            <w:r>
              <w:rPr>
                <w:rFonts w:hint="eastAsia" w:ascii="宋体" w:hAnsi="宋体" w:eastAsia="宋体" w:cs="宋体"/>
                <w:sz w:val="21"/>
                <w:szCs w:val="21"/>
              </w:rPr>
              <w:t>）</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cs="宋体"/>
                <w:color w:val="000000" w:themeColor="text1"/>
                <w:kern w:val="0"/>
                <w:sz w:val="21"/>
                <w:szCs w:val="21"/>
                <w14:textFill>
                  <w14:solidFill>
                    <w14:schemeClr w14:val="tx1"/>
                  </w14:solidFill>
                </w14:textFill>
              </w:rPr>
              <w:t>.激光显示单元亮度：≥6000流明，分辨率：≥1920*1080，对比度：≥100000：1，激光固态光源≥25000 小时超长使用寿命；激光显示特性：3D，超短焦投射比≤0.233。</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二、内置插拔式电脑模块：</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cs="宋体"/>
                <w:color w:val="000000" w:themeColor="text1"/>
                <w:kern w:val="0"/>
                <w:sz w:val="21"/>
                <w:szCs w:val="21"/>
                <w14:textFill>
                  <w14:solidFill>
                    <w14:schemeClr w14:val="tx1"/>
                  </w14:solidFill>
                </w14:textFill>
              </w:rPr>
              <w:t>.搭载不低于12代Intel 酷睿系列i5 CPU；内存：16GB DDR4笔记本内存或以上配置；硬盘：512GB或以上SSD固态硬盘；</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lang w:val="en-US" w:eastAsia="zh-CN"/>
                <w14:textFill>
                  <w14:solidFill>
                    <w14:schemeClr w14:val="tx1"/>
                  </w14:solidFill>
                </w14:textFill>
              </w:rPr>
              <w:t>16</w:t>
            </w:r>
            <w:r>
              <w:rPr>
                <w:rFonts w:hint="eastAsia" w:ascii="宋体" w:hAnsi="宋体" w:cs="宋体"/>
                <w:color w:val="000000" w:themeColor="text1"/>
                <w:kern w:val="0"/>
                <w:sz w:val="21"/>
                <w:szCs w:val="21"/>
                <w14:textFill>
                  <w14:solidFill>
                    <w14:schemeClr w14:val="tx1"/>
                  </w14:solidFill>
                </w14:textFill>
              </w:rPr>
              <w:t>.支持WIFI无线网络，带双天线，带RJ45接口100M/1000Mbs。</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三、白板软件：</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7</w:t>
            </w:r>
            <w:r>
              <w:rPr>
                <w:rFonts w:hint="eastAsia" w:ascii="宋体" w:hAnsi="宋体" w:cs="宋体"/>
                <w:color w:val="000000" w:themeColor="text1"/>
                <w:kern w:val="0"/>
                <w:sz w:val="21"/>
                <w:szCs w:val="21"/>
                <w14:textFill>
                  <w14:solidFill>
                    <w14:schemeClr w14:val="tx1"/>
                  </w14:solidFill>
                </w14:textFill>
              </w:rPr>
              <w:t>.基于手势操作，手指单点或使用触控笔就能一键快速调取教学软件及工具；</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eastAsia="宋体" w:cs="宋体"/>
                <w:color w:val="auto"/>
                <w:szCs w:val="21"/>
                <w:lang w:val="en-US" w:eastAsia="zh-CN"/>
              </w:rPr>
              <w:t>18.</w:t>
            </w:r>
            <w:r>
              <w:rPr>
                <w:rFonts w:hint="eastAsia" w:ascii="宋体" w:hAnsi="宋体" w:eastAsia="宋体" w:cs="宋体"/>
                <w:color w:val="auto"/>
                <w:szCs w:val="21"/>
              </w:rPr>
              <w:t>手机可作为PPT翻页笔，支持PPT的播放、退出、翻页等功能；手机可作为移动展台，将手机中图片、现场拍摄照片一键上传至屏幕。</w:t>
            </w:r>
            <w:r>
              <w:rPr>
                <w:rFonts w:hint="eastAsia" w:ascii="宋体" w:hAnsi="宋体" w:eastAsia="宋体" w:cs="宋体"/>
                <w:color w:val="auto"/>
                <w:sz w:val="21"/>
                <w:szCs w:val="21"/>
              </w:rPr>
              <w:t>（演示</w:t>
            </w:r>
            <w:r>
              <w:rPr>
                <w:rFonts w:hint="eastAsia" w:ascii="宋体" w:hAnsi="宋体" w:cs="宋体"/>
                <w:color w:val="auto"/>
                <w:sz w:val="21"/>
                <w:szCs w:val="21"/>
                <w:lang w:val="en-US" w:eastAsia="zh-CN"/>
              </w:rPr>
              <w:t>内容</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不计入负偏离扣分</w:t>
            </w:r>
            <w:r>
              <w:rPr>
                <w:rFonts w:hint="eastAsia" w:ascii="宋体" w:hAnsi="宋体" w:eastAsia="宋体" w:cs="宋体"/>
                <w:color w:val="auto"/>
                <w:sz w:val="21"/>
                <w:szCs w:val="21"/>
              </w:rPr>
              <w:t>）</w:t>
            </w:r>
          </w:p>
          <w:p>
            <w:pPr>
              <w:widowControl/>
              <w:jc w:val="left"/>
              <w:textAlignment w:val="top"/>
              <w:rPr>
                <w:rFonts w:ascii="宋体" w:hAnsi="宋体" w:cs="宋体"/>
                <w:sz w:val="21"/>
                <w:szCs w:val="21"/>
              </w:rPr>
            </w:pPr>
            <w:r>
              <w:rPr>
                <w:rFonts w:hint="eastAsia" w:ascii="宋体" w:hAnsi="宋体" w:cs="宋体"/>
                <w:color w:val="000000" w:themeColor="text1"/>
                <w:kern w:val="0"/>
                <w:sz w:val="21"/>
                <w:szCs w:val="21"/>
                <w:lang w:val="en-US" w:eastAsia="zh-CN"/>
                <w14:textFill>
                  <w14:solidFill>
                    <w14:schemeClr w14:val="tx1"/>
                  </w14:solidFill>
                </w14:textFill>
              </w:rPr>
              <w:t>19</w:t>
            </w:r>
            <w:r>
              <w:rPr>
                <w:rFonts w:hint="eastAsia" w:ascii="宋体" w:hAnsi="宋体" w:cs="宋体"/>
                <w:color w:val="000000" w:themeColor="text1"/>
                <w:kern w:val="0"/>
                <w:sz w:val="21"/>
                <w:szCs w:val="21"/>
                <w14:textFill>
                  <w14:solidFill>
                    <w14:schemeClr w14:val="tx1"/>
                  </w14:solidFill>
                </w14:textFill>
              </w:rPr>
              <w:t>.备授课功能，具有备课模式及授课模式，且操作界面根据备课和授课使用场景不同而区别设计</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lang w:val="en-US" w:eastAsia="zh-CN"/>
                <w14:textFill>
                  <w14:solidFill>
                    <w14:schemeClr w14:val="tx1"/>
                  </w14:solidFill>
                </w14:textFill>
              </w:rPr>
              <w:t>20</w:t>
            </w:r>
            <w:r>
              <w:rPr>
                <w:rFonts w:hint="eastAsia" w:ascii="宋体" w:hAnsi="宋体" w:cs="宋体"/>
                <w:color w:val="000000" w:themeColor="text1"/>
                <w:kern w:val="0"/>
                <w:sz w:val="21"/>
                <w:szCs w:val="21"/>
                <w14:textFill>
                  <w14:solidFill>
                    <w14:schemeClr w14:val="tx1"/>
                  </w14:solidFill>
                </w14:textFill>
              </w:rPr>
              <w:t>.支持备课模式下，对课件添加文本编辑、思维导图等功能，并支持对所添加内容编辑进入和退出方式，可选择百叶窗、淡入、缩放、浮现、飞入、旋转、劈裂、弹跳、淡出、浮出、弹跳、擦除等不同的编辑方式，支持对输入的文本添加朗读读音，读音支持导出音频文件并支持一键插入课件；</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lang w:val="en-US" w:eastAsia="zh-CN"/>
                <w14:textFill>
                  <w14:solidFill>
                    <w14:schemeClr w14:val="tx1"/>
                  </w14:solidFill>
                </w14:textFill>
              </w:rPr>
              <w:t>21</w:t>
            </w:r>
            <w:r>
              <w:rPr>
                <w:rFonts w:hint="eastAsia" w:ascii="宋体" w:hAnsi="宋体" w:cs="宋体"/>
                <w:color w:val="000000" w:themeColor="text1"/>
                <w:kern w:val="0"/>
                <w:sz w:val="21"/>
                <w:szCs w:val="21"/>
                <w14:textFill>
                  <w14:solidFill>
                    <w14:schemeClr w14:val="tx1"/>
                  </w14:solidFill>
                </w14:textFill>
              </w:rPr>
              <w:t>.支持手势擦除功能，当识别到5指手势，画面自动由手写状态变成板擦状态，符合老师随写随擦的教学习惯，板擦大小至少有3级选择；</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lang w:val="en-US" w:eastAsia="zh-CN"/>
                <w14:textFill>
                  <w14:solidFill>
                    <w14:schemeClr w14:val="tx1"/>
                  </w14:solidFill>
                </w14:textFill>
              </w:rPr>
              <w:t>22</w:t>
            </w:r>
            <w:r>
              <w:rPr>
                <w:rFonts w:hint="eastAsia" w:ascii="宋体" w:hAnsi="宋体" w:cs="宋体"/>
                <w:color w:val="000000" w:themeColor="text1"/>
                <w:kern w:val="0"/>
                <w:sz w:val="21"/>
                <w:szCs w:val="21"/>
                <w14:textFill>
                  <w14:solidFill>
                    <w14:schemeClr w14:val="tx1"/>
                  </w14:solidFill>
                </w14:textFill>
              </w:rPr>
              <w:t>.支持清空笔迹和一键清屏功能，支持全屏幕漫游，可一键复位至漫游初始界面，支持撤销和恢复功能，协助老师在误操作删除板书后，快速找回板书。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超短焦激光投影机</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12</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3498" w:type="pct"/>
          </w:tcPr>
          <w:p>
            <w:pPr>
              <w:widowControl/>
              <w:jc w:val="left"/>
              <w:textAlignment w:val="top"/>
              <w:rPr>
                <w:rFonts w:ascii="宋体" w:hAnsi="宋体" w:cs="宋体"/>
                <w:sz w:val="21"/>
                <w:szCs w:val="21"/>
              </w:rPr>
            </w:pPr>
            <w:r>
              <w:rPr>
                <w:rFonts w:hint="eastAsia" w:ascii="宋体" w:hAnsi="宋体" w:cs="宋体"/>
                <w:sz w:val="21"/>
                <w:szCs w:val="21"/>
              </w:rPr>
              <w:t>1.DLP显示技术，激光光源，DMD尺寸≥0.67”，显示比例16:10兼容16:9,4:3；</w:t>
            </w:r>
          </w:p>
          <w:p>
            <w:pPr>
              <w:widowControl/>
              <w:jc w:val="left"/>
              <w:textAlignment w:val="top"/>
              <w:rPr>
                <w:rFonts w:ascii="宋体" w:hAnsi="宋体" w:cs="宋体"/>
                <w:sz w:val="21"/>
                <w:szCs w:val="21"/>
              </w:rPr>
            </w:pP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sz w:val="21"/>
                <w:szCs w:val="21"/>
              </w:rPr>
              <w:t>2.亮度≥5200lm（中心亮度），≥5000lm（ISO21118标准），分辨率≥1920*1200兼容1920×1080；</w:t>
            </w:r>
            <w:r>
              <w:rPr>
                <w:rFonts w:hint="eastAsia" w:ascii="宋体" w:hAnsi="宋体" w:cs="宋体"/>
                <w:color w:val="000000" w:themeColor="text1"/>
                <w:kern w:val="0"/>
                <w:sz w:val="21"/>
                <w:szCs w:val="21"/>
                <w14:textFill>
                  <w14:solidFill>
                    <w14:schemeClr w14:val="tx1"/>
                  </w14:solidFill>
                </w14:textFill>
              </w:rPr>
              <w:t>（需提供国家认可的第三方检测机构所出具的检测报告扫描件）</w:t>
            </w:r>
          </w:p>
          <w:p>
            <w:pPr>
              <w:widowControl/>
              <w:jc w:val="left"/>
              <w:textAlignment w:val="top"/>
              <w:rPr>
                <w:rFonts w:ascii="宋体" w:hAnsi="宋体" w:cs="宋体"/>
                <w:sz w:val="21"/>
                <w:szCs w:val="21"/>
              </w:rPr>
            </w:pPr>
            <w:r>
              <w:rPr>
                <w:rFonts w:hint="eastAsia" w:ascii="宋体" w:hAnsi="宋体" w:cs="宋体"/>
                <w:sz w:val="21"/>
                <w:szCs w:val="21"/>
              </w:rPr>
              <w:t>3.对比度≥100000:1；（动态对比度），投射比 ≥0.25；光源使用寿命≥20000小时（正常模式）;</w:t>
            </w:r>
          </w:p>
          <w:p>
            <w:pPr>
              <w:widowControl/>
              <w:jc w:val="left"/>
              <w:textAlignment w:val="top"/>
              <w:rPr>
                <w:rFonts w:ascii="宋体" w:hAnsi="宋体" w:cs="宋体"/>
                <w:sz w:val="21"/>
                <w:szCs w:val="21"/>
              </w:rPr>
            </w:pPr>
            <w:r>
              <w:rPr>
                <w:rFonts w:hint="eastAsia" w:ascii="宋体" w:hAnsi="宋体" w:cs="宋体"/>
                <w:sz w:val="21"/>
                <w:szCs w:val="21"/>
              </w:rPr>
              <w:t>4.</w:t>
            </w:r>
            <w:r>
              <w:rPr>
                <w:rFonts w:hint="eastAsia" w:ascii="宋体" w:hAnsi="宋体" w:cs="宋体"/>
                <w:color w:val="auto"/>
                <w:sz w:val="21"/>
                <w:szCs w:val="21"/>
                <w:highlight w:val="none"/>
              </w:rPr>
              <w:t>超短焦投射比</w:t>
            </w:r>
            <w:r>
              <w:rPr>
                <w:rFonts w:hint="eastAsia" w:ascii="宋体" w:hAnsi="宋体" w:cs="宋体"/>
                <w:color w:val="auto"/>
                <w:kern w:val="0"/>
                <w:sz w:val="21"/>
                <w:szCs w:val="21"/>
                <w:highlight w:val="none"/>
                <w:lang w:val="en-US" w:eastAsia="zh-CN"/>
              </w:rPr>
              <w:t>≤</w:t>
            </w:r>
            <w:r>
              <w:rPr>
                <w:rFonts w:hint="eastAsia" w:ascii="宋体" w:hAnsi="宋体" w:cs="宋体"/>
                <w:color w:val="auto"/>
                <w:sz w:val="21"/>
                <w:szCs w:val="21"/>
                <w:highlight w:val="none"/>
              </w:rPr>
              <w:t>0.25</w:t>
            </w:r>
            <w:r>
              <w:rPr>
                <w:rFonts w:hint="eastAsia" w:ascii="宋体" w:hAnsi="宋体" w:cs="宋体"/>
                <w:sz w:val="21"/>
                <w:szCs w:val="21"/>
              </w:rPr>
              <w:t>，可以实现短距离投射大画面；</w:t>
            </w:r>
          </w:p>
          <w:p>
            <w:pPr>
              <w:widowControl/>
              <w:jc w:val="left"/>
              <w:textAlignment w:val="top"/>
              <w:rPr>
                <w:rFonts w:ascii="宋体" w:hAnsi="宋体" w:cs="宋体"/>
                <w:sz w:val="21"/>
                <w:szCs w:val="21"/>
              </w:rPr>
            </w:pPr>
            <w:r>
              <w:rPr>
                <w:rFonts w:hint="eastAsia" w:ascii="宋体" w:hAnsi="宋体" w:cs="宋体"/>
                <w:sz w:val="21"/>
                <w:szCs w:val="21"/>
              </w:rPr>
              <w:t>5.支持7*24小时不间断连续工作。支持三种保护方式：短路保护、过电压保护、过电流保护；</w:t>
            </w:r>
          </w:p>
          <w:p>
            <w:pPr>
              <w:widowControl/>
              <w:jc w:val="left"/>
              <w:textAlignment w:val="top"/>
              <w:rPr>
                <w:rFonts w:ascii="宋体" w:hAnsi="宋体" w:cs="宋体"/>
                <w:sz w:val="21"/>
                <w:szCs w:val="21"/>
              </w:rPr>
            </w:pPr>
            <w:r>
              <w:rPr>
                <w:rFonts w:hint="eastAsia" w:ascii="宋体" w:hAnsi="宋体" w:cs="宋体"/>
                <w:sz w:val="21"/>
                <w:szCs w:val="21"/>
                <w:lang w:val="en-US" w:eastAsia="zh-CN"/>
              </w:rPr>
              <w:t xml:space="preserve">6. </w:t>
            </w:r>
            <w:r>
              <w:rPr>
                <w:rFonts w:hint="eastAsia" w:ascii="宋体" w:hAnsi="宋体" w:cs="宋体"/>
                <w:sz w:val="21"/>
                <w:szCs w:val="21"/>
              </w:rPr>
              <w:t>4S(RGBY) brilliant color极致色轮。色彩管理系统（色相、色度、饱和度）调整。</w:t>
            </w:r>
          </w:p>
          <w:p>
            <w:pPr>
              <w:widowControl/>
              <w:jc w:val="left"/>
              <w:textAlignment w:val="top"/>
              <w:rPr>
                <w:rFonts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扩音≥10W高保真立体声音频系统；</w:t>
            </w:r>
          </w:p>
          <w:p>
            <w:pPr>
              <w:widowControl/>
              <w:jc w:val="left"/>
              <w:textAlignment w:val="top"/>
              <w:rPr>
                <w:rFonts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支持几何校正及梯形校正功能。任意角度安装,支持垂直安装；</w:t>
            </w:r>
          </w:p>
          <w:p>
            <w:pPr>
              <w:widowControl/>
              <w:jc w:val="left"/>
              <w:textAlignment w:val="top"/>
              <w:rPr>
                <w:rFonts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支持USB直读图片、视频、音乐、以及OFFICE文档，支持上信号自动开机、以及上电直接开机功能；</w:t>
            </w:r>
          </w:p>
          <w:p>
            <w:pPr>
              <w:widowControl/>
              <w:jc w:val="left"/>
              <w:textAlignment w:val="top"/>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color w:val="auto"/>
                <w:sz w:val="21"/>
                <w:szCs w:val="21"/>
                <w:lang w:val="en-US" w:eastAsia="zh-CN"/>
              </w:rPr>
              <w:t>.</w:t>
            </w:r>
            <w:r>
              <w:rPr>
                <w:rFonts w:hint="eastAsia" w:ascii="宋体" w:hAnsi="宋体" w:cs="宋体"/>
                <w:color w:val="auto"/>
                <w:sz w:val="21"/>
                <w:szCs w:val="21"/>
              </w:rPr>
              <w:t>输入/输出接口 输入端口：</w:t>
            </w:r>
            <w:r>
              <w:rPr>
                <w:rFonts w:hint="eastAsia" w:ascii="宋体" w:hAnsi="宋体" w:cs="宋体"/>
                <w:color w:val="auto"/>
                <w:sz w:val="21"/>
                <w:szCs w:val="21"/>
                <w:lang w:val="en-US" w:eastAsia="zh-CN"/>
              </w:rPr>
              <w:t>不少于</w:t>
            </w:r>
            <w:r>
              <w:rPr>
                <w:rFonts w:hint="eastAsia" w:ascii="宋体" w:hAnsi="宋体" w:cs="宋体"/>
                <w:color w:val="auto"/>
                <w:sz w:val="21"/>
                <w:szCs w:val="21"/>
              </w:rPr>
              <w:t>USB Type A x1，USB Type Bx2，HDMI*3 x2，VGA x1，RS232 x1，RJ45（用于网络控制）x1，Audio x1，MIC x1，输出端口：</w:t>
            </w:r>
            <w:r>
              <w:rPr>
                <w:rFonts w:hint="eastAsia" w:ascii="宋体" w:hAnsi="宋体" w:cs="宋体"/>
                <w:color w:val="auto"/>
                <w:sz w:val="21"/>
                <w:szCs w:val="21"/>
                <w:lang w:val="en-US" w:eastAsia="zh-CN"/>
              </w:rPr>
              <w:t>不少于</w:t>
            </w:r>
            <w:r>
              <w:rPr>
                <w:rFonts w:hint="eastAsia" w:ascii="宋体" w:hAnsi="宋体" w:cs="宋体"/>
                <w:color w:val="auto"/>
                <w:sz w:val="21"/>
                <w:szCs w:val="21"/>
              </w:rPr>
              <w:t>VGA x1，Audio 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150寸电子白板</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12</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1.工作原理：红外感应技术;</w:t>
            </w:r>
          </w:p>
          <w:p>
            <w:pPr>
              <w:widowControl/>
              <w:jc w:val="left"/>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2.白板尺寸：≥150英寸；显示比例：16:10</w:t>
            </w:r>
            <w:r>
              <w:rPr>
                <w:rFonts w:hint="eastAsia" w:ascii="宋体" w:hAnsi="宋体" w:cs="宋体"/>
                <w:color w:val="000000"/>
                <w:kern w:val="0"/>
                <w:sz w:val="21"/>
                <w:szCs w:val="21"/>
                <w:lang w:eastAsia="zh-CN"/>
              </w:rPr>
              <w:t>；</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3.快捷键：白板两侧各有不少于18个物理快捷键，可触控响应，按键配彩页图片，有中文、英文标识，支持点击任意快捷键，即可调出白板软件；使用物理快捷键可对PPT演示文档进行上下翻页控制，方便用户使用;</w:t>
            </w:r>
          </w:p>
          <w:p>
            <w:pPr>
              <w:widowControl/>
              <w:jc w:val="left"/>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4.触控点数：支持多点触控，支持10笔同时书写</w:t>
            </w:r>
            <w:r>
              <w:rPr>
                <w:rFonts w:hint="eastAsia" w:ascii="宋体" w:hAnsi="宋体" w:cs="宋体"/>
                <w:color w:val="000000"/>
                <w:kern w:val="0"/>
                <w:sz w:val="21"/>
                <w:szCs w:val="21"/>
                <w:lang w:eastAsia="zh-CN"/>
              </w:rPr>
              <w:t>；</w:t>
            </w:r>
          </w:p>
          <w:p>
            <w:pPr>
              <w:widowControl/>
              <w:jc w:val="left"/>
              <w:textAlignment w:val="center"/>
              <w:rPr>
                <w:rFonts w:ascii="宋体" w:hAnsi="宋体" w:cs="宋体"/>
                <w:sz w:val="21"/>
                <w:szCs w:val="21"/>
              </w:rPr>
            </w:pPr>
            <w:r>
              <w:rPr>
                <w:rFonts w:hint="eastAsia" w:ascii="宋体" w:hAnsi="宋体" w:cs="宋体"/>
                <w:color w:val="000000"/>
                <w:kern w:val="0"/>
                <w:sz w:val="21"/>
                <w:szCs w:val="21"/>
              </w:rPr>
              <w:t>5.防遮挡功能：在白板上任意取四个测试点，每个测试点连续遮挡1-10个红外发射灯管，然后从未遮挡的区域向遮挡区域连续划线跨过遮挡区域，进行书写；触摸接收器在单点或多点遮挡后仍能正常书写，确保老师课堂操作的流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上下推拉绿板</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3498" w:type="pct"/>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可上下升降，外框和轨道一体化设计；升降结构在黑板竖框内面，不外露；采用优质滑道，封闭式防尘轴承，钢丝绳式升降；书写板下边框配有通长拉手，方便书写板上下推拉。黑板下方设有粉笔槽，粉笔槽和黑板下框镶嵌式连接；</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2.整体尺寸≥5400mm×1680mm，黑板尺寸≥2700mm×1680mm由两块同等大小可上下交替的书写板和配套产品组装而成，整体外径可根据学校实际情况进行适当调整，满足教学使用；</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3.书写面板：材质采用优质烤漆面板，板面厚度≥0.3mm，整板无拼接；颜色：绿色，表面附有透明保护膜；硬度：涂层硬度6H；光泽度：光泽度＜8%；书写性：用普通粉笔书写，手感流畅，笔记充实均匀、线条明显、字迹清晰，易写易擦；擦拭性：用干式或湿式板擦往复擦拭两遍，无明显残留字迹；</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4.衬板：升降板衬板采用具有优良的防水、阻燃、隔音、减震、耐腐蚀性、强度高的挤塑板，厚度≥15mm，高硬度，不变形。背板：采用优质防锈蓝色彩涂钢板，厚度≥0.2mm；</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5.粘接剂：采用书写板专用环保双组份聚氨酯胶水，粘合强度高，不易脱胶；甲醛释放量符合国家省部级以上权威部门对有害物质释放量的检测标准；</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6.边框材质：采用高级亚光铝合金型材；在灯光下无明显眩光，不反光，保护学生视力；表面氧化、磨砂涂层处理，无划伤，无色差，模具一次成型；</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7.槽轮：固定于竖框内面，隐形安装；滑轮采用精密轴承、耐磨损的聚酯材料；</w:t>
            </w:r>
          </w:p>
          <w:p>
            <w:pPr>
              <w:widowControl/>
              <w:jc w:val="left"/>
              <w:textAlignment w:val="center"/>
              <w:rPr>
                <w:rFonts w:ascii="宋体" w:hAnsi="宋体" w:cs="宋体"/>
                <w:sz w:val="21"/>
                <w:szCs w:val="21"/>
              </w:rPr>
            </w:pPr>
            <w:r>
              <w:rPr>
                <w:rFonts w:hint="eastAsia" w:ascii="宋体" w:hAnsi="宋体" w:cs="宋体"/>
                <w:color w:val="000000"/>
                <w:kern w:val="0"/>
                <w:sz w:val="21"/>
                <w:szCs w:val="21"/>
              </w:rPr>
              <w:t>8.缓冲装置：每组升降黑板的上外框内面两侧需安装缓冲垫，数目≥4个，防止书写板边框与外框直接碰撞，有效降低噪音、保护书写板和运动系统。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上下推拉互联绿板1</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498" w:type="pct"/>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结构规格功能：升降式互联黑板上下推拉结构，采用同步、配重升降装置，升降结构不外露；书写板上下移动时，均能稳定停滞，无自动行走。两块书写板边框均装有智能板书数字化系统，可同时在相连的触控设备上同步显示板书内容（并且一侧设有板书功能键，可删除、修改、保存等多项功能），整体美观；</w:t>
            </w:r>
          </w:p>
          <w:p>
            <w:pPr>
              <w:widowControl/>
              <w:jc w:val="left"/>
              <w:textAlignment w:val="center"/>
              <w:rPr>
                <w:rFonts w:ascii="宋体" w:hAnsi="宋体" w:cs="宋体"/>
                <w:color w:val="auto"/>
                <w:kern w:val="0"/>
                <w:sz w:val="21"/>
                <w:szCs w:val="21"/>
              </w:rPr>
            </w:pPr>
            <w:r>
              <w:rPr>
                <w:rFonts w:hint="eastAsia" w:ascii="宋体" w:hAnsi="宋体" w:cs="宋体"/>
                <w:color w:val="000000"/>
                <w:kern w:val="0"/>
                <w:sz w:val="21"/>
                <w:szCs w:val="21"/>
              </w:rPr>
              <w:t>规格：基本尺寸≥2000mm×16</w:t>
            </w:r>
            <w:r>
              <w:rPr>
                <w:rFonts w:hint="eastAsia" w:ascii="宋体" w:hAnsi="宋体" w:cs="宋体"/>
                <w:color w:val="auto"/>
                <w:kern w:val="0"/>
                <w:sz w:val="21"/>
                <w:szCs w:val="21"/>
              </w:rPr>
              <w:t>80mm，保证与配套电子产品物理尺寸有效对接；</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书写面板：材质采用优质烤漆钢板，板面厚度≥0.40mm，板面细腻平整，无裂纹、无流痕、无气泡等缺陷，表面附有透明保护膜，易写易擦，不反光、不变形、不打滑，整板无拼接；颜色：墨绿色，色彩柔和，舒适，有效缓解学生上课视觉疲劳；涂层硬度≥7H；光泽度：光泽度＜6%，无明显眩光，不反光，有效保护学生视力；书写性：用普通粉笔书写，手感流畅，笔记充实均匀、线条明显、字迹清晰，易写易擦；擦拭性：用板擦往复擦拭两遍，无明显残留字迹，无粉尘飞扬；自动识别性：自动识别普通粉笔、白板笔、板擦、手指等；</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3.衬板：采用具有优良的防水、阻燃、隔音、减震、耐腐蚀性、强度高的挤塑板，厚度≥15mm，硬度高，不变形。背板：采用优质防锈蓝色彩涂钢板，厚度≥0.4mm；</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4.粘接剂：采用书写板专用环保双组份聚氨酯胶水，粘合强度高，不易脱胶；甲醛释放量符合国家省部级以上权威部门对有害物质释放量的检测标准；</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5.边框材质：采用高级亚光铝合金，表面经氧化、磨砂涂层处理，铝合金型材表面无划伤，抗腐蚀，模具一次成型。其色泽柔和，无眩光，不反光，更好地保证教学效果；质量符合国家相关要求。活动板边框：边框规格21.6×30mm，最大壁厚≥1.4mm，内加助筋，增加有效书写面积，增强书写板挺度，密封效果好，不松脱、不变形，活动板下边框带有拉手，方便推拉，整体美观大方；</w:t>
            </w:r>
          </w:p>
          <w:p>
            <w:pPr>
              <w:widowControl/>
              <w:jc w:val="left"/>
              <w:textAlignment w:val="center"/>
              <w:rPr>
                <w:rFonts w:ascii="宋体" w:hAnsi="宋体" w:cs="宋体"/>
                <w:color w:val="000000"/>
                <w:kern w:val="0"/>
                <w:sz w:val="21"/>
                <w:szCs w:val="21"/>
              </w:rPr>
            </w:pPr>
            <w:r>
              <w:rPr>
                <w:rFonts w:hint="eastAsia" w:ascii="宋体" w:hAnsi="宋体" w:cs="宋体"/>
                <w:color w:val="auto"/>
                <w:kern w:val="0"/>
                <w:sz w:val="21"/>
                <w:szCs w:val="21"/>
              </w:rPr>
              <w:t>6.滑轮：每块书写板轨道内上下隐形安装≥4组（≥8个）</w:t>
            </w:r>
            <w:r>
              <w:rPr>
                <w:rFonts w:hint="eastAsia" w:ascii="宋体" w:hAnsi="宋体" w:cs="宋体"/>
                <w:color w:val="000000"/>
                <w:kern w:val="0"/>
                <w:sz w:val="21"/>
                <w:szCs w:val="21"/>
              </w:rPr>
              <w:t>，看面不漏轨道、滑轮、螺钉；滑轮推拉耐久次数≥9万次，且能正常使用；</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7.缓冲装置：每块书写板在竖直方向上安装有4组EVA缓冲块，在水平方向上安装有4个天然橡胶缓冲块，上下左右推拉书写板时，能够有效降低噪音、保护书写板和运动系统。</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功能软件</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1.登录模式：</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本地模式：支持板书与显示设备同步显示，可本地化对板书、电子课件和教师语音进行录制、并支持本地指定位置归档存储；本地回看时一侧板书、一侧课件，可通过PPT索引页，快速定位到想要观看的内容，无需拖动进度条，提高重点回看及复习的效率；</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网络模式：在支持本地模式的基础上，课间系统可识别用户身份，讲解的板书及知识重点和课件内容均会自动同步教师网络空间和学校平台形成校本资源库； 并且有效杜绝非授权人员使用，在网络上产生违法违规的有害信息，及占用学校的网络空间和流量消耗；</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2.启动系统：可自动检测黑板数量、网络、话筒、正常与否，并提供异常解决方案；</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3.同步显示：基于普通黑板、普通白板等任何书写面，将普通粉笔或白板笔实时数字化，自动生成带原笔迹电子化板书，还原老师重要的板书内容，将书写的内容时时同步到教学显示屏上，实现数字化；</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4.智能识别：</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不需要手动选择设置，自动识别书写笔尖的粗细变化，最大化还原书写体验；</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 xml:space="preserve">软件可以设置书写笔及板擦的临界范围，当操作物体尺寸大于该临界范围时，自动被识别为板擦，无需手动选择设置，不改变老师以往的使用习惯； </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5.智能屏蔽功能：可以自动屏蔽老师书写时衣袖、手掌的干扰。粉笔书写时手指拿的很近且左手掌在黑板下方书写时不影响书写效果，完全不改变老师的书写习惯；</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6.多人书写：支持多人同时书写；</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7.笔粗显示调整：可以通过软件设置数字化后的板书粗细，可根据教室大小加粗板书笔记，方便学生观看；</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8.快捷键功能：黑板上左右双侧可设有快捷键功能，可设定成单侧按钮也可设定成双侧按钮；</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同屏显示：为满足课堂多维度教学场景需求，支持板书与电子大屏幕的同步、和异步显示；</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一键清屏：可以通过功能按钮将显示器上显示的板书一键清屏，方便老师快速清除屏幕杂点；防误触功能，教师授课中不会因误触清屏键，造成宝贵的板书消失，即2秒内双击判断为清屏操作；</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实时保存：可以通过功能按钮将当前板书保存在本地计算机上，方便无网络的教室及时保存重要板书内容；</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内容切换：可以通过功能按钮切换投影机显示板书内容或电脑课件内容；</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翻页功能：可以通过功能按钮上一页下一页实现课件的翻页或对已保存的板书内容进行翻页查看；</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颜色选择：可以通过功能按钮选择板书数字化后的颜色，分为红色、蓝色、黑色，方便老师根据上课内容有差别的进行重点或难点标注显示；</w:t>
            </w:r>
          </w:p>
          <w:p>
            <w:pPr>
              <w:widowControl/>
              <w:jc w:val="left"/>
              <w:textAlignment w:val="center"/>
              <w:rPr>
                <w:rFonts w:ascii="宋体" w:hAnsi="宋体" w:cs="宋体"/>
                <w:sz w:val="21"/>
                <w:szCs w:val="21"/>
              </w:rPr>
            </w:pPr>
            <w:r>
              <w:rPr>
                <w:rFonts w:hint="eastAsia" w:ascii="宋体" w:hAnsi="宋体" w:cs="宋体"/>
                <w:color w:val="auto"/>
                <w:kern w:val="0"/>
                <w:sz w:val="21"/>
                <w:szCs w:val="21"/>
              </w:rPr>
              <w:t>重点讲解：点击按钮进入知识重点录制模式，划分区域截取想要录制的屏幕画面，进入录题模式，并支持同步显示黑板板书，完成录制后点击完成按钮，则形成一段完整的重点录制视频，学生和老师可以在本地或个人网络空间，随时随地回看重点讲解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上下推拉互联绿板2</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8</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结构规格功能：升降式互联黑板上下推拉结构，采用同步、配重升降装置，升降结构不外露；书写板上下移动时，均能稳定停滞，无自动行走。两块书写板边框均装有智能板书数字化系统，可同时在相连的触控设备上同步显示板书内容（并且一侧设有板书功能键，可删除、修改、保存等多项功能），整体美观；</w:t>
            </w:r>
          </w:p>
          <w:p>
            <w:pPr>
              <w:widowControl/>
              <w:jc w:val="left"/>
              <w:textAlignment w:val="center"/>
              <w:rPr>
                <w:rFonts w:ascii="宋体" w:hAnsi="宋体" w:cs="宋体"/>
                <w:color w:val="auto"/>
                <w:kern w:val="0"/>
                <w:sz w:val="21"/>
                <w:szCs w:val="21"/>
              </w:rPr>
            </w:pPr>
            <w:r>
              <w:rPr>
                <w:rFonts w:hint="eastAsia" w:ascii="宋体" w:hAnsi="宋体" w:cs="宋体"/>
                <w:color w:val="000000"/>
                <w:kern w:val="0"/>
                <w:sz w:val="21"/>
                <w:szCs w:val="21"/>
              </w:rPr>
              <w:t>规格：基本尺寸≥2950mm*1900mm，保证与配套电子产品物理尺寸有效对接；</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书写面板：材质采用优质烤漆钢板，板面厚度≥0.40mm，板面细腻平整，无裂纹、无流痕、无气泡等缺陷，表面附有透明保护膜，易写易擦，不反光、不变形、不打滑，整板无拼接；颜色：墨绿色，色彩柔和，舒适，有效缓解学生上课视觉疲劳；涂层硬度≥7H；光泽度：光泽度＜6%，无明显眩光，不反光，有效保护学生视力；书写性：用普通粉笔书写，手感流畅，笔记充实均匀、线条明显、字迹清晰，易写易擦；擦拭性：用板擦往复擦拭两遍，无明显残留字迹，无粉尘飞扬；自动识别性：自动识别普通粉笔、白板笔、板擦、手指等；</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3.衬板：采用具有优良的防水、阻燃、隔音、减震、耐腐蚀性、强度高的挤塑板，厚度≥15mm，硬度高，不变形。背板：采用优质防锈蓝色彩涂钢板，厚度≥0.4mm；</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4.粘接剂：采用书写板专用环保双组份聚氨酯胶水，粘合强度高，不易脱胶；甲醛释放量符合国家省部级以上权威部门对有害物质释放量的检测标准；</w:t>
            </w:r>
          </w:p>
          <w:p>
            <w:pPr>
              <w:widowControl/>
              <w:jc w:val="left"/>
              <w:textAlignment w:val="center"/>
              <w:rPr>
                <w:rFonts w:ascii="宋体" w:hAnsi="宋体" w:cs="宋体"/>
                <w:color w:val="000000"/>
                <w:kern w:val="0"/>
                <w:sz w:val="21"/>
                <w:szCs w:val="21"/>
              </w:rPr>
            </w:pPr>
            <w:r>
              <w:rPr>
                <w:rFonts w:hint="eastAsia" w:ascii="宋体" w:hAnsi="宋体" w:cs="宋体"/>
                <w:color w:val="auto"/>
                <w:kern w:val="0"/>
                <w:sz w:val="21"/>
                <w:szCs w:val="21"/>
              </w:rPr>
              <w:t>5.边框材质：采用高级亚光铝合金，表面经氧化、磨砂涂层处理，铝合金型材表面无划伤，抗腐蚀，模具一次成型。其色泽柔和，无眩光，不反光，更好地保证教学效果；质量符合国家相关要求。活动板边框：边框规格21.6×30mm，最大壁厚≥1.4mm</w:t>
            </w:r>
            <w:r>
              <w:rPr>
                <w:rFonts w:hint="eastAsia" w:ascii="宋体" w:hAnsi="宋体" w:cs="宋体"/>
                <w:color w:val="000000"/>
                <w:kern w:val="0"/>
                <w:sz w:val="21"/>
                <w:szCs w:val="21"/>
              </w:rPr>
              <w:t>，内加助筋，增加有效书写面积，增强书写板挺度，密封效果好，不松脱、不变形，活动板下边框带有拉手，方便推拉，整体美观大方；</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6.滑轮：每块书写板轨道内上下隐形安装≥4组（≥8个），看面不漏轨道、滑轮、螺钉；滑轮推拉耐久次数≥9万次，且能正常使用；</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7.缓冲装置：每块书写板在竖直方向上安装有4组EVA缓冲块，在水平方向上安装有4个天然橡胶缓冲块，上下左右推拉书写板时，能够有效降低噪音、保护书写板和运动系统；</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功能软件</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1.登录模式：</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本地模式：支持板书与显示设备同步显示，可本地化对板书、电子课件和教师语音进行录制、并支持本地指定位置归档存储；本地回看时一侧板书、一侧课件，可通过PPT索引页，快速定位到想要观看的内容，无需拖动进度条，提高重点回看及复习的效率；</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网络模式：在支持本地模式的基础上，课间系统可识别用户身份，讲解的板书及知识重点和课件内容均会自动同步教师网络空间和学校平台形成校本资源库； 并且有效杜绝非授权人员使用，在网络上产生违法违规的有害信息，及占用学校的网络空间和流量消耗；</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 xml:space="preserve">2.启动系统：可自动检测黑板数量、网络、话筒、正常与否，并提供异常解决方案； </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3.同步显示：基于普通黑板、普通白板等任何书写面，将普通粉笔或白板笔实时数字化，自动生成带原笔迹电子化板书，还原老师重要的板书内容，将书写的内容时时同步到教学显示屏上，实现数字化；</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4.智能识别：</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不需要手动选择设置，自动识别书写笔尖的粗细变化，最大化还原书写体验；</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 xml:space="preserve">软件可以设置书写笔及板擦的临界范围，当操作物体尺寸大于该临界范围时，自动被识别为板擦，无需手动选择设置，不改变老师以往的使用习惯； </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5.智能屏蔽功能：可以自动屏蔽老师书写时衣袖、手掌的干扰。粉笔书写时手指拿的很近且左手掌在黑板下方书写时不影响书写效果，完全不改变老师的书写习惯；</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6.多人书写：支持多人同时书写；</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7.笔粗显示调整：可以通过软件设置数字化后的板书粗细，可根据教室大小加粗板书笔记，方便学生观看；</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8.快捷键功能：黑板上左右双侧可设有快捷键功能，可设定成单侧按钮也可设定成双侧按钮；</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同屏显示：为满足课堂多维度教学场景需求，支持板书与电子大屏幕的同步、和异步显示；</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一键清屏：可以通过功能按钮将显示器上显示的板书一键清屏，方便老师快速清除屏幕杂点；防误触功能，教师授课中不会因误触清屏键，造成宝贵的板书消失，即2秒内双击判断为清屏操作；</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实时保存：可以通过功能按钮将当前板书保存在本地计算机上，方便无网络的教室及时保存重要板书内容；</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内容切换：可以通过功能按钮切换投影机显示板书内容或电脑课件内容；</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翻页功能：可以通过功能按钮上一页下一页实现课件的翻页或对已保存的板书内容进行翻页查看；</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颜色选择：可以通过功能按钮选择板书数字化后的颜色，分为红色、蓝色、黑色，方便老师根据上课内容有差别的进行重点或难点标注显示；</w:t>
            </w:r>
          </w:p>
          <w:p>
            <w:pPr>
              <w:widowControl/>
              <w:jc w:val="left"/>
              <w:textAlignment w:val="center"/>
              <w:rPr>
                <w:rFonts w:ascii="宋体" w:hAnsi="宋体" w:cs="宋体"/>
                <w:sz w:val="21"/>
                <w:szCs w:val="21"/>
              </w:rPr>
            </w:pPr>
            <w:r>
              <w:rPr>
                <w:rFonts w:hint="eastAsia" w:ascii="宋体" w:hAnsi="宋体" w:cs="宋体"/>
                <w:color w:val="000000"/>
                <w:kern w:val="0"/>
                <w:sz w:val="21"/>
                <w:szCs w:val="21"/>
              </w:rPr>
              <w:t>重点讲解：点击按钮进入知识重点录制模式，划分区域截取想要录制的屏幕画面，进入录题模式，并支持同步显示黑板板书，完成录制后点击完成按钮，则形成一段完整的重点录制视频，学生和老师可以在本地或个人网络空间，随时随地回看重点讲解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智能红外无线功放</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台</w:t>
            </w:r>
          </w:p>
        </w:tc>
        <w:tc>
          <w:tcPr>
            <w:tcW w:w="3498" w:type="pct"/>
          </w:tcPr>
          <w:p>
            <w:pPr>
              <w:widowControl/>
              <w:jc w:val="left"/>
              <w:textAlignment w:val="top"/>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1.集成：D类数字功放，红外线无线接收模块，反馈抑制模块于一体；</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2.采用红外光线进行音频传输，不串频，无干扰；</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★3.频道组数≥3通道，支持两支红外无线话筒同时使用；</w:t>
            </w:r>
            <w:r>
              <w:rPr>
                <w:rFonts w:hint="eastAsia" w:ascii="宋体" w:hAnsi="宋体" w:cs="宋体"/>
                <w:sz w:val="21"/>
                <w:szCs w:val="21"/>
              </w:rPr>
              <w:t>（需提供国家认可的第三方检测机构所出具的检测报告扫描件）</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4.红外传输接口≥RJ45网口×2，可支持4个红外传感器，最长传输距离≥70米；</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5.线路输入接口≥2组，有线话筒输入接口≥2个（其中1个自带48V幻象供电），USB数字声卡接口≥1个，USB多媒体接口（摄像头）≥2个，混音输出接口≥2个，话筒独立输出接口≥1个，音箱接线端口≥4组；</w:t>
            </w:r>
          </w:p>
          <w:p>
            <w:pPr>
              <w:widowControl/>
              <w:jc w:val="left"/>
              <w:textAlignment w:val="top"/>
              <w:rPr>
                <w:rFonts w:hint="eastAsia" w:ascii="宋体" w:hAnsi="宋体" w:eastAsia="宋体" w:cs="宋体"/>
                <w:sz w:val="21"/>
                <w:szCs w:val="21"/>
                <w:lang w:eastAsia="zh-CN"/>
              </w:rPr>
            </w:pPr>
            <w:r>
              <w:rPr>
                <w:rFonts w:hint="eastAsia" w:ascii="宋体" w:hAnsi="宋体" w:cs="宋体"/>
                <w:color w:val="000000" w:themeColor="text1"/>
                <w:kern w:val="0"/>
                <w:sz w:val="21"/>
                <w:szCs w:val="21"/>
                <w14:textFill>
                  <w14:solidFill>
                    <w14:schemeClr w14:val="tx1"/>
                  </w14:solidFill>
                </w14:textFill>
              </w:rPr>
              <w:t>★6.前面板配备每个红外通道音量物理旋钮、每个线路输入音量物理旋钮、数字声卡输入音量物理旋钮、有线话筒输入音量物理旋钮、高低音调节物理旋钮，具备参数存储按钮，恢复出厂值按钮。</w:t>
            </w:r>
            <w:r>
              <w:rPr>
                <w:rFonts w:hint="eastAsia" w:ascii="宋体" w:hAnsi="宋体" w:cs="宋体"/>
                <w:sz w:val="21"/>
                <w:szCs w:val="21"/>
              </w:rPr>
              <w:t>（需提供国家认可的第三方检测机构所出具的检测报告扫描件）</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7.前面板配置中文液晶屏，及时反馈设备状态；</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8.频率响应：50Hz~20KHz ±3dB，失真：≤0.05%；</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9.信噪比≥78dB(MIC 1.2.), ≥80dB(LINE), ≥100dB(IR MIC)（A计权）；</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10.动态范围100dB；</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11.RF载波稳定性:±0.005% (-10℃-40℃)；</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12.额定输出功率:≥（8Ω）2×70W ，≥（4Ω）2×130W</w:t>
            </w:r>
            <w:r>
              <w:rPr>
                <w:rFonts w:hint="eastAsia" w:ascii="宋体" w:hAnsi="宋体" w:cs="宋体"/>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红外线传感器</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3498" w:type="pct"/>
          </w:tcPr>
          <w:p>
            <w:pPr>
              <w:widowControl/>
              <w:jc w:val="left"/>
              <w:textAlignment w:val="top"/>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1.超广角多阵列式红外线接收管≥24颗；同时支持3个或以上红外通道传输；</w:t>
            </w:r>
          </w:p>
          <w:p>
            <w:pPr>
              <w:widowControl/>
              <w:jc w:val="left"/>
              <w:textAlignment w:val="top"/>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2.接口：RJ45网络接口；</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3.接收半径：≥26m(直线无遮挡)；</w:t>
            </w:r>
          </w:p>
          <w:p>
            <w:pPr>
              <w:widowControl/>
              <w:jc w:val="left"/>
              <w:textAlignment w:val="top"/>
              <w:rPr>
                <w:rFonts w:ascii="宋体" w:hAnsi="宋体" w:cs="宋体"/>
                <w:sz w:val="21"/>
                <w:szCs w:val="21"/>
              </w:rPr>
            </w:pPr>
            <w:r>
              <w:rPr>
                <w:rFonts w:hint="eastAsia" w:ascii="宋体" w:hAnsi="宋体" w:cs="宋体"/>
                <w:color w:val="000000" w:themeColor="text1"/>
                <w:kern w:val="0"/>
                <w:sz w:val="21"/>
                <w:szCs w:val="21"/>
                <w14:textFill>
                  <w14:solidFill>
                    <w14:schemeClr w14:val="tx1"/>
                  </w14:solidFill>
                </w14:textFill>
              </w:rPr>
              <w:t>4.红外线波长：850nm；</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5.覆盖角度：360°。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14</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红外线颈挂式话筒</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3498" w:type="pct"/>
          </w:tcPr>
          <w:p>
            <w:pPr>
              <w:widowControl/>
              <w:jc w:val="left"/>
              <w:textAlignment w:val="top"/>
              <w:rPr>
                <w:rFonts w:ascii="宋体" w:hAnsi="宋体" w:cs="宋体"/>
                <w:sz w:val="21"/>
                <w:szCs w:val="21"/>
              </w:rPr>
            </w:pPr>
            <w:r>
              <w:rPr>
                <w:rFonts w:hint="eastAsia" w:ascii="宋体" w:hAnsi="宋体" w:cs="宋体"/>
                <w:color w:val="000000" w:themeColor="text1"/>
                <w:kern w:val="0"/>
                <w:sz w:val="21"/>
                <w:szCs w:val="21"/>
                <w14:textFill>
                  <w14:solidFill>
                    <w14:schemeClr w14:val="tx1"/>
                  </w14:solidFill>
                </w14:textFill>
              </w:rPr>
              <w:t>1.无线传输：红外线(波长850nm)，高灵敏度红外线发射管≥6颗，可在阳光下工作；</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2.有效传输距离：与配套主机实现≥26米（室内直线无遮挡）稳定传输；</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3.拾音传感器：电容式驻极体音头ECM；</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4</w:t>
            </w:r>
            <w:r>
              <w:rPr>
                <w:rFonts w:hint="eastAsia" w:ascii="宋体" w:hAnsi="宋体" w:cs="宋体"/>
                <w:color w:val="auto"/>
                <w:kern w:val="0"/>
                <w:sz w:val="21"/>
                <w:szCs w:val="21"/>
              </w:rPr>
              <w:t>.通道调节：双通道设计，可自由调节通道；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★5.电池：1节AA （3.7V）可充电可拆卸可自行更换锂电池，同时支持两种充电方式：磁吸座充和Type-C线充电；</w:t>
            </w:r>
            <w:r>
              <w:rPr>
                <w:rFonts w:hint="eastAsia" w:ascii="宋体" w:hAnsi="宋体" w:cs="宋体"/>
                <w:color w:val="auto"/>
                <w:sz w:val="21"/>
                <w:szCs w:val="21"/>
              </w:rPr>
              <w:t>（需提供国家认可的第三方检测机构所出具的检测报告扫描件）</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6.话筒静置1秒后自动断开红外发射和声音采集，拿取时自动打开红外发射并正常工作；</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7.安全电路设计：电池反装不会短路，电池反装充电不会短路，装入性能不匹配电池不工作、不充电；</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8.外部音源接入：能支持外部音源输入，可连接手机等移动设备；</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9.双色指示灯反馈设备电量、音量及使用状态；</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10.佩戴方式：可颈挂，可手持。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15</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红外线手持话筒</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3498" w:type="pct"/>
          </w:tcPr>
          <w:p>
            <w:pPr>
              <w:widowControl/>
              <w:jc w:val="left"/>
              <w:textAlignment w:val="top"/>
              <w:rPr>
                <w:rFonts w:ascii="宋体" w:hAnsi="宋体" w:cs="宋体"/>
                <w:color w:val="auto"/>
                <w:kern w:val="0"/>
                <w:sz w:val="21"/>
                <w:szCs w:val="21"/>
              </w:rPr>
            </w:pPr>
            <w:r>
              <w:rPr>
                <w:rFonts w:hint="eastAsia" w:ascii="宋体" w:hAnsi="宋体" w:cs="宋体"/>
                <w:color w:val="auto"/>
                <w:kern w:val="0"/>
                <w:sz w:val="21"/>
                <w:szCs w:val="21"/>
              </w:rPr>
              <w:t>1.无线传输制式：红外线(波长850nm)，高灵敏度红外线发射管≥6颗；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2.拾音传感器：电容式驻极体音头ECM；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3.通道调节：双通道设计，可自由调节通道；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4.电池：1节AA（3.7V）可充电可拆卸可自行更换锂电池，同时支持两种充电方式：磁吸座充和Type-C线充电；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5.话筒具备防止电池短路设计，即：无法将电池反装入话筒内，且在任何电池短路的情况下都不会对设备造成损坏；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6.采用手持式圆柱体形状设计，采用铝合金材质；</w:t>
            </w:r>
          </w:p>
          <w:p>
            <w:pPr>
              <w:widowControl/>
              <w:jc w:val="left"/>
              <w:textAlignment w:val="top"/>
              <w:rPr>
                <w:rFonts w:ascii="宋体" w:hAnsi="宋体" w:cs="宋体"/>
                <w:color w:val="auto"/>
                <w:sz w:val="21"/>
                <w:szCs w:val="21"/>
              </w:rPr>
            </w:pPr>
            <w:r>
              <w:rPr>
                <w:rFonts w:hint="eastAsia" w:ascii="宋体" w:hAnsi="宋体" w:cs="宋体"/>
                <w:color w:val="auto"/>
                <w:kern w:val="0"/>
                <w:sz w:val="21"/>
                <w:szCs w:val="21"/>
              </w:rPr>
              <w:t>7.话筒静置1秒后自动断开红外发射和声音采集，拿取时自动打开红外发射并正常工作。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16</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有线鹅颈话筒</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3498" w:type="pct"/>
          </w:tcPr>
          <w:p>
            <w:pPr>
              <w:widowControl/>
              <w:jc w:val="left"/>
              <w:textAlignment w:val="top"/>
              <w:rPr>
                <w:rFonts w:ascii="宋体" w:hAnsi="宋体" w:cs="宋体"/>
                <w:color w:val="auto"/>
                <w:kern w:val="0"/>
                <w:sz w:val="21"/>
                <w:szCs w:val="21"/>
              </w:rPr>
            </w:pPr>
            <w:r>
              <w:rPr>
                <w:rFonts w:hint="eastAsia" w:ascii="宋体" w:hAnsi="宋体" w:cs="宋体"/>
                <w:color w:val="auto"/>
                <w:kern w:val="0"/>
                <w:sz w:val="21"/>
                <w:szCs w:val="21"/>
              </w:rPr>
              <w:t>1.换能方式：电容式；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2.频率响应：20Hz-20KHz；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3.指向性：心型指向；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4.输出阻抗（欧姆）：≤75Ω；</w:t>
            </w:r>
          </w:p>
          <w:p>
            <w:pPr>
              <w:widowControl/>
              <w:jc w:val="left"/>
              <w:textAlignment w:val="top"/>
              <w:rPr>
                <w:rFonts w:ascii="宋体" w:hAnsi="宋体" w:cs="宋体"/>
                <w:color w:val="auto"/>
                <w:sz w:val="21"/>
                <w:szCs w:val="21"/>
              </w:rPr>
            </w:pPr>
            <w:r>
              <w:rPr>
                <w:rFonts w:hint="eastAsia" w:ascii="宋体" w:hAnsi="宋体" w:cs="宋体"/>
                <w:color w:val="auto"/>
                <w:kern w:val="0"/>
                <w:sz w:val="21"/>
                <w:szCs w:val="21"/>
              </w:rPr>
              <w:t>5.灵敏度：-40dB±2dB；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6.供电电压(V)：DC3V/幻象48V；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7.咪管长度：≥445mm；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8.咪线长度、配置：2米+10米双芯、卡龙母+卡龙公；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9.开关：电子轻触；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10.抗手手、电磁、调频干扰。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17</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组合式双路充电座</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3498" w:type="pct"/>
          </w:tcPr>
          <w:p>
            <w:pPr>
              <w:widowControl/>
              <w:jc w:val="left"/>
              <w:textAlignment w:val="top"/>
              <w:rPr>
                <w:rFonts w:ascii="宋体" w:hAnsi="宋体" w:cs="宋体"/>
                <w:sz w:val="21"/>
                <w:szCs w:val="21"/>
              </w:rPr>
            </w:pPr>
            <w:r>
              <w:rPr>
                <w:rFonts w:hint="eastAsia" w:ascii="宋体" w:hAnsi="宋体" w:cs="宋体"/>
                <w:color w:val="000000" w:themeColor="text1"/>
                <w:kern w:val="0"/>
                <w:sz w:val="21"/>
                <w:szCs w:val="21"/>
                <w14:textFill>
                  <w14:solidFill>
                    <w14:schemeClr w14:val="tx1"/>
                  </w14:solidFill>
                </w14:textFill>
              </w:rPr>
              <w:t>1.标配两个充电位，可根据话筒型号自由组合充电孔位，同时支持桌面放置和嵌入式安装两种方式，同时支持两种不同形状话筒充电（颈挂式、手持式）且两种话筒可以互换充电位充电；</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2.充电保护：对不关话筒的情况下可以自动断开内部电路并进行充电；</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3.充电指示：可根据充电指示灯判断充电情况；</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4.电池识别保护：能自动识别是否是充电电池，检测到非充电电池会自动断电保护；</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5.充电电压电流：DC 5V, 500mA。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18</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垂直阵列主扩扬声器</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498" w:type="pct"/>
          </w:tcPr>
          <w:p>
            <w:pPr>
              <w:widowControl/>
              <w:jc w:val="left"/>
              <w:textAlignment w:val="top"/>
              <w:rPr>
                <w:rFonts w:ascii="宋体" w:hAnsi="宋体" w:cs="宋体"/>
                <w:sz w:val="21"/>
                <w:szCs w:val="21"/>
              </w:rPr>
            </w:pPr>
            <w:r>
              <w:rPr>
                <w:rFonts w:hint="eastAsia" w:ascii="宋体" w:hAnsi="宋体" w:cs="宋体"/>
                <w:color w:val="000000" w:themeColor="text1"/>
                <w:kern w:val="0"/>
                <w:sz w:val="21"/>
                <w:szCs w:val="21"/>
                <w14:textFill>
                  <w14:solidFill>
                    <w14:schemeClr w14:val="tx1"/>
                  </w14:solidFill>
                </w14:textFill>
              </w:rPr>
              <w:t>1.ABS塑料+玻璃纤维箱体材料；</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2.喇叭单元≥4个3寸高性能铁氧体驱动单元；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3.阻抗：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8Ω；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4.功率：额定≥120W，峰值≥400W</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cs="宋体"/>
                <w:color w:val="000000" w:themeColor="text1"/>
                <w:kern w:val="0"/>
                <w:sz w:val="21"/>
                <w:szCs w:val="21"/>
                <w14:textFill>
                  <w14:solidFill>
                    <w14:schemeClr w14:val="tx1"/>
                  </w14:solidFill>
                </w14:textFill>
              </w:rPr>
              <w:t>.频率响应：120Hz~16kHz（-6dB）；75Hz~20kHz（-10dB）</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lang w:val="en-US" w:eastAsia="zh-CN"/>
                <w14:textFill>
                  <w14:solidFill>
                    <w14:schemeClr w14:val="tx1"/>
                  </w14:solidFill>
                </w14:textFill>
              </w:rPr>
              <w:t>6</w:t>
            </w:r>
            <w:r>
              <w:rPr>
                <w:rFonts w:hint="eastAsia" w:ascii="宋体" w:hAnsi="宋体" w:cs="宋体"/>
                <w:color w:val="000000" w:themeColor="text1"/>
                <w:kern w:val="0"/>
                <w:sz w:val="21"/>
                <w:szCs w:val="21"/>
                <w14:textFill>
                  <w14:solidFill>
                    <w14:schemeClr w14:val="tx1"/>
                  </w14:solidFill>
                </w14:textFill>
              </w:rPr>
              <w:t>.扩散角度：垂直&gt;20°，水平&gt;120°。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19</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65寸大屏显示终端</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56</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1.物理分辨率：</w:t>
            </w:r>
            <w:r>
              <w:rPr>
                <w:rFonts w:hint="eastAsia" w:ascii="宋体" w:hAnsi="宋体" w:cs="宋体"/>
                <w:kern w:val="0"/>
                <w:sz w:val="21"/>
                <w:szCs w:val="21"/>
              </w:rPr>
              <w:t>≥</w:t>
            </w:r>
            <w:r>
              <w:rPr>
                <w:rFonts w:hint="eastAsia" w:ascii="宋体" w:hAnsi="宋体" w:cs="宋体"/>
                <w:color w:val="000000"/>
                <w:kern w:val="0"/>
                <w:sz w:val="21"/>
                <w:szCs w:val="21"/>
              </w:rPr>
              <w:t>3840×2160；</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2.屏幕比例：16:9；屏占比：95%&gt;N≥90%；</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3.背光方式：直下式/DLED；</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4.WiFi模块：2.4GHz WiFi；</w:t>
            </w:r>
          </w:p>
          <w:p>
            <w:pPr>
              <w:widowControl/>
              <w:jc w:val="left"/>
              <w:textAlignment w:val="center"/>
              <w:rPr>
                <w:rFonts w:ascii="宋体" w:hAnsi="宋体" w:cs="宋体"/>
                <w:color w:val="auto"/>
                <w:kern w:val="0"/>
                <w:sz w:val="21"/>
                <w:szCs w:val="21"/>
              </w:rPr>
            </w:pPr>
            <w:r>
              <w:rPr>
                <w:rFonts w:hint="eastAsia" w:ascii="宋体" w:hAnsi="宋体" w:cs="宋体"/>
                <w:color w:val="000000"/>
                <w:kern w:val="0"/>
                <w:sz w:val="21"/>
                <w:szCs w:val="21"/>
              </w:rPr>
              <w:t>5.内存：</w:t>
            </w:r>
            <w:r>
              <w:rPr>
                <w:rFonts w:hint="eastAsia" w:ascii="宋体" w:hAnsi="宋体" w:cs="宋体"/>
                <w:kern w:val="0"/>
                <w:sz w:val="21"/>
                <w:szCs w:val="21"/>
              </w:rPr>
              <w:t>≥</w:t>
            </w:r>
            <w:r>
              <w:rPr>
                <w:rFonts w:hint="eastAsia" w:ascii="宋体" w:hAnsi="宋体" w:cs="宋体"/>
                <w:color w:val="000000"/>
                <w:kern w:val="0"/>
                <w:sz w:val="21"/>
                <w:szCs w:val="21"/>
              </w:rPr>
              <w:t>1.5GB；</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6.存储：≥8GB；</w:t>
            </w:r>
          </w:p>
          <w:p>
            <w:pPr>
              <w:widowControl/>
              <w:jc w:val="left"/>
              <w:textAlignment w:val="center"/>
              <w:rPr>
                <w:rFonts w:ascii="宋体" w:hAnsi="宋体" w:cs="宋体"/>
                <w:sz w:val="21"/>
                <w:szCs w:val="21"/>
              </w:rPr>
            </w:pPr>
            <w:r>
              <w:rPr>
                <w:rFonts w:hint="eastAsia" w:ascii="宋体" w:hAnsi="宋体" w:cs="宋体"/>
                <w:color w:val="auto"/>
                <w:kern w:val="0"/>
                <w:sz w:val="21"/>
                <w:szCs w:val="21"/>
              </w:rPr>
              <w:t>7.输入接口：</w:t>
            </w:r>
            <w:r>
              <w:rPr>
                <w:rFonts w:hint="eastAsia" w:ascii="宋体" w:hAnsi="宋体" w:cs="宋体"/>
                <w:color w:val="auto"/>
                <w:kern w:val="0"/>
                <w:sz w:val="21"/>
                <w:szCs w:val="21"/>
                <w:lang w:val="en-US" w:eastAsia="zh-CN"/>
              </w:rPr>
              <w:t>不少于</w:t>
            </w:r>
            <w:r>
              <w:rPr>
                <w:rFonts w:hint="eastAsia" w:ascii="宋体" w:hAnsi="宋体" w:cs="宋体"/>
                <w:color w:val="auto"/>
                <w:kern w:val="0"/>
                <w:sz w:val="21"/>
                <w:szCs w:val="21"/>
              </w:rPr>
              <w:t>有线\天线输入×1，USB2.0×2，音视频输入×1，HDMI2.0(ARC)×1，HDMI2.0×1，网口×1。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20</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75寸大屏显示终端</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10</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1.物理分辨率：≥3840×2160；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2.屏幕比例：16:9；屏占比：95%&gt;N≥90%；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3.背光方式：直下式/DLED；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4.WiFi模块：2.4GHz WiFi；</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5.内存：≥2GB；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6.存储：≥16GB；</w:t>
            </w:r>
          </w:p>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7.输入接口：</w:t>
            </w:r>
            <w:r>
              <w:rPr>
                <w:rFonts w:hint="eastAsia" w:ascii="宋体" w:hAnsi="宋体" w:cs="宋体"/>
                <w:color w:val="auto"/>
                <w:kern w:val="0"/>
                <w:sz w:val="21"/>
                <w:szCs w:val="21"/>
                <w:lang w:val="en-US" w:eastAsia="zh-CN"/>
              </w:rPr>
              <w:t>不少于</w:t>
            </w:r>
            <w:r>
              <w:rPr>
                <w:rFonts w:hint="eastAsia" w:ascii="宋体" w:hAnsi="宋体" w:cs="宋体"/>
                <w:color w:val="auto"/>
                <w:kern w:val="0"/>
                <w:sz w:val="21"/>
                <w:szCs w:val="21"/>
              </w:rPr>
              <w:t>有线\天线输入×1，USB2.0×2，音视频输入×1，HDMI2.1×2，网口×1。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21</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85寸大屏显示终端</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21</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1.物理分辨率：≥3840×2160；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2.屏幕比例：16:9；屏占比≥97%;</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3.背光方式：直下式/DLED；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4.WiFi模块：2.4GHz WiFi；</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5.内存：≥4GB；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6.存储：≥64GB；</w:t>
            </w:r>
          </w:p>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7.输入接口：</w:t>
            </w:r>
            <w:r>
              <w:rPr>
                <w:rFonts w:hint="eastAsia" w:ascii="宋体" w:hAnsi="宋体" w:cs="宋体"/>
                <w:color w:val="auto"/>
                <w:kern w:val="0"/>
                <w:sz w:val="21"/>
                <w:szCs w:val="21"/>
                <w:lang w:val="en-US" w:eastAsia="zh-CN"/>
              </w:rPr>
              <w:t>不少于</w:t>
            </w:r>
            <w:r>
              <w:rPr>
                <w:rFonts w:hint="eastAsia" w:ascii="宋体" w:hAnsi="宋体" w:cs="宋体"/>
                <w:color w:val="auto"/>
                <w:kern w:val="0"/>
                <w:sz w:val="21"/>
                <w:szCs w:val="21"/>
              </w:rPr>
              <w:t>有线\天线输入×1，USB3.0×1,USB2.0×1，音视频输入×1，HDMI2.1×3，网口×1。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22</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高清LED显示屏1（含配套）</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21.9</w:t>
            </w:r>
          </w:p>
        </w:tc>
        <w:tc>
          <w:tcPr>
            <w:tcW w:w="370" w:type="pct"/>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kern w:val="0"/>
                <w:sz w:val="21"/>
                <w:szCs w:val="21"/>
              </w:rPr>
              <w:t>平方</w:t>
            </w:r>
            <w:r>
              <w:rPr>
                <w:rFonts w:hint="eastAsia" w:ascii="宋体" w:hAnsi="宋体" w:cs="宋体"/>
                <w:color w:val="000000"/>
                <w:kern w:val="0"/>
                <w:sz w:val="21"/>
                <w:szCs w:val="21"/>
                <w:lang w:val="en-US" w:eastAsia="zh-CN"/>
              </w:rPr>
              <w:t>米</w:t>
            </w:r>
          </w:p>
        </w:tc>
        <w:tc>
          <w:tcPr>
            <w:tcW w:w="3498" w:type="pct"/>
          </w:tcPr>
          <w:p>
            <w:pPr>
              <w:widowControl/>
              <w:jc w:val="left"/>
              <w:textAlignment w:val="top"/>
              <w:rPr>
                <w:rFonts w:hint="eastAsia" w:ascii="宋体" w:hAnsi="宋体" w:eastAsia="宋体" w:cs="宋体"/>
                <w:sz w:val="21"/>
                <w:szCs w:val="21"/>
                <w:lang w:eastAsia="zh-CN"/>
              </w:rPr>
            </w:pPr>
            <w:r>
              <w:rPr>
                <w:rFonts w:hint="eastAsia" w:ascii="宋体" w:hAnsi="宋体" w:cs="宋体"/>
                <w:color w:val="000000"/>
                <w:kern w:val="0"/>
                <w:sz w:val="21"/>
                <w:szCs w:val="21"/>
              </w:rPr>
              <w:t>1.点间距≦1.57（mm）；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2.LED灯珠稳定可靠，要求LED灯珠采用TOP型，亮度≧800cd/m²，屏幕校正后亮度（nits）0-800,支持通过配套软件0-100%(手动/自动)，无级调节或256级调整；</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3.箱体采用超轻超薄设计厚度≦31mm，重量≦4.6kg，材质为压铸铝合金，全金属自然散热，无风扇无孔防尘静音，不接受带有塑料底壳的模组类产品；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4.平整度≦0.05mm,拼缝≦0.05mm,亮度均匀性≥99%；</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5.具有智能（黑屏）节电功能，黑屏状态可节电50%以上；</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6.色度均匀性：△X、△Y值≤0.0008，色域覆盖率：≥120% YIQ (NTSC)；≥170% YUV(PAL)；</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7.色温（K）：1000—18000可调，色温为6500K时，100%、75%、50%、25%四档电平白场调节色温误差≤±100K；</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8.视角：为了满足观看需求，设备具有超宽视角依据SJ/T11281测试，垂直≥178度，水平≥178度；</w:t>
            </w:r>
            <w:r>
              <w:rPr>
                <w:rFonts w:hint="eastAsia" w:ascii="宋体" w:hAnsi="宋体" w:cs="宋体"/>
                <w:color w:val="000000"/>
                <w:kern w:val="0"/>
                <w:sz w:val="21"/>
                <w:szCs w:val="21"/>
              </w:rPr>
              <w:br w:type="textWrapping"/>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kern w:val="0"/>
                <w:sz w:val="21"/>
                <w:szCs w:val="21"/>
              </w:rPr>
              <w:t>9.产品采用高度集成三合一设计：箱体内电源、接收卡、转接板等模块的线路及元器件集成在同一块PCB 板上，接收卡和电源非插拔、焊接或螺丝固定于 PCB 板上，接收卡控制方案</w:t>
            </w:r>
            <w:r>
              <w:rPr>
                <w:rFonts w:hint="eastAsia" w:ascii="宋体" w:hAnsi="宋体" w:cs="宋体"/>
                <w:color w:val="auto"/>
                <w:kern w:val="0"/>
                <w:sz w:val="21"/>
                <w:szCs w:val="21"/>
              </w:rPr>
              <w:t>（FPGA）为国产芯片，配合不同点间距灯板即可正常工作；</w:t>
            </w:r>
            <w:r>
              <w:rPr>
                <w:rFonts w:hint="eastAsia" w:ascii="宋体" w:hAnsi="宋体" w:cs="宋体"/>
                <w:color w:val="auto"/>
                <w:sz w:val="21"/>
                <w:szCs w:val="21"/>
              </w:rPr>
              <w:t>（需提供国家认可的第三方检测机构所出具的检测报告扫描件）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10.为提升安装、维护、运输便捷性，屏体采用前全维</w:t>
            </w:r>
            <w:r>
              <w:rPr>
                <w:rFonts w:hint="eastAsia" w:ascii="宋体" w:hAnsi="宋体" w:cs="宋体"/>
                <w:color w:val="000000"/>
                <w:kern w:val="0"/>
                <w:sz w:val="21"/>
                <w:szCs w:val="21"/>
              </w:rPr>
              <w:t>护、前安装设计，灯板采用硬连方式，灯板支持热插拔，所有元器件皆可从正面拆装、维护，有效节约安装空间；</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11.显示屏具有自动Gamma矫正技术，通过构造非线性校正曲线和色坐标变换系数矩阵实现了重要指标如色彩还原性、色温调节范围、亮度均匀性、刷新率、换帧频率等的有效改善，均符合广电级标准，且同时支持20Hz-120Hz调节、3D显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12.具有低亮高灰效果，当100%亮度时，16bit灰度，20%亮度时，14bit 灰度；</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13.支持软件调节设置实现鬼影消除、低灰偏色补偿、去除坏点、毛毛虫消除、余辉消除、亮度缓慢变亮功能，安全性上支持过流，过压，过温，短路等保护；</w:t>
            </w:r>
            <w:r>
              <w:rPr>
                <w:rFonts w:hint="eastAsia" w:ascii="宋体" w:hAnsi="宋体" w:cs="宋体"/>
                <w:color w:val="000000"/>
                <w:kern w:val="0"/>
                <w:sz w:val="21"/>
                <w:szCs w:val="21"/>
              </w:rPr>
              <w:br w:type="textWrapping"/>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kern w:val="0"/>
                <w:sz w:val="21"/>
                <w:szCs w:val="21"/>
              </w:rPr>
              <w:t>14.为了保障整屏显示的效果，尤其是两侧观看人员的观赏效果，LED屏体需采用表面处理技术:屏体正面为亚黑处理，反光率≤2%；采用黑色防眩光设计，防止炫光影响可提升视觉观感；支持抑制摩尔纹功能；</w:t>
            </w:r>
            <w:r>
              <w:rPr>
                <w:rFonts w:hint="eastAsia" w:ascii="宋体" w:hAnsi="宋体" w:cs="宋体"/>
                <w:sz w:val="21"/>
                <w:szCs w:val="21"/>
              </w:rPr>
              <w:t>（需提供国家认可的第三方检测机构所出具的检测报告扫描件）</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15.为了观看舒适度，VICO指数（人眼视觉舒适度）0-1级且LED显示大屏蓝光辐射能量符合A级,光生物安全及低蓝光：按GB/T 20145-2006灯和灯系统的光生物安全性辐亮度无危险标准辐亮度符合RG0等级，对视网膜蓝光危害LB≤1W.m-2.sr-1,属于蓝光无危害；</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16.在常温27℃下全白场亮度800cd/m²模式点亮2H，屏幕表面温度≦50度；</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17.为保证显示屏整屏亮度和色彩的一致性，需支持逐点校正功能，每个像素点需具备单点亮度校正和颜色校正；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18.为保证使用环境的舒适安静，显示屏工作状态下噪声值与前后左右环境背景噪声值相差均不超过1.2dB，屏体球面半径1.5米内，整屏噪声≤5db</w:t>
            </w:r>
            <w:r>
              <w:rPr>
                <w:rFonts w:hint="eastAsia" w:ascii="宋体" w:hAnsi="宋体" w:cs="宋体"/>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23</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视频处理器1</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3498" w:type="pct"/>
          </w:tcPr>
          <w:p>
            <w:pPr>
              <w:widowControl/>
              <w:jc w:val="left"/>
              <w:textAlignment w:val="top"/>
              <w:rPr>
                <w:rFonts w:ascii="宋体" w:hAnsi="宋体" w:cs="宋体"/>
                <w:sz w:val="21"/>
                <w:szCs w:val="21"/>
              </w:rPr>
            </w:pPr>
            <w:r>
              <w:rPr>
                <w:rFonts w:hint="eastAsia" w:ascii="宋体" w:hAnsi="宋体" w:cs="宋体"/>
                <w:color w:val="000000"/>
                <w:kern w:val="0"/>
                <w:sz w:val="21"/>
                <w:szCs w:val="21"/>
              </w:rPr>
              <w:t>1.为满足实际使用需求产品有效端口不少于：USB接口≥2，HDMI-IN≥1，3.5音频输出口≥1，红外接口≥1，RS232接口≥1；</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2.硬件配置不低于CPU：6核，内存容量≥4GB，存储容量≥32GB；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3.设备播放媒体格式支持不限于：MPEG1、MPEG2、MPEG4、H.264、WMV、MKV、TS、flv主流视频格式，MP3音频格式，支持JPG、JPEG、BMP、PNG、GIF图片格式等；</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4.保证未来扩容需求设备带载能力不低于：16路输出网口，带载面积≥830万像素点，最宽可达7680像素，最高可达4320像素，最大输入分辨率3840*2160@60Hz，并可实现3840*2160以内标准分辨率图像缩放；</w:t>
            </w:r>
            <w:r>
              <w:rPr>
                <w:rFonts w:hint="eastAsia" w:ascii="宋体" w:hAnsi="宋体" w:cs="宋体"/>
                <w:color w:val="000000"/>
                <w:kern w:val="0"/>
                <w:sz w:val="21"/>
                <w:szCs w:val="21"/>
              </w:rPr>
              <w:br w:type="textWrapping"/>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kern w:val="0"/>
                <w:sz w:val="21"/>
                <w:szCs w:val="21"/>
              </w:rPr>
              <w:t>5.内置安卓系统，支持Android 9.0操作系统软件、安卓终端应用软件，内部设置RS232和RS485接口，支持远程集控功</w:t>
            </w:r>
            <w:r>
              <w:rPr>
                <w:rFonts w:hint="eastAsia" w:ascii="宋体" w:hAnsi="宋体" w:cs="宋体"/>
                <w:color w:val="auto"/>
                <w:kern w:val="0"/>
                <w:sz w:val="21"/>
                <w:szCs w:val="21"/>
              </w:rPr>
              <w:t>能；</w:t>
            </w:r>
            <w:r>
              <w:rPr>
                <w:rFonts w:hint="eastAsia" w:ascii="宋体" w:hAnsi="宋体" w:cs="宋体"/>
                <w:color w:val="auto"/>
                <w:sz w:val="21"/>
                <w:szCs w:val="21"/>
              </w:rPr>
              <w:t>（需提供国家认可的第三方检测机构所出具的检测报告扫描件）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6.内置电源管理，无需额外配置配电柜，最大额定功率：≥7.7KW 220V/3.85KW 110V；</w:t>
            </w:r>
            <w:r>
              <w:rPr>
                <w:rFonts w:hint="eastAsia" w:ascii="宋体" w:hAnsi="宋体" w:cs="宋体"/>
                <w:color w:val="auto"/>
                <w:kern w:val="0"/>
                <w:sz w:val="21"/>
                <w:szCs w:val="21"/>
              </w:rPr>
              <w:br w:type="textWrapping"/>
            </w:r>
            <w:r>
              <w:rPr>
                <w:rFonts w:hint="eastAsia" w:ascii="宋体" w:hAnsi="宋体" w:cs="宋体"/>
                <w:color w:val="000000"/>
                <w:kern w:val="0"/>
                <w:sz w:val="21"/>
                <w:szCs w:val="21"/>
              </w:rPr>
              <w:t>7.具有状态指示灯，根据设备工作状态，通过颜色变化，呈现设备的状态；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8.系统内置图库和文件浏览器，支持遥控器或鼠标对图片进行旋转、放大/缩小等操作；支持浏览常用办公文档类型；</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9.支持通过安卓移动端连入局域网，实现遥控器的功能，可远距离控制整机，无需外置视频处理器即可支持全屏、两分屏、三分屏、四分屏自由切换；</w:t>
            </w:r>
            <w:r>
              <w:rPr>
                <w:rFonts w:hint="eastAsia" w:ascii="宋体" w:hAnsi="宋体" w:cs="宋体"/>
                <w:color w:val="000000"/>
                <w:kern w:val="0"/>
                <w:sz w:val="21"/>
                <w:szCs w:val="21"/>
              </w:rPr>
              <w:br w:type="textWrapping"/>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kern w:val="0"/>
                <w:sz w:val="21"/>
                <w:szCs w:val="21"/>
              </w:rPr>
              <w:t>10.支持电脑通过无线投屏，把屏幕传到 LED 显示 屏且不影响电脑上网功能(Windows, MacOS) ；支持手机/平板投屏(Android/iOS)， 传输平均延迟≤130ms，可通过连接局域网或连接 WIFI 热点投屏；</w:t>
            </w:r>
            <w:r>
              <w:rPr>
                <w:rFonts w:hint="eastAsia" w:ascii="宋体" w:hAnsi="宋体" w:cs="宋体"/>
                <w:sz w:val="21"/>
                <w:szCs w:val="21"/>
              </w:rPr>
              <w:t>（需提供国家认可的第三方检测机构所出具的检测报告扫描件）</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11.系统具有通过使用安卓移动端实现OSD菜单的控制功能；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12.为了延长 LED 灯的使用寿命，可实现根据使用时间情况自动执行除湿功能；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13.产品安全角度考虑，需支持温度自检，当机器温度过高出现提示并自动关机，保证用户使用安全和用电安全；</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14.支持 PC 端软件节目管理可实现编辑节目、预览、发布、查看发布进度、导 入导出节目、制作 U 盘播放节目的功能；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15.支持 PC 端软件控制可实现设备音量调节、删除节目、定时亮度、色温调节、外部源缩放功能、支持查看及配件运行概要（CPU\内存\光探头）、支持查看配置有线网络、WIFI 等参数，支持设备升级固件、播放软件、安装第三方 APK。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24</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高清LED显示屏2（含配套）</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29.5</w:t>
            </w:r>
          </w:p>
        </w:tc>
        <w:tc>
          <w:tcPr>
            <w:tcW w:w="370" w:type="pct"/>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kern w:val="0"/>
                <w:sz w:val="21"/>
                <w:szCs w:val="21"/>
              </w:rPr>
              <w:t>平方</w:t>
            </w:r>
            <w:r>
              <w:rPr>
                <w:rFonts w:hint="eastAsia" w:ascii="宋体" w:hAnsi="宋体" w:cs="宋体"/>
                <w:color w:val="000000"/>
                <w:kern w:val="0"/>
                <w:sz w:val="21"/>
                <w:szCs w:val="21"/>
                <w:lang w:val="en-US" w:eastAsia="zh-CN"/>
              </w:rPr>
              <w:t>米</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1.点间距≤：1.86mm，像素密度：≥288906点/㎡;</w:t>
            </w:r>
          </w:p>
          <w:p>
            <w:pPr>
              <w:widowControl/>
              <w:jc w:val="left"/>
              <w:textAlignment w:val="center"/>
              <w:rPr>
                <w:rFonts w:ascii="宋体" w:hAnsi="宋体" w:cs="宋体"/>
                <w:sz w:val="21"/>
                <w:szCs w:val="21"/>
              </w:rPr>
            </w:pPr>
            <w:r>
              <w:rPr>
                <w:rFonts w:hint="eastAsia" w:ascii="宋体" w:hAnsi="宋体" w:cs="宋体"/>
                <w:sz w:val="21"/>
                <w:szCs w:val="21"/>
              </w:rPr>
              <w:t>2.箱体尺寸：640mmX320mm/320mmX320mm；箱体显示比例：2：1/1:1；箱体平整度≤0.05mm，单元箱体/模组间水平、垂直相对错位值≤0.05mm;</w:t>
            </w:r>
          </w:p>
          <w:p>
            <w:pPr>
              <w:widowControl/>
              <w:jc w:val="left"/>
              <w:textAlignment w:val="center"/>
              <w:rPr>
                <w:rFonts w:ascii="宋体" w:hAnsi="宋体" w:cs="宋体"/>
                <w:sz w:val="21"/>
                <w:szCs w:val="21"/>
              </w:rPr>
            </w:pPr>
            <w:r>
              <w:rPr>
                <w:rFonts w:hint="eastAsia" w:ascii="宋体" w:hAnsi="宋体" w:cs="宋体"/>
                <w:sz w:val="21"/>
                <w:szCs w:val="21"/>
              </w:rPr>
              <w:t>3.维护方式：同时兼容前，后维护:模组采用前维护磁吸式结构,支持用户级模组前维护，可正面拆卸、安装灯板、接收卡、电源。同时箱体结构满足模组、电源、转接板等全部用户级模组后维护支持模组、接收卡的带电维护、热插拔;</w:t>
            </w:r>
          </w:p>
          <w:p>
            <w:pPr>
              <w:widowControl/>
              <w:jc w:val="left"/>
              <w:textAlignment w:val="center"/>
              <w:rPr>
                <w:rFonts w:ascii="宋体" w:hAnsi="宋体" w:cs="宋体"/>
                <w:sz w:val="21"/>
                <w:szCs w:val="21"/>
              </w:rPr>
            </w:pPr>
            <w:r>
              <w:rPr>
                <w:rFonts w:hint="eastAsia" w:ascii="宋体" w:hAnsi="宋体" w:cs="宋体"/>
                <w:sz w:val="21"/>
                <w:szCs w:val="21"/>
              </w:rPr>
              <w:t>4.接口设计：硬连接设计，免工具维护，同时具有防呆设计，预防接错而导致的烧毁模组行为，采用LED显示屏电源、接收卡、转接板多合一集成设计，即箱体内接收卡、电源、转接板多个模块的线路及元器件都集成在同一块PCB板上;</w:t>
            </w:r>
          </w:p>
          <w:p>
            <w:pPr>
              <w:widowControl/>
              <w:jc w:val="left"/>
              <w:textAlignment w:val="center"/>
              <w:rPr>
                <w:rFonts w:ascii="宋体" w:hAnsi="宋体" w:cs="宋体"/>
                <w:sz w:val="21"/>
                <w:szCs w:val="21"/>
              </w:rPr>
            </w:pPr>
            <w:r>
              <w:rPr>
                <w:rFonts w:hint="eastAsia" w:ascii="宋体" w:hAnsi="宋体" w:cs="宋体"/>
                <w:sz w:val="21"/>
                <w:szCs w:val="21"/>
              </w:rPr>
              <w:t>5.PCB板设计：PCB采用FR-4材质,灯驱合一电路及表面处理采用4层盲孔设计及沉金工艺设计，OSP工艺，符合CQC13-471301-2018标准，同时具有独特的消隐、节能处理、EMC处理智能模组存储处理功能电路;</w:t>
            </w:r>
          </w:p>
          <w:p>
            <w:pPr>
              <w:widowControl/>
              <w:jc w:val="left"/>
              <w:textAlignment w:val="center"/>
              <w:rPr>
                <w:rFonts w:ascii="宋体" w:hAnsi="宋体" w:cs="宋体"/>
                <w:sz w:val="21"/>
                <w:szCs w:val="21"/>
              </w:rPr>
            </w:pPr>
            <w:r>
              <w:rPr>
                <w:rFonts w:hint="eastAsia" w:ascii="宋体" w:hAnsi="宋体" w:cs="宋体"/>
                <w:sz w:val="21"/>
                <w:szCs w:val="21"/>
              </w:rPr>
              <w:t>6.刷新率：≥3840Hz，高刷新，支持通过配套控制软件调节刷新率设置选项;</w:t>
            </w:r>
          </w:p>
          <w:p>
            <w:pPr>
              <w:widowControl/>
              <w:jc w:val="left"/>
              <w:textAlignment w:val="center"/>
              <w:rPr>
                <w:rFonts w:ascii="宋体" w:hAnsi="宋体" w:cs="宋体"/>
                <w:sz w:val="21"/>
                <w:szCs w:val="21"/>
              </w:rPr>
            </w:pPr>
            <w:r>
              <w:rPr>
                <w:rFonts w:hint="eastAsia" w:ascii="宋体" w:hAnsi="宋体" w:cs="宋体"/>
                <w:sz w:val="21"/>
                <w:szCs w:val="21"/>
              </w:rPr>
              <w:t>7.可视角度关系：CHIP型LED:水平视角≥178°/垂直视角≥178°,TOP型LED:水平视角≥178°垂直视角≥178°;</w:t>
            </w:r>
          </w:p>
          <w:p>
            <w:pPr>
              <w:widowControl/>
              <w:jc w:val="left"/>
              <w:textAlignment w:val="center"/>
              <w:rPr>
                <w:rFonts w:ascii="宋体" w:hAnsi="宋体" w:cs="宋体"/>
                <w:sz w:val="21"/>
                <w:szCs w:val="21"/>
              </w:rPr>
            </w:pPr>
            <w:r>
              <w:rPr>
                <w:rFonts w:hint="eastAsia" w:ascii="宋体" w:hAnsi="宋体" w:cs="宋体"/>
                <w:sz w:val="21"/>
                <w:szCs w:val="21"/>
              </w:rPr>
              <w:t>8.亮度：白平衡亮度≥1200cd/㎡，支持屏体亮度在0-100%任意可调，持续亮度在 0-255级灰度可调；发光点中心距偏≤0.3%；色度均匀性(校正后)：±0.001 Cx,Cy 之内;</w:t>
            </w:r>
          </w:p>
          <w:p>
            <w:pPr>
              <w:widowControl/>
              <w:jc w:val="left"/>
              <w:textAlignment w:val="center"/>
              <w:rPr>
                <w:rFonts w:ascii="宋体" w:hAnsi="宋体" w:cs="宋体"/>
                <w:sz w:val="21"/>
                <w:szCs w:val="21"/>
              </w:rPr>
            </w:pPr>
            <w:r>
              <w:rPr>
                <w:rFonts w:hint="eastAsia" w:ascii="宋体" w:hAnsi="宋体" w:cs="宋体"/>
                <w:sz w:val="21"/>
                <w:szCs w:val="21"/>
              </w:rPr>
              <w:t>9.低亮高灰：支持软件实现 0-100%不同亮度情况下，灰度 12-16bits 任意设置:100%亮度@16bits，50%亮度@14bits，20%亮度@12bits，同时支持 EPWM 灰阶控制技术提升低灰视觉效果，0-100%亮度时，8-16bits 任意灰度设置，70%亮度时，灰度≥16bits；</w:t>
            </w:r>
          </w:p>
          <w:p>
            <w:pPr>
              <w:widowControl/>
              <w:jc w:val="left"/>
              <w:textAlignment w:val="center"/>
              <w:rPr>
                <w:rFonts w:ascii="宋体" w:hAnsi="宋体" w:cs="宋体"/>
                <w:sz w:val="21"/>
                <w:szCs w:val="21"/>
              </w:rPr>
            </w:pPr>
            <w:r>
              <w:rPr>
                <w:rFonts w:hint="eastAsia" w:ascii="宋体" w:hAnsi="宋体" w:cs="宋体"/>
                <w:sz w:val="21"/>
                <w:szCs w:val="21"/>
              </w:rPr>
              <w:t>10.色温、色域：1000K-20000K 连续可调，可设冷色、暖色标准等多档白场调节。色域≥125%NTSCYIQ及覆盖率≥180%YUV;</w:t>
            </w:r>
          </w:p>
          <w:p>
            <w:pPr>
              <w:widowControl/>
              <w:jc w:val="left"/>
              <w:textAlignment w:val="center"/>
              <w:rPr>
                <w:rFonts w:ascii="宋体" w:hAnsi="宋体" w:cs="宋体"/>
                <w:sz w:val="21"/>
                <w:szCs w:val="21"/>
              </w:rPr>
            </w:pPr>
            <w:r>
              <w:rPr>
                <w:rFonts w:hint="eastAsia" w:ascii="宋体" w:hAnsi="宋体" w:cs="宋体"/>
                <w:sz w:val="21"/>
                <w:szCs w:val="21"/>
              </w:rPr>
              <w:t>11.自适应调节功能：智能电源自适应调节功能,供电自适应调节直流供电，按红、绿、蓝像素显示需求智能供电，自适应直流 0v-3.2v 自动供电，按显示需要自动调节电压适配驱动，降低屏幕功耗，增加节能环保及安全性;</w:t>
            </w:r>
          </w:p>
          <w:p>
            <w:pPr>
              <w:widowControl/>
              <w:jc w:val="left"/>
              <w:textAlignment w:val="center"/>
              <w:rPr>
                <w:rFonts w:ascii="宋体" w:hAnsi="宋体" w:cs="宋体"/>
                <w:sz w:val="21"/>
                <w:szCs w:val="21"/>
              </w:rPr>
            </w:pPr>
            <w:r>
              <w:rPr>
                <w:rFonts w:hint="eastAsia" w:ascii="宋体" w:hAnsi="宋体" w:cs="宋体"/>
                <w:sz w:val="21"/>
                <w:szCs w:val="21"/>
              </w:rPr>
              <w:t>12.校正功能：逐点校正，可对单点或整屏的亮度、色度进行校正；校正数据回读：校正数据存储在模组里，更换模组可自动回读校正数据；智能校正：具有智能模组校正数据存储，温度、电压监测;</w:t>
            </w:r>
          </w:p>
          <w:p>
            <w:pPr>
              <w:widowControl/>
              <w:jc w:val="left"/>
              <w:textAlignment w:val="center"/>
              <w:rPr>
                <w:rFonts w:ascii="宋体" w:hAnsi="宋体" w:cs="宋体"/>
                <w:sz w:val="21"/>
                <w:szCs w:val="21"/>
              </w:rPr>
            </w:pPr>
            <w:r>
              <w:rPr>
                <w:rFonts w:hint="eastAsia" w:ascii="宋体" w:hAnsi="宋体" w:cs="宋体"/>
                <w:sz w:val="21"/>
                <w:szCs w:val="21"/>
              </w:rPr>
              <w:t>13.图像增强与调整处理功能：支持对图像清晰度、饱和度、色度调节、对比度亮度进行综合式一键视觉修正,具备降噪、增强运动补偿、色坐标色彩变换处理、钝化处理功能支持HDR高动态范围图像技术显示;</w:t>
            </w:r>
          </w:p>
          <w:p>
            <w:pPr>
              <w:widowControl/>
              <w:jc w:val="left"/>
              <w:textAlignment w:val="center"/>
              <w:rPr>
                <w:rFonts w:ascii="宋体" w:hAnsi="宋体" w:cs="宋体"/>
                <w:sz w:val="21"/>
                <w:szCs w:val="21"/>
              </w:rPr>
            </w:pPr>
            <w:r>
              <w:rPr>
                <w:rFonts w:hint="eastAsia" w:ascii="宋体" w:hAnsi="宋体" w:cs="宋体"/>
                <w:sz w:val="21"/>
                <w:szCs w:val="21"/>
              </w:rPr>
              <w:t>14.亮线、暗线修复：支持模组件亮暗线修复功能，可从软、硬两方面彻底改善困扰小间距LED安装精度造成的亮暗线问题；</w:t>
            </w:r>
          </w:p>
          <w:p>
            <w:pPr>
              <w:widowControl/>
              <w:jc w:val="left"/>
              <w:textAlignment w:val="center"/>
              <w:rPr>
                <w:rFonts w:ascii="宋体" w:hAnsi="宋体" w:cs="宋体"/>
                <w:sz w:val="21"/>
                <w:szCs w:val="21"/>
              </w:rPr>
            </w:pPr>
            <w:r>
              <w:rPr>
                <w:rFonts w:hint="eastAsia" w:ascii="宋体" w:hAnsi="宋体" w:cs="宋体"/>
                <w:sz w:val="21"/>
                <w:szCs w:val="21"/>
              </w:rPr>
              <w:t>15.多点测温控制：具有多点测温功能,防止温度过高造成局部颜色混乱、分离，提高屏体寿命；远程监控：产品可通过控制系统可实现远程监督控制,对可能发生的潜在故障记录日志,并向操作员发出警报信号;</w:t>
            </w:r>
          </w:p>
          <w:p>
            <w:pPr>
              <w:widowControl/>
              <w:jc w:val="left"/>
              <w:textAlignment w:val="center"/>
              <w:rPr>
                <w:rFonts w:ascii="宋体" w:hAnsi="宋体" w:cs="宋体"/>
                <w:color w:val="auto"/>
                <w:sz w:val="21"/>
                <w:szCs w:val="21"/>
              </w:rPr>
            </w:pPr>
            <w:r>
              <w:rPr>
                <w:rFonts w:hint="eastAsia" w:ascii="宋体" w:hAnsi="宋体" w:cs="宋体"/>
                <w:sz w:val="21"/>
                <w:szCs w:val="21"/>
              </w:rPr>
              <w:t>16.箱体防护：显示屏具有防潮、防尘、防腐蚀、防虫、防燃烧、防静电、抗静电、防电磁干扰等功能，并具有过流、短路、过压、欠压的保护和抗雷击回电浪涌、抗震抗风的功能，具备烟雾报警温升报警、状态异常故障报警；</w:t>
            </w:r>
          </w:p>
          <w:p>
            <w:pPr>
              <w:widowControl/>
              <w:jc w:val="left"/>
              <w:textAlignment w:val="center"/>
              <w:rPr>
                <w:rFonts w:ascii="宋体" w:hAnsi="宋体" w:cs="宋体"/>
                <w:color w:val="auto"/>
                <w:sz w:val="21"/>
                <w:szCs w:val="21"/>
              </w:rPr>
            </w:pPr>
            <w:r>
              <w:rPr>
                <w:rFonts w:hint="eastAsia" w:ascii="宋体" w:hAnsi="宋体" w:cs="宋体"/>
                <w:color w:val="auto"/>
                <w:sz w:val="21"/>
                <w:szCs w:val="21"/>
              </w:rPr>
              <w:t>17.防护等级：</w:t>
            </w:r>
            <w:r>
              <w:rPr>
                <w:rFonts w:hint="eastAsia" w:ascii="宋体" w:hAnsi="宋体" w:cs="宋体"/>
                <w:color w:val="auto"/>
                <w:sz w:val="21"/>
                <w:szCs w:val="21"/>
                <w:lang w:val="en-US" w:eastAsia="zh-CN"/>
              </w:rPr>
              <w:t>不低于</w:t>
            </w:r>
            <w:r>
              <w:rPr>
                <w:rFonts w:hint="eastAsia" w:ascii="宋体" w:hAnsi="宋体" w:cs="宋体"/>
                <w:color w:val="auto"/>
                <w:sz w:val="21"/>
                <w:szCs w:val="21"/>
              </w:rPr>
              <w:t>IP68；振动试验：</w:t>
            </w:r>
            <w:r>
              <w:rPr>
                <w:rFonts w:hint="eastAsia" w:ascii="宋体" w:hAnsi="宋体" w:cs="宋体"/>
                <w:color w:val="auto"/>
                <w:sz w:val="21"/>
                <w:szCs w:val="21"/>
                <w:lang w:val="en-US" w:eastAsia="zh-CN"/>
              </w:rPr>
              <w:t>不低于</w:t>
            </w:r>
            <w:r>
              <w:rPr>
                <w:rFonts w:hint="eastAsia" w:ascii="宋体" w:hAnsi="宋体" w:cs="宋体"/>
                <w:color w:val="auto"/>
                <w:sz w:val="21"/>
                <w:szCs w:val="21"/>
              </w:rPr>
              <w:t>10级地震要求；UV紫外线：不高于5级；着火危险试验(UL94标准)：PCB板、线材、电源、连接件、面罩:V-0级；</w:t>
            </w:r>
          </w:p>
          <w:p>
            <w:pPr>
              <w:widowControl/>
              <w:jc w:val="left"/>
              <w:textAlignment w:val="center"/>
              <w:rPr>
                <w:rFonts w:ascii="宋体" w:hAnsi="宋体" w:cs="宋体"/>
                <w:sz w:val="21"/>
                <w:szCs w:val="21"/>
              </w:rPr>
            </w:pPr>
            <w:r>
              <w:rPr>
                <w:rFonts w:hint="eastAsia" w:ascii="宋体" w:hAnsi="宋体" w:cs="宋体"/>
                <w:color w:val="auto"/>
                <w:sz w:val="21"/>
                <w:szCs w:val="21"/>
              </w:rPr>
              <w:t>18.噪声：在温度25C、温度40%RH、大气</w:t>
            </w:r>
            <w:r>
              <w:rPr>
                <w:rFonts w:hint="eastAsia" w:ascii="宋体" w:hAnsi="宋体" w:cs="宋体"/>
                <w:sz w:val="21"/>
                <w:szCs w:val="21"/>
              </w:rPr>
              <w:t>压力100.2Kpa条件时，LED显示屏工作状态下要求屏体噪声≤5dB，距离产品四周的1m处最大噪声＜3dB。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25</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视频处理器2</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1.具备不少于24路千兆网口输出，带载能力可达1560万像素、最宽16384像素、最高8192像素，网口带载没有矩形带载限制，支持自由走线，最大化提高网口带载利用率；</w:t>
            </w:r>
          </w:p>
          <w:p>
            <w:pPr>
              <w:widowControl/>
              <w:jc w:val="left"/>
              <w:textAlignment w:val="center"/>
              <w:rPr>
                <w:rFonts w:ascii="宋体" w:hAnsi="宋体" w:cs="宋体"/>
                <w:sz w:val="21"/>
                <w:szCs w:val="21"/>
              </w:rPr>
            </w:pPr>
            <w:r>
              <w:rPr>
                <w:rFonts w:hint="eastAsia" w:ascii="宋体" w:hAnsi="宋体" w:cs="宋体"/>
                <w:sz w:val="21"/>
                <w:szCs w:val="21"/>
              </w:rPr>
              <w:t>2.集视频处理、视频控制以及LED屏体配置等功能于一体，具备多种类的视频信号接收能力、4K×2K@60Hz的图像处理能力和发送能力；</w:t>
            </w:r>
          </w:p>
          <w:p>
            <w:pPr>
              <w:widowControl/>
              <w:jc w:val="left"/>
              <w:textAlignment w:val="center"/>
              <w:rPr>
                <w:rFonts w:ascii="宋体" w:hAnsi="宋体" w:cs="宋体"/>
                <w:sz w:val="21"/>
                <w:szCs w:val="21"/>
              </w:rPr>
            </w:pPr>
            <w:r>
              <w:rPr>
                <w:rFonts w:hint="eastAsia" w:ascii="宋体" w:hAnsi="宋体" w:cs="宋体"/>
                <w:sz w:val="21"/>
                <w:szCs w:val="21"/>
              </w:rPr>
              <w:t>3.拥有完备的视频输入接口：</w:t>
            </w:r>
            <w:r>
              <w:rPr>
                <w:rFonts w:hint="eastAsia" w:ascii="宋体" w:hAnsi="宋体" w:cs="宋体"/>
                <w:sz w:val="21"/>
                <w:szCs w:val="21"/>
                <w:lang w:val="en-US" w:eastAsia="zh-CN"/>
              </w:rPr>
              <w:t>至少</w:t>
            </w:r>
            <w:r>
              <w:rPr>
                <w:rFonts w:hint="eastAsia" w:ascii="宋体" w:hAnsi="宋体" w:cs="宋体"/>
                <w:sz w:val="21"/>
                <w:szCs w:val="21"/>
              </w:rPr>
              <w:t>1 路 HDMI 2.0，1路DP1.2，4 路 HDMI，1 路3G-SDI+LOOP（可根据实际需求选配）；</w:t>
            </w:r>
          </w:p>
          <w:p>
            <w:pPr>
              <w:widowControl/>
              <w:jc w:val="left"/>
              <w:textAlignment w:val="center"/>
              <w:rPr>
                <w:rFonts w:ascii="宋体" w:hAnsi="宋体" w:cs="宋体"/>
                <w:sz w:val="21"/>
                <w:szCs w:val="21"/>
              </w:rPr>
            </w:pPr>
            <w:r>
              <w:rPr>
                <w:rFonts w:hint="eastAsia" w:ascii="宋体" w:hAnsi="宋体" w:cs="宋体"/>
                <w:sz w:val="21"/>
                <w:szCs w:val="21"/>
              </w:rPr>
              <w:t>4.支持 HDR 输出，能够极大地增强显示屏的画质，使画面色彩更加 真实生动，细节更加清晰；</w:t>
            </w:r>
          </w:p>
          <w:p>
            <w:pPr>
              <w:widowControl/>
              <w:jc w:val="left"/>
              <w:textAlignment w:val="center"/>
              <w:rPr>
                <w:rFonts w:ascii="宋体" w:hAnsi="宋体" w:cs="宋体"/>
                <w:sz w:val="21"/>
                <w:szCs w:val="21"/>
              </w:rPr>
            </w:pPr>
            <w:r>
              <w:rPr>
                <w:rFonts w:hint="eastAsia" w:ascii="宋体" w:hAnsi="宋体" w:cs="宋体"/>
                <w:sz w:val="21"/>
                <w:szCs w:val="21"/>
              </w:rPr>
              <w:t>5.支持个性化的画质缩放：支持不少于三种画面缩放模式，包括点对点模式、全屏缩放、自定义缩放。搭载superview画质处理技术，画面可无极缩放；</w:t>
            </w:r>
          </w:p>
          <w:p>
            <w:pPr>
              <w:widowControl/>
              <w:jc w:val="left"/>
              <w:textAlignment w:val="center"/>
              <w:rPr>
                <w:rFonts w:ascii="宋体" w:hAnsi="宋体" w:cs="宋体"/>
                <w:sz w:val="21"/>
                <w:szCs w:val="21"/>
              </w:rPr>
            </w:pPr>
            <w:r>
              <w:rPr>
                <w:rFonts w:hint="eastAsia" w:ascii="宋体" w:hAnsi="宋体" w:cs="宋体"/>
                <w:sz w:val="21"/>
                <w:szCs w:val="21"/>
              </w:rPr>
              <w:t>6.支持对LED显示屏输出画面的画质调节，包括但不限于：亮度、饱和度、对比度等；</w:t>
            </w:r>
          </w:p>
          <w:p>
            <w:pPr>
              <w:widowControl/>
              <w:jc w:val="left"/>
              <w:textAlignment w:val="center"/>
              <w:rPr>
                <w:rFonts w:ascii="宋体" w:hAnsi="宋体" w:cs="宋体"/>
                <w:sz w:val="21"/>
                <w:szCs w:val="21"/>
              </w:rPr>
            </w:pPr>
            <w:r>
              <w:rPr>
                <w:rFonts w:hint="eastAsia" w:ascii="宋体" w:hAnsi="宋体" w:cs="宋体"/>
                <w:sz w:val="21"/>
                <w:szCs w:val="21"/>
              </w:rPr>
              <w:t>7.支持多窗口显示，不少于6 窗口的任意布局，至少包含2路4K窗口+4路2K窗口；</w:t>
            </w:r>
          </w:p>
          <w:p>
            <w:pPr>
              <w:widowControl/>
              <w:jc w:val="left"/>
              <w:textAlignment w:val="center"/>
              <w:rPr>
                <w:rFonts w:ascii="宋体" w:hAnsi="宋体" w:cs="宋体"/>
                <w:sz w:val="21"/>
                <w:szCs w:val="21"/>
              </w:rPr>
            </w:pPr>
            <w:r>
              <w:rPr>
                <w:rFonts w:hint="eastAsia" w:ascii="宋体" w:hAnsi="宋体" w:cs="宋体"/>
                <w:sz w:val="21"/>
                <w:szCs w:val="21"/>
              </w:rPr>
              <w:t>8.支持OSD字幕功能，字幕颜色，内容可通过软件自定义编辑；</w:t>
            </w:r>
          </w:p>
          <w:p>
            <w:pPr>
              <w:widowControl/>
              <w:jc w:val="left"/>
              <w:textAlignment w:val="center"/>
              <w:rPr>
                <w:rFonts w:ascii="宋体" w:hAnsi="宋体" w:cs="宋体"/>
                <w:sz w:val="21"/>
                <w:szCs w:val="21"/>
              </w:rPr>
            </w:pPr>
            <w:r>
              <w:rPr>
                <w:rFonts w:hint="eastAsia" w:ascii="宋体" w:hAnsi="宋体" w:cs="宋体"/>
                <w:sz w:val="21"/>
                <w:szCs w:val="21"/>
              </w:rPr>
              <w:t>9.支持高位深信号输入源输入，最高支持12bit信号输入；</w:t>
            </w:r>
          </w:p>
          <w:p>
            <w:pPr>
              <w:widowControl/>
              <w:jc w:val="left"/>
              <w:textAlignment w:val="center"/>
              <w:rPr>
                <w:rFonts w:ascii="宋体" w:hAnsi="宋体" w:cs="宋体"/>
                <w:sz w:val="21"/>
                <w:szCs w:val="21"/>
              </w:rPr>
            </w:pPr>
            <w:r>
              <w:rPr>
                <w:rFonts w:hint="eastAsia" w:ascii="宋体" w:hAnsi="宋体" w:cs="宋体"/>
                <w:sz w:val="21"/>
                <w:szCs w:val="21"/>
              </w:rPr>
              <w:t>10.支持音频功能，输入接口支持音频伴随输入，输出音频支持随信号切换而切换；</w:t>
            </w:r>
          </w:p>
          <w:p>
            <w:pPr>
              <w:widowControl/>
              <w:jc w:val="left"/>
              <w:textAlignment w:val="center"/>
              <w:rPr>
                <w:rFonts w:ascii="宋体" w:hAnsi="宋体" w:cs="宋体"/>
                <w:sz w:val="21"/>
                <w:szCs w:val="21"/>
              </w:rPr>
            </w:pPr>
            <w:r>
              <w:rPr>
                <w:rFonts w:hint="eastAsia" w:ascii="宋体" w:hAnsi="宋体" w:cs="宋体"/>
                <w:sz w:val="21"/>
                <w:szCs w:val="21"/>
              </w:rPr>
              <w:t>11.支持场景预设功能，可创建不低于 10 个用户场景作为模板保存，方便直接调用；</w:t>
            </w:r>
          </w:p>
          <w:p>
            <w:pPr>
              <w:widowControl/>
              <w:jc w:val="left"/>
              <w:textAlignment w:val="center"/>
              <w:rPr>
                <w:rFonts w:ascii="宋体" w:hAnsi="宋体" w:cs="宋体"/>
                <w:sz w:val="21"/>
                <w:szCs w:val="21"/>
              </w:rPr>
            </w:pPr>
            <w:r>
              <w:rPr>
                <w:rFonts w:hint="eastAsia" w:ascii="宋体" w:hAnsi="宋体" w:cs="宋体"/>
                <w:sz w:val="21"/>
                <w:szCs w:val="21"/>
              </w:rPr>
              <w:t>12.支持对输入信号进行分辨率自定义 ，最大可支持4096*2160@60信号输入，并向下兼容4K*1K,2K等；</w:t>
            </w:r>
          </w:p>
          <w:p>
            <w:pPr>
              <w:widowControl/>
              <w:jc w:val="left"/>
              <w:textAlignment w:val="center"/>
              <w:rPr>
                <w:rFonts w:ascii="宋体" w:hAnsi="宋体" w:cs="宋体"/>
                <w:sz w:val="21"/>
                <w:szCs w:val="21"/>
              </w:rPr>
            </w:pPr>
            <w:r>
              <w:rPr>
                <w:rFonts w:hint="eastAsia" w:ascii="宋体" w:hAnsi="宋体" w:cs="宋体"/>
                <w:sz w:val="21"/>
                <w:szCs w:val="21"/>
              </w:rPr>
              <w:t>13.设备前面板应配备 LCD 显示模块，可直接观察各接口的通讯状态，设备型号，IP地址，屏幕大小及信号源状态等信息，简化系统的控制操作；</w:t>
            </w:r>
          </w:p>
          <w:p>
            <w:pPr>
              <w:widowControl/>
              <w:jc w:val="left"/>
              <w:textAlignment w:val="center"/>
              <w:rPr>
                <w:rFonts w:ascii="宋体" w:hAnsi="宋体" w:cs="宋体"/>
                <w:sz w:val="21"/>
                <w:szCs w:val="21"/>
              </w:rPr>
            </w:pPr>
            <w:r>
              <w:rPr>
                <w:rFonts w:hint="eastAsia" w:ascii="宋体" w:hAnsi="宋体" w:cs="宋体"/>
                <w:sz w:val="21"/>
                <w:szCs w:val="21"/>
              </w:rPr>
              <w:t>14.为保障画面输出无撕裂，应支持选择输入源作为同步信号，达到输出的场级同步；</w:t>
            </w:r>
          </w:p>
          <w:p>
            <w:pPr>
              <w:widowControl/>
              <w:jc w:val="left"/>
              <w:textAlignment w:val="center"/>
              <w:rPr>
                <w:rFonts w:ascii="宋体" w:hAnsi="宋体" w:cs="宋体"/>
                <w:sz w:val="21"/>
                <w:szCs w:val="21"/>
              </w:rPr>
            </w:pPr>
            <w:r>
              <w:rPr>
                <w:rFonts w:hint="eastAsia" w:ascii="宋体" w:hAnsi="宋体" w:cs="宋体"/>
                <w:sz w:val="21"/>
                <w:szCs w:val="21"/>
              </w:rPr>
              <w:t>15.支持配合多功能卡，实现对屏体电源的手动控制，自动控制，以及软件控制，灵活简单。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26</w:t>
            </w:r>
          </w:p>
        </w:tc>
        <w:tc>
          <w:tcPr>
            <w:tcW w:w="494"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管理控制终端</w:t>
            </w:r>
          </w:p>
        </w:tc>
        <w:tc>
          <w:tcPr>
            <w:tcW w:w="353"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13</w:t>
            </w:r>
          </w:p>
        </w:tc>
        <w:tc>
          <w:tcPr>
            <w:tcW w:w="370" w:type="pct"/>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color w:val="000000"/>
                <w:kern w:val="0"/>
                <w:sz w:val="21"/>
                <w:szCs w:val="21"/>
              </w:rPr>
              <w:t>CPU不低于12代酷睿i5处理器；内存≥16G；硬盘≥512G;  HDMI和VGA双接口。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27</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触摸显示器</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1.屏幕比例：16:9；</w:t>
            </w:r>
          </w:p>
          <w:p>
            <w:pPr>
              <w:widowControl/>
              <w:jc w:val="left"/>
              <w:textAlignment w:val="center"/>
              <w:rPr>
                <w:rFonts w:ascii="宋体" w:hAnsi="宋体" w:cs="宋体"/>
                <w:color w:val="auto"/>
                <w:kern w:val="0"/>
                <w:sz w:val="21"/>
                <w:szCs w:val="21"/>
              </w:rPr>
            </w:pPr>
            <w:r>
              <w:rPr>
                <w:rFonts w:hint="eastAsia" w:ascii="宋体" w:hAnsi="宋体" w:cs="宋体"/>
                <w:color w:val="000000"/>
                <w:kern w:val="0"/>
                <w:sz w:val="21"/>
                <w:szCs w:val="21"/>
              </w:rPr>
              <w:t>2.面板：IPS技术；</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3.对比度：≥1000:1；</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4.触控类型：支持10点触控；</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5.响应时间：≤5ms；</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6.屏幕刷新率：≥60Hz；</w:t>
            </w:r>
          </w:p>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7.屏幕尺寸：≥23.5英寸；</w:t>
            </w:r>
          </w:p>
          <w:p>
            <w:pPr>
              <w:widowControl/>
              <w:jc w:val="left"/>
              <w:textAlignment w:val="center"/>
              <w:rPr>
                <w:rFonts w:ascii="宋体" w:hAnsi="宋体" w:cs="宋体"/>
                <w:sz w:val="21"/>
                <w:szCs w:val="21"/>
              </w:rPr>
            </w:pPr>
            <w:r>
              <w:rPr>
                <w:rFonts w:hint="eastAsia" w:ascii="宋体" w:hAnsi="宋体" w:cs="宋体"/>
                <w:color w:val="000000"/>
                <w:kern w:val="0"/>
                <w:sz w:val="21"/>
                <w:szCs w:val="21"/>
              </w:rPr>
              <w:t>8.分辨率：≥1920*1080。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28</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HDMI延长器</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66</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color w:val="000000"/>
                <w:kern w:val="0"/>
                <w:sz w:val="21"/>
                <w:szCs w:val="21"/>
              </w:rPr>
              <w:t>HDMI转</w:t>
            </w:r>
            <w:r>
              <w:rPr>
                <w:rFonts w:hint="eastAsia" w:ascii="宋体" w:hAnsi="宋体" w:cs="宋体"/>
                <w:color w:val="000000" w:themeColor="text1"/>
                <w:kern w:val="0"/>
                <w:sz w:val="21"/>
                <w:szCs w:val="21"/>
                <w14:textFill>
                  <w14:solidFill>
                    <w14:schemeClr w14:val="tx1"/>
                  </w14:solidFill>
                </w14:textFill>
              </w:rPr>
              <w:t>RJ45</w:t>
            </w:r>
            <w:r>
              <w:rPr>
                <w:rFonts w:hint="eastAsia" w:ascii="宋体" w:hAnsi="宋体" w:cs="宋体"/>
                <w:color w:val="000000"/>
                <w:kern w:val="0"/>
                <w:sz w:val="21"/>
                <w:szCs w:val="21"/>
              </w:rPr>
              <w:t>；支持4K高清；传输具体不小于40米。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29</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一分八HDMI分配器</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HDMI分配器一进八出；支持4K/60HZ高清;长度不小于1.5米电源适配器。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30</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一分四HDMI分配器</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15</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HDMI分配器一进四出；支持4K/60HZ高清;长度不小于1.5米电源适配器。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31</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一分二HDMI分配器</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14</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HDMI分配器一进二出；支持4K/60HZ高清;长度不小于1.5米电源适配器。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32</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升降讲台桌</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张</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1.尺寸规格≥1600*700*610；</w:t>
            </w:r>
          </w:p>
          <w:p>
            <w:pPr>
              <w:widowControl/>
              <w:jc w:val="left"/>
              <w:textAlignment w:val="center"/>
              <w:rPr>
                <w:rFonts w:ascii="宋体" w:hAnsi="宋体" w:cs="宋体"/>
                <w:sz w:val="21"/>
                <w:szCs w:val="21"/>
              </w:rPr>
            </w:pPr>
            <w:r>
              <w:rPr>
                <w:rFonts w:hint="eastAsia" w:ascii="宋体" w:hAnsi="宋体" w:cs="宋体"/>
                <w:sz w:val="21"/>
                <w:szCs w:val="21"/>
              </w:rPr>
              <w:t>2.桌面采用E1级环保高密度板，厚度不低于25mm，强度高不变形；外表面采用中纤板喷粉技术处理，无需封边，桌面板所有棱边都采用弧形设计；</w:t>
            </w:r>
          </w:p>
          <w:p>
            <w:pPr>
              <w:widowControl/>
              <w:jc w:val="left"/>
              <w:textAlignment w:val="center"/>
              <w:rPr>
                <w:rFonts w:ascii="宋体" w:hAnsi="宋体" w:cs="宋体"/>
                <w:sz w:val="21"/>
                <w:szCs w:val="21"/>
              </w:rPr>
            </w:pPr>
            <w:r>
              <w:rPr>
                <w:rFonts w:hint="eastAsia" w:ascii="宋体" w:hAnsi="宋体" w:cs="宋体"/>
                <w:sz w:val="21"/>
                <w:szCs w:val="21"/>
              </w:rPr>
              <w:t>3.前挡板、左、右挡板、机箱和机柜采用1.0-1.5mm冷轧钢板，喷涂室外粉，升降脚架采用优质 SPCC 冷轧型钢，钢管厚度为≥2mm，型钢尺寸为≥90*60mm，脚架安装采用内嵌式安装方式；</w:t>
            </w:r>
          </w:p>
          <w:p>
            <w:pPr>
              <w:widowControl/>
              <w:jc w:val="left"/>
              <w:textAlignment w:val="center"/>
              <w:rPr>
                <w:rFonts w:ascii="宋体" w:hAnsi="宋体" w:cs="宋体"/>
                <w:sz w:val="21"/>
                <w:szCs w:val="21"/>
              </w:rPr>
            </w:pPr>
            <w:r>
              <w:rPr>
                <w:rFonts w:hint="eastAsia" w:ascii="宋体" w:hAnsi="宋体" w:cs="宋体"/>
                <w:sz w:val="21"/>
                <w:szCs w:val="21"/>
              </w:rPr>
              <w:t>4.为保障产品的使用安全性，生产厂家所使用的木板：所含铅、镉、汞、六价铬、多溴联苯等符合GB/T26572-2011标准；</w:t>
            </w:r>
          </w:p>
          <w:p>
            <w:pPr>
              <w:widowControl/>
              <w:jc w:val="left"/>
              <w:textAlignment w:val="center"/>
              <w:rPr>
                <w:rFonts w:ascii="宋体" w:hAnsi="宋体" w:cs="宋体"/>
                <w:sz w:val="21"/>
                <w:szCs w:val="21"/>
              </w:rPr>
            </w:pPr>
            <w:r>
              <w:rPr>
                <w:rFonts w:hint="eastAsia" w:ascii="宋体" w:hAnsi="宋体" w:cs="宋体"/>
                <w:sz w:val="21"/>
                <w:szCs w:val="21"/>
              </w:rPr>
              <w:t>5.讲桌采用三节双电机升降脚架，高度电动可调，最低高端为610mm，最高为1260mm，升降电机动态负载≥70KG，静态负载≥240KG，电机升降速度≥40mm/s；</w:t>
            </w:r>
          </w:p>
          <w:p>
            <w:pPr>
              <w:widowControl/>
              <w:jc w:val="left"/>
              <w:textAlignment w:val="center"/>
              <w:rPr>
                <w:rFonts w:ascii="宋体" w:hAnsi="宋体" w:cs="宋体"/>
                <w:sz w:val="21"/>
                <w:szCs w:val="21"/>
              </w:rPr>
            </w:pPr>
            <w:r>
              <w:rPr>
                <w:rFonts w:hint="eastAsia" w:ascii="宋体" w:hAnsi="宋体" w:cs="宋体"/>
                <w:sz w:val="21"/>
                <w:szCs w:val="21"/>
              </w:rPr>
              <w:t>6.电机控制器采用宽电压 100-240V 通用设计，待机功耗＜0.5W，集成高精度碰撞传感器，含陀螺仪，遇阻回退超级灵敏无误触发；电机控制器保护机制齐全，含过温，过载保护；控制器采用精细软件控制，10000次后双腿高度无误差；</w:t>
            </w:r>
          </w:p>
          <w:p>
            <w:pPr>
              <w:widowControl/>
              <w:jc w:val="left"/>
              <w:textAlignment w:val="center"/>
              <w:rPr>
                <w:rFonts w:ascii="宋体" w:hAnsi="宋体" w:cs="宋体"/>
                <w:sz w:val="21"/>
                <w:szCs w:val="21"/>
              </w:rPr>
            </w:pPr>
            <w:r>
              <w:rPr>
                <w:rFonts w:hint="eastAsia" w:ascii="宋体" w:hAnsi="宋体" w:cs="宋体"/>
                <w:sz w:val="21"/>
                <w:szCs w:val="21"/>
              </w:rPr>
              <w:t>7.升降电机采用手控器控制，手控器集成液晶屏显示桌面高度，集成4种高度预设模式，用户可以随时添加需要的高度，并通过按键，一键恢复到预设高度，方便操作。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33</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网络机柜</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3498" w:type="pct"/>
            <w:vAlign w:val="center"/>
          </w:tcPr>
          <w:p>
            <w:pPr>
              <w:widowControl/>
              <w:jc w:val="left"/>
              <w:rPr>
                <w:rFonts w:ascii="宋体" w:hAnsi="宋体" w:cs="宋体"/>
                <w:kern w:val="0"/>
                <w:sz w:val="21"/>
                <w:szCs w:val="21"/>
              </w:rPr>
            </w:pPr>
            <w:r>
              <w:rPr>
                <w:rFonts w:hint="eastAsia" w:ascii="宋体" w:hAnsi="宋体" w:cs="宋体"/>
                <w:kern w:val="0"/>
                <w:sz w:val="21"/>
                <w:szCs w:val="21"/>
              </w:rPr>
              <w:t>1.尺寸规格：22U；</w:t>
            </w:r>
          </w:p>
          <w:p>
            <w:pPr>
              <w:widowControl/>
              <w:jc w:val="left"/>
              <w:rPr>
                <w:rFonts w:ascii="宋体" w:hAnsi="宋体" w:cs="宋体"/>
                <w:kern w:val="0"/>
                <w:sz w:val="21"/>
                <w:szCs w:val="21"/>
              </w:rPr>
            </w:pPr>
            <w:r>
              <w:rPr>
                <w:rFonts w:hint="eastAsia" w:ascii="宋体" w:hAnsi="宋体" w:cs="宋体"/>
                <w:kern w:val="0"/>
                <w:sz w:val="21"/>
                <w:szCs w:val="21"/>
              </w:rPr>
              <w:t>2.符合ANSI/EIA RS-310-D、IEC297-2、DIN41491;PART1、DIN41494;PART7、GB/T3047.2-92标准;</w:t>
            </w:r>
          </w:p>
          <w:p>
            <w:pPr>
              <w:widowControl/>
              <w:jc w:val="left"/>
              <w:rPr>
                <w:rFonts w:ascii="宋体" w:hAnsi="宋体" w:cs="宋体"/>
                <w:kern w:val="0"/>
                <w:sz w:val="21"/>
                <w:szCs w:val="21"/>
              </w:rPr>
            </w:pPr>
            <w:r>
              <w:rPr>
                <w:rFonts w:hint="eastAsia" w:ascii="宋体" w:hAnsi="宋体" w:cs="宋体"/>
                <w:kern w:val="0"/>
                <w:sz w:val="21"/>
                <w:szCs w:val="21"/>
              </w:rPr>
              <w:t>3.兼容ETSI标准.表面作防锈磷化处理，静电喷塑；</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4.优质冷轧钢板制作，厚度为：方孔条≥2.0mm钢板厚度≥1.0mm</w:t>
            </w:r>
            <w:r>
              <w:rPr>
                <w:rFonts w:hint="eastAsia" w:ascii="宋体" w:hAnsi="宋体" w:cs="宋体"/>
                <w:kern w:val="0"/>
                <w:sz w:val="21"/>
                <w:szCs w:val="21"/>
                <w:lang w:eastAsia="zh-CN"/>
              </w:rPr>
              <w:t>；</w:t>
            </w:r>
          </w:p>
          <w:p>
            <w:pPr>
              <w:widowControl/>
              <w:jc w:val="left"/>
              <w:rPr>
                <w:rFonts w:ascii="宋体" w:hAnsi="宋体" w:cs="宋体"/>
                <w:sz w:val="21"/>
                <w:szCs w:val="21"/>
              </w:rPr>
            </w:pPr>
            <w:r>
              <w:rPr>
                <w:rFonts w:hint="eastAsia" w:ascii="宋体" w:hAnsi="宋体" w:cs="宋体"/>
                <w:kern w:val="0"/>
                <w:sz w:val="21"/>
                <w:szCs w:val="21"/>
              </w:rPr>
              <w:t>5.拆装框架结构，稳定可靠，强度好，</w:t>
            </w:r>
            <w:r>
              <w:rPr>
                <w:rFonts w:hint="eastAsia" w:ascii="宋体" w:hAnsi="宋体" w:cs="宋体"/>
                <w:color w:val="auto"/>
                <w:kern w:val="0"/>
                <w:sz w:val="21"/>
                <w:szCs w:val="21"/>
              </w:rPr>
              <w:t>静载</w:t>
            </w:r>
            <w:r>
              <w:rPr>
                <w:rFonts w:hint="eastAsia" w:ascii="宋体" w:hAnsi="宋体" w:cs="宋体"/>
                <w:kern w:val="0"/>
                <w:sz w:val="21"/>
                <w:szCs w:val="21"/>
              </w:rPr>
              <w:t>≥</w:t>
            </w:r>
            <w:r>
              <w:rPr>
                <w:rFonts w:hint="eastAsia" w:ascii="宋体" w:hAnsi="宋体" w:cs="宋体"/>
                <w:color w:val="auto"/>
                <w:kern w:val="0"/>
                <w:sz w:val="21"/>
                <w:szCs w:val="21"/>
              </w:rPr>
              <w:t>500KG</w:t>
            </w:r>
            <w:r>
              <w:rPr>
                <w:rFonts w:hint="eastAsia" w:ascii="宋体" w:hAnsi="宋体" w:cs="宋体"/>
                <w:kern w:val="0"/>
                <w:sz w:val="21"/>
                <w:szCs w:val="21"/>
              </w:rPr>
              <w:t>；可关闭的上部和下部走线通道；前后左右四门可方便装拆；底部支撑脚长度≥20cm。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34</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信息发布盒</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1.产品采用RK3568a 4核CPU设计，频率为2.0Ghz,采用Mali-T864 GPU；</w:t>
            </w:r>
          </w:p>
          <w:p>
            <w:pPr>
              <w:widowControl/>
              <w:jc w:val="left"/>
              <w:textAlignment w:val="center"/>
              <w:rPr>
                <w:rFonts w:ascii="宋体" w:hAnsi="宋体" w:cs="宋体"/>
                <w:sz w:val="21"/>
                <w:szCs w:val="21"/>
              </w:rPr>
            </w:pPr>
            <w:r>
              <w:rPr>
                <w:rFonts w:hint="eastAsia" w:ascii="宋体" w:hAnsi="宋体" w:cs="宋体"/>
                <w:sz w:val="21"/>
                <w:szCs w:val="21"/>
              </w:rPr>
              <w:t>2.小机身设计，可以隐藏放置在电视机后方；</w:t>
            </w:r>
          </w:p>
          <w:p>
            <w:pPr>
              <w:widowControl/>
              <w:jc w:val="left"/>
              <w:textAlignment w:val="center"/>
              <w:rPr>
                <w:rFonts w:ascii="宋体" w:hAnsi="宋体" w:cs="宋体"/>
                <w:sz w:val="21"/>
                <w:szCs w:val="21"/>
              </w:rPr>
            </w:pPr>
            <w:r>
              <w:rPr>
                <w:rFonts w:hint="eastAsia" w:ascii="宋体" w:hAnsi="宋体" w:cs="宋体"/>
                <w:sz w:val="21"/>
                <w:szCs w:val="21"/>
              </w:rPr>
              <w:t>3.内存≧4G DDR，内置存储器≧32G；</w:t>
            </w:r>
          </w:p>
          <w:p>
            <w:pPr>
              <w:widowControl/>
              <w:jc w:val="left"/>
              <w:textAlignment w:val="center"/>
              <w:rPr>
                <w:rFonts w:ascii="宋体" w:hAnsi="宋体" w:cs="宋体"/>
                <w:sz w:val="21"/>
                <w:szCs w:val="21"/>
              </w:rPr>
            </w:pPr>
            <w:r>
              <w:rPr>
                <w:rFonts w:hint="eastAsia" w:ascii="宋体" w:hAnsi="宋体" w:cs="宋体"/>
                <w:sz w:val="21"/>
                <w:szCs w:val="21"/>
              </w:rPr>
              <w:t>4.支持多格式1080p 60fps视频解码，支持MPEG-1/2/4,H.265,H.264等多种视频解码格式。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35</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教学楼信息展示系统</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 xml:space="preserve">1.信息发布功能：管理员可以通过后台软件发布视频、图片、文本等信息；     </w:t>
            </w:r>
          </w:p>
          <w:p>
            <w:pPr>
              <w:widowControl/>
              <w:jc w:val="left"/>
              <w:textAlignment w:val="center"/>
              <w:rPr>
                <w:rFonts w:ascii="宋体" w:hAnsi="宋体" w:cs="宋体"/>
                <w:sz w:val="21"/>
                <w:szCs w:val="21"/>
              </w:rPr>
            </w:pPr>
            <w:r>
              <w:rPr>
                <w:rFonts w:hint="eastAsia" w:ascii="宋体" w:hAnsi="宋体" w:cs="宋体"/>
                <w:sz w:val="21"/>
                <w:szCs w:val="21"/>
              </w:rPr>
              <w:t>2.教室状态显示：根据课表实时显示对应教学楼各教室使用状态，空闲或使用中（显示当前教室课程、授课教师、班级等信息）；</w:t>
            </w:r>
          </w:p>
          <w:p>
            <w:pPr>
              <w:widowControl/>
              <w:jc w:val="left"/>
              <w:textAlignment w:val="center"/>
              <w:rPr>
                <w:rFonts w:ascii="宋体" w:hAnsi="宋体" w:cs="宋体"/>
                <w:color w:val="auto"/>
                <w:sz w:val="21"/>
                <w:szCs w:val="21"/>
              </w:rPr>
            </w:pPr>
            <w:r>
              <w:rPr>
                <w:rFonts w:hint="eastAsia" w:ascii="宋体" w:hAnsi="宋体" w:cs="宋体"/>
                <w:sz w:val="21"/>
                <w:szCs w:val="21"/>
              </w:rPr>
              <w:t>3.考场导引功能：能够根据考试计划显示各教学楼考试科目、考场教室等信息；</w:t>
            </w:r>
          </w:p>
          <w:p>
            <w:pPr>
              <w:widowControl/>
              <w:jc w:val="left"/>
              <w:textAlignment w:val="center"/>
              <w:rPr>
                <w:rFonts w:ascii="宋体" w:hAnsi="宋体" w:cs="宋体"/>
                <w:color w:val="auto"/>
                <w:sz w:val="21"/>
                <w:szCs w:val="21"/>
              </w:rPr>
            </w:pPr>
            <w:r>
              <w:rPr>
                <w:rFonts w:hint="eastAsia" w:ascii="宋体" w:hAnsi="宋体" w:cs="宋体"/>
                <w:color w:val="auto"/>
                <w:sz w:val="21"/>
                <w:szCs w:val="21"/>
              </w:rPr>
              <w:t>▲4.巡课展示功能：对接学校现有教务系统和巡课系统平台，实时轮播展示对应教学楼巡课视频画面（监控+屏幕画面）</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现有系统平台相应接口免费开放，采购人负责协调，投标人对接接口产生的开发费用包含在报价中</w:t>
            </w:r>
            <w:r>
              <w:rPr>
                <w:rFonts w:hint="eastAsia" w:ascii="宋体" w:hAnsi="宋体" w:cs="宋体"/>
                <w:color w:val="auto"/>
                <w:sz w:val="21"/>
                <w:szCs w:val="21"/>
              </w:rPr>
              <w:t>；（投标时需提供承诺函）</w:t>
            </w:r>
          </w:p>
          <w:p>
            <w:pPr>
              <w:widowControl/>
              <w:jc w:val="left"/>
              <w:textAlignment w:val="center"/>
              <w:rPr>
                <w:rFonts w:ascii="宋体" w:hAnsi="宋体" w:cs="宋体"/>
                <w:sz w:val="21"/>
                <w:szCs w:val="21"/>
                <w:highlight w:val="yellow"/>
              </w:rPr>
            </w:pPr>
            <w:r>
              <w:rPr>
                <w:rFonts w:hint="eastAsia" w:ascii="宋体" w:hAnsi="宋体" w:cs="宋体"/>
                <w:sz w:val="21"/>
                <w:szCs w:val="21"/>
              </w:rPr>
              <w:t>5.权限管理功能：为不同的用户设置不同的权限，保障数据的安全性和使用的合理性。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36</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网络视频编码器</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50</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1.视频输入：</w:t>
            </w:r>
            <w:r>
              <w:rPr>
                <w:rFonts w:hint="eastAsia" w:ascii="宋体" w:hAnsi="宋体" w:cs="宋体"/>
                <w:kern w:val="0"/>
                <w:sz w:val="21"/>
                <w:szCs w:val="21"/>
              </w:rPr>
              <w:t>≥</w:t>
            </w:r>
            <w:r>
              <w:rPr>
                <w:rFonts w:hint="eastAsia" w:ascii="宋体" w:hAnsi="宋体" w:cs="宋体"/>
                <w:sz w:val="21"/>
                <w:szCs w:val="21"/>
              </w:rPr>
              <w:t>1路HDMI，视频输出：</w:t>
            </w:r>
            <w:r>
              <w:rPr>
                <w:rFonts w:hint="eastAsia" w:ascii="宋体" w:hAnsi="宋体" w:cs="宋体"/>
                <w:kern w:val="0"/>
                <w:sz w:val="21"/>
                <w:szCs w:val="21"/>
              </w:rPr>
              <w:t>≥</w:t>
            </w:r>
            <w:r>
              <w:rPr>
                <w:rFonts w:hint="eastAsia" w:ascii="宋体" w:hAnsi="宋体" w:cs="宋体"/>
                <w:sz w:val="21"/>
                <w:szCs w:val="21"/>
              </w:rPr>
              <w:t>1路HDMI；</w:t>
            </w:r>
          </w:p>
          <w:p>
            <w:pPr>
              <w:widowControl/>
              <w:jc w:val="left"/>
              <w:textAlignment w:val="center"/>
              <w:rPr>
                <w:rFonts w:ascii="宋体" w:hAnsi="宋体" w:cs="宋体"/>
                <w:sz w:val="21"/>
                <w:szCs w:val="21"/>
              </w:rPr>
            </w:pPr>
            <w:r>
              <w:rPr>
                <w:rFonts w:hint="eastAsia" w:ascii="宋体" w:hAnsi="宋体" w:cs="宋体"/>
                <w:sz w:val="21"/>
                <w:szCs w:val="21"/>
              </w:rPr>
              <w:t>2.音频输入：</w:t>
            </w:r>
            <w:r>
              <w:rPr>
                <w:rFonts w:hint="eastAsia" w:ascii="宋体" w:hAnsi="宋体" w:cs="宋体"/>
                <w:kern w:val="0"/>
                <w:sz w:val="21"/>
                <w:szCs w:val="21"/>
              </w:rPr>
              <w:t>≥</w:t>
            </w:r>
            <w:r>
              <w:rPr>
                <w:rFonts w:hint="eastAsia" w:ascii="宋体" w:hAnsi="宋体" w:cs="宋体"/>
                <w:sz w:val="21"/>
                <w:szCs w:val="21"/>
              </w:rPr>
              <w:t>1路HDMI，音频输出：</w:t>
            </w:r>
            <w:r>
              <w:rPr>
                <w:rFonts w:hint="eastAsia" w:ascii="宋体" w:hAnsi="宋体" w:cs="宋体"/>
                <w:kern w:val="0"/>
                <w:sz w:val="21"/>
                <w:szCs w:val="21"/>
              </w:rPr>
              <w:t>≥</w:t>
            </w:r>
            <w:r>
              <w:rPr>
                <w:rFonts w:hint="eastAsia" w:ascii="宋体" w:hAnsi="宋体" w:cs="宋体"/>
                <w:sz w:val="21"/>
                <w:szCs w:val="21"/>
              </w:rPr>
              <w:t>1路HDMI内置音频；</w:t>
            </w:r>
          </w:p>
          <w:p>
            <w:pPr>
              <w:widowControl/>
              <w:jc w:val="left"/>
              <w:textAlignment w:val="center"/>
              <w:rPr>
                <w:rFonts w:ascii="宋体" w:hAnsi="宋体" w:cs="宋体"/>
                <w:sz w:val="21"/>
                <w:szCs w:val="21"/>
              </w:rPr>
            </w:pPr>
            <w:r>
              <w:rPr>
                <w:rFonts w:hint="eastAsia" w:ascii="宋体" w:hAnsi="宋体" w:cs="宋体"/>
                <w:sz w:val="21"/>
                <w:szCs w:val="21"/>
              </w:rPr>
              <w:t>3.视频编码</w:t>
            </w:r>
          </w:p>
          <w:p>
            <w:pPr>
              <w:widowControl/>
              <w:jc w:val="left"/>
              <w:textAlignment w:val="center"/>
              <w:rPr>
                <w:rFonts w:ascii="宋体" w:hAnsi="宋体" w:cs="宋体"/>
                <w:sz w:val="21"/>
                <w:szCs w:val="21"/>
              </w:rPr>
            </w:pPr>
            <w:r>
              <w:rPr>
                <w:rFonts w:hint="eastAsia" w:ascii="宋体" w:hAnsi="宋体" w:cs="宋体"/>
                <w:sz w:val="21"/>
                <w:szCs w:val="21"/>
              </w:rPr>
              <w:t>编码类型：H.264/H.254可选；</w:t>
            </w:r>
          </w:p>
          <w:p>
            <w:pPr>
              <w:widowControl/>
              <w:jc w:val="left"/>
              <w:textAlignment w:val="center"/>
              <w:rPr>
                <w:rFonts w:ascii="宋体" w:hAnsi="宋体" w:cs="宋体"/>
                <w:sz w:val="21"/>
                <w:szCs w:val="21"/>
              </w:rPr>
            </w:pPr>
            <w:r>
              <w:rPr>
                <w:rFonts w:hint="eastAsia" w:ascii="宋体" w:hAnsi="宋体" w:cs="宋体"/>
                <w:sz w:val="21"/>
                <w:szCs w:val="21"/>
              </w:rPr>
              <w:t>编码帧率：5-60可调；</w:t>
            </w:r>
          </w:p>
          <w:p>
            <w:pPr>
              <w:widowControl/>
              <w:jc w:val="left"/>
              <w:textAlignment w:val="center"/>
              <w:rPr>
                <w:rFonts w:ascii="宋体" w:hAnsi="宋体" w:cs="宋体"/>
                <w:sz w:val="21"/>
                <w:szCs w:val="21"/>
              </w:rPr>
            </w:pPr>
            <w:r>
              <w:rPr>
                <w:rFonts w:hint="eastAsia" w:ascii="宋体" w:hAnsi="宋体" w:cs="宋体"/>
                <w:sz w:val="21"/>
                <w:szCs w:val="21"/>
              </w:rPr>
              <w:t>比特率（kbit）：32-32000可调；</w:t>
            </w:r>
          </w:p>
          <w:p>
            <w:pPr>
              <w:pStyle w:val="19"/>
              <w:widowControl/>
              <w:spacing w:before="0" w:beforeAutospacing="0" w:after="0" w:afterAutospacing="0"/>
              <w:rPr>
                <w:rFonts w:ascii="宋体" w:hAnsi="宋体" w:cs="宋体"/>
                <w:sz w:val="21"/>
                <w:szCs w:val="21"/>
              </w:rPr>
            </w:pPr>
            <w:r>
              <w:rPr>
                <w:rFonts w:hint="eastAsia" w:ascii="宋体" w:hAnsi="宋体" w:cs="宋体"/>
                <w:sz w:val="21"/>
                <w:szCs w:val="21"/>
              </w:rPr>
              <w:t>编码后分辨率：1920x1080/1680x1056/1280x720/1024x576/850x480/720x576/720x540/720480/720x404/704x576/640x480/640x360/608x448/544x480/489x489/480x384/480x360/480x320/480x272/480x270/400x320/400x224/352x480/352x228/320x256/320x240/320×180/240×180/176×144/与输入分辨率相同；</w:t>
            </w:r>
          </w:p>
          <w:p>
            <w:pPr>
              <w:widowControl/>
              <w:jc w:val="left"/>
              <w:textAlignment w:val="center"/>
              <w:rPr>
                <w:rFonts w:ascii="宋体" w:hAnsi="宋体" w:cs="宋体"/>
                <w:sz w:val="21"/>
                <w:szCs w:val="21"/>
              </w:rPr>
            </w:pPr>
            <w:r>
              <w:rPr>
                <w:rFonts w:hint="eastAsia" w:ascii="宋体" w:hAnsi="宋体" w:cs="宋体"/>
                <w:sz w:val="21"/>
                <w:szCs w:val="21"/>
              </w:rPr>
              <w:t>3.视频编码</w:t>
            </w:r>
          </w:p>
          <w:p>
            <w:pPr>
              <w:pStyle w:val="19"/>
              <w:widowControl/>
              <w:spacing w:before="0" w:beforeAutospacing="0" w:after="0" w:afterAutospacing="0"/>
              <w:rPr>
                <w:rFonts w:ascii="宋体" w:hAnsi="宋体" w:cs="宋体"/>
                <w:sz w:val="21"/>
                <w:szCs w:val="21"/>
              </w:rPr>
            </w:pPr>
            <w:r>
              <w:rPr>
                <w:rFonts w:hint="eastAsia" w:ascii="宋体" w:hAnsi="宋体" w:cs="宋体"/>
                <w:sz w:val="21"/>
                <w:szCs w:val="21"/>
              </w:rPr>
              <w:t>编码采样率：44100/43000可选；</w:t>
            </w:r>
          </w:p>
          <w:p>
            <w:pPr>
              <w:pStyle w:val="19"/>
              <w:widowControl/>
              <w:spacing w:before="0" w:beforeAutospacing="0" w:after="0" w:afterAutospacing="0"/>
              <w:rPr>
                <w:rFonts w:ascii="宋体" w:hAnsi="宋体" w:cs="宋体"/>
                <w:sz w:val="21"/>
                <w:szCs w:val="21"/>
              </w:rPr>
            </w:pPr>
            <w:r>
              <w:rPr>
                <w:rFonts w:hint="eastAsia" w:ascii="宋体" w:hAnsi="宋体" w:cs="宋体"/>
                <w:sz w:val="21"/>
                <w:szCs w:val="21"/>
              </w:rPr>
              <w:t>编码方法：AAC/AAC+/AAC++/MP3/MP2/AC3可选；</w:t>
            </w:r>
          </w:p>
          <w:p>
            <w:pPr>
              <w:pStyle w:val="19"/>
              <w:widowControl/>
              <w:spacing w:before="0" w:beforeAutospacing="0" w:after="0" w:afterAutospacing="0"/>
              <w:rPr>
                <w:rFonts w:ascii="宋体" w:hAnsi="宋体" w:cs="宋体"/>
                <w:sz w:val="21"/>
                <w:szCs w:val="21"/>
              </w:rPr>
            </w:pPr>
            <w:r>
              <w:rPr>
                <w:rFonts w:hint="eastAsia" w:ascii="宋体" w:hAnsi="宋体" w:cs="宋体"/>
                <w:sz w:val="21"/>
                <w:szCs w:val="21"/>
              </w:rPr>
              <w:t>编码比特率：AAC:48000-320000 可调/AAC+：24000-48000可调/AAC++：12000-32000可调/MP3:64000-320000可调/MP2:64000-320000可调/AC3:40000-640000可调；</w:t>
            </w:r>
          </w:p>
          <w:p>
            <w:pPr>
              <w:pStyle w:val="19"/>
              <w:widowControl/>
              <w:spacing w:before="0" w:beforeAutospacing="0" w:after="0" w:afterAutospacing="0"/>
              <w:rPr>
                <w:rFonts w:ascii="宋体" w:hAnsi="宋体" w:cs="宋体"/>
                <w:sz w:val="21"/>
                <w:szCs w:val="21"/>
              </w:rPr>
            </w:pPr>
            <w:r>
              <w:rPr>
                <w:rFonts w:hint="eastAsia" w:ascii="宋体" w:hAnsi="宋体" w:cs="宋体"/>
                <w:sz w:val="21"/>
                <w:szCs w:val="21"/>
              </w:rPr>
              <w:t>RTSP流使用：禁用/启用可选；</w:t>
            </w:r>
          </w:p>
          <w:p>
            <w:pPr>
              <w:pStyle w:val="19"/>
              <w:widowControl/>
              <w:spacing w:before="0" w:beforeAutospacing="0" w:after="0" w:afterAutospacing="0"/>
              <w:rPr>
                <w:rFonts w:ascii="宋体" w:hAnsi="宋体" w:cs="宋体"/>
                <w:sz w:val="21"/>
                <w:szCs w:val="21"/>
              </w:rPr>
            </w:pPr>
            <w:r>
              <w:rPr>
                <w:rFonts w:hint="eastAsia" w:ascii="宋体" w:hAnsi="宋体" w:cs="宋体"/>
                <w:sz w:val="21"/>
                <w:szCs w:val="21"/>
              </w:rPr>
              <w:t>4.通用</w:t>
            </w:r>
          </w:p>
          <w:p>
            <w:pPr>
              <w:pStyle w:val="19"/>
              <w:widowControl/>
              <w:spacing w:before="0" w:beforeAutospacing="0" w:after="0" w:afterAutospacing="0"/>
              <w:rPr>
                <w:rFonts w:ascii="宋体" w:hAnsi="宋体" w:cs="宋体"/>
                <w:sz w:val="21"/>
                <w:szCs w:val="21"/>
              </w:rPr>
            </w:pPr>
            <w:r>
              <w:rPr>
                <w:rFonts w:hint="eastAsia" w:ascii="宋体" w:hAnsi="宋体" w:cs="宋体"/>
                <w:sz w:val="21"/>
                <w:szCs w:val="21"/>
              </w:rPr>
              <w:t>网络：千兆；</w:t>
            </w:r>
          </w:p>
          <w:p>
            <w:pPr>
              <w:pStyle w:val="19"/>
              <w:widowControl/>
              <w:spacing w:before="0" w:beforeAutospacing="0" w:after="0" w:afterAutospacing="0"/>
              <w:rPr>
                <w:rFonts w:ascii="宋体" w:hAnsi="宋体" w:cs="宋体"/>
                <w:sz w:val="21"/>
                <w:szCs w:val="21"/>
              </w:rPr>
            </w:pPr>
            <w:r>
              <w:rPr>
                <w:rFonts w:hint="eastAsia" w:ascii="宋体" w:hAnsi="宋体" w:cs="宋体"/>
                <w:sz w:val="21"/>
                <w:szCs w:val="21"/>
              </w:rPr>
              <w:t>配置管理：通过WEB进行配置管理；</w:t>
            </w:r>
          </w:p>
          <w:p>
            <w:pPr>
              <w:pStyle w:val="19"/>
              <w:widowControl/>
              <w:spacing w:before="0" w:beforeAutospacing="0" w:after="0" w:afterAutospacing="0"/>
              <w:rPr>
                <w:rFonts w:ascii="宋体" w:hAnsi="宋体" w:cs="宋体"/>
                <w:sz w:val="21"/>
                <w:szCs w:val="21"/>
              </w:rPr>
            </w:pPr>
            <w:r>
              <w:rPr>
                <w:rFonts w:hint="eastAsia" w:ascii="宋体" w:hAnsi="宋体" w:cs="宋体"/>
                <w:sz w:val="21"/>
                <w:szCs w:val="21"/>
              </w:rPr>
              <w:t>ONVIF:支持ONVIF查找浏览视频；</w:t>
            </w:r>
          </w:p>
          <w:p>
            <w:pPr>
              <w:pStyle w:val="19"/>
              <w:widowControl/>
              <w:spacing w:before="0" w:beforeAutospacing="0" w:after="0" w:afterAutospacing="0"/>
              <w:rPr>
                <w:rFonts w:ascii="宋体" w:hAnsi="宋体" w:cs="宋体"/>
                <w:sz w:val="21"/>
                <w:szCs w:val="21"/>
              </w:rPr>
            </w:pPr>
            <w:r>
              <w:rPr>
                <w:rFonts w:hint="eastAsia" w:ascii="宋体" w:hAnsi="宋体" w:cs="宋体"/>
                <w:sz w:val="21"/>
                <w:szCs w:val="21"/>
              </w:rPr>
              <w:t>电源：12V/DC,2A；</w:t>
            </w:r>
          </w:p>
          <w:p>
            <w:pPr>
              <w:pStyle w:val="19"/>
              <w:widowControl/>
              <w:spacing w:before="0" w:beforeAutospacing="0" w:after="0" w:afterAutospacing="0"/>
              <w:rPr>
                <w:rFonts w:ascii="宋体" w:hAnsi="宋体" w:cs="宋体"/>
                <w:sz w:val="21"/>
                <w:szCs w:val="21"/>
              </w:rPr>
            </w:pPr>
            <w:r>
              <w:rPr>
                <w:rFonts w:hint="eastAsia" w:ascii="宋体" w:hAnsi="宋体" w:cs="宋体"/>
                <w:sz w:val="21"/>
                <w:szCs w:val="21"/>
              </w:rPr>
              <w:t>5.功能：用于采集本项目教学多媒体设备显示画面数据。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37</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巡课录像存储设备</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套</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1.网口：</w:t>
            </w:r>
            <w:r>
              <w:rPr>
                <w:rFonts w:hint="eastAsia" w:ascii="宋体" w:hAnsi="宋体" w:cs="宋体"/>
                <w:kern w:val="0"/>
                <w:sz w:val="21"/>
                <w:szCs w:val="21"/>
              </w:rPr>
              <w:t>≥</w:t>
            </w:r>
            <w:r>
              <w:rPr>
                <w:rFonts w:hint="eastAsia" w:ascii="宋体" w:hAnsi="宋体" w:cs="宋体"/>
                <w:sz w:val="21"/>
                <w:szCs w:val="21"/>
              </w:rPr>
              <w:t>3个千兆以太网口 USB口：</w:t>
            </w:r>
            <w:r>
              <w:rPr>
                <w:rFonts w:hint="eastAsia" w:ascii="宋体" w:hAnsi="宋体" w:cs="宋体"/>
                <w:kern w:val="0"/>
                <w:sz w:val="21"/>
                <w:szCs w:val="21"/>
              </w:rPr>
              <w:t>≥</w:t>
            </w:r>
            <w:r>
              <w:rPr>
                <w:rFonts w:hint="eastAsia" w:ascii="宋体" w:hAnsi="宋体" w:cs="宋体"/>
                <w:sz w:val="21"/>
                <w:szCs w:val="21"/>
              </w:rPr>
              <w:t>2个USB3.0接口 视频接口：</w:t>
            </w:r>
            <w:r>
              <w:rPr>
                <w:rFonts w:hint="eastAsia" w:ascii="宋体" w:hAnsi="宋体" w:cs="宋体"/>
                <w:kern w:val="0"/>
                <w:sz w:val="21"/>
                <w:szCs w:val="21"/>
              </w:rPr>
              <w:t>≥</w:t>
            </w:r>
            <w:r>
              <w:rPr>
                <w:rFonts w:hint="eastAsia" w:ascii="宋体" w:hAnsi="宋体" w:cs="宋体"/>
                <w:sz w:val="21"/>
                <w:szCs w:val="21"/>
              </w:rPr>
              <w:t>1个VGA接口 扩展接口：</w:t>
            </w:r>
            <w:r>
              <w:rPr>
                <w:rFonts w:hint="eastAsia" w:ascii="宋体" w:hAnsi="宋体" w:cs="宋体"/>
                <w:kern w:val="0"/>
                <w:sz w:val="21"/>
                <w:szCs w:val="21"/>
              </w:rPr>
              <w:t>≥</w:t>
            </w:r>
            <w:r>
              <w:rPr>
                <w:rFonts w:hint="eastAsia" w:ascii="宋体" w:hAnsi="宋体" w:cs="宋体"/>
                <w:sz w:val="21"/>
                <w:szCs w:val="21"/>
              </w:rPr>
              <w:t xml:space="preserve">1个PCIe插槽； </w:t>
            </w:r>
          </w:p>
          <w:p>
            <w:pPr>
              <w:widowControl/>
              <w:jc w:val="left"/>
              <w:textAlignment w:val="center"/>
              <w:rPr>
                <w:rFonts w:ascii="宋体" w:hAnsi="宋体" w:cs="宋体"/>
                <w:sz w:val="21"/>
                <w:szCs w:val="21"/>
              </w:rPr>
            </w:pPr>
            <w:r>
              <w:rPr>
                <w:rFonts w:hint="eastAsia" w:ascii="宋体" w:hAnsi="宋体" w:cs="宋体"/>
                <w:sz w:val="21"/>
                <w:szCs w:val="21"/>
              </w:rPr>
              <w:t>2.支持接入600Mbps、存储600Mbps、转发600Mbps；</w:t>
            </w:r>
          </w:p>
          <w:p>
            <w:pPr>
              <w:widowControl/>
              <w:jc w:val="left"/>
              <w:textAlignment w:val="center"/>
              <w:rPr>
                <w:rFonts w:ascii="宋体" w:hAnsi="宋体" w:cs="宋体"/>
                <w:sz w:val="21"/>
                <w:szCs w:val="21"/>
              </w:rPr>
            </w:pPr>
            <w:r>
              <w:rPr>
                <w:rFonts w:hint="eastAsia" w:ascii="宋体" w:hAnsi="宋体" w:cs="宋体"/>
                <w:sz w:val="21"/>
                <w:szCs w:val="21"/>
              </w:rPr>
              <w:t xml:space="preserve">3.支持标准ONVIF、GB/T28181协议； </w:t>
            </w:r>
          </w:p>
          <w:p>
            <w:pPr>
              <w:widowControl/>
              <w:jc w:val="left"/>
              <w:textAlignment w:val="center"/>
              <w:rPr>
                <w:rFonts w:ascii="宋体" w:hAnsi="宋体" w:cs="宋体"/>
                <w:sz w:val="21"/>
                <w:szCs w:val="21"/>
              </w:rPr>
            </w:pPr>
            <w:r>
              <w:rPr>
                <w:rFonts w:hint="eastAsia" w:ascii="宋体" w:hAnsi="宋体" w:cs="宋体"/>
                <w:sz w:val="21"/>
                <w:szCs w:val="21"/>
              </w:rPr>
              <w:t>4.支持设备主从级联扩展，性能、容量线性增加支持802.1x认证、ARP防攻击、HTTPS安全链接 支持网络容错、负载均衡、多IP设定；</w:t>
            </w:r>
          </w:p>
          <w:p>
            <w:pPr>
              <w:widowControl/>
              <w:jc w:val="left"/>
              <w:textAlignment w:val="center"/>
              <w:rPr>
                <w:rFonts w:ascii="宋体" w:hAnsi="宋体" w:cs="宋体"/>
                <w:sz w:val="21"/>
                <w:szCs w:val="21"/>
              </w:rPr>
            </w:pPr>
            <w:r>
              <w:rPr>
                <w:rFonts w:hint="eastAsia" w:ascii="宋体" w:hAnsi="宋体" w:cs="宋体"/>
                <w:sz w:val="21"/>
                <w:szCs w:val="21"/>
              </w:rPr>
              <w:t>5.应支持接入SATA硬盘(1/2/3/4/5/6/8/10/12/14TB)、SAS硬盘和SSD硬盘；</w:t>
            </w:r>
          </w:p>
          <w:p>
            <w:pPr>
              <w:widowControl/>
              <w:jc w:val="left"/>
              <w:textAlignment w:val="center"/>
              <w:rPr>
                <w:rFonts w:ascii="宋体" w:hAnsi="宋体" w:cs="宋体"/>
                <w:sz w:val="21"/>
                <w:szCs w:val="21"/>
              </w:rPr>
            </w:pPr>
            <w:r>
              <w:rPr>
                <w:rFonts w:hint="eastAsia" w:ascii="宋体" w:hAnsi="宋体" w:cs="宋体"/>
                <w:sz w:val="21"/>
                <w:szCs w:val="21"/>
              </w:rPr>
              <w:t>6.应支持BBU电池模块；</w:t>
            </w:r>
          </w:p>
          <w:p>
            <w:pPr>
              <w:widowControl/>
              <w:jc w:val="left"/>
              <w:textAlignment w:val="center"/>
              <w:rPr>
                <w:rFonts w:ascii="宋体" w:hAnsi="宋体" w:cs="宋体"/>
                <w:sz w:val="21"/>
                <w:szCs w:val="21"/>
              </w:rPr>
            </w:pPr>
            <w:r>
              <w:rPr>
                <w:rFonts w:hint="eastAsia" w:ascii="宋体" w:hAnsi="宋体" w:cs="宋体"/>
                <w:sz w:val="21"/>
                <w:szCs w:val="21"/>
              </w:rPr>
              <w:t>7.应支持当RAID阵列中的一块硬盘拔掉后，X分钟（1～120可动态设置）之内再插上，该硬盘能恢复到原有RAID中，仅做增量数据恢复，RAID阵列在秒级时间内自动恢复正常；</w:t>
            </w:r>
          </w:p>
          <w:p>
            <w:pPr>
              <w:widowControl/>
              <w:jc w:val="left"/>
              <w:textAlignment w:val="center"/>
              <w:rPr>
                <w:rFonts w:ascii="宋体" w:hAnsi="宋体" w:cs="宋体"/>
                <w:color w:val="auto"/>
                <w:sz w:val="21"/>
                <w:szCs w:val="21"/>
                <w:highlight w:val="yellow"/>
              </w:rPr>
            </w:pPr>
            <w:r>
              <w:rPr>
                <w:rFonts w:hint="eastAsia" w:ascii="宋体" w:hAnsi="宋体" w:cs="宋体"/>
                <w:sz w:val="21"/>
                <w:szCs w:val="21"/>
              </w:rPr>
              <w:t>★8.应支持掉电后BBU电池继续进行供电，在缓存中的数据不丢失，可通过数码管显示缓存数据的保存进度，可查看断电前1s的视频录像；（投标时提供公安部委</w:t>
            </w:r>
            <w:r>
              <w:rPr>
                <w:rFonts w:hint="eastAsia" w:ascii="宋体" w:hAnsi="宋体" w:cs="宋体"/>
                <w:color w:val="auto"/>
                <w:sz w:val="21"/>
                <w:szCs w:val="21"/>
              </w:rPr>
              <w:t>托报告</w:t>
            </w:r>
            <w:r>
              <w:rPr>
                <w:rFonts w:hint="eastAsia" w:ascii="宋体" w:hAnsi="宋体" w:cs="宋体"/>
                <w:color w:val="auto"/>
                <w:sz w:val="21"/>
                <w:szCs w:val="21"/>
                <w:lang w:val="en-US" w:eastAsia="zh-CN"/>
              </w:rPr>
              <w:t>扫描件</w:t>
            </w:r>
            <w:r>
              <w:rPr>
                <w:rFonts w:hint="eastAsia" w:ascii="宋体" w:hAnsi="宋体" w:cs="宋体"/>
                <w:color w:val="auto"/>
                <w:sz w:val="21"/>
                <w:szCs w:val="21"/>
              </w:rPr>
              <w:t>）</w:t>
            </w:r>
          </w:p>
          <w:p>
            <w:pPr>
              <w:widowControl/>
              <w:jc w:val="left"/>
              <w:textAlignment w:val="center"/>
              <w:rPr>
                <w:rFonts w:ascii="宋体" w:hAnsi="宋体" w:cs="宋体"/>
                <w:sz w:val="21"/>
                <w:szCs w:val="21"/>
              </w:rPr>
            </w:pPr>
            <w:r>
              <w:rPr>
                <w:rFonts w:hint="eastAsia" w:ascii="宋体" w:hAnsi="宋体" w:cs="宋体"/>
                <w:color w:val="auto"/>
                <w:sz w:val="21"/>
                <w:szCs w:val="21"/>
              </w:rPr>
              <w:t>9.功能：用于存储</w:t>
            </w:r>
            <w:r>
              <w:rPr>
                <w:rFonts w:hint="eastAsia" w:ascii="宋体" w:hAnsi="宋体" w:cs="宋体"/>
                <w:color w:val="auto"/>
                <w:kern w:val="0"/>
                <w:sz w:val="21"/>
                <w:szCs w:val="21"/>
              </w:rPr>
              <w:t>网络视频编码器采集的本项目</w:t>
            </w:r>
            <w:r>
              <w:rPr>
                <w:rFonts w:hint="eastAsia" w:ascii="宋体" w:hAnsi="宋体" w:cs="宋体"/>
                <w:color w:val="auto"/>
                <w:sz w:val="21"/>
                <w:szCs w:val="21"/>
              </w:rPr>
              <w:t>教学多媒体设备画面，存储数据需对接现有巡课平台</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现有系统平台相应接口免费开放，采购人负责协调，投标人对接接口产生的开发费用包含在报价中</w:t>
            </w:r>
            <w:r>
              <w:rPr>
                <w:rFonts w:hint="eastAsia" w:ascii="宋体" w:hAnsi="宋体" w:cs="宋体"/>
                <w:color w:val="auto"/>
                <w:sz w:val="21"/>
                <w:szCs w:val="21"/>
              </w:rPr>
              <w:t>。（投标时需提供承诺函）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38</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墙面及地面改造</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项</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教室墙面开槽，预埋管线，复原及粉刷；</w:t>
            </w:r>
          </w:p>
          <w:p>
            <w:pPr>
              <w:widowControl/>
              <w:jc w:val="left"/>
              <w:textAlignment w:val="center"/>
              <w:rPr>
                <w:rFonts w:ascii="宋体" w:hAnsi="宋体" w:cs="宋体"/>
                <w:sz w:val="21"/>
                <w:szCs w:val="21"/>
              </w:rPr>
            </w:pPr>
            <w:r>
              <w:rPr>
                <w:rFonts w:hint="eastAsia" w:ascii="宋体" w:hAnsi="宋体" w:cs="宋体"/>
                <w:sz w:val="21"/>
                <w:szCs w:val="21"/>
              </w:rPr>
              <w:t>教室地面铲除，找平，地坪漆粉刷。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39</w:t>
            </w:r>
          </w:p>
        </w:tc>
        <w:tc>
          <w:tcPr>
            <w:tcW w:w="494"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辅材</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项</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PVC管，超五类网线，六类网线，电源线，音频线及配套辅材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40</w:t>
            </w:r>
          </w:p>
        </w:tc>
        <w:tc>
          <w:tcPr>
            <w:tcW w:w="494" w:type="pct"/>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设备集成调试</w:t>
            </w:r>
          </w:p>
        </w:tc>
        <w:tc>
          <w:tcPr>
            <w:tcW w:w="353"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370" w:type="pct"/>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项</w:t>
            </w:r>
          </w:p>
        </w:tc>
        <w:tc>
          <w:tcPr>
            <w:tcW w:w="3498" w:type="pct"/>
            <w:vAlign w:val="center"/>
          </w:tcPr>
          <w:p>
            <w:pPr>
              <w:widowControl/>
              <w:jc w:val="left"/>
              <w:textAlignment w:val="center"/>
              <w:rPr>
                <w:rFonts w:ascii="宋体" w:hAnsi="宋体" w:cs="宋体"/>
                <w:sz w:val="21"/>
                <w:szCs w:val="21"/>
              </w:rPr>
            </w:pPr>
            <w:r>
              <w:rPr>
                <w:rFonts w:hint="eastAsia" w:ascii="宋体" w:hAnsi="宋体" w:cs="宋体"/>
                <w:sz w:val="21"/>
                <w:szCs w:val="21"/>
              </w:rPr>
              <w:t>设备安装及</w:t>
            </w:r>
            <w:r>
              <w:rPr>
                <w:rFonts w:hint="eastAsia" w:ascii="宋体" w:hAnsi="宋体" w:cs="宋体"/>
                <w:sz w:val="21"/>
                <w:szCs w:val="21"/>
                <w:lang w:val="en-US" w:eastAsia="zh-CN"/>
              </w:rPr>
              <w:t>调试</w:t>
            </w:r>
            <w:r>
              <w:rPr>
                <w:rFonts w:hint="eastAsia" w:ascii="宋体" w:hAnsi="宋体" w:cs="宋体"/>
                <w:sz w:val="21"/>
                <w:szCs w:val="21"/>
              </w:rPr>
              <w:t>服务</w:t>
            </w:r>
          </w:p>
        </w:tc>
      </w:tr>
    </w:tbl>
    <w:p>
      <w:pPr>
        <w:spacing w:line="360" w:lineRule="auto"/>
        <w:rPr>
          <w:rFonts w:hint="eastAsia" w:asciiTheme="minorEastAsia" w:hAnsiTheme="minorEastAsia" w:eastAsiaTheme="minorEastAsia"/>
          <w:b/>
          <w:color w:val="000000" w:themeColor="text1"/>
          <w:sz w:val="24"/>
          <w14:textFill>
            <w14:solidFill>
              <w14:schemeClr w14:val="tx1"/>
            </w14:solidFill>
          </w14:textFill>
        </w:rPr>
      </w:pPr>
    </w:p>
    <w:p>
      <w:pPr>
        <w:pStyle w:val="8"/>
        <w:spacing w:line="360" w:lineRule="auto"/>
        <w:ind w:firstLine="482" w:firstLineChars="200"/>
        <w:rPr>
          <w:rFonts w:asciiTheme="minorEastAsia" w:hAnsiTheme="minorEastAsia" w:eastAsiaTheme="minorEastAsia"/>
          <w:b/>
          <w:bCs/>
          <w:color w:val="auto"/>
          <w:kern w:val="0"/>
          <w:sz w:val="24"/>
        </w:rPr>
      </w:pPr>
      <w:r>
        <w:rPr>
          <w:rFonts w:hint="eastAsia" w:asciiTheme="minorEastAsia" w:hAnsiTheme="minorEastAsia" w:eastAsiaTheme="minorEastAsia"/>
          <w:b/>
          <w:color w:val="auto"/>
          <w:kern w:val="0"/>
          <w:sz w:val="24"/>
          <w:lang w:eastAsia="zh-CN"/>
        </w:rPr>
        <w:t>（</w:t>
      </w:r>
      <w:r>
        <w:rPr>
          <w:rFonts w:hint="eastAsia" w:asciiTheme="minorEastAsia" w:hAnsiTheme="minorEastAsia" w:eastAsiaTheme="minorEastAsia"/>
          <w:b/>
          <w:color w:val="auto"/>
          <w:kern w:val="0"/>
          <w:sz w:val="24"/>
          <w:lang w:val="en-US" w:eastAsia="zh-CN"/>
        </w:rPr>
        <w:t>五</w:t>
      </w:r>
      <w:r>
        <w:rPr>
          <w:rFonts w:hint="eastAsia" w:asciiTheme="minorEastAsia" w:hAnsiTheme="minorEastAsia" w:eastAsiaTheme="minorEastAsia"/>
          <w:b/>
          <w:color w:val="auto"/>
          <w:kern w:val="0"/>
          <w:sz w:val="24"/>
          <w:lang w:eastAsia="zh-CN"/>
        </w:rPr>
        <w:t>）</w:t>
      </w:r>
      <w:r>
        <w:rPr>
          <w:rFonts w:hint="eastAsia" w:asciiTheme="minorEastAsia" w:hAnsiTheme="minorEastAsia" w:eastAsiaTheme="minorEastAsia"/>
          <w:b/>
          <w:color w:val="auto"/>
          <w:kern w:val="0"/>
          <w:sz w:val="24"/>
          <w:lang w:val="en-US" w:eastAsia="zh-CN"/>
        </w:rPr>
        <w:t>远程在线</w:t>
      </w:r>
      <w:r>
        <w:rPr>
          <w:rFonts w:hint="eastAsia" w:asciiTheme="minorEastAsia" w:hAnsiTheme="minorEastAsia" w:eastAsiaTheme="minorEastAsia"/>
          <w:b/>
          <w:color w:val="auto"/>
          <w:kern w:val="0"/>
          <w:sz w:val="24"/>
        </w:rPr>
        <w:t>演示</w:t>
      </w:r>
    </w:p>
    <w:p>
      <w:pPr>
        <w:snapToGrid w:val="0"/>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w:t>
      </w:r>
      <w:r>
        <w:rPr>
          <w:rFonts w:asciiTheme="minorEastAsia" w:hAnsiTheme="minorEastAsia" w:eastAsiaTheme="minorEastAsia"/>
          <w:bCs/>
          <w:color w:val="000000" w:themeColor="text1"/>
          <w:sz w:val="24"/>
          <w14:textFill>
            <w14:solidFill>
              <w14:schemeClr w14:val="tx1"/>
            </w14:solidFill>
          </w14:textFill>
        </w:rPr>
        <w:t>投标人应提前做好演示准备（包括演示设备）。</w:t>
      </w:r>
    </w:p>
    <w:p>
      <w:pPr>
        <w:snapToGrid w:val="0"/>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2.投标人将按照评审委员会确定的顺序进行远程在线演示。评标过程中，投标人应进入开标大厅等待远程在线演示邀请，并保持联络畅通。</w:t>
      </w:r>
    </w:p>
    <w:p>
      <w:pPr>
        <w:snapToGrid w:val="0"/>
        <w:spacing w:line="360" w:lineRule="auto"/>
        <w:ind w:firstLine="480" w:firstLineChars="200"/>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w:t>
      </w:r>
      <w:r>
        <w:rPr>
          <w:rFonts w:hint="eastAsia" w:ascii="新宋体" w:hAnsi="新宋体" w:eastAsia="新宋体" w:cs="Times New Roman"/>
          <w:b w:val="0"/>
          <w:bCs/>
          <w:color w:val="auto"/>
          <w:kern w:val="2"/>
          <w:sz w:val="24"/>
          <w:szCs w:val="21"/>
          <w:highlight w:val="none"/>
          <w:lang w:val="en-US" w:eastAsia="zh-CN" w:bidi="ar-SA"/>
        </w:rPr>
        <w:t>投标人在接到远程在线演示邀请后，通过实机演示或播放录制视频等方式对下列功能进行逐项演示，时间不超过15分钟，评标</w:t>
      </w:r>
      <w:r>
        <w:rPr>
          <w:rFonts w:hint="eastAsia" w:ascii="新宋体" w:hAnsi="新宋体" w:eastAsia="新宋体" w:cs="Times New Roman"/>
          <w:bCs/>
          <w:color w:val="auto"/>
          <w:kern w:val="2"/>
          <w:sz w:val="24"/>
          <w:szCs w:val="21"/>
          <w:highlight w:val="none"/>
          <w:lang w:val="en-US" w:eastAsia="zh-CN" w:bidi="ar-SA"/>
        </w:rPr>
        <w:t>委员会根据演示内容进行评分。</w:t>
      </w:r>
    </w:p>
    <w:p>
      <w:pPr>
        <w:spacing w:line="360" w:lineRule="auto"/>
        <w:ind w:firstLine="482" w:firstLineChars="200"/>
        <w:rPr>
          <w:rFonts w:hint="default" w:asciiTheme="minorEastAsia" w:hAnsiTheme="minorEastAsia" w:eastAsia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lang w:val="en-US" w:eastAsia="zh-CN"/>
          <w14:textFill>
            <w14:solidFill>
              <w14:schemeClr w14:val="tx1"/>
            </w14:solidFill>
          </w14:textFill>
        </w:rPr>
        <w:t>演示清单如下：</w:t>
      </w:r>
    </w:p>
    <w:tbl>
      <w:tblPr>
        <w:tblStyle w:val="22"/>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7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5" w:type="dxa"/>
            <w:shd w:val="clear" w:color="auto" w:fill="CFCECE" w:themeFill="background2" w:themeFillShade="E5"/>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cs="宋体" w:asciiTheme="majorEastAsia" w:hAnsiTheme="majorEastAsia" w:eastAsiaTheme="majorEastAsia"/>
                <w:b/>
                <w:color w:val="auto"/>
                <w:kern w:val="0"/>
                <w:szCs w:val="21"/>
                <w:lang w:val="en-US" w:eastAsia="zh-CN"/>
              </w:rPr>
            </w:pPr>
            <w:r>
              <w:rPr>
                <w:rFonts w:hint="eastAsia" w:cs="宋体" w:asciiTheme="majorEastAsia" w:hAnsiTheme="majorEastAsia" w:eastAsiaTheme="majorEastAsia"/>
                <w:b/>
                <w:color w:val="auto"/>
                <w:kern w:val="0"/>
                <w:szCs w:val="21"/>
                <w:lang w:val="en-US" w:eastAsia="zh-CN"/>
              </w:rPr>
              <w:t>采购内容</w:t>
            </w:r>
          </w:p>
        </w:tc>
        <w:tc>
          <w:tcPr>
            <w:tcW w:w="7714" w:type="dxa"/>
            <w:shd w:val="clear" w:color="auto" w:fill="CFCECE" w:themeFill="background2" w:themeFillShade="E5"/>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cs="宋体" w:asciiTheme="majorEastAsia" w:hAnsiTheme="majorEastAsia" w:eastAsiaTheme="majorEastAsia"/>
                <w:b/>
                <w:color w:val="auto"/>
                <w:kern w:val="0"/>
                <w:szCs w:val="21"/>
                <w:lang w:val="en-US" w:eastAsia="zh-CN"/>
              </w:rPr>
            </w:pPr>
            <w:r>
              <w:rPr>
                <w:rFonts w:hint="eastAsia" w:cs="宋体" w:asciiTheme="majorEastAsia" w:hAnsiTheme="majorEastAsia" w:eastAsiaTheme="majorEastAsia"/>
                <w:b/>
                <w:color w:val="auto"/>
                <w:kern w:val="0"/>
                <w:szCs w:val="21"/>
                <w:lang w:val="en-US" w:eastAsia="zh-CN"/>
              </w:rPr>
              <w:t>演示要求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color w:val="FF0000"/>
                <w:sz w:val="24"/>
                <w:vertAlign w:val="baseline"/>
                <w:lang w:eastAsia="zh-CN"/>
              </w:rPr>
            </w:pPr>
            <w:r>
              <w:rPr>
                <w:rFonts w:hint="eastAsia" w:ascii="宋体" w:hAnsi="宋体" w:eastAsia="宋体" w:cs="宋体"/>
                <w:szCs w:val="21"/>
              </w:rPr>
              <w:t>86寸触控一体机</w:t>
            </w:r>
          </w:p>
        </w:tc>
        <w:tc>
          <w:tcPr>
            <w:tcW w:w="7714" w:type="dxa"/>
            <w:vAlign w:val="center"/>
          </w:tcPr>
          <w:p>
            <w:pPr>
              <w:keepNext w:val="0"/>
              <w:keepLines w:val="0"/>
              <w:pageBreakBefore w:val="0"/>
              <w:widowControl w:val="0"/>
              <w:kinsoku/>
              <w:wordWrap/>
              <w:overflowPunct/>
              <w:topLinePunct w:val="0"/>
              <w:autoSpaceDE/>
              <w:autoSpaceDN/>
              <w:bidi w:val="0"/>
              <w:adjustRightInd/>
              <w:snapToGrid/>
              <w:spacing w:before="80" w:after="80" w:line="240" w:lineRule="auto"/>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设备支持≥5个自定义前置按键，可通过自定义设置实现前置面板功能按键一键启用任一全局小工具（批注、截屏、计时、降半屏、放大镜、倒数日、日历）、快捷开关（节能模式、纸质护眼模式、经典护眼模式、自动亮度模式）、课堂智能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color w:val="FF0000"/>
                <w:sz w:val="24"/>
                <w:vertAlign w:val="baseline"/>
                <w:lang w:eastAsia="zh-CN"/>
              </w:rPr>
            </w:pPr>
          </w:p>
        </w:tc>
        <w:tc>
          <w:tcPr>
            <w:tcW w:w="7714" w:type="dxa"/>
            <w:vAlign w:val="center"/>
          </w:tcPr>
          <w:p>
            <w:pPr>
              <w:keepNext w:val="0"/>
              <w:keepLines w:val="0"/>
              <w:pageBreakBefore w:val="0"/>
              <w:widowControl w:val="0"/>
              <w:kinsoku/>
              <w:wordWrap/>
              <w:overflowPunct/>
              <w:topLinePunct w:val="0"/>
              <w:autoSpaceDE/>
              <w:autoSpaceDN/>
              <w:bidi w:val="0"/>
              <w:adjustRightInd/>
              <w:snapToGrid/>
              <w:spacing w:before="80" w:after="80" w:line="240" w:lineRule="auto"/>
              <w:jc w:val="left"/>
              <w:textAlignment w:val="auto"/>
              <w:rPr>
                <w:rFonts w:hint="default" w:ascii="宋体" w:hAnsi="宋体" w:cs="宋体"/>
                <w:color w:val="000000"/>
                <w:kern w:val="0"/>
                <w:szCs w:val="21"/>
                <w:lang w:val="en-US" w:eastAsia="zh-CN"/>
              </w:rPr>
            </w:pPr>
            <w:r>
              <w:rPr>
                <w:rFonts w:hint="eastAsia" w:ascii="宋体" w:hAnsi="宋体" w:eastAsia="宋体" w:cs="宋体"/>
                <w:szCs w:val="21"/>
              </w:rPr>
              <w:t>可通过整</w:t>
            </w:r>
            <w:r>
              <w:rPr>
                <w:rFonts w:hint="eastAsia" w:ascii="宋体" w:hAnsi="宋体" w:cs="宋体"/>
                <w:szCs w:val="21"/>
                <w:lang w:val="en-US" w:eastAsia="zh-CN"/>
              </w:rPr>
              <w:t>机</w:t>
            </w:r>
            <w:r>
              <w:rPr>
                <w:rFonts w:hint="eastAsia" w:ascii="宋体" w:hAnsi="宋体" w:eastAsia="宋体" w:cs="宋体"/>
                <w:szCs w:val="21"/>
              </w:rPr>
              <w:t>内置摄像头进行人脸识别账号登陆，登陆后进入到教师账号云空间，可自动同步教师个人最近使用课件，并一键调用教师云空间及校本资源课件。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color w:val="FF0000"/>
                <w:sz w:val="24"/>
                <w:vertAlign w:val="baseline"/>
                <w:lang w:eastAsia="zh-CN"/>
              </w:rPr>
            </w:pPr>
          </w:p>
        </w:tc>
        <w:tc>
          <w:tcPr>
            <w:tcW w:w="7714" w:type="dxa"/>
            <w:vAlign w:val="center"/>
          </w:tcPr>
          <w:p>
            <w:pPr>
              <w:keepNext w:val="0"/>
              <w:keepLines w:val="0"/>
              <w:pageBreakBefore w:val="0"/>
              <w:widowControl w:val="0"/>
              <w:kinsoku/>
              <w:wordWrap/>
              <w:overflowPunct/>
              <w:topLinePunct w:val="0"/>
              <w:autoSpaceDE/>
              <w:autoSpaceDN/>
              <w:bidi w:val="0"/>
              <w:adjustRightInd/>
              <w:snapToGrid/>
              <w:spacing w:before="80" w:after="80" w:line="240" w:lineRule="auto"/>
              <w:jc w:val="left"/>
              <w:textAlignment w:val="auto"/>
              <w:rPr>
                <w:rFonts w:hint="eastAsia" w:ascii="宋体" w:hAnsi="宋体" w:eastAsia="宋体" w:cs="宋体"/>
                <w:szCs w:val="21"/>
              </w:rPr>
            </w:pPr>
            <w:r>
              <w:rPr>
                <w:rFonts w:hint="eastAsia" w:ascii="宋体" w:hAnsi="宋体" w:eastAsia="宋体" w:cs="宋体"/>
                <w:szCs w:val="21"/>
              </w:rPr>
              <w:t>设备自带的教学系统具备公网互动反馈功能，将所有学生端和教师端连接一起构建成互动反馈系统，在系统里面教师可以单选，多选，判断，观点，抢答，抽选，文件下发，批注下发，且查看到学生的入班考勤情况，包括学生姓名、头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color w:val="FF0000"/>
                <w:sz w:val="24"/>
                <w:vertAlign w:val="baseline"/>
                <w:lang w:eastAsia="zh-CN"/>
              </w:rPr>
            </w:pPr>
          </w:p>
        </w:tc>
        <w:tc>
          <w:tcPr>
            <w:tcW w:w="7714" w:type="dxa"/>
            <w:vAlign w:val="center"/>
          </w:tcPr>
          <w:p>
            <w:pPr>
              <w:keepNext w:val="0"/>
              <w:keepLines w:val="0"/>
              <w:pageBreakBefore w:val="0"/>
              <w:widowControl w:val="0"/>
              <w:kinsoku/>
              <w:wordWrap/>
              <w:overflowPunct/>
              <w:topLinePunct w:val="0"/>
              <w:autoSpaceDE/>
              <w:autoSpaceDN/>
              <w:bidi w:val="0"/>
              <w:adjustRightInd/>
              <w:snapToGrid/>
              <w:spacing w:before="80" w:after="80" w:line="240" w:lineRule="auto"/>
              <w:jc w:val="left"/>
              <w:textAlignment w:val="auto"/>
              <w:rPr>
                <w:rFonts w:hint="eastAsia" w:ascii="宋体" w:hAnsi="宋体" w:eastAsia="宋体" w:cs="宋体"/>
                <w:szCs w:val="21"/>
              </w:rPr>
            </w:pPr>
            <w:r>
              <w:rPr>
                <w:rFonts w:hint="eastAsia" w:ascii="宋体" w:hAnsi="宋体" w:eastAsia="宋体" w:cs="宋体"/>
                <w:szCs w:val="21"/>
              </w:rPr>
              <w:t>互动反馈系统在上课结束后支持实时生成课程报告，课堂报告支持查看签到人数，课堂互动总数，平均参与度，提问个数，支持查看考勤详情，互动详情和提问详情。 资料分发，随时调用课堂发生过的答题，抽选，抢答和观点几种课堂活动的记录进行回顾解答。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color w:val="FF0000"/>
                <w:szCs w:val="21"/>
                <w:lang w:val="en-US" w:eastAsia="zh-CN"/>
              </w:rPr>
            </w:pPr>
            <w:r>
              <w:rPr>
                <w:rFonts w:hint="eastAsia" w:ascii="宋体" w:hAnsi="宋体" w:eastAsia="宋体" w:cs="宋体"/>
                <w:szCs w:val="21"/>
              </w:rPr>
              <w:t>120寸激光智慧黑板</w:t>
            </w:r>
          </w:p>
        </w:tc>
        <w:tc>
          <w:tcPr>
            <w:tcW w:w="7714" w:type="dxa"/>
            <w:vAlign w:val="center"/>
          </w:tcPr>
          <w:p>
            <w:pPr>
              <w:keepNext w:val="0"/>
              <w:keepLines w:val="0"/>
              <w:pageBreakBefore w:val="0"/>
              <w:widowControl w:val="0"/>
              <w:kinsoku/>
              <w:wordWrap/>
              <w:overflowPunct/>
              <w:topLinePunct w:val="0"/>
              <w:autoSpaceDE/>
              <w:autoSpaceDN/>
              <w:bidi w:val="0"/>
              <w:adjustRightInd/>
              <w:snapToGrid/>
              <w:spacing w:before="80" w:after="80" w:line="240" w:lineRule="auto"/>
              <w:jc w:val="left"/>
              <w:textAlignment w:val="auto"/>
              <w:rPr>
                <w:rFonts w:hint="eastAsia" w:ascii="宋体" w:hAnsi="宋体" w:cs="宋体"/>
                <w:color w:val="000000"/>
                <w:kern w:val="0"/>
                <w:szCs w:val="21"/>
                <w:lang w:val="en-US" w:eastAsia="zh-CN"/>
              </w:rPr>
            </w:pPr>
            <w:r>
              <w:rPr>
                <w:rFonts w:hint="eastAsia" w:ascii="宋体" w:hAnsi="宋体" w:eastAsia="宋体" w:cs="宋体"/>
                <w:szCs w:val="21"/>
              </w:rPr>
              <w:t>整机具备前置电容中控按键，可对激光显示单元进行独立操作，具有调节显示模式功能，控制开关机功能，方便用户操作。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7714" w:type="dxa"/>
            <w:vAlign w:val="center"/>
          </w:tcPr>
          <w:p>
            <w:pPr>
              <w:keepNext w:val="0"/>
              <w:keepLines w:val="0"/>
              <w:pageBreakBefore w:val="0"/>
              <w:widowControl w:val="0"/>
              <w:kinsoku/>
              <w:wordWrap/>
              <w:overflowPunct/>
              <w:topLinePunct w:val="0"/>
              <w:autoSpaceDE/>
              <w:autoSpaceDN/>
              <w:bidi w:val="0"/>
              <w:adjustRightInd/>
              <w:snapToGrid/>
              <w:spacing w:before="80" w:after="80" w:line="240" w:lineRule="auto"/>
              <w:jc w:val="left"/>
              <w:textAlignment w:val="auto"/>
              <w:rPr>
                <w:rFonts w:hint="eastAsia" w:ascii="宋体" w:hAnsi="宋体" w:eastAsia="宋体" w:cs="宋体"/>
                <w:szCs w:val="21"/>
              </w:rPr>
            </w:pPr>
            <w:r>
              <w:rPr>
                <w:rFonts w:hint="eastAsia" w:ascii="宋体" w:hAnsi="宋体" w:eastAsia="宋体" w:cs="宋体"/>
                <w:szCs w:val="21"/>
              </w:rPr>
              <w:t>手机可作为PPT翻页笔，支持PPT的播放、退出、翻页等功能；手机可作为移动展台，将手机中图片、现场拍摄照片一键上传至屏幕。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7714" w:type="dxa"/>
            <w:vAlign w:val="center"/>
          </w:tcPr>
          <w:p>
            <w:pPr>
              <w:keepNext w:val="0"/>
              <w:keepLines w:val="0"/>
              <w:pageBreakBefore w:val="0"/>
              <w:widowControl w:val="0"/>
              <w:kinsoku/>
              <w:wordWrap/>
              <w:overflowPunct/>
              <w:topLinePunct w:val="0"/>
              <w:autoSpaceDE/>
              <w:autoSpaceDN/>
              <w:bidi w:val="0"/>
              <w:adjustRightInd/>
              <w:snapToGrid/>
              <w:spacing w:before="80" w:after="80" w:line="240" w:lineRule="auto"/>
              <w:jc w:val="left"/>
              <w:textAlignment w:val="auto"/>
              <w:rPr>
                <w:rFonts w:hint="eastAsia" w:ascii="宋体" w:hAnsi="宋体" w:eastAsia="宋体" w:cs="宋体"/>
                <w:szCs w:val="21"/>
              </w:rPr>
            </w:pPr>
            <w:r>
              <w:rPr>
                <w:rFonts w:hint="eastAsia" w:ascii="宋体" w:hAnsi="宋体" w:eastAsia="宋体" w:cs="宋体"/>
                <w:szCs w:val="21"/>
              </w:rPr>
              <w:t>具备软件悬浮菜单三指跟随功能，五指按压快速开关黑板背光，关闭屏幕的同时，触摸功能也自动关闭，防止误操作。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color w:val="FF0000"/>
                <w:sz w:val="24"/>
                <w:vertAlign w:val="baseline"/>
                <w:lang w:eastAsia="zh-CN"/>
              </w:rPr>
            </w:pPr>
          </w:p>
        </w:tc>
        <w:tc>
          <w:tcPr>
            <w:tcW w:w="7714" w:type="dxa"/>
            <w:vAlign w:val="center"/>
          </w:tcPr>
          <w:p>
            <w:pPr>
              <w:keepNext w:val="0"/>
              <w:keepLines w:val="0"/>
              <w:pageBreakBefore w:val="0"/>
              <w:widowControl w:val="0"/>
              <w:kinsoku/>
              <w:wordWrap/>
              <w:overflowPunct/>
              <w:topLinePunct w:val="0"/>
              <w:autoSpaceDE/>
              <w:autoSpaceDN/>
              <w:bidi w:val="0"/>
              <w:adjustRightInd/>
              <w:snapToGrid/>
              <w:spacing w:before="80" w:after="80" w:line="240" w:lineRule="auto"/>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为适应不同身高操作人员的需求，在不采用任何物理升降结构的前提下，可实现全通道一键下移功能，并不影响正常使用触摸，且为保证系统兼容性和稳定性不支持第三方应用程序方式实现屏幕下移功能。</w:t>
            </w:r>
          </w:p>
        </w:tc>
      </w:tr>
    </w:tbl>
    <w:p>
      <w:pPr>
        <w:pStyle w:val="8"/>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8"/>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8"/>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六</w:t>
      </w:r>
      <w:r>
        <w:rPr>
          <w:rFonts w:hint="eastAsia" w:asciiTheme="minorEastAsia" w:hAnsiTheme="minorEastAsia" w:eastAsiaTheme="minorEastAsia"/>
          <w:b/>
          <w:color w:val="000000" w:themeColor="text1"/>
          <w:kern w:val="0"/>
          <w:sz w:val="24"/>
          <w:lang w:eastAsia="zh-CN"/>
          <w14:textFill>
            <w14:solidFill>
              <w14:schemeClr w14:val="tx1"/>
            </w14:solidFill>
          </w14:textFill>
        </w:rPr>
        <w:t>）项目验收标准</w:t>
      </w:r>
    </w:p>
    <w:p>
      <w:pPr>
        <w:pStyle w:val="8"/>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1.采购</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对中标</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提交的货物依据招标文件上的技术规格要求及投标文件应标内容和国家有关质量标准进行现场初步验收，外观、说明书符合招标文件技术要求及投标文件应标内容的，给予签收，初步验收不合格的不予签收。</w:t>
      </w:r>
    </w:p>
    <w:p>
      <w:pPr>
        <w:pStyle w:val="8"/>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2.中标</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交货前应对产品作出全面检查和对验收文件进行整理，并列出清单，作为采购</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收货验收和使用的技术条件依据，检验的结果应随货物交采购</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w:t>
      </w:r>
    </w:p>
    <w:p>
      <w:pPr>
        <w:pStyle w:val="8"/>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3.对于需要安装调试的货物，中标</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需负责安装、调试并培训采购</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的使用操作人员，直到符合技术要求，采购</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才做最终验收。</w:t>
      </w:r>
    </w:p>
    <w:p>
      <w:pPr>
        <w:pStyle w:val="8"/>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4.对技术复杂的货物，采购</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可请国家认可的专业检测机构参与初步验收及最终验收，并由其出具质量检测报告。</w:t>
      </w:r>
    </w:p>
    <w:p>
      <w:pPr>
        <w:pStyle w:val="8"/>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5.验收时必须有中标方人员在现场，验收完毕后作出验收结果报告。</w:t>
      </w:r>
    </w:p>
    <w:p>
      <w:pPr>
        <w:pStyle w:val="8"/>
        <w:spacing w:line="360" w:lineRule="auto"/>
        <w:ind w:firstLine="482" w:firstLineChars="200"/>
        <w:rPr>
          <w:rFonts w:hint="eastAsia" w:asciiTheme="minorEastAsia" w:hAnsiTheme="minorEastAsia" w:eastAsiaTheme="minorEastAsia"/>
          <w:b/>
          <w:color w:val="FF0000"/>
          <w:kern w:val="0"/>
          <w:sz w:val="24"/>
          <w:lang w:eastAsia="zh-CN"/>
        </w:rPr>
      </w:pPr>
    </w:p>
    <w:p>
      <w:pPr>
        <w:pStyle w:val="8"/>
        <w:spacing w:line="360" w:lineRule="auto"/>
        <w:ind w:firstLine="482" w:firstLineChars="200"/>
        <w:rPr>
          <w:rFonts w:hint="eastAsia" w:asciiTheme="minorEastAsia" w:hAnsiTheme="minorEastAsia" w:eastAsiaTheme="minorEastAsia"/>
          <w:b/>
          <w:color w:val="auto"/>
          <w:kern w:val="0"/>
          <w:sz w:val="24"/>
          <w:lang w:eastAsia="zh-CN"/>
        </w:rPr>
      </w:pPr>
      <w:r>
        <w:rPr>
          <w:rFonts w:hint="eastAsia" w:asciiTheme="minorEastAsia" w:hAnsiTheme="minorEastAsia" w:eastAsiaTheme="minorEastAsia"/>
          <w:b/>
          <w:color w:val="auto"/>
          <w:kern w:val="0"/>
          <w:sz w:val="24"/>
          <w:lang w:eastAsia="zh-CN"/>
        </w:rPr>
        <w:t>（</w:t>
      </w:r>
      <w:r>
        <w:rPr>
          <w:rFonts w:hint="eastAsia" w:asciiTheme="minorEastAsia" w:hAnsiTheme="minorEastAsia" w:eastAsiaTheme="minorEastAsia"/>
          <w:b/>
          <w:color w:val="auto"/>
          <w:kern w:val="0"/>
          <w:sz w:val="24"/>
          <w:lang w:val="en-US" w:eastAsia="zh-CN"/>
        </w:rPr>
        <w:t>七</w:t>
      </w:r>
      <w:r>
        <w:rPr>
          <w:rFonts w:hint="eastAsia" w:asciiTheme="minorEastAsia" w:hAnsiTheme="minorEastAsia" w:eastAsiaTheme="minorEastAsia"/>
          <w:b/>
          <w:color w:val="auto"/>
          <w:kern w:val="0"/>
          <w:sz w:val="24"/>
          <w:lang w:eastAsia="zh-CN"/>
        </w:rPr>
        <w:t>）培训要求</w:t>
      </w:r>
    </w:p>
    <w:p>
      <w:pPr>
        <w:pStyle w:val="8"/>
        <w:spacing w:line="360" w:lineRule="auto"/>
        <w:ind w:firstLine="480" w:firstLineChars="200"/>
        <w:rPr>
          <w:rFonts w:hint="eastAsia" w:asciiTheme="minorEastAsia" w:hAnsiTheme="minorEastAsia" w:eastAsiaTheme="minorEastAsia"/>
          <w:b w:val="0"/>
          <w:bCs/>
          <w:color w:val="auto"/>
          <w:kern w:val="0"/>
          <w:sz w:val="24"/>
          <w:lang w:eastAsia="zh-CN"/>
        </w:rPr>
      </w:pPr>
      <w:r>
        <w:rPr>
          <w:rFonts w:hint="eastAsia" w:asciiTheme="minorEastAsia" w:hAnsiTheme="minorEastAsia" w:eastAsiaTheme="minorEastAsia"/>
          <w:b w:val="0"/>
          <w:bCs/>
          <w:color w:val="auto"/>
          <w:kern w:val="0"/>
          <w:sz w:val="24"/>
          <w:lang w:val="en-US" w:eastAsia="zh-CN"/>
        </w:rPr>
        <w:t>1.</w:t>
      </w:r>
      <w:r>
        <w:rPr>
          <w:rFonts w:hint="eastAsia" w:asciiTheme="minorEastAsia" w:hAnsiTheme="minorEastAsia" w:eastAsiaTheme="minorEastAsia"/>
          <w:b w:val="0"/>
          <w:bCs/>
          <w:color w:val="auto"/>
          <w:kern w:val="0"/>
          <w:sz w:val="24"/>
          <w:lang w:eastAsia="zh-CN"/>
        </w:rPr>
        <w:t>中标人必须为采购人提供系统使用、系统操作和管理维护培训，培训形式包括客户现场培训、课堂培训；投标人必须列明相应的培训课程。</w:t>
      </w:r>
    </w:p>
    <w:p>
      <w:pPr>
        <w:pStyle w:val="8"/>
        <w:spacing w:line="360" w:lineRule="auto"/>
        <w:ind w:firstLine="480" w:firstLineChars="200"/>
        <w:rPr>
          <w:rFonts w:hint="eastAsia" w:asciiTheme="minorEastAsia" w:hAnsiTheme="minorEastAsia" w:eastAsiaTheme="minorEastAsia"/>
          <w:b w:val="0"/>
          <w:bCs/>
          <w:color w:val="auto"/>
          <w:kern w:val="0"/>
          <w:sz w:val="24"/>
          <w:lang w:eastAsia="zh-CN"/>
        </w:rPr>
      </w:pPr>
      <w:r>
        <w:rPr>
          <w:rFonts w:hint="eastAsia" w:asciiTheme="minorEastAsia" w:hAnsiTheme="minorEastAsia" w:eastAsiaTheme="minorEastAsia"/>
          <w:b w:val="0"/>
          <w:bCs/>
          <w:color w:val="auto"/>
          <w:kern w:val="0"/>
          <w:sz w:val="24"/>
          <w:lang w:val="en-US" w:eastAsia="zh-CN"/>
        </w:rPr>
        <w:t>2.</w:t>
      </w:r>
      <w:r>
        <w:rPr>
          <w:rFonts w:hint="eastAsia" w:asciiTheme="minorEastAsia" w:hAnsiTheme="minorEastAsia" w:eastAsiaTheme="minorEastAsia"/>
          <w:b w:val="0"/>
          <w:bCs/>
          <w:color w:val="auto"/>
          <w:kern w:val="0"/>
          <w:sz w:val="24"/>
          <w:lang w:eastAsia="zh-CN"/>
        </w:rPr>
        <w:t>投标人应在投标文件中提供详细的培训计划，包括培训项目、人数、地点、日程、资料、其它等详细内容，为所有被培训人员提供培训用文字资料和讲义等相关用品。</w:t>
      </w:r>
    </w:p>
    <w:p>
      <w:pPr>
        <w:pStyle w:val="8"/>
        <w:spacing w:line="360" w:lineRule="auto"/>
        <w:ind w:firstLine="480" w:firstLineChars="200"/>
        <w:rPr>
          <w:rFonts w:hint="eastAsia" w:asciiTheme="minorEastAsia" w:hAnsiTheme="minorEastAsia" w:eastAsiaTheme="minorEastAsia"/>
          <w:b w:val="0"/>
          <w:bCs/>
          <w:color w:val="auto"/>
          <w:kern w:val="0"/>
          <w:sz w:val="24"/>
          <w:lang w:eastAsia="zh-CN"/>
        </w:rPr>
      </w:pPr>
      <w:r>
        <w:rPr>
          <w:rFonts w:hint="eastAsia" w:asciiTheme="minorEastAsia" w:hAnsiTheme="minorEastAsia" w:eastAsiaTheme="minorEastAsia"/>
          <w:b w:val="0"/>
          <w:bCs/>
          <w:color w:val="auto"/>
          <w:kern w:val="0"/>
          <w:sz w:val="24"/>
          <w:lang w:val="en-US" w:eastAsia="zh-CN"/>
        </w:rPr>
        <w:t>3.</w:t>
      </w:r>
      <w:r>
        <w:rPr>
          <w:rFonts w:hint="eastAsia" w:asciiTheme="minorEastAsia" w:hAnsiTheme="minorEastAsia" w:eastAsiaTheme="minorEastAsia"/>
          <w:b w:val="0"/>
          <w:bCs/>
          <w:color w:val="auto"/>
          <w:kern w:val="0"/>
          <w:sz w:val="24"/>
          <w:lang w:eastAsia="zh-CN"/>
        </w:rPr>
        <w:t>技术培训的内容必须包含软件的日常操作和管理维护，以及基本的故障诊断与排错。培训工作必须在合同生效之后系统试运行之前安排。所有培训费用（含培训教材费），已包括在投标总价中。</w:t>
      </w:r>
    </w:p>
    <w:p>
      <w:pPr>
        <w:pStyle w:val="8"/>
        <w:spacing w:line="360" w:lineRule="auto"/>
        <w:ind w:firstLine="480" w:firstLineChars="200"/>
        <w:rPr>
          <w:rFonts w:hint="eastAsia" w:asciiTheme="minorEastAsia" w:hAnsiTheme="minorEastAsia" w:eastAsiaTheme="minorEastAsia"/>
          <w:b w:val="0"/>
          <w:bCs/>
          <w:color w:val="auto"/>
          <w:kern w:val="0"/>
          <w:sz w:val="24"/>
          <w:lang w:eastAsia="zh-CN"/>
        </w:rPr>
      </w:pPr>
      <w:r>
        <w:rPr>
          <w:rFonts w:hint="eastAsia" w:asciiTheme="minorEastAsia" w:hAnsiTheme="minorEastAsia" w:eastAsiaTheme="minorEastAsia"/>
          <w:b w:val="0"/>
          <w:bCs/>
          <w:color w:val="auto"/>
          <w:kern w:val="0"/>
          <w:sz w:val="24"/>
          <w:lang w:val="en-US" w:eastAsia="zh-CN"/>
        </w:rPr>
        <w:t>4.</w:t>
      </w:r>
      <w:r>
        <w:rPr>
          <w:rFonts w:hint="eastAsia" w:asciiTheme="minorEastAsia" w:hAnsiTheme="minorEastAsia" w:eastAsiaTheme="minorEastAsia"/>
          <w:b w:val="0"/>
          <w:bCs/>
          <w:color w:val="auto"/>
          <w:kern w:val="0"/>
          <w:sz w:val="24"/>
          <w:lang w:eastAsia="zh-CN"/>
        </w:rPr>
        <w:t>实际培训时间、人数和地点按中标人与项目采购人商定的为准。</w:t>
      </w:r>
    </w:p>
    <w:p>
      <w:pPr>
        <w:pStyle w:val="8"/>
        <w:spacing w:line="360" w:lineRule="auto"/>
        <w:ind w:firstLine="482" w:firstLineChars="200"/>
        <w:rPr>
          <w:rFonts w:hint="eastAsia" w:asciiTheme="minorEastAsia" w:hAnsiTheme="minorEastAsia" w:eastAsiaTheme="minorEastAsia"/>
          <w:b/>
          <w:color w:val="auto"/>
          <w:kern w:val="0"/>
          <w:sz w:val="24"/>
          <w:lang w:eastAsia="zh-CN"/>
        </w:rPr>
      </w:pPr>
    </w:p>
    <w:p>
      <w:pPr>
        <w:pStyle w:val="8"/>
        <w:spacing w:line="360" w:lineRule="auto"/>
        <w:ind w:firstLine="482" w:firstLineChars="200"/>
        <w:rPr>
          <w:rFonts w:hint="eastAsia" w:asciiTheme="minorEastAsia" w:hAnsiTheme="minorEastAsia" w:eastAsiaTheme="minorEastAsia"/>
          <w:b/>
          <w:color w:val="auto"/>
          <w:kern w:val="0"/>
          <w:sz w:val="24"/>
          <w:lang w:eastAsia="zh-CN"/>
        </w:rPr>
      </w:pPr>
      <w:r>
        <w:rPr>
          <w:rFonts w:hint="eastAsia" w:asciiTheme="minorEastAsia" w:hAnsiTheme="minorEastAsia" w:eastAsiaTheme="minorEastAsia"/>
          <w:b/>
          <w:color w:val="auto"/>
          <w:kern w:val="0"/>
          <w:sz w:val="24"/>
          <w:lang w:eastAsia="zh-CN"/>
        </w:rPr>
        <w:t>（</w:t>
      </w:r>
      <w:r>
        <w:rPr>
          <w:rFonts w:hint="eastAsia" w:asciiTheme="minorEastAsia" w:hAnsiTheme="minorEastAsia" w:eastAsiaTheme="minorEastAsia"/>
          <w:b/>
          <w:color w:val="auto"/>
          <w:kern w:val="0"/>
          <w:sz w:val="24"/>
          <w:lang w:val="en-US" w:eastAsia="zh-CN"/>
        </w:rPr>
        <w:t>八</w:t>
      </w:r>
      <w:r>
        <w:rPr>
          <w:rFonts w:hint="eastAsia" w:asciiTheme="minorEastAsia" w:hAnsiTheme="minorEastAsia" w:eastAsiaTheme="minorEastAsia"/>
          <w:b/>
          <w:color w:val="auto"/>
          <w:kern w:val="0"/>
          <w:sz w:val="24"/>
          <w:lang w:eastAsia="zh-CN"/>
        </w:rPr>
        <w:t>）售后服务要求</w:t>
      </w:r>
    </w:p>
    <w:p>
      <w:pPr>
        <w:pStyle w:val="8"/>
        <w:spacing w:line="360" w:lineRule="auto"/>
        <w:ind w:firstLine="482"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auto"/>
          <w:kern w:val="0"/>
          <w:sz w:val="24"/>
          <w:lang w:eastAsia="zh-CN"/>
        </w:rPr>
        <w:t>▲</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1</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在服务期内由于设备本身质量原因造成的任何损伤或损坏，中标人须免费负责修理或更换。</w:t>
      </w:r>
    </w:p>
    <w:p>
      <w:pPr>
        <w:pStyle w:val="8"/>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2</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服务期自项目正式验收合格之日开始计算；质量保证期内，在接到设备故障通知后，投标人必须在30分钟内响应。对于影响正常运行的严重故障，投标人工程师及其它相关技术人员必须在接到故障通知后4小时内赶到现场，查找原因，提出解决方案，并工作直至故障修妥完全恢复正常服务为止，一般要求保证系统在8小时之内修复。</w:t>
      </w:r>
    </w:p>
    <w:p>
      <w:pPr>
        <w:spacing w:line="360" w:lineRule="auto"/>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2"/>
        <w:snapToGrid w:val="0"/>
        <w:spacing w:line="360" w:lineRule="auto"/>
        <w:ind w:firstLine="482" w:firstLineChars="200"/>
        <w:rPr>
          <w:rFonts w:hint="eastAsia" w:eastAsia="宋体" w:asciiTheme="minorEastAsia" w:hAnsiTheme="minorEastAsia"/>
          <w:color w:val="auto"/>
          <w:kern w:val="0"/>
          <w:sz w:val="24"/>
          <w:lang w:eastAsia="zh-CN"/>
        </w:rPr>
      </w:pPr>
      <w:r>
        <w:rPr>
          <w:rFonts w:hint="eastAsia" w:asciiTheme="minorEastAsia" w:hAnsiTheme="minorEastAsia" w:eastAsiaTheme="minorEastAsia"/>
          <w:b/>
          <w:color w:val="auto"/>
          <w:sz w:val="24"/>
        </w:rPr>
        <w:t>（一）质保期：</w:t>
      </w:r>
      <w:r>
        <w:rPr>
          <w:rFonts w:hint="eastAsia" w:ascii="宋体" w:hAnsi="宋体" w:eastAsia="宋体" w:cs="宋体"/>
          <w:color w:val="auto"/>
          <w:sz w:val="24"/>
          <w:szCs w:val="24"/>
          <w:lang w:val="en-US" w:eastAsia="zh-CN"/>
        </w:rPr>
        <w:t>所有产品</w:t>
      </w:r>
      <w:r>
        <w:rPr>
          <w:rFonts w:hint="eastAsia" w:ascii="宋体" w:hAnsi="宋体" w:eastAsia="宋体" w:cs="宋体"/>
          <w:color w:val="auto"/>
          <w:sz w:val="24"/>
          <w:szCs w:val="24"/>
        </w:rPr>
        <w:t>免费</w:t>
      </w:r>
      <w:r>
        <w:rPr>
          <w:rFonts w:hint="eastAsia" w:ascii="宋体" w:hAnsi="宋体" w:eastAsia="宋体" w:cs="宋体"/>
          <w:color w:val="auto"/>
          <w:sz w:val="24"/>
          <w:szCs w:val="24"/>
          <w:lang w:val="en-US" w:eastAsia="zh-CN"/>
        </w:rPr>
        <w:t>质保期至少3年（</w:t>
      </w:r>
      <w:r>
        <w:rPr>
          <w:rFonts w:hint="eastAsia" w:ascii="宋体" w:hAnsi="宋体" w:cs="宋体"/>
          <w:color w:val="auto"/>
          <w:sz w:val="24"/>
        </w:rPr>
        <w:t>产品技术需求栏中有特别注明的除外</w:t>
      </w:r>
      <w:r>
        <w:rPr>
          <w:rFonts w:hint="eastAsia" w:ascii="宋体" w:hAnsi="宋体" w:eastAsia="宋体" w:cs="宋体"/>
          <w:color w:val="auto"/>
          <w:sz w:val="24"/>
          <w:szCs w:val="24"/>
          <w:lang w:val="en-US" w:eastAsia="zh-CN"/>
        </w:rPr>
        <w:t>），</w:t>
      </w:r>
      <w:r>
        <w:rPr>
          <w:rFonts w:hint="eastAsia" w:hAnsi="宋体" w:cs="宋体"/>
          <w:color w:val="auto"/>
          <w:sz w:val="24"/>
          <w:szCs w:val="24"/>
          <w:lang w:val="en-US" w:eastAsia="zh-CN"/>
        </w:rPr>
        <w:t>主要产品在</w:t>
      </w:r>
      <w:r>
        <w:rPr>
          <w:rFonts w:hint="eastAsia" w:ascii="宋体" w:hAnsi="宋体" w:eastAsia="宋体" w:cs="宋体"/>
          <w:color w:val="auto"/>
          <w:sz w:val="24"/>
          <w:szCs w:val="24"/>
          <w:lang w:val="en-US" w:eastAsia="zh-CN"/>
        </w:rPr>
        <w:t>中标后签订合同前提供</w:t>
      </w:r>
      <w:r>
        <w:rPr>
          <w:rFonts w:hint="eastAsia" w:ascii="宋体" w:hAnsi="宋体" w:eastAsia="宋体" w:cs="宋体"/>
          <w:color w:val="auto"/>
          <w:sz w:val="24"/>
          <w:szCs w:val="24"/>
        </w:rPr>
        <w:t>原厂售后服务承诺函</w:t>
      </w:r>
      <w:r>
        <w:rPr>
          <w:rFonts w:hint="eastAsia" w:ascii="宋体" w:hAnsi="宋体" w:eastAsia="宋体" w:cs="宋体"/>
          <w:color w:val="auto"/>
          <w:sz w:val="24"/>
          <w:szCs w:val="24"/>
          <w:lang w:eastAsia="zh-CN"/>
        </w:rPr>
        <w:t>。</w:t>
      </w:r>
    </w:p>
    <w:p>
      <w:pPr>
        <w:pStyle w:val="12"/>
        <w:snapToGrid w:val="0"/>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（二）交货时间及地点：</w:t>
      </w:r>
    </w:p>
    <w:p>
      <w:pPr>
        <w:pStyle w:val="12"/>
        <w:snapToGrid w:val="0"/>
        <w:spacing w:line="360" w:lineRule="auto"/>
        <w:ind w:firstLine="480" w:firstLineChars="200"/>
        <w:rPr>
          <w:rFonts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1.</w:t>
      </w:r>
      <w:r>
        <w:rPr>
          <w:rFonts w:hint="eastAsia" w:asciiTheme="minorEastAsia" w:hAnsiTheme="minorEastAsia" w:eastAsiaTheme="minorEastAsia"/>
          <w:b w:val="0"/>
          <w:bCs/>
          <w:color w:val="000000" w:themeColor="text1"/>
          <w:kern w:val="0"/>
          <w:sz w:val="24"/>
          <w14:textFill>
            <w14:solidFill>
              <w14:schemeClr w14:val="tx1"/>
            </w14:solidFill>
          </w14:textFill>
        </w:rPr>
        <w:t>项目工期：自签订合同之日起</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45</w:t>
      </w:r>
      <w:r>
        <w:rPr>
          <w:rFonts w:hint="eastAsia" w:asciiTheme="minorEastAsia" w:hAnsiTheme="minorEastAsia" w:eastAsiaTheme="minorEastAsia"/>
          <w:b w:val="0"/>
          <w:bCs/>
          <w:color w:val="000000" w:themeColor="text1"/>
          <w:kern w:val="0"/>
          <w:sz w:val="24"/>
          <w14:textFill>
            <w14:solidFill>
              <w14:schemeClr w14:val="tx1"/>
            </w14:solidFill>
          </w14:textFill>
        </w:rPr>
        <w:t>个工作日内供货、安装调试完毕</w:t>
      </w:r>
    </w:p>
    <w:p>
      <w:pPr>
        <w:pStyle w:val="12"/>
        <w:snapToGrid w:val="0"/>
        <w:spacing w:line="360" w:lineRule="auto"/>
        <w:ind w:firstLine="480" w:firstLineChars="200"/>
        <w:rPr>
          <w:rFonts w:hint="default"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2.交货地点：台州职业技术学院</w:t>
      </w:r>
    </w:p>
    <w:p>
      <w:pPr>
        <w:pStyle w:val="12"/>
        <w:snapToGrid w:val="0"/>
        <w:spacing w:line="360" w:lineRule="auto"/>
        <w:ind w:firstLine="482" w:firstLineChars="200"/>
        <w:rPr>
          <w:rFonts w:hint="eastAsia" w:asciiTheme="minorEastAsia" w:hAnsiTheme="minorEastAsia" w:eastAsia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asciiTheme="minorEastAsia" w:hAnsiTheme="minorEastAsia" w:eastAsiaTheme="minorEastAsia"/>
          <w:b w:val="0"/>
          <w:bCs/>
          <w:color w:val="auto"/>
          <w:sz w:val="24"/>
        </w:rPr>
        <w:t>合同签订后</w:t>
      </w:r>
      <w:r>
        <w:rPr>
          <w:rFonts w:hint="eastAsia" w:asciiTheme="minorEastAsia" w:hAnsiTheme="minorEastAsia" w:eastAsiaTheme="minorEastAsia"/>
          <w:b w:val="0"/>
          <w:bCs/>
          <w:color w:val="auto"/>
          <w:sz w:val="24"/>
          <w:lang w:val="en-US" w:eastAsia="zh-CN"/>
        </w:rPr>
        <w:t>10日内</w:t>
      </w:r>
      <w:r>
        <w:rPr>
          <w:rFonts w:hint="eastAsia" w:asciiTheme="minorEastAsia" w:hAnsiTheme="minorEastAsia" w:eastAsiaTheme="minorEastAsia"/>
          <w:b w:val="0"/>
          <w:bCs/>
          <w:color w:val="auto"/>
          <w:sz w:val="24"/>
        </w:rPr>
        <w:t>预付合同款项的</w:t>
      </w:r>
      <w:r>
        <w:rPr>
          <w:rFonts w:hint="eastAsia" w:asciiTheme="minorEastAsia" w:hAnsiTheme="minorEastAsia" w:eastAsiaTheme="minorEastAsia"/>
          <w:b w:val="0"/>
          <w:bCs/>
          <w:color w:val="auto"/>
          <w:sz w:val="24"/>
          <w:lang w:val="en-US" w:eastAsia="zh-CN"/>
        </w:rPr>
        <w:t>4</w:t>
      </w:r>
      <w:r>
        <w:rPr>
          <w:rFonts w:hint="eastAsia" w:asciiTheme="minorEastAsia" w:hAnsiTheme="minorEastAsia" w:eastAsiaTheme="minorEastAsia"/>
          <w:b w:val="0"/>
          <w:bCs/>
          <w:color w:val="auto"/>
          <w:sz w:val="24"/>
        </w:rPr>
        <w:t>0％，设备安装</w:t>
      </w: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auto"/>
          <w:sz w:val="24"/>
          <w:lang w:val="en-US" w:eastAsia="zh-CN"/>
        </w:rPr>
        <w:t>调试、</w:t>
      </w:r>
      <w:r>
        <w:rPr>
          <w:rFonts w:hint="eastAsia" w:asciiTheme="minorEastAsia" w:hAnsiTheme="minorEastAsia" w:eastAsiaTheme="minorEastAsia"/>
          <w:b w:val="0"/>
          <w:bCs/>
          <w:color w:val="auto"/>
          <w:sz w:val="24"/>
        </w:rPr>
        <w:t>验收合格后</w:t>
      </w:r>
      <w:r>
        <w:rPr>
          <w:rFonts w:hint="eastAsia" w:asciiTheme="minorEastAsia" w:hAnsiTheme="minorEastAsia" w:eastAsiaTheme="minorEastAsia"/>
          <w:b w:val="0"/>
          <w:bCs/>
          <w:color w:val="auto"/>
          <w:sz w:val="24"/>
          <w:lang w:val="en-US" w:eastAsia="zh-CN"/>
        </w:rPr>
        <w:t>10日内</w:t>
      </w:r>
      <w:r>
        <w:rPr>
          <w:rFonts w:hint="eastAsia" w:asciiTheme="minorEastAsia" w:hAnsiTheme="minorEastAsia" w:eastAsiaTheme="minorEastAsia"/>
          <w:b w:val="0"/>
          <w:bCs/>
          <w:color w:val="auto"/>
          <w:sz w:val="24"/>
        </w:rPr>
        <w:t>支付合同款项的</w:t>
      </w:r>
      <w:r>
        <w:rPr>
          <w:rFonts w:hint="eastAsia" w:asciiTheme="minorEastAsia" w:hAnsiTheme="minorEastAsia" w:eastAsiaTheme="minorEastAsia"/>
          <w:b w:val="0"/>
          <w:bCs/>
          <w:color w:val="auto"/>
          <w:sz w:val="24"/>
          <w:lang w:val="en-US" w:eastAsia="zh-CN"/>
        </w:rPr>
        <w:t>60</w:t>
      </w:r>
      <w:r>
        <w:rPr>
          <w:rFonts w:hint="eastAsia" w:asciiTheme="minorEastAsia" w:hAnsiTheme="minorEastAsia" w:eastAsiaTheme="minorEastAsia"/>
          <w:b w:val="0"/>
          <w:bCs/>
          <w:color w:val="auto"/>
          <w:sz w:val="24"/>
        </w:rPr>
        <w:t>％</w:t>
      </w:r>
      <w:r>
        <w:rPr>
          <w:rFonts w:hint="eastAsia" w:asciiTheme="minorEastAsia" w:hAnsiTheme="minorEastAsia" w:eastAsiaTheme="minorEastAsia"/>
          <w:b w:val="0"/>
          <w:bCs/>
          <w:color w:val="auto"/>
          <w:sz w:val="24"/>
          <w:lang w:eastAsia="zh-CN"/>
        </w:rPr>
        <w:t>。</w:t>
      </w:r>
    </w:p>
    <w:p>
      <w:pPr>
        <w:rPr>
          <w:rFonts w:hint="eastAsia" w:cs="Times New Roman" w:asciiTheme="minorEastAsia" w:hAnsiTheme="minorEastAsia" w:eastAsiaTheme="minorEastAsia"/>
          <w:b/>
          <w:sz w:val="36"/>
          <w:szCs w:val="36"/>
        </w:rPr>
      </w:pPr>
      <w:bookmarkStart w:id="36" w:name="_Toc31173_WPSOffice_Level1"/>
      <w:r>
        <w:rPr>
          <w:rFonts w:hint="eastAsia" w:cs="Times New Roman" w:asciiTheme="minorEastAsia" w:hAnsiTheme="minorEastAsia" w:eastAsiaTheme="minorEastAsia"/>
          <w:b/>
          <w:sz w:val="36"/>
          <w:szCs w:val="36"/>
        </w:rPr>
        <w:br w:type="page"/>
      </w:r>
    </w:p>
    <w:p>
      <w:pPr>
        <w:pStyle w:val="12"/>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36"/>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0"/>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rPr>
        <w:t>（五）报价超过招标文件中规定</w:t>
      </w:r>
      <w:r>
        <w:rPr>
          <w:rFonts w:asciiTheme="minorEastAsia" w:hAnsiTheme="minorEastAsia" w:eastAsiaTheme="minorEastAsia"/>
          <w:color w:val="auto"/>
        </w:rPr>
        <w:t xml:space="preserve">的预算金额/最高限价或未填写投标报价的； </w:t>
      </w:r>
    </w:p>
    <w:p>
      <w:pPr>
        <w:pStyle w:val="1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color w:val="auto"/>
          <w:kern w:val="0"/>
          <w:sz w:val="24"/>
        </w:rPr>
        <w:t>（六）主要性能参数指标负偏离</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lang w:val="en-US" w:eastAsia="zh-CN"/>
        </w:rPr>
        <w:t>12</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rPr>
        <w:t>项（含）</w:t>
      </w:r>
      <w:r>
        <w:rPr>
          <w:rFonts w:hint="eastAsia" w:asciiTheme="minorEastAsia" w:hAnsiTheme="minorEastAsia" w:eastAsiaTheme="minorEastAsia"/>
          <w:kern w:val="0"/>
          <w:sz w:val="24"/>
        </w:rPr>
        <w:t>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8"/>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8"/>
        <w:spacing w:line="360" w:lineRule="auto"/>
        <w:ind w:firstLine="480" w:firstLineChars="200"/>
        <w:rPr>
          <w:rFonts w:hint="eastAsia" w:ascii="宋体" w:hAnsi="宋体" w:cs="宋体"/>
          <w:sz w:val="24"/>
          <w:szCs w:val="24"/>
        </w:rPr>
      </w:pPr>
      <w:r>
        <w:rPr>
          <w:rFonts w:hint="eastAsia" w:ascii="宋体" w:hAnsi="宋体" w:cs="宋体"/>
          <w:sz w:val="24"/>
          <w:szCs w:val="24"/>
        </w:rPr>
        <w:t>（十三）逾期或未按要求提交投标文件的；</w:t>
      </w:r>
    </w:p>
    <w:p>
      <w:pPr>
        <w:pStyle w:val="8"/>
        <w:spacing w:line="360" w:lineRule="auto"/>
        <w:ind w:firstLine="480" w:firstLineChars="200"/>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8"/>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w:t>
      </w:r>
      <w:r>
        <w:rPr>
          <w:rFonts w:hint="eastAsia" w:asciiTheme="minorEastAsia" w:hAnsiTheme="minorEastAsia" w:eastAsiaTheme="minorEastAsia"/>
          <w:kern w:val="0"/>
          <w:sz w:val="24"/>
          <w:lang w:val="en-US" w:eastAsia="zh-CN"/>
        </w:rPr>
        <w:t>五</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2"/>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2"/>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color w:val="auto"/>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color w:val="auto"/>
          <w:sz w:val="24"/>
          <w:lang w:val="zh-CN"/>
        </w:rPr>
        <w:t>》（</w:t>
      </w:r>
      <w:r>
        <w:rPr>
          <w:rFonts w:hint="eastAsia" w:ascii="宋体"/>
          <w:color w:val="auto"/>
          <w:sz w:val="24"/>
        </w:rPr>
        <w:t>见附件1</w:t>
      </w:r>
      <w:r>
        <w:rPr>
          <w:rFonts w:hint="eastAsia" w:ascii="宋体"/>
          <w:color w:val="auto"/>
          <w:sz w:val="24"/>
          <w:lang w:val="en-US" w:eastAsia="zh-CN"/>
        </w:rPr>
        <w:t>7</w:t>
      </w:r>
      <w:r>
        <w:rPr>
          <w:rFonts w:hint="eastAsia" w:ascii="宋体"/>
          <w:color w:val="auto"/>
          <w:sz w:val="24"/>
          <w:lang w:val="zh-CN"/>
        </w:rPr>
        <w:t>），</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r>
        <w:rPr>
          <w:rFonts w:hint="eastAsia" w:ascii="宋体"/>
          <w:color w:val="auto"/>
          <w:sz w:val="24"/>
          <w:lang w:eastAsia="zh-CN"/>
        </w:rPr>
        <w:t>。</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w:t>
      </w:r>
      <w:r>
        <w:rPr>
          <w:rFonts w:hint="eastAsia" w:ascii="宋体"/>
          <w:color w:val="auto"/>
          <w:sz w:val="24"/>
        </w:rPr>
        <w:t>1</w:t>
      </w:r>
      <w:r>
        <w:rPr>
          <w:rFonts w:hint="eastAsia" w:ascii="宋体"/>
          <w:color w:val="auto"/>
          <w:sz w:val="24"/>
          <w:lang w:val="en-US" w:eastAsia="zh-CN"/>
        </w:rPr>
        <w:t>7</w:t>
      </w:r>
      <w:r>
        <w:rPr>
          <w:rFonts w:hint="eastAsia" w:ascii="宋体"/>
          <w:color w:val="auto"/>
          <w:sz w:val="24"/>
          <w:lang w:val="zh-CN"/>
        </w:rPr>
        <w:t>），视同小型、微型企业，享受小微企业政府采购优惠政策。</w:t>
      </w:r>
    </w:p>
    <w:p>
      <w:pPr>
        <w:pStyle w:val="10"/>
        <w:spacing w:line="360" w:lineRule="auto"/>
        <w:ind w:firstLine="480" w:firstLineChars="200"/>
        <w:jc w:val="both"/>
        <w:rPr>
          <w:rFonts w:hint="eastAsia" w:ascii="宋体" w:hAnsi="宋体" w:eastAsia="宋体" w:cs="宋体"/>
          <w:sz w:val="24"/>
          <w:lang w:eastAsia="zh-CN"/>
        </w:rPr>
      </w:pPr>
      <w:r>
        <w:rPr>
          <w:rFonts w:hint="eastAsia" w:ascii="宋体"/>
          <w:color w:val="auto"/>
          <w:sz w:val="24"/>
        </w:rPr>
        <w:t>4.</w:t>
      </w:r>
      <w:r>
        <w:rPr>
          <w:rFonts w:hint="eastAsia" w:ascii="宋体" w:hAnsi="宋体" w:cs="宋体"/>
          <w:color w:val="auto"/>
          <w:sz w:val="24"/>
        </w:rPr>
        <w:t>投标产品中有符合最新一期行政主管部门公布的“节能产品政</w:t>
      </w:r>
      <w:r>
        <w:rPr>
          <w:rFonts w:hint="eastAsia" w:ascii="宋体" w:hAnsi="宋体" w:cs="宋体"/>
          <w:sz w:val="24"/>
        </w:rPr>
        <w:t>府采购品目清单”、“环境标志产品政府采购品目清单”标准的节能环保产品，应提供所投产品由国家确定的认证机关出具的节能产品、环保产品有效认证证书</w:t>
      </w:r>
      <w:r>
        <w:rPr>
          <w:rFonts w:hint="eastAsia" w:ascii="宋体" w:hAnsi="宋体" w:cs="宋体"/>
          <w:sz w:val="24"/>
          <w:lang w:eastAsia="zh-CN"/>
        </w:rPr>
        <w:t>。</w:t>
      </w:r>
      <w:r>
        <w:rPr>
          <w:rFonts w:hint="eastAsia" w:ascii="宋体" w:hAnsi="宋体" w:cs="宋体"/>
          <w:sz w:val="24"/>
        </w:rPr>
        <w:t>【特别提示：节能和环境标志产品最新一期政府采购品目清单，可在“中国政府采购网”中查看】</w:t>
      </w:r>
    </w:p>
    <w:p>
      <w:pPr>
        <w:pStyle w:val="10"/>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2"/>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0"/>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1"/>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以上两项须提供相关承诺函</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bl>
    <w:p>
      <w:pPr>
        <w:pStyle w:val="10"/>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0"/>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1"/>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val="en-US" w:eastAsia="zh-CN"/>
              </w:rPr>
              <w:t>无效标情形</w:t>
            </w:r>
          </w:p>
        </w:tc>
        <w:tc>
          <w:tcPr>
            <w:tcW w:w="7476" w:type="dxa"/>
            <w:shd w:val="clear" w:color="auto" w:fill="auto"/>
            <w:tcMar>
              <w:top w:w="57" w:type="dxa"/>
              <w:left w:w="108" w:type="dxa"/>
              <w:bottom w:w="0" w:type="dxa"/>
              <w:right w:w="108" w:type="dxa"/>
            </w:tcMar>
            <w:vAlign w:val="center"/>
          </w:tcPr>
          <w:p>
            <w:pPr>
              <w:pStyle w:val="10"/>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color w:val="auto"/>
                <w:spacing w:val="0"/>
                <w:w w:val="100"/>
                <w:kern w:val="2"/>
                <w:sz w:val="21"/>
                <w:szCs w:val="21"/>
                <w:lang w:val="en-US" w:eastAsia="zh-CN" w:bidi="ar-SA"/>
              </w:rPr>
            </w:pPr>
            <w:r>
              <w:rPr>
                <w:rFonts w:hint="eastAsia" w:ascii="宋体" w:hAnsi="宋体" w:cs="宋体"/>
                <w:color w:val="auto"/>
                <w:spacing w:val="0"/>
                <w:w w:val="100"/>
                <w:sz w:val="21"/>
                <w:szCs w:val="21"/>
                <w:lang w:val="en-US" w:eastAsia="zh-CN"/>
              </w:rPr>
              <w:t>投标文件未出现招标文件中规定的无效标情形。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投标文件未含有采购人不可接受的附加条件。</w:t>
            </w:r>
          </w:p>
        </w:tc>
      </w:tr>
    </w:tbl>
    <w:p>
      <w:pPr>
        <w:pStyle w:val="10"/>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lang w:val="en-US" w:eastAsia="zh-CN"/>
        </w:rPr>
        <w:t xml:space="preserve"> 1</w:t>
      </w:r>
      <w:r>
        <w:rPr>
          <w:rFonts w:hint="eastAsia" w:ascii="宋体" w:hAnsi="宋体" w:cs="宋体"/>
          <w:sz w:val="24"/>
          <w:u w:val="single"/>
        </w:rPr>
        <w:t xml:space="preserve"> </w:t>
      </w:r>
      <w:r>
        <w:rPr>
          <w:rFonts w:hint="eastAsia" w:asciiTheme="minorEastAsia" w:hAnsiTheme="minorEastAsia" w:eastAsiaTheme="minorEastAsia"/>
          <w:kern w:val="0"/>
          <w:sz w:val="24"/>
        </w:rPr>
        <w:t>标项项目评标方法为综合评分法，总计100分，评标按以下标准及要求进行：</w:t>
      </w:r>
    </w:p>
    <w:p>
      <w:pPr>
        <w:autoSpaceDE w:val="0"/>
        <w:autoSpaceDN w:val="0"/>
        <w:adjustRightInd w:val="0"/>
        <w:spacing w:line="360" w:lineRule="auto"/>
        <w:ind w:firstLine="482" w:firstLineChars="200"/>
        <w:rPr>
          <w:rFonts w:ascii="宋体"/>
          <w:b/>
          <w:bCs/>
          <w:sz w:val="24"/>
        </w:rPr>
      </w:pPr>
      <w:r>
        <w:rPr>
          <w:rFonts w:hint="eastAsia" w:ascii="宋体"/>
          <w:b/>
          <w:bCs/>
          <w:sz w:val="24"/>
        </w:rPr>
        <w:t>1.评分标准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102"/>
        <w:gridCol w:w="6176"/>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24" w:type="dxa"/>
            <w:shd w:val="clear" w:color="auto" w:fill="BEBEBE" w:themeFill="background1" w:themeFillShade="BF"/>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评分项目</w:t>
            </w:r>
          </w:p>
        </w:tc>
        <w:tc>
          <w:tcPr>
            <w:tcW w:w="7278" w:type="dxa"/>
            <w:gridSpan w:val="2"/>
            <w:shd w:val="clear" w:color="auto" w:fill="BEBEBE" w:themeFill="background1" w:themeFillShade="BF"/>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评分细则</w:t>
            </w:r>
          </w:p>
        </w:tc>
        <w:tc>
          <w:tcPr>
            <w:tcW w:w="684" w:type="dxa"/>
            <w:shd w:val="clear" w:color="auto" w:fill="BEBEBE" w:themeFill="background1" w:themeFillShade="BF"/>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24" w:type="dxa"/>
            <w:vMerge w:val="restart"/>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240" w:lineRule="auto"/>
              <w:ind w:firstLine="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技术性能</w:t>
            </w:r>
          </w:p>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48</w:t>
            </w:r>
            <w:r>
              <w:rPr>
                <w:rFonts w:hint="eastAsia" w:asciiTheme="minorEastAsia" w:hAnsiTheme="minorEastAsia" w:eastAsiaTheme="minorEastAsia" w:cstheme="minorEastAsia"/>
                <w:b/>
                <w:bCs/>
                <w:sz w:val="21"/>
                <w:szCs w:val="21"/>
              </w:rPr>
              <w:t>分</w:t>
            </w:r>
          </w:p>
        </w:tc>
        <w:tc>
          <w:tcPr>
            <w:tcW w:w="1102" w:type="dxa"/>
            <w:tcMar>
              <w:top w:w="57" w:type="dxa"/>
              <w:left w:w="108" w:type="dxa"/>
              <w:bottom w:w="0" w:type="dxa"/>
              <w:right w:w="108" w:type="dxa"/>
            </w:tcMar>
            <w:vAlign w:val="center"/>
          </w:tcPr>
          <w:p>
            <w:pPr>
              <w:pStyle w:val="10"/>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参数响应</w:t>
            </w:r>
          </w:p>
        </w:tc>
        <w:tc>
          <w:tcPr>
            <w:tcW w:w="6176" w:type="dxa"/>
            <w:tcMar>
              <w:top w:w="57" w:type="dxa"/>
              <w:left w:w="108" w:type="dxa"/>
              <w:bottom w:w="0" w:type="dxa"/>
              <w:right w:w="108" w:type="dxa"/>
            </w:tcMar>
            <w:vAlign w:val="center"/>
          </w:tcPr>
          <w:p>
            <w:pPr>
              <w:pStyle w:val="10"/>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根据所投产品的性能指标及技术参数满足程度进行评分：</w:t>
            </w:r>
          </w:p>
          <w:p>
            <w:pPr>
              <w:pStyle w:val="10"/>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①完全满足或高于招标文件要求的，得</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分；</w:t>
            </w:r>
          </w:p>
          <w:p>
            <w:pPr>
              <w:pStyle w:val="10"/>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②重要性能指标（★）每有一项负偏离或未响应的扣</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分，其他性能指标每有一项负偏离或未响应的扣</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分，扣完为止。</w:t>
            </w:r>
          </w:p>
          <w:p>
            <w:pPr>
              <w:pStyle w:val="10"/>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color w:val="auto"/>
                <w:sz w:val="21"/>
                <w:szCs w:val="21"/>
              </w:rPr>
              <w:t>注：技术参数中要求提供证明材料而未提供的，视为负偏离；</w:t>
            </w:r>
            <w:r>
              <w:rPr>
                <w:rFonts w:hint="eastAsia" w:asciiTheme="minorEastAsia" w:hAnsiTheme="minorEastAsia" w:eastAsiaTheme="minorEastAsia" w:cstheme="minorEastAsia"/>
                <w:b/>
                <w:bCs/>
                <w:color w:val="auto"/>
                <w:sz w:val="21"/>
                <w:szCs w:val="21"/>
                <w:lang w:val="en-US" w:eastAsia="zh-CN"/>
              </w:rPr>
              <w:t>参数中注明演示内容的不计入负偏离扣分；</w:t>
            </w:r>
            <w:r>
              <w:rPr>
                <w:rFonts w:hint="eastAsia" w:asciiTheme="minorEastAsia" w:hAnsiTheme="minorEastAsia" w:eastAsiaTheme="minorEastAsia" w:cstheme="minorEastAsia"/>
                <w:b/>
                <w:bCs/>
                <w:sz w:val="21"/>
                <w:szCs w:val="21"/>
              </w:rPr>
              <w:t>所有产品重要性能指标（★）负</w:t>
            </w:r>
            <w:r>
              <w:rPr>
                <w:rFonts w:hint="eastAsia" w:asciiTheme="minorEastAsia" w:hAnsiTheme="minorEastAsia" w:eastAsiaTheme="minorEastAsia" w:cstheme="minorEastAsia"/>
                <w:b/>
                <w:bCs/>
                <w:color w:val="auto"/>
                <w:sz w:val="21"/>
                <w:szCs w:val="21"/>
              </w:rPr>
              <w:t>偏离</w:t>
            </w:r>
            <w:r>
              <w:rPr>
                <w:rFonts w:hint="eastAsia" w:asciiTheme="minorEastAsia" w:hAnsiTheme="minorEastAsia" w:eastAsiaTheme="minorEastAsia" w:cstheme="minorEastAsia"/>
                <w:b/>
                <w:bCs/>
                <w:color w:val="auto"/>
                <w:sz w:val="21"/>
                <w:szCs w:val="21"/>
                <w:lang w:val="en-US" w:eastAsia="zh-CN"/>
              </w:rPr>
              <w:t>12</w:t>
            </w:r>
            <w:r>
              <w:rPr>
                <w:rFonts w:hint="eastAsia" w:asciiTheme="minorEastAsia" w:hAnsiTheme="minorEastAsia" w:eastAsiaTheme="minorEastAsia" w:cstheme="minorEastAsia"/>
                <w:b/>
                <w:bCs/>
                <w:color w:val="auto"/>
                <w:sz w:val="21"/>
                <w:szCs w:val="21"/>
              </w:rPr>
              <w:t>项（含）以上的为无效标</w:t>
            </w:r>
            <w:r>
              <w:rPr>
                <w:rFonts w:hint="eastAsia" w:asciiTheme="minorEastAsia" w:hAnsiTheme="minorEastAsia" w:eastAsiaTheme="minorEastAsia" w:cstheme="minorEastAsia"/>
                <w:b/>
                <w:bCs/>
                <w:color w:val="auto"/>
                <w:sz w:val="21"/>
                <w:szCs w:val="21"/>
                <w:lang w:eastAsia="zh-CN"/>
              </w:rPr>
              <w:t>。</w:t>
            </w:r>
          </w:p>
        </w:tc>
        <w:tc>
          <w:tcPr>
            <w:tcW w:w="684"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24" w:type="dxa"/>
            <w:vMerge w:val="continue"/>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pPr>
          </w:p>
        </w:tc>
        <w:tc>
          <w:tcPr>
            <w:tcW w:w="1102" w:type="dxa"/>
            <w:vMerge w:val="restart"/>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技术方案</w:t>
            </w:r>
          </w:p>
        </w:tc>
        <w:tc>
          <w:tcPr>
            <w:tcW w:w="6176"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根据投标人</w:t>
            </w:r>
            <w:r>
              <w:rPr>
                <w:rFonts w:hint="eastAsia" w:asciiTheme="minorEastAsia" w:hAnsiTheme="minorEastAsia" w:eastAsiaTheme="minorEastAsia" w:cstheme="minorEastAsia"/>
                <w:sz w:val="21"/>
                <w:szCs w:val="21"/>
                <w:lang w:val="en-US" w:eastAsia="zh-CN"/>
              </w:rPr>
              <w:t>提供的技术方案进行评分：</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w:t>
            </w:r>
            <w:r>
              <w:rPr>
                <w:rFonts w:hint="eastAsia" w:asciiTheme="minorEastAsia" w:hAnsiTheme="minorEastAsia" w:eastAsiaTheme="minorEastAsia" w:cstheme="minorEastAsia"/>
                <w:sz w:val="21"/>
                <w:szCs w:val="21"/>
                <w:lang w:val="en-US" w:eastAsia="zh-CN"/>
              </w:rPr>
              <w:t xml:space="preserve"> 有对需求及现状的分析，内容包括项目背景、</w:t>
            </w:r>
            <w:r>
              <w:rPr>
                <w:rFonts w:hint="eastAsia" w:asciiTheme="minorEastAsia" w:hAnsiTheme="minorEastAsia" w:eastAsiaTheme="minorEastAsia" w:cstheme="minorEastAsia"/>
                <w:sz w:val="21"/>
                <w:szCs w:val="21"/>
                <w:lang w:val="zh-CN" w:eastAsia="zh-CN"/>
              </w:rPr>
              <w:t>建设目标、</w:t>
            </w:r>
            <w:r>
              <w:rPr>
                <w:rFonts w:hint="eastAsia" w:asciiTheme="minorEastAsia" w:hAnsiTheme="minorEastAsia" w:eastAsiaTheme="minorEastAsia" w:cstheme="minorEastAsia"/>
                <w:sz w:val="21"/>
                <w:szCs w:val="21"/>
                <w:lang w:val="en-US" w:eastAsia="zh-CN"/>
              </w:rPr>
              <w:t>建设现状的分析</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w:t>
            </w:r>
            <w:r>
              <w:rPr>
                <w:rFonts w:hint="eastAsia" w:asciiTheme="minorEastAsia" w:hAnsiTheme="minorEastAsia" w:eastAsiaTheme="minorEastAsia" w:cstheme="minorEastAsia"/>
                <w:sz w:val="21"/>
                <w:szCs w:val="21"/>
                <w:lang w:val="en-US" w:eastAsia="zh-CN"/>
              </w:rPr>
              <w:t xml:space="preserve"> 有建设成果预估与分析，内容包括</w:t>
            </w:r>
            <w:r>
              <w:rPr>
                <w:rFonts w:hint="eastAsia" w:asciiTheme="minorEastAsia" w:hAnsiTheme="minorEastAsia" w:eastAsiaTheme="minorEastAsia" w:cstheme="minorEastAsia"/>
                <w:sz w:val="21"/>
                <w:szCs w:val="21"/>
                <w:lang w:val="zh-CN" w:eastAsia="zh-CN"/>
              </w:rPr>
              <w:t>建设原则、系统架构设计、设备部署区域图、效果图、点位具体详细分布情况</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③</w:t>
            </w:r>
            <w:r>
              <w:rPr>
                <w:rFonts w:hint="eastAsia" w:asciiTheme="minorEastAsia" w:hAnsiTheme="minorEastAsia" w:eastAsiaTheme="minorEastAsia" w:cstheme="minorEastAsia"/>
                <w:sz w:val="21"/>
                <w:szCs w:val="21"/>
                <w:lang w:val="en-US" w:eastAsia="zh-CN"/>
              </w:rPr>
              <w:t xml:space="preserve"> 有详细设计方案，内容包括项目各功能模块设计图及介绍</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④ 有对项目可能存在的问题与不足、重难点分析。</w:t>
            </w:r>
          </w:p>
          <w:p>
            <w:pPr>
              <w:keepNext w:val="0"/>
              <w:keepLines w:val="0"/>
              <w:pageBreakBefore w:val="0"/>
              <w:kinsoku/>
              <w:wordWrap/>
              <w:overflowPunct/>
              <w:topLinePunct w:val="0"/>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0.75</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r>
              <w:rPr>
                <w:rFonts w:hint="eastAsia" w:asciiTheme="minorEastAsia" w:hAnsiTheme="minorEastAsia" w:eastAsiaTheme="minorEastAsia" w:cstheme="minorEastAsia"/>
                <w:sz w:val="21"/>
                <w:szCs w:val="21"/>
                <w:lang w:val="en-US" w:eastAsia="zh-CN"/>
              </w:rPr>
              <w:t>。</w:t>
            </w:r>
          </w:p>
        </w:tc>
        <w:tc>
          <w:tcPr>
            <w:tcW w:w="684"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24" w:type="dxa"/>
            <w:vMerge w:val="continue"/>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pPr>
          </w:p>
        </w:tc>
        <w:tc>
          <w:tcPr>
            <w:tcW w:w="1102" w:type="dxa"/>
            <w:vMerge w:val="continue"/>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6176"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rPr>
            </w:pPr>
            <w:r>
              <w:rPr>
                <w:rFonts w:hint="eastAsia"/>
              </w:rPr>
              <w:t>根据投标人提供的与学校巡课督导系统的对接方案，包括应用对接、数据对接等方面进行综合评分：</w:t>
            </w:r>
          </w:p>
          <w:p>
            <w:pPr>
              <w:keepNext w:val="0"/>
              <w:keepLines w:val="0"/>
              <w:pageBreakBefore w:val="0"/>
              <w:kinsoku/>
              <w:wordWrap/>
              <w:overflowPunct/>
              <w:topLinePunct w:val="0"/>
              <w:bidi w:val="0"/>
              <w:adjustRightInd/>
              <w:snapToGrid/>
              <w:spacing w:line="240" w:lineRule="auto"/>
              <w:jc w:val="left"/>
              <w:textAlignment w:val="auto"/>
              <w:rPr>
                <w:rFonts w:hint="eastAsia"/>
              </w:rPr>
            </w:pPr>
            <w:r>
              <w:rPr>
                <w:rFonts w:hint="eastAsia"/>
              </w:rPr>
              <w:t>①</w:t>
            </w:r>
            <w:r>
              <w:rPr>
                <w:rFonts w:hint="eastAsia"/>
                <w:lang w:val="en-US" w:eastAsia="zh-CN"/>
              </w:rPr>
              <w:t xml:space="preserve"> </w:t>
            </w:r>
            <w:r>
              <w:rPr>
                <w:rFonts w:hint="eastAsia"/>
              </w:rPr>
              <w:t>应用对接方面，内容包括现有系统理解与分析、屏幕画面截取和存储技术手段、屏幕画面在现有巡课系统展示调试和测试方法；</w:t>
            </w:r>
          </w:p>
          <w:p>
            <w:pPr>
              <w:keepNext w:val="0"/>
              <w:keepLines w:val="0"/>
              <w:pageBreakBefore w:val="0"/>
              <w:kinsoku/>
              <w:wordWrap/>
              <w:overflowPunct/>
              <w:topLinePunct w:val="0"/>
              <w:bidi w:val="0"/>
              <w:adjustRightInd/>
              <w:snapToGrid/>
              <w:spacing w:line="240" w:lineRule="auto"/>
              <w:jc w:val="left"/>
              <w:textAlignment w:val="auto"/>
              <w:rPr>
                <w:rFonts w:hint="eastAsia" w:eastAsia="宋体"/>
                <w:lang w:eastAsia="zh-CN"/>
              </w:rPr>
            </w:pPr>
            <w:r>
              <w:rPr>
                <w:rFonts w:hint="eastAsia"/>
              </w:rPr>
              <w:t>② 数据对接方法，内容包括现有巡课系统监控数据理解与分析，数据对接目标理解，对接开发流程概述</w:t>
            </w:r>
            <w:r>
              <w:rPr>
                <w:rFonts w:hint="eastAsia"/>
                <w:lang w:eastAsia="zh-CN"/>
              </w:rPr>
              <w:t>。</w:t>
            </w:r>
          </w:p>
          <w:p>
            <w:pPr>
              <w:keepNext w:val="0"/>
              <w:keepLines w:val="0"/>
              <w:pageBreakBefore w:val="0"/>
              <w:kinsoku/>
              <w:wordWrap/>
              <w:overflowPunct/>
              <w:topLinePunct w:val="0"/>
              <w:bidi w:val="0"/>
              <w:adjustRightInd/>
              <w:snapToGrid/>
              <w:spacing w:line="240" w:lineRule="auto"/>
              <w:jc w:val="left"/>
              <w:textAlignment w:val="auto"/>
              <w:rPr>
                <w:rFonts w:hint="eastAsia" w:eastAsia="宋体" w:asciiTheme="minorEastAsia" w:hAnsiTheme="minorEastAsia" w:cstheme="minorEastAsia"/>
                <w:sz w:val="21"/>
                <w:szCs w:val="21"/>
                <w:lang w:val="en-US" w:eastAsia="zh-CN"/>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1.25</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r>
              <w:rPr>
                <w:rFonts w:hint="eastAsia"/>
                <w:lang w:eastAsia="zh-CN"/>
              </w:rPr>
              <w:t>。</w:t>
            </w:r>
          </w:p>
        </w:tc>
        <w:tc>
          <w:tcPr>
            <w:tcW w:w="684"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24" w:type="dxa"/>
            <w:vMerge w:val="continue"/>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pPr>
          </w:p>
        </w:tc>
        <w:tc>
          <w:tcPr>
            <w:tcW w:w="1102"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实施方案</w:t>
            </w:r>
          </w:p>
        </w:tc>
        <w:tc>
          <w:tcPr>
            <w:tcW w:w="6176" w:type="dxa"/>
            <w:tcMar>
              <w:top w:w="57" w:type="dxa"/>
              <w:left w:w="108" w:type="dxa"/>
              <w:bottom w:w="0" w:type="dxa"/>
              <w:right w:w="108" w:type="dxa"/>
            </w:tcMar>
            <w:vAlign w:val="center"/>
          </w:tcPr>
          <w:p>
            <w:pPr>
              <w:pStyle w:val="10"/>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投标人针对本项目提供内容详实，逻辑缜密的组织实施方案：</w:t>
            </w:r>
          </w:p>
          <w:p>
            <w:pPr>
              <w:pStyle w:val="10"/>
              <w:keepNext w:val="0"/>
              <w:keepLines w:val="0"/>
              <w:pageBreakBefore w:val="0"/>
              <w:numPr>
                <w:ilvl w:val="0"/>
                <w:numId w:val="0"/>
              </w:numPr>
              <w:kinsoku/>
              <w:wordWrap/>
              <w:overflowPunct/>
              <w:topLinePunct w:val="0"/>
              <w:autoSpaceDE/>
              <w:autoSpaceDN/>
              <w:bidi w:val="0"/>
              <w:snapToGrid w:val="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①</w:t>
            </w:r>
            <w:r>
              <w:rPr>
                <w:rFonts w:hint="eastAsia" w:ascii="宋体" w:hAnsi="宋体" w:eastAsia="宋体" w:cs="宋体"/>
                <w:color w:val="auto"/>
                <w:kern w:val="0"/>
                <w:szCs w:val="21"/>
                <w:highlight w:val="none"/>
                <w:lang w:val="en-US" w:eastAsia="zh-CN"/>
              </w:rPr>
              <w:t xml:space="preserve"> 有运输、</w:t>
            </w:r>
            <w:r>
              <w:rPr>
                <w:rFonts w:hint="eastAsia" w:ascii="宋体" w:hAnsi="宋体" w:eastAsia="宋体" w:cs="宋体"/>
                <w:color w:val="auto"/>
                <w:kern w:val="0"/>
                <w:szCs w:val="21"/>
                <w:highlight w:val="none"/>
                <w:lang w:val="zh-CN" w:eastAsia="zh-CN"/>
              </w:rPr>
              <w:t>到货、安装、调试、施工等</w:t>
            </w:r>
            <w:r>
              <w:rPr>
                <w:rFonts w:hint="eastAsia" w:ascii="宋体" w:hAnsi="宋体" w:eastAsia="宋体" w:cs="宋体"/>
                <w:color w:val="auto"/>
                <w:kern w:val="0"/>
                <w:szCs w:val="21"/>
                <w:highlight w:val="none"/>
                <w:lang w:val="en-US" w:eastAsia="zh-CN"/>
              </w:rPr>
              <w:t>各阶段的</w:t>
            </w:r>
            <w:r>
              <w:rPr>
                <w:rFonts w:hint="eastAsia" w:ascii="宋体" w:hAnsi="宋体" w:eastAsia="宋体" w:cs="宋体"/>
                <w:color w:val="auto"/>
                <w:kern w:val="0"/>
                <w:szCs w:val="21"/>
                <w:highlight w:val="none"/>
                <w:lang w:val="zh-CN" w:eastAsia="zh-CN"/>
              </w:rPr>
              <w:t>工作</w:t>
            </w:r>
            <w:r>
              <w:rPr>
                <w:rFonts w:hint="eastAsia" w:ascii="宋体" w:hAnsi="宋体" w:eastAsia="宋体" w:cs="宋体"/>
                <w:color w:val="auto"/>
                <w:kern w:val="0"/>
                <w:szCs w:val="21"/>
                <w:highlight w:val="none"/>
                <w:lang w:val="en-US" w:eastAsia="zh-CN"/>
              </w:rPr>
              <w:t>进度计划；</w:t>
            </w:r>
          </w:p>
          <w:p>
            <w:pPr>
              <w:pStyle w:val="10"/>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②</w:t>
            </w:r>
            <w:r>
              <w:rPr>
                <w:rFonts w:hint="eastAsia" w:ascii="宋体" w:hAnsi="宋体" w:eastAsia="宋体" w:cs="宋体"/>
                <w:color w:val="auto"/>
                <w:kern w:val="0"/>
                <w:szCs w:val="21"/>
                <w:highlight w:val="none"/>
                <w:lang w:val="en-US" w:eastAsia="zh-CN"/>
              </w:rPr>
              <w:t xml:space="preserve"> 包含具体的安装调试方案，附有项目实施人员的基本情况；</w:t>
            </w:r>
          </w:p>
          <w:p>
            <w:pPr>
              <w:pStyle w:val="10"/>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③ 根据采购人的项目验收标准，提供项目验收方案；</w:t>
            </w:r>
          </w:p>
          <w:p>
            <w:pPr>
              <w:pStyle w:val="10"/>
              <w:keepNext w:val="0"/>
              <w:keepLines w:val="0"/>
              <w:pageBreakBefore w:val="0"/>
              <w:numPr>
                <w:ilvl w:val="0"/>
                <w:numId w:val="0"/>
              </w:numPr>
              <w:kinsoku/>
              <w:wordWrap/>
              <w:overflowPunct/>
              <w:topLinePunct w:val="0"/>
              <w:autoSpaceDE/>
              <w:autoSpaceDN/>
              <w:bidi w:val="0"/>
              <w:snapToGrid w:val="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④ 针对项目验收前可能出现的突发情况，有具体的应急措施。</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0.5</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0.75</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p>
        </w:tc>
        <w:tc>
          <w:tcPr>
            <w:tcW w:w="684"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24" w:type="dxa"/>
            <w:vMerge w:val="continue"/>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1102"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功能演示</w:t>
            </w:r>
          </w:p>
        </w:tc>
        <w:tc>
          <w:tcPr>
            <w:tcW w:w="6176"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投标人根据演示清单的</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项内容（详见“第三章招标需求”-“二、技术需求”-“远程在线演示”）进行演示，演示时间限制15分钟。评标委员会根据演示</w:t>
            </w:r>
            <w:r>
              <w:rPr>
                <w:rFonts w:hint="eastAsia" w:asciiTheme="minorEastAsia" w:hAnsiTheme="minorEastAsia" w:eastAsiaTheme="minorEastAsia" w:cstheme="minorEastAsia"/>
                <w:sz w:val="21"/>
                <w:szCs w:val="21"/>
                <w:lang w:val="en-US" w:eastAsia="zh-CN"/>
              </w:rPr>
              <w:t>情况</w:t>
            </w:r>
            <w:r>
              <w:rPr>
                <w:rFonts w:hint="eastAsia" w:asciiTheme="minorEastAsia" w:hAnsiTheme="minorEastAsia" w:eastAsiaTheme="minorEastAsia" w:cstheme="minorEastAsia"/>
                <w:sz w:val="21"/>
                <w:szCs w:val="21"/>
              </w:rPr>
              <w:t>进行打分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以下功能每具备1项得1分，单项功能不具备或具备不完全的，该项功能不得分，本评分项最多得8分</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86寸触控一体机：</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① </w:t>
            </w:r>
            <w:r>
              <w:rPr>
                <w:rFonts w:hint="eastAsia" w:asciiTheme="minorEastAsia" w:hAnsiTheme="minorEastAsia" w:eastAsiaTheme="minorEastAsia" w:cstheme="minorEastAsia"/>
                <w:sz w:val="21"/>
                <w:szCs w:val="21"/>
                <w:lang w:eastAsia="zh-CN"/>
              </w:rPr>
              <w:t>设备支持≥5个自定义前置按键，可通过自定义设置实现前置面板功能按键一键启用任一全局小工具（批注、截屏、计时、降半屏、放大镜、倒数日、日历）、快捷开关（节能模式、纸质护眼模式、经典护眼模式、自动亮度模式）、课堂智能反馈。</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② </w:t>
            </w:r>
            <w:r>
              <w:rPr>
                <w:rFonts w:hint="eastAsia" w:asciiTheme="minorEastAsia" w:hAnsiTheme="minorEastAsia" w:eastAsiaTheme="minorEastAsia" w:cstheme="minorEastAsia"/>
                <w:sz w:val="21"/>
                <w:szCs w:val="21"/>
                <w:lang w:eastAsia="zh-CN"/>
              </w:rPr>
              <w:t>可通过整</w:t>
            </w:r>
            <w:r>
              <w:rPr>
                <w:rFonts w:hint="eastAsia" w:asciiTheme="minorEastAsia" w:hAnsiTheme="minorEastAsia" w:eastAsiaTheme="minorEastAsia" w:cstheme="minorEastAsia"/>
                <w:sz w:val="21"/>
                <w:szCs w:val="21"/>
                <w:lang w:val="en-US" w:eastAsia="zh-CN"/>
              </w:rPr>
              <w:t>机</w:t>
            </w:r>
            <w:r>
              <w:rPr>
                <w:rFonts w:hint="eastAsia" w:asciiTheme="minorEastAsia" w:hAnsiTheme="minorEastAsia" w:eastAsiaTheme="minorEastAsia" w:cstheme="minorEastAsia"/>
                <w:sz w:val="21"/>
                <w:szCs w:val="21"/>
                <w:lang w:eastAsia="zh-CN"/>
              </w:rPr>
              <w:t>内置摄像头进行人脸识别账号登陆，登陆后进入到教师账号云空间，可自动同步教师个人最近使用课件，并一键调用教师云空间及校本资源课件。</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③ </w:t>
            </w:r>
            <w:r>
              <w:rPr>
                <w:rFonts w:hint="eastAsia" w:asciiTheme="minorEastAsia" w:hAnsiTheme="minorEastAsia" w:eastAsiaTheme="minorEastAsia" w:cstheme="minorEastAsia"/>
                <w:sz w:val="21"/>
                <w:szCs w:val="21"/>
                <w:lang w:eastAsia="zh-CN"/>
              </w:rPr>
              <w:t>设备自带的教学系统具备公网互动反馈功能，将所有学生端和教师端连接一起构建成互动反馈系统，在系统里面教师可以单选，多选，判断，观点，抢答，抽选，文件下发，批注下发，且查看到学生的入班考勤情况，包括学生姓名、头像等。</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④ </w:t>
            </w:r>
            <w:r>
              <w:rPr>
                <w:rFonts w:hint="eastAsia" w:asciiTheme="minorEastAsia" w:hAnsiTheme="minorEastAsia" w:eastAsiaTheme="minorEastAsia" w:cstheme="minorEastAsia"/>
                <w:sz w:val="21"/>
                <w:szCs w:val="21"/>
                <w:lang w:eastAsia="zh-CN"/>
              </w:rPr>
              <w:t>互动反馈系统在上课结束后支持实时生成课程报告，课堂报告支持查看签到人数，课堂互动总数，平均参与度，提问个数，支持查看考勤详情，互动详情和提问详情。 资料分发，随时调用课堂发生过的答题，抽选，抢答和观点几种课堂活动的记录进行回顾解答。</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120寸激光智慧黑板：</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① </w:t>
            </w:r>
            <w:r>
              <w:rPr>
                <w:rFonts w:hint="eastAsia" w:asciiTheme="minorEastAsia" w:hAnsiTheme="minorEastAsia" w:eastAsiaTheme="minorEastAsia" w:cstheme="minorEastAsia"/>
                <w:sz w:val="21"/>
                <w:szCs w:val="21"/>
                <w:lang w:eastAsia="zh-CN"/>
              </w:rPr>
              <w:t>整机具备前置电容中控按键，可对激光显示单元进行独立操作，具有调节显示模式功能，控制开关机功能，方便用户操作。</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② </w:t>
            </w:r>
            <w:r>
              <w:rPr>
                <w:rFonts w:hint="eastAsia" w:asciiTheme="minorEastAsia" w:hAnsiTheme="minorEastAsia" w:eastAsiaTheme="minorEastAsia" w:cstheme="minorEastAsia"/>
                <w:sz w:val="21"/>
                <w:szCs w:val="21"/>
                <w:lang w:eastAsia="zh-CN"/>
              </w:rPr>
              <w:t>手机可作为PPT翻页笔，支持PPT的播放、退出、翻页等功能；手机可作为移动展台，将手机中图片、现场拍摄照片一键上传至屏幕。</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③ </w:t>
            </w:r>
            <w:r>
              <w:rPr>
                <w:rFonts w:hint="eastAsia" w:asciiTheme="minorEastAsia" w:hAnsiTheme="minorEastAsia" w:eastAsiaTheme="minorEastAsia" w:cstheme="minorEastAsia"/>
                <w:sz w:val="21"/>
                <w:szCs w:val="21"/>
                <w:lang w:eastAsia="zh-CN"/>
              </w:rPr>
              <w:t>具备软件悬浮菜单三指跟随功能，五指按压快速开关黑板背光，关闭屏幕的同时，触摸功能也自动关闭，防止误操作。</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④ </w:t>
            </w:r>
            <w:r>
              <w:rPr>
                <w:rFonts w:hint="eastAsia" w:asciiTheme="minorEastAsia" w:hAnsiTheme="minorEastAsia" w:eastAsiaTheme="minorEastAsia" w:cstheme="minorEastAsia"/>
                <w:sz w:val="21"/>
                <w:szCs w:val="21"/>
                <w:lang w:eastAsia="zh-CN"/>
              </w:rPr>
              <w:t>为适应不同身高操作人员的需求，在不采用任何物理升降结构的前提下，可实现全通道一键下移功能，并不影响正常使用触摸，且为保证系统兼容性和稳定性不支持第三方应用程序方式实现屏幕下移功能。</w:t>
            </w:r>
          </w:p>
        </w:tc>
        <w:tc>
          <w:tcPr>
            <w:tcW w:w="684"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24" w:type="dxa"/>
            <w:vMerge w:val="restart"/>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240" w:lineRule="auto"/>
              <w:ind w:firstLine="0"/>
              <w:jc w:val="center"/>
              <w:textAlignment w:val="auto"/>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实力信誉及业绩</w:t>
            </w:r>
          </w:p>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10</w:t>
            </w:r>
            <w:r>
              <w:rPr>
                <w:rFonts w:hint="eastAsia" w:asciiTheme="minorEastAsia" w:hAnsiTheme="minorEastAsia" w:eastAsiaTheme="minorEastAsia" w:cstheme="minorEastAsia"/>
                <w:b/>
                <w:bCs/>
                <w:sz w:val="21"/>
                <w:szCs w:val="21"/>
              </w:rPr>
              <w:t>分</w:t>
            </w:r>
          </w:p>
        </w:tc>
        <w:tc>
          <w:tcPr>
            <w:tcW w:w="1102"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投标人实力</w:t>
            </w:r>
          </w:p>
        </w:tc>
        <w:tc>
          <w:tcPr>
            <w:tcW w:w="6176"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投标人具有有效的</w:t>
            </w:r>
            <w:r>
              <w:rPr>
                <w:rFonts w:hint="eastAsia" w:asciiTheme="minorEastAsia" w:hAnsiTheme="minorEastAsia" w:eastAsiaTheme="minorEastAsia" w:cstheme="minorEastAsia"/>
                <w:sz w:val="21"/>
                <w:szCs w:val="21"/>
                <w:lang w:eastAsia="zh-CN"/>
              </w:rPr>
              <w:t>信息安全管理体系认证证书、信息技术服务管理体系认证证书、业务连续性管理体系认证证书</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每提供一本证书得1分，</w:t>
            </w:r>
            <w:r>
              <w:rPr>
                <w:rFonts w:hint="eastAsia" w:asciiTheme="minorEastAsia" w:hAnsiTheme="minorEastAsia" w:eastAsiaTheme="minorEastAsia" w:cstheme="minorEastAsia"/>
                <w:sz w:val="21"/>
                <w:szCs w:val="21"/>
                <w:lang w:val="en-US" w:eastAsia="zh-CN"/>
              </w:rPr>
              <w:t>最多得</w:t>
            </w:r>
            <w:r>
              <w:rPr>
                <w:rFonts w:hint="eastAsia" w:asciiTheme="minorEastAsia" w:hAnsiTheme="minorEastAsia" w:eastAsiaTheme="minorEastAsia" w:cstheme="minorEastAsia"/>
                <w:sz w:val="21"/>
                <w:szCs w:val="21"/>
              </w:rPr>
              <w:t>3分</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注：投标文件中须提供有效证书原件彩色清晰扫描件</w:t>
            </w:r>
            <w:r>
              <w:rPr>
                <w:rFonts w:hint="eastAsia" w:asciiTheme="minorEastAsia" w:hAnsiTheme="minorEastAsia" w:eastAsiaTheme="minorEastAsia" w:cstheme="minorEastAsia"/>
                <w:b/>
                <w:bCs/>
                <w:sz w:val="21"/>
                <w:szCs w:val="21"/>
                <w:lang w:val="en-US" w:eastAsia="zh-CN"/>
              </w:rPr>
              <w:t>并加盖投标人公章</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否则</w:t>
            </w:r>
            <w:r>
              <w:rPr>
                <w:rFonts w:hint="eastAsia" w:asciiTheme="minorEastAsia" w:hAnsiTheme="minorEastAsia" w:eastAsiaTheme="minorEastAsia" w:cstheme="minorEastAsia"/>
                <w:b/>
                <w:bCs/>
                <w:sz w:val="21"/>
                <w:szCs w:val="21"/>
              </w:rPr>
              <w:t>不得分。</w:t>
            </w:r>
          </w:p>
        </w:tc>
        <w:tc>
          <w:tcPr>
            <w:tcW w:w="684"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24" w:type="dxa"/>
            <w:vMerge w:val="continue"/>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pPr>
          </w:p>
        </w:tc>
        <w:tc>
          <w:tcPr>
            <w:tcW w:w="1102"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项目团队配置</w:t>
            </w:r>
          </w:p>
        </w:tc>
        <w:tc>
          <w:tcPr>
            <w:tcW w:w="6176"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① </w:t>
            </w:r>
            <w:r>
              <w:rPr>
                <w:rFonts w:hint="eastAsia" w:asciiTheme="minorEastAsia" w:hAnsiTheme="minorEastAsia" w:eastAsiaTheme="minorEastAsia" w:cstheme="minorEastAsia"/>
                <w:b w:val="0"/>
                <w:bCs w:val="0"/>
                <w:sz w:val="21"/>
                <w:szCs w:val="21"/>
              </w:rPr>
              <w:t>项目负责人具有政府部门颁发</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eastAsiaTheme="minorEastAsia" w:cstheme="minorEastAsia"/>
                <w:b w:val="0"/>
                <w:bCs w:val="0"/>
                <w:sz w:val="21"/>
                <w:szCs w:val="21"/>
              </w:rPr>
              <w:t>信息系统项目管理师（高级）、网络工程师、互联网技术、信息安全工程师证书的，</w:t>
            </w:r>
            <w:r>
              <w:rPr>
                <w:rFonts w:hint="eastAsia" w:asciiTheme="minorEastAsia" w:hAnsiTheme="minorEastAsia" w:eastAsiaTheme="minorEastAsia" w:cstheme="minorEastAsia"/>
                <w:b w:val="0"/>
                <w:bCs w:val="0"/>
                <w:sz w:val="21"/>
                <w:szCs w:val="21"/>
                <w:lang w:val="en-US" w:eastAsia="zh-CN"/>
              </w:rPr>
              <w:t>每有一本证书得0.5分，最高得2分；</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② </w:t>
            </w:r>
            <w:r>
              <w:rPr>
                <w:rFonts w:hint="eastAsia" w:asciiTheme="minorEastAsia" w:hAnsiTheme="minorEastAsia" w:eastAsiaTheme="minorEastAsia" w:cstheme="minorEastAsia"/>
                <w:b w:val="0"/>
                <w:bCs w:val="0"/>
                <w:sz w:val="21"/>
                <w:szCs w:val="21"/>
              </w:rPr>
              <w:t>技术负责人具有政府部门颁发</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eastAsiaTheme="minorEastAsia" w:cstheme="minorEastAsia"/>
                <w:b w:val="0"/>
                <w:bCs w:val="0"/>
                <w:sz w:val="21"/>
                <w:szCs w:val="21"/>
              </w:rPr>
              <w:t>信息系统项目管理师、网络工程师、一级建造师（机电）证书</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每有一本证书得0.5分，最高得1.5分</w:t>
            </w:r>
            <w:r>
              <w:rPr>
                <w:rFonts w:hint="eastAsia" w:asciiTheme="minorEastAsia" w:hAnsiTheme="minorEastAsia" w:eastAsiaTheme="minorEastAsia" w:cstheme="minorEastAsia"/>
                <w:b w:val="0"/>
                <w:bCs w:val="0"/>
                <w:sz w:val="21"/>
                <w:szCs w:val="21"/>
              </w:rPr>
              <w:t>。</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③ </w:t>
            </w:r>
            <w:r>
              <w:rPr>
                <w:rFonts w:hint="eastAsia" w:asciiTheme="minorEastAsia" w:hAnsiTheme="minorEastAsia" w:eastAsiaTheme="minorEastAsia" w:cstheme="minorEastAsia"/>
                <w:b w:val="0"/>
                <w:bCs w:val="0"/>
                <w:sz w:val="21"/>
                <w:szCs w:val="21"/>
              </w:rPr>
              <w:t>除项目负责人和技术负责人外，拟派团队成员具有政府部门颁发的软件设计师、互联网技术证书的，每</w:t>
            </w:r>
            <w:r>
              <w:rPr>
                <w:rFonts w:hint="eastAsia" w:asciiTheme="minorEastAsia" w:hAnsiTheme="minorEastAsia" w:eastAsiaTheme="minorEastAsia" w:cstheme="minorEastAsia"/>
                <w:b w:val="0"/>
                <w:bCs w:val="0"/>
                <w:sz w:val="21"/>
                <w:szCs w:val="21"/>
                <w:lang w:val="en-US" w:eastAsia="zh-CN"/>
              </w:rPr>
              <w:t>有一人拥有一本及以上证书的</w:t>
            </w:r>
            <w:r>
              <w:rPr>
                <w:rFonts w:hint="eastAsia" w:asciiTheme="minorEastAsia" w:hAnsiTheme="minorEastAsia" w:eastAsiaTheme="minorEastAsia" w:cstheme="minorEastAsia"/>
                <w:b w:val="0"/>
                <w:bCs w:val="0"/>
                <w:sz w:val="21"/>
                <w:szCs w:val="21"/>
              </w:rPr>
              <w:t>得0.5分，最高得</w:t>
            </w:r>
            <w:r>
              <w:rPr>
                <w:rFonts w:hint="eastAsia" w:asciiTheme="minorEastAsia" w:hAnsiTheme="minorEastAsia" w:eastAsiaTheme="minorEastAsia" w:cstheme="minorEastAsia"/>
                <w:b w:val="0"/>
                <w:bCs w:val="0"/>
                <w:sz w:val="21"/>
                <w:szCs w:val="21"/>
                <w:lang w:val="en-US" w:eastAsia="zh-CN"/>
              </w:rPr>
              <w:t>1.5</w:t>
            </w:r>
            <w:r>
              <w:rPr>
                <w:rFonts w:hint="eastAsia" w:asciiTheme="minorEastAsia" w:hAnsiTheme="minorEastAsia" w:eastAsiaTheme="minorEastAsia" w:cstheme="minorEastAsia"/>
                <w:b w:val="0"/>
                <w:bCs w:val="0"/>
                <w:sz w:val="21"/>
                <w:szCs w:val="21"/>
              </w:rPr>
              <w:t>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一人多证不重复得分</w:t>
            </w:r>
            <w:r>
              <w:rPr>
                <w:rFonts w:hint="eastAsia" w:asciiTheme="minorEastAsia" w:hAnsiTheme="minorEastAsia" w:eastAsiaTheme="minorEastAsia" w:cstheme="minorEastAsia"/>
                <w:b w:val="0"/>
                <w:bCs w:val="0"/>
                <w:sz w:val="21"/>
                <w:szCs w:val="21"/>
              </w:rPr>
              <w:t>。</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注：上述3项评分项中，同一人员的职称证书不可重复使用，需提供上述人员证书扫描件，同时提供人员近三个月在投标人单位缴纳社保的证明材料扫描件，否则不得分。</w:t>
            </w:r>
          </w:p>
        </w:tc>
        <w:tc>
          <w:tcPr>
            <w:tcW w:w="684"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24" w:type="dxa"/>
            <w:vMerge w:val="continue"/>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1102"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投标人业绩</w:t>
            </w:r>
          </w:p>
        </w:tc>
        <w:tc>
          <w:tcPr>
            <w:tcW w:w="6176"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自2021年</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月至投标截止前一天（以合同签订时间为准），投标人承担类似项目实施的经验情况的，每个得1分，最高得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注：需提供合同扫描件，未提供的不得分。</w:t>
            </w:r>
          </w:p>
        </w:tc>
        <w:tc>
          <w:tcPr>
            <w:tcW w:w="684"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24" w:type="dxa"/>
            <w:vMerge w:val="restart"/>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240" w:lineRule="auto"/>
              <w:ind w:firstLine="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售后服务承诺</w:t>
            </w:r>
          </w:p>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12</w:t>
            </w:r>
            <w:r>
              <w:rPr>
                <w:rFonts w:hint="eastAsia" w:asciiTheme="minorEastAsia" w:hAnsiTheme="minorEastAsia" w:eastAsiaTheme="minorEastAsia" w:cstheme="minorEastAsia"/>
                <w:b/>
                <w:bCs/>
                <w:sz w:val="21"/>
                <w:szCs w:val="21"/>
              </w:rPr>
              <w:t>分</w:t>
            </w:r>
          </w:p>
        </w:tc>
        <w:tc>
          <w:tcPr>
            <w:tcW w:w="1102"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质保期</w:t>
            </w:r>
          </w:p>
        </w:tc>
        <w:tc>
          <w:tcPr>
            <w:tcW w:w="6176"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所投的全部硬件产品在三年质保的基础上，每延长一年得2分，最多得6分，延长时间不足一年的不计入得分，质保期不满足招标文件要求的投标无效。</w:t>
            </w:r>
          </w:p>
        </w:tc>
        <w:tc>
          <w:tcPr>
            <w:tcW w:w="684"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24" w:type="dxa"/>
            <w:vMerge w:val="continue"/>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p>
        </w:tc>
        <w:tc>
          <w:tcPr>
            <w:tcW w:w="1102"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售后服务</w:t>
            </w:r>
          </w:p>
        </w:tc>
        <w:tc>
          <w:tcPr>
            <w:tcW w:w="6176"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根据投标人提供的售后服务承诺及方案进行评分：</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① 承诺</w:t>
            </w:r>
            <w:r>
              <w:rPr>
                <w:rFonts w:hint="eastAsia" w:asciiTheme="minorEastAsia" w:hAnsiTheme="minorEastAsia" w:eastAsiaTheme="minorEastAsia" w:cstheme="minorEastAsia"/>
                <w:sz w:val="21"/>
                <w:szCs w:val="21"/>
              </w:rPr>
              <w:t>质量保证期内，在接到设备故障通知后30分钟内响应</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② 承诺</w:t>
            </w:r>
            <w:r>
              <w:rPr>
                <w:rFonts w:hint="eastAsia" w:asciiTheme="minorEastAsia" w:hAnsiTheme="minorEastAsia" w:eastAsiaTheme="minorEastAsia" w:cstheme="minorEastAsia"/>
                <w:sz w:val="21"/>
                <w:szCs w:val="21"/>
              </w:rPr>
              <w:t>对于影响正常运行的严重故障，投标人工程师及其它相关技术人员在接到故障通知后4小时内赶到现场，查找原因，提出解决方案，并工作直至故障修妥完全恢复正常服务为止，保证系统在8小时之内修复</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③ </w:t>
            </w:r>
            <w:r>
              <w:rPr>
                <w:rFonts w:hint="eastAsia" w:asciiTheme="minorEastAsia" w:hAnsiTheme="minorEastAsia" w:eastAsiaTheme="minorEastAsia" w:cstheme="minorEastAsia"/>
                <w:sz w:val="21"/>
                <w:szCs w:val="21"/>
                <w:lang w:eastAsia="zh-CN"/>
              </w:rPr>
              <w:t>提供确保承诺实现的措施</w:t>
            </w:r>
            <w:r>
              <w:rPr>
                <w:rFonts w:hint="eastAsia" w:asciiTheme="minorEastAsia" w:hAnsiTheme="minorEastAsia" w:eastAsiaTheme="minorEastAsia" w:cstheme="minorEastAsia"/>
                <w:sz w:val="21"/>
                <w:szCs w:val="21"/>
                <w:lang w:val="en-US" w:eastAsia="zh-CN"/>
              </w:rPr>
              <w:t>方案</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0.75</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r>
              <w:rPr>
                <w:rFonts w:hint="eastAsia" w:asciiTheme="minorEastAsia" w:hAnsiTheme="minorEastAsia" w:eastAsiaTheme="minorEastAsia" w:cstheme="minorEastAsia"/>
                <w:sz w:val="21"/>
                <w:szCs w:val="21"/>
                <w:lang w:eastAsia="zh-CN"/>
              </w:rPr>
              <w:t>。</w:t>
            </w:r>
          </w:p>
        </w:tc>
        <w:tc>
          <w:tcPr>
            <w:tcW w:w="684"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24" w:type="dxa"/>
            <w:vMerge w:val="continue"/>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pPr>
          </w:p>
        </w:tc>
        <w:tc>
          <w:tcPr>
            <w:tcW w:w="1102"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培训方案</w:t>
            </w:r>
          </w:p>
        </w:tc>
        <w:tc>
          <w:tcPr>
            <w:tcW w:w="6176" w:type="dxa"/>
            <w:tcMar>
              <w:top w:w="57" w:type="dxa"/>
              <w:left w:w="108" w:type="dxa"/>
              <w:bottom w:w="0" w:type="dxa"/>
              <w:right w:w="108" w:type="dxa"/>
            </w:tcMar>
            <w:vAlign w:val="center"/>
          </w:tcPr>
          <w:p>
            <w:pPr>
              <w:widowControl/>
              <w:spacing w:line="240" w:lineRule="auto"/>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根据投标人提供的培训方案进行评分：</w:t>
            </w:r>
          </w:p>
          <w:p>
            <w:pPr>
              <w:widowControl/>
              <w:spacing w:line="240" w:lineRule="auto"/>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培训的内容包含系统使用、系统操作和管理维护培训，软件的日常操作和管理维护以及基本的故障诊断与排错；</w:t>
            </w:r>
          </w:p>
          <w:p>
            <w:pPr>
              <w:widowControl/>
              <w:spacing w:line="240" w:lineRule="auto"/>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培训培训形式包括客户现场培训、课堂培训，并列明相应的培训课程；</w:t>
            </w:r>
          </w:p>
          <w:p>
            <w:pPr>
              <w:widowControl/>
              <w:spacing w:line="240" w:lineRule="auto"/>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投标人应在投标文件中提供详细的培训计划，包括培训项目、人数、地点、日程、资料、其它等详细内容，为所有被培训人员提供培训用文字资料和讲义等相关用品。</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1.25</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r>
              <w:rPr>
                <w:rFonts w:hint="eastAsia"/>
                <w:lang w:eastAsia="zh-CN"/>
              </w:rPr>
              <w:t>。</w:t>
            </w:r>
          </w:p>
        </w:tc>
        <w:tc>
          <w:tcPr>
            <w:tcW w:w="684" w:type="dxa"/>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324" w:type="dxa"/>
            <w:tcMar>
              <w:top w:w="57"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价格</w:t>
            </w:r>
            <w:r>
              <w:rPr>
                <w:rFonts w:hint="eastAsia" w:asciiTheme="minorEastAsia" w:hAnsiTheme="minorEastAsia" w:eastAsiaTheme="minorEastAsia" w:cstheme="minorEastAsia"/>
                <w:b/>
                <w:sz w:val="21"/>
                <w:szCs w:val="21"/>
                <w:highlight w:val="none"/>
                <w:lang w:val="en-US" w:eastAsia="zh-CN"/>
              </w:rPr>
              <w:t>30</w:t>
            </w:r>
            <w:r>
              <w:rPr>
                <w:rFonts w:hint="eastAsia" w:asciiTheme="minorEastAsia" w:hAnsiTheme="minorEastAsia" w:eastAsiaTheme="minorEastAsia" w:cstheme="minorEastAsia"/>
                <w:b/>
                <w:sz w:val="21"/>
                <w:szCs w:val="21"/>
                <w:highlight w:val="none"/>
              </w:rPr>
              <w:t>分</w:t>
            </w:r>
          </w:p>
        </w:tc>
        <w:tc>
          <w:tcPr>
            <w:tcW w:w="7278" w:type="dxa"/>
            <w:gridSpan w:val="2"/>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以合格投标人有效投标总报价中的最低价为基准价，基准价为</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分。投标报价得分＝（评标基准价/投标报价）×</w:t>
            </w:r>
            <w:r>
              <w:rPr>
                <w:rFonts w:hint="eastAsia" w:asciiTheme="minorEastAsia" w:hAnsiTheme="minorEastAsia" w:eastAsiaTheme="minorEastAsia" w:cstheme="minorEastAsia"/>
                <w:kern w:val="0"/>
                <w:sz w:val="21"/>
                <w:szCs w:val="21"/>
                <w:highlight w:val="none"/>
                <w:lang w:val="en-US" w:eastAsia="zh-CN"/>
              </w:rPr>
              <w:t>30</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kern w:val="0"/>
                <w:sz w:val="21"/>
                <w:szCs w:val="21"/>
                <w:highlight w:val="none"/>
              </w:rPr>
              <w:t>100</w:t>
            </w:r>
            <w:r>
              <w:rPr>
                <w:rFonts w:hint="eastAsia" w:asciiTheme="minorEastAsia" w:hAnsiTheme="minorEastAsia" w:eastAsiaTheme="minorEastAsia" w:cstheme="minorEastAsia"/>
                <w:sz w:val="21"/>
                <w:szCs w:val="21"/>
                <w:highlight w:val="none"/>
              </w:rPr>
              <w:t>（小数点后保留2位小数）。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w:t>
            </w:r>
            <w:r>
              <w:rPr>
                <w:rFonts w:hint="eastAsia" w:asciiTheme="minorEastAsia" w:hAnsiTheme="minorEastAsia" w:eastAsiaTheme="minorEastAsia" w:cstheme="minorEastAsia"/>
                <w:sz w:val="21"/>
                <w:szCs w:val="21"/>
                <w:highlight w:val="none"/>
              </w:rPr>
              <w:t>符合本章第</w:t>
            </w:r>
            <w:r>
              <w:rPr>
                <w:rFonts w:hint="eastAsia" w:asciiTheme="minorEastAsia" w:hAnsiTheme="minorEastAsia" w:eastAsiaTheme="minorEastAsia" w:cstheme="minorEastAsia"/>
                <w:sz w:val="21"/>
                <w:szCs w:val="21"/>
                <w:highlight w:val="none"/>
                <w:lang w:val="en-US" w:eastAsia="zh-CN"/>
              </w:rPr>
              <w:t>七</w:t>
            </w:r>
            <w:r>
              <w:rPr>
                <w:rFonts w:hint="eastAsia" w:asciiTheme="minorEastAsia" w:hAnsiTheme="minorEastAsia" w:eastAsiaTheme="minorEastAsia" w:cstheme="minorEastAsia"/>
                <w:sz w:val="21"/>
                <w:szCs w:val="21"/>
                <w:highlight w:val="none"/>
              </w:rPr>
              <w:t>点政府采购政策的，</w:t>
            </w:r>
            <w:r>
              <w:rPr>
                <w:rFonts w:hint="eastAsia" w:asciiTheme="minorEastAsia" w:hAnsiTheme="minorEastAsia" w:eastAsiaTheme="minorEastAsia" w:cstheme="minorEastAsia"/>
                <w:sz w:val="21"/>
                <w:szCs w:val="21"/>
                <w:highlight w:val="none"/>
                <w:lang w:val="en-US" w:eastAsia="zh-CN"/>
              </w:rPr>
              <w:t>根据对应情形，</w:t>
            </w:r>
            <w:r>
              <w:rPr>
                <w:rFonts w:hint="eastAsia" w:asciiTheme="minorEastAsia" w:hAnsiTheme="minorEastAsia" w:eastAsiaTheme="minorEastAsia" w:cstheme="minorEastAsia"/>
                <w:sz w:val="21"/>
                <w:szCs w:val="21"/>
                <w:highlight w:val="none"/>
              </w:rPr>
              <w:t>对报价给予</w:t>
            </w:r>
            <w:r>
              <w:rPr>
                <w:rFonts w:hint="eastAsia" w:asciiTheme="minorEastAsia" w:hAnsiTheme="minorEastAsia" w:eastAsiaTheme="minorEastAsia" w:cstheme="minorEastAsia"/>
                <w:sz w:val="21"/>
                <w:szCs w:val="21"/>
                <w:highlight w:val="none"/>
                <w:u w:val="single"/>
                <w:lang w:val="en-US" w:eastAsia="zh-CN"/>
              </w:rPr>
              <w:t xml:space="preserve"> 10%</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none"/>
                <w:lang w:val="en-US" w:eastAsia="zh-CN"/>
              </w:rPr>
              <w:t>或</w:t>
            </w:r>
            <w:r>
              <w:rPr>
                <w:rFonts w:hint="eastAsia" w:asciiTheme="minorEastAsia" w:hAnsiTheme="minorEastAsia" w:eastAsiaTheme="minorEastAsia" w:cstheme="minorEastAsia"/>
                <w:sz w:val="21"/>
                <w:szCs w:val="21"/>
                <w:highlight w:val="none"/>
                <w:u w:val="single"/>
                <w:lang w:val="en-US" w:eastAsia="zh-CN"/>
              </w:rPr>
              <w:t xml:space="preserve"> 4% </w:t>
            </w:r>
            <w:r>
              <w:rPr>
                <w:rFonts w:hint="eastAsia" w:asciiTheme="minorEastAsia" w:hAnsiTheme="minorEastAsia" w:eastAsiaTheme="minorEastAsia" w:cstheme="minorEastAsia"/>
                <w:sz w:val="21"/>
                <w:szCs w:val="21"/>
                <w:highlight w:val="none"/>
              </w:rPr>
              <w:t>的价格扣除，用扣除后的价格参与评审。</w:t>
            </w:r>
          </w:p>
        </w:tc>
        <w:tc>
          <w:tcPr>
            <w:tcW w:w="684" w:type="dxa"/>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30</w:t>
            </w:r>
          </w:p>
        </w:tc>
      </w:tr>
    </w:tbl>
    <w:p>
      <w:pPr>
        <w:spacing w:line="360" w:lineRule="auto"/>
        <w:rPr>
          <w:rFonts w:hint="eastAsia"/>
          <w:highlight w:val="none"/>
        </w:rPr>
      </w:pPr>
    </w:p>
    <w:p>
      <w:pPr>
        <w:spacing w:line="360" w:lineRule="auto"/>
        <w:rPr>
          <w:rFonts w:hint="eastAsia"/>
          <w:highlight w:val="none"/>
        </w:rPr>
      </w:pPr>
      <w:r>
        <w:rPr>
          <w:rFonts w:hint="eastAsia"/>
          <w:highlight w:val="none"/>
        </w:rPr>
        <w:t>注：①请扫描上传合同、证书、报告及其他相关证明材料的原件</w:t>
      </w:r>
      <w:r>
        <w:rPr>
          <w:rFonts w:hint="eastAsia"/>
          <w:highlight w:val="none"/>
          <w:lang w:val="en-US" w:eastAsia="zh-CN"/>
        </w:rPr>
        <w:t>扫描件</w:t>
      </w:r>
      <w:r>
        <w:rPr>
          <w:rFonts w:hint="eastAsia"/>
          <w:highlight w:val="none"/>
        </w:rPr>
        <w:t>至投标文件，并加盖公章。</w:t>
      </w:r>
    </w:p>
    <w:p>
      <w:pPr>
        <w:spacing w:line="360" w:lineRule="auto"/>
        <w:rPr>
          <w:rFonts w:hint="eastAsia"/>
          <w:color w:val="auto"/>
        </w:rPr>
      </w:pPr>
      <w:r>
        <w:rPr>
          <w:rFonts w:hint="eastAsia"/>
          <w:color w:val="auto"/>
          <w:highlight w:val="none"/>
          <w:lang w:val="en-US" w:eastAsia="zh-CN"/>
        </w:rPr>
        <w:t>②对省级以上主管部门认定的首台套产品，自纳入《</w:t>
      </w:r>
      <w:r>
        <w:rPr>
          <w:rFonts w:hint="eastAsia"/>
          <w:color w:val="auto"/>
          <w:lang w:val="en-US" w:eastAsia="zh-CN"/>
        </w:rPr>
        <w:t>省推广应用指导目录》起三年内参加政府采购活动时,视同已具备相应销售业绩，业绩分为满分。</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hint="eastAsia" w:ascii="宋体" w:hAnsi="宋体" w:cs="宋体"/>
          <w:sz w:val="24"/>
        </w:rPr>
      </w:pPr>
      <w:r>
        <w:rPr>
          <w:rFonts w:hint="eastAsia" w:ascii="宋体" w:hAnsi="宋体" w:cs="宋体"/>
          <w:sz w:val="24"/>
        </w:rPr>
        <w:t>评标委员会根据全体评标成员签字的原始评标记录和评标结果编写评标报告。</w:t>
      </w:r>
      <w:bookmarkStart w:id="37" w:name="_Toc27944_WPSOffice_Level1"/>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7"/>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2"/>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2"/>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2"/>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2"/>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2"/>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w:t>
      </w:r>
      <w:r>
        <w:rPr>
          <w:rFonts w:hint="eastAsia" w:asciiTheme="minorEastAsia" w:hAnsiTheme="minorEastAsia" w:eastAsiaTheme="minorEastAsia"/>
          <w:sz w:val="24"/>
          <w:lang w:eastAsia="zh-CN"/>
        </w:rPr>
        <w:t>给予</w:t>
      </w:r>
      <w:r>
        <w:rPr>
          <w:rFonts w:asciiTheme="minorEastAsia" w:hAnsiTheme="minorEastAsia" w:eastAsiaTheme="minorEastAsia"/>
          <w:sz w:val="24"/>
        </w:rPr>
        <w:t>履行本合同无关的任何其他人。即使向履行本合同有关的人员提供，也应注意保密并限于履行合同的必需范围。</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由乙方赔偿甲方因此遭受的损失（包括但不限于应对及追偿过程中所支付的律师费、差旅费、诉讼费、保全费、鉴定费、评估费等）。</w:t>
      </w:r>
    </w:p>
    <w:p>
      <w:pPr>
        <w:pStyle w:val="12"/>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2"/>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2"/>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2"/>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2"/>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2"/>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w:t>
      </w:r>
      <w:r>
        <w:rPr>
          <w:rFonts w:hint="eastAsia" w:asciiTheme="minorEastAsia" w:hAnsiTheme="minorEastAsia" w:eastAsiaTheme="minorEastAsia"/>
          <w:sz w:val="24"/>
          <w:lang w:eastAsia="zh-CN"/>
        </w:rPr>
        <w:t>终身维修</w:t>
      </w:r>
      <w:r>
        <w:rPr>
          <w:rFonts w:asciiTheme="minorEastAsia" w:hAnsiTheme="minorEastAsia" w:eastAsiaTheme="minorEastAsia"/>
          <w:sz w:val="24"/>
        </w:rPr>
        <w:t>，维修时只收部件成本费。</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2"/>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w:t>
      </w:r>
      <w:r>
        <w:rPr>
          <w:rFonts w:hint="eastAsia" w:asciiTheme="minorEastAsia" w:hAnsiTheme="minorEastAsia" w:eastAsiaTheme="minorEastAsia"/>
          <w:sz w:val="24"/>
          <w:lang w:eastAsia="zh-CN"/>
        </w:rPr>
        <w:t>作</w:t>
      </w:r>
      <w:r>
        <w:rPr>
          <w:rFonts w:asciiTheme="minorEastAsia" w:hAnsiTheme="minorEastAsia" w:eastAsiaTheme="minorEastAsia"/>
          <w:sz w:val="24"/>
        </w:rPr>
        <w:t>最终验收。</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w:t>
      </w:r>
      <w:r>
        <w:rPr>
          <w:rFonts w:hint="eastAsia" w:asciiTheme="minorEastAsia" w:hAnsiTheme="minorEastAsia" w:eastAsiaTheme="minorEastAsia"/>
          <w:sz w:val="24"/>
          <w:lang w:eastAsia="zh-CN"/>
        </w:rPr>
        <w:t>做出</w:t>
      </w:r>
      <w:r>
        <w:rPr>
          <w:rFonts w:asciiTheme="minorEastAsia" w:hAnsiTheme="minorEastAsia" w:eastAsiaTheme="minorEastAsia"/>
          <w:sz w:val="24"/>
        </w:rPr>
        <w:t>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w:t>
      </w:r>
      <w:r>
        <w:rPr>
          <w:rFonts w:hint="eastAsia" w:asciiTheme="minorEastAsia" w:hAnsiTheme="minorEastAsia" w:eastAsiaTheme="minorEastAsia"/>
          <w:sz w:val="24"/>
          <w:lang w:eastAsia="zh-CN"/>
        </w:rPr>
        <w:t>〔2020〕</w:t>
      </w:r>
      <w:r>
        <w:rPr>
          <w:rFonts w:hint="eastAsia" w:asciiTheme="minorEastAsia" w:hAnsiTheme="minorEastAsia" w:eastAsiaTheme="minorEastAsia"/>
          <w:sz w:val="24"/>
        </w:rPr>
        <w:t>123号）。</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甲方</w:t>
      </w:r>
      <w:r>
        <w:rPr>
          <w:rFonts w:hint="eastAsia" w:asciiTheme="minorEastAsia" w:hAnsiTheme="minorEastAsia" w:eastAsiaTheme="minorEastAsia"/>
          <w:color w:val="auto"/>
          <w:sz w:val="24"/>
          <w:lang w:val="en-US" w:eastAsia="zh-CN"/>
        </w:rPr>
        <w:t>无</w:t>
      </w:r>
      <w:r>
        <w:rPr>
          <w:rFonts w:hint="eastAsia" w:asciiTheme="minorEastAsia" w:hAnsiTheme="minorEastAsia" w:eastAsiaTheme="minorEastAsia"/>
          <w:color w:val="auto"/>
          <w:sz w:val="24"/>
          <w:lang w:eastAsia="zh-CN"/>
        </w:rPr>
        <w:t>正当理由</w:t>
      </w:r>
      <w:r>
        <w:rPr>
          <w:rFonts w:asciiTheme="minorEastAsia" w:hAnsiTheme="minorEastAsia" w:eastAsiaTheme="minorEastAsia"/>
          <w:color w:val="auto"/>
          <w:sz w:val="24"/>
        </w:rPr>
        <w:t>逾期验收和办理货款支付手续的</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甲方应按逾期付款总额每日</w:t>
      </w:r>
      <w:r>
        <w:rPr>
          <w:rFonts w:asciiTheme="minorEastAsia" w:hAnsiTheme="minorEastAsia" w:eastAsiaTheme="minorEastAsia"/>
          <w:color w:val="auto"/>
          <w:sz w:val="24"/>
          <w:u w:val="single"/>
        </w:rPr>
        <w:t>万分之五</w:t>
      </w:r>
      <w:r>
        <w:rPr>
          <w:rFonts w:asciiTheme="minorEastAsia" w:hAnsiTheme="minorEastAsia" w:eastAsiaTheme="minorEastAsia"/>
          <w:color w:val="auto"/>
          <w:sz w:val="24"/>
        </w:rPr>
        <w:t>向乙方支付违约金。</w:t>
      </w:r>
    </w:p>
    <w:p>
      <w:pPr>
        <w:pStyle w:val="1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乙方逾期交付货物的，乙方应按逾期交货总额每日</w:t>
      </w:r>
      <w:r>
        <w:rPr>
          <w:rFonts w:asciiTheme="minorEastAsia" w:hAnsiTheme="minorEastAsia" w:eastAsiaTheme="minorEastAsia"/>
          <w:color w:val="auto"/>
          <w:sz w:val="24"/>
          <w:u w:val="single"/>
        </w:rPr>
        <w:t>千分之六</w:t>
      </w:r>
      <w:r>
        <w:rPr>
          <w:rFonts w:asciiTheme="minorEastAsia" w:hAnsiTheme="minorEastAsia" w:eastAsiaTheme="minorEastAsia"/>
          <w:color w:val="auto"/>
          <w:sz w:val="24"/>
        </w:rPr>
        <w:t>向甲方支付违约金，由甲方从待付货款中扣除。逾期超过约定日期</w:t>
      </w:r>
      <w:r>
        <w:rPr>
          <w:rFonts w:hint="eastAsia" w:asciiTheme="minorEastAsia" w:hAnsiTheme="minorEastAsia" w:eastAsiaTheme="minorEastAsia"/>
          <w:color w:val="auto"/>
          <w:sz w:val="24"/>
          <w:u w:val="single"/>
          <w:lang w:val="en-US" w:eastAsia="zh-CN"/>
        </w:rPr>
        <w:t>10</w:t>
      </w:r>
      <w:r>
        <w:rPr>
          <w:rFonts w:asciiTheme="minorEastAsia" w:hAnsiTheme="minorEastAsia" w:eastAsiaTheme="minorEastAsia"/>
          <w:color w:val="auto"/>
          <w:sz w:val="24"/>
        </w:rPr>
        <w:t>个工作日不能交货的，甲方可</w:t>
      </w:r>
      <w:r>
        <w:rPr>
          <w:rFonts w:hint="eastAsia" w:asciiTheme="minorEastAsia" w:hAnsiTheme="minorEastAsia" w:eastAsiaTheme="minorEastAsia"/>
          <w:color w:val="auto"/>
          <w:sz w:val="24"/>
          <w:lang w:val="en-US" w:eastAsia="zh-CN"/>
        </w:rPr>
        <w:t>单方面</w:t>
      </w:r>
      <w:r>
        <w:rPr>
          <w:rFonts w:asciiTheme="minorEastAsia" w:hAnsiTheme="minorEastAsia" w:eastAsiaTheme="minorEastAsia"/>
          <w:color w:val="auto"/>
          <w:sz w:val="24"/>
        </w:rPr>
        <w:t>解除本合同</w:t>
      </w:r>
      <w:r>
        <w:rPr>
          <w:rFonts w:hint="eastAsia" w:asciiTheme="minorEastAsia" w:hAnsiTheme="minorEastAsia" w:eastAsiaTheme="minorEastAsia"/>
          <w:color w:val="auto"/>
          <w:sz w:val="24"/>
          <w:lang w:eastAsia="zh-CN"/>
        </w:rPr>
        <w:t>，同时乙方应</w:t>
      </w:r>
      <w:r>
        <w:rPr>
          <w:rFonts w:hint="eastAsia" w:asciiTheme="minorEastAsia" w:hAnsiTheme="minorEastAsia" w:eastAsiaTheme="minorEastAsia"/>
          <w:color w:val="auto"/>
          <w:sz w:val="24"/>
          <w:lang w:val="en-US" w:eastAsia="zh-CN"/>
        </w:rPr>
        <w:t>向甲方支付</w:t>
      </w:r>
      <w:r>
        <w:rPr>
          <w:rFonts w:hint="eastAsia" w:asciiTheme="minorEastAsia" w:hAnsiTheme="minorEastAsia" w:eastAsiaTheme="minorEastAsia"/>
          <w:color w:val="auto"/>
          <w:sz w:val="24"/>
          <w:lang w:eastAsia="zh-CN"/>
        </w:rPr>
        <w:t>合同</w:t>
      </w:r>
      <w:r>
        <w:rPr>
          <w:rFonts w:hint="eastAsia" w:asciiTheme="minorEastAsia" w:hAnsiTheme="minorEastAsia" w:eastAsiaTheme="minorEastAsia"/>
          <w:color w:val="auto"/>
          <w:sz w:val="24"/>
          <w:lang w:val="en-US" w:eastAsia="zh-CN"/>
        </w:rPr>
        <w:t>总值</w:t>
      </w:r>
      <w:r>
        <w:rPr>
          <w:rFonts w:hint="eastAsia" w:asciiTheme="minorEastAsia" w:hAnsiTheme="minorEastAsia" w:eastAsiaTheme="minorEastAsia"/>
          <w:color w:val="auto"/>
          <w:sz w:val="24"/>
          <w:u w:val="single"/>
          <w:lang w:val="en-US" w:eastAsia="zh-CN"/>
        </w:rPr>
        <w:t>百分之三十</w:t>
      </w:r>
      <w:r>
        <w:rPr>
          <w:rFonts w:hint="eastAsia" w:asciiTheme="minorEastAsia" w:hAnsiTheme="minorEastAsia" w:eastAsiaTheme="minorEastAsia"/>
          <w:color w:val="auto"/>
          <w:sz w:val="24"/>
          <w:lang w:val="en-US" w:eastAsia="zh-CN"/>
        </w:rPr>
        <w:t>的违约金</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如造成甲方损失超过违约金的</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 xml:space="preserve">超出部分由乙方继续承担赔偿责任。 </w:t>
      </w:r>
    </w:p>
    <w:p>
      <w:pPr>
        <w:pStyle w:val="1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Theme="minorEastAsia" w:hAnsiTheme="minorEastAsia" w:eastAsiaTheme="minorEastAsia"/>
          <w:color w:val="auto"/>
          <w:sz w:val="24"/>
          <w:lang w:eastAsia="zh-CN"/>
        </w:rPr>
        <w:t>，同时可要求乙方承担合同总额</w:t>
      </w:r>
      <w:r>
        <w:rPr>
          <w:rFonts w:hint="eastAsia" w:asciiTheme="minorEastAsia" w:hAnsiTheme="minorEastAsia" w:eastAsiaTheme="minorEastAsia"/>
          <w:color w:val="auto"/>
          <w:sz w:val="24"/>
          <w:u w:val="single"/>
          <w:lang w:val="en-US" w:eastAsia="zh-CN"/>
        </w:rPr>
        <w:t>百分之三十</w:t>
      </w:r>
      <w:r>
        <w:rPr>
          <w:rFonts w:hint="eastAsia" w:asciiTheme="minorEastAsia" w:hAnsiTheme="minorEastAsia" w:eastAsiaTheme="minorEastAsia"/>
          <w:color w:val="auto"/>
          <w:sz w:val="24"/>
          <w:lang w:val="en-US" w:eastAsia="zh-CN"/>
        </w:rPr>
        <w:t>的违约金</w:t>
      </w:r>
      <w:r>
        <w:rPr>
          <w:rFonts w:asciiTheme="minorEastAsia" w:hAnsiTheme="minorEastAsia" w:eastAsiaTheme="minorEastAsia"/>
          <w:color w:val="auto"/>
          <w:sz w:val="24"/>
        </w:rPr>
        <w:t>。如造成甲方损失超过违约金的</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超出部分由乙方继续承担赔偿责任。</w:t>
      </w:r>
    </w:p>
    <w:p>
      <w:pPr>
        <w:pStyle w:val="12"/>
        <w:snapToGrid w:val="0"/>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五</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乙方</w:t>
      </w:r>
      <w:r>
        <w:rPr>
          <w:rFonts w:hint="eastAsia" w:asciiTheme="minorEastAsia" w:hAnsiTheme="minorEastAsia" w:eastAsiaTheme="minorEastAsia"/>
          <w:color w:val="auto"/>
          <w:sz w:val="24"/>
        </w:rPr>
        <w:t>违反本合同</w:t>
      </w:r>
      <w:r>
        <w:rPr>
          <w:rFonts w:hint="eastAsia" w:asciiTheme="minorEastAsia" w:hAnsiTheme="minorEastAsia" w:eastAsiaTheme="minorEastAsia"/>
          <w:color w:val="auto"/>
          <w:sz w:val="24"/>
          <w:lang w:val="en-US" w:eastAsia="zh-CN"/>
        </w:rPr>
        <w:t>上述</w:t>
      </w:r>
      <w:r>
        <w:rPr>
          <w:rFonts w:hint="eastAsia" w:asciiTheme="minorEastAsia" w:hAnsiTheme="minorEastAsia" w:eastAsiaTheme="minorEastAsia"/>
          <w:color w:val="auto"/>
          <w:sz w:val="24"/>
        </w:rPr>
        <w:t>条款</w:t>
      </w:r>
      <w:r>
        <w:rPr>
          <w:rFonts w:hint="eastAsia" w:asciiTheme="minorEastAsia" w:hAnsiTheme="minorEastAsia" w:eastAsiaTheme="minorEastAsia"/>
          <w:color w:val="auto"/>
          <w:sz w:val="24"/>
          <w:lang w:val="en-US" w:eastAsia="zh-CN"/>
        </w:rPr>
        <w:t>以外的其他各条款</w:t>
      </w:r>
      <w:r>
        <w:rPr>
          <w:rFonts w:hint="eastAsia" w:asciiTheme="minorEastAsia" w:hAnsiTheme="minorEastAsia" w:eastAsiaTheme="minorEastAsia"/>
          <w:color w:val="auto"/>
          <w:sz w:val="24"/>
        </w:rPr>
        <w:t>约定的，均应承担合同总额</w:t>
      </w:r>
      <w:r>
        <w:rPr>
          <w:rFonts w:hint="eastAsia" w:asciiTheme="minorEastAsia" w:hAnsiTheme="minorEastAsia" w:eastAsiaTheme="minorEastAsia"/>
          <w:color w:val="auto"/>
          <w:sz w:val="24"/>
          <w:u w:val="single"/>
          <w:lang w:val="en-US" w:eastAsia="zh-CN"/>
        </w:rPr>
        <w:t>百分之二十</w:t>
      </w:r>
      <w:r>
        <w:rPr>
          <w:rFonts w:hint="eastAsia" w:asciiTheme="minorEastAsia" w:hAnsiTheme="minorEastAsia" w:eastAsiaTheme="minorEastAsia"/>
          <w:color w:val="auto"/>
          <w:sz w:val="24"/>
        </w:rPr>
        <w:t>的违约金</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如造成甲方损失超过违约金的</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超出部分由乙方继续承担赔偿责任。</w:t>
      </w:r>
    </w:p>
    <w:p>
      <w:pPr>
        <w:pStyle w:val="1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六</w:t>
      </w:r>
      <w:r>
        <w:rPr>
          <w:rFonts w:hint="eastAsia" w:asciiTheme="minorEastAsia" w:hAnsiTheme="minorEastAsia" w:eastAsiaTheme="minorEastAsia"/>
          <w:color w:val="auto"/>
          <w:sz w:val="24"/>
        </w:rPr>
        <w:t>）若发生纠纷，由违约方赔偿守约方因纠纷所支付的费用（包括但不限于律师费、差旅费、诉讼费、保全费、鉴定费、评估费等）。</w:t>
      </w:r>
    </w:p>
    <w:p>
      <w:pPr>
        <w:pStyle w:val="12"/>
        <w:snapToGri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、不可抗力事件处理</w:t>
      </w:r>
    </w:p>
    <w:p>
      <w:pPr>
        <w:pStyle w:val="1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在合同有效期内，任何一方因不可抗力事件导致不能履行合同，则合同履行期可延长，其延长期与不可抗力影响期相同。</w:t>
      </w:r>
    </w:p>
    <w:p>
      <w:pPr>
        <w:pStyle w:val="1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不可抗力事件发生后，应立即通知对方，并寄送有关权威机构出具的证明。</w:t>
      </w:r>
    </w:p>
    <w:p>
      <w:pPr>
        <w:pStyle w:val="12"/>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不可抗力事件延续120天以上，双方应通过友好协商，确定是否继续履行合同。</w:t>
      </w:r>
    </w:p>
    <w:p>
      <w:pPr>
        <w:pStyle w:val="12"/>
        <w:snapToGri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八</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解决争议的方法</w:t>
      </w:r>
    </w:p>
    <w:p>
      <w:pPr>
        <w:pStyle w:val="12"/>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如双方在履行合同时发生纠纷，应协商解决；协商不成时，可提请政府采购</w:t>
      </w:r>
      <w:r>
        <w:rPr>
          <w:rFonts w:hint="eastAsia" w:asciiTheme="minorEastAsia" w:hAnsiTheme="minorEastAsia" w:eastAsiaTheme="minorEastAsia"/>
          <w:color w:val="auto"/>
          <w:sz w:val="24"/>
          <w:lang w:val="en-US" w:eastAsia="zh-CN"/>
        </w:rPr>
        <w:t>监管处</w:t>
      </w:r>
      <w:r>
        <w:rPr>
          <w:rFonts w:asciiTheme="minorEastAsia" w:hAnsiTheme="minorEastAsia" w:eastAsiaTheme="minorEastAsia"/>
          <w:color w:val="auto"/>
          <w:sz w:val="24"/>
        </w:rPr>
        <w:t>调解；调解不成的通过</w:t>
      </w:r>
      <w:r>
        <w:rPr>
          <w:rFonts w:hint="eastAsia" w:asciiTheme="minorEastAsia" w:hAnsiTheme="minorEastAsia" w:eastAsiaTheme="minorEastAsia"/>
          <w:color w:val="auto"/>
          <w:sz w:val="24"/>
        </w:rPr>
        <w:t>以下第（  ）方式解决</w:t>
      </w:r>
      <w:r>
        <w:rPr>
          <w:rFonts w:asciiTheme="minorEastAsia" w:hAnsiTheme="minorEastAsia" w:eastAsiaTheme="minorEastAsia"/>
          <w:color w:val="auto"/>
          <w:sz w:val="24"/>
        </w:rPr>
        <w:t>：</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w:t>
      </w:r>
      <w:r>
        <w:rPr>
          <w:rFonts w:ascii="宋体" w:hAnsi="宋体" w:cs="宋体"/>
          <w:color w:val="auto"/>
          <w:kern w:val="0"/>
          <w:sz w:val="24"/>
        </w:rPr>
        <w:t>提交</w:t>
      </w:r>
      <w:r>
        <w:rPr>
          <w:rFonts w:hAnsi="宋体"/>
          <w:color w:val="auto"/>
          <w:sz w:val="24"/>
          <w:u w:val="single"/>
        </w:rPr>
        <w:t>台州</w:t>
      </w:r>
      <w:r>
        <w:rPr>
          <w:rFonts w:ascii="宋体" w:hAnsi="宋体" w:cs="宋体"/>
          <w:color w:val="auto"/>
          <w:kern w:val="0"/>
          <w:sz w:val="24"/>
        </w:rPr>
        <w:t>仲裁委员会仲裁。</w:t>
      </w:r>
    </w:p>
    <w:p>
      <w:pPr>
        <w:widowControl/>
        <w:spacing w:line="360" w:lineRule="auto"/>
        <w:ind w:firstLine="480" w:firstLineChars="200"/>
        <w:rPr>
          <w:color w:val="auto"/>
          <w:sz w:val="24"/>
        </w:rPr>
      </w:pPr>
      <w:r>
        <w:rPr>
          <w:rFonts w:hint="eastAsia" w:ascii="宋体" w:hAnsi="宋体" w:cs="宋体"/>
          <w:color w:val="auto"/>
          <w:kern w:val="0"/>
          <w:sz w:val="24"/>
        </w:rPr>
        <w:t>（二）</w:t>
      </w:r>
      <w:r>
        <w:rPr>
          <w:rFonts w:ascii="宋体" w:hAnsi="宋体" w:cs="宋体"/>
          <w:color w:val="auto"/>
          <w:kern w:val="0"/>
          <w:sz w:val="24"/>
        </w:rPr>
        <w:t>依法向</w:t>
      </w:r>
      <w:r>
        <w:rPr>
          <w:rFonts w:hint="eastAsia" w:ascii="宋体" w:hAnsi="宋体" w:cs="宋体"/>
          <w:color w:val="auto"/>
          <w:kern w:val="0"/>
          <w:sz w:val="24"/>
          <w:lang w:val="en-US" w:eastAsia="zh-CN"/>
        </w:rPr>
        <w:t>甲方所在地</w:t>
      </w:r>
      <w:r>
        <w:rPr>
          <w:rFonts w:ascii="宋体" w:hAnsi="宋体" w:cs="宋体"/>
          <w:color w:val="auto"/>
          <w:kern w:val="0"/>
          <w:sz w:val="24"/>
        </w:rPr>
        <w:t xml:space="preserve">人民法院提起诉讼。 </w:t>
      </w:r>
    </w:p>
    <w:p>
      <w:pPr>
        <w:pStyle w:val="12"/>
        <w:tabs>
          <w:tab w:val="left" w:pos="5790"/>
        </w:tabs>
        <w:snapToGri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、合同生效</w:t>
      </w:r>
      <w:r>
        <w:rPr>
          <w:rFonts w:hint="eastAsia" w:asciiTheme="minorEastAsia" w:hAnsiTheme="minorEastAsia" w:eastAsiaTheme="minorEastAsia"/>
          <w:b/>
          <w:color w:val="auto"/>
          <w:sz w:val="24"/>
          <w:lang w:eastAsia="zh-CN"/>
        </w:rPr>
        <w:t>及其他</w:t>
      </w:r>
      <w:r>
        <w:rPr>
          <w:rFonts w:asciiTheme="minorEastAsia" w:hAnsiTheme="minorEastAsia" w:eastAsiaTheme="minorEastAsia"/>
          <w:b/>
          <w:color w:val="auto"/>
          <w:sz w:val="24"/>
        </w:rPr>
        <w:tab/>
      </w:r>
    </w:p>
    <w:p>
      <w:pPr>
        <w:pStyle w:val="11"/>
        <w:widowControl/>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（一）</w:t>
      </w:r>
      <w:r>
        <w:rPr>
          <w:rFonts w:asciiTheme="minorEastAsia" w:hAnsiTheme="minorEastAsia" w:eastAsiaTheme="minorEastAsia"/>
          <w:color w:val="auto"/>
        </w:rPr>
        <w:t>合同经双方加盖单位公章</w:t>
      </w:r>
      <w:r>
        <w:rPr>
          <w:rFonts w:hint="eastAsia" w:asciiTheme="minorEastAsia" w:hAnsiTheme="minorEastAsia" w:eastAsiaTheme="minorEastAsia"/>
          <w:color w:val="auto"/>
          <w:lang w:eastAsia="zh-CN"/>
        </w:rPr>
        <w:t>之日起</w:t>
      </w:r>
      <w:r>
        <w:rPr>
          <w:rFonts w:asciiTheme="minorEastAsia" w:hAnsiTheme="minorEastAsia" w:eastAsiaTheme="minorEastAsia"/>
          <w:color w:val="auto"/>
        </w:rPr>
        <w:t>生效。</w:t>
      </w:r>
    </w:p>
    <w:p>
      <w:pPr>
        <w:pStyle w:val="11"/>
        <w:widowControl/>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（二）</w:t>
      </w:r>
      <w:r>
        <w:rPr>
          <w:rFonts w:asciiTheme="minorEastAsia" w:hAnsiTheme="minorEastAsia" w:eastAsiaTheme="minorEastAsia"/>
          <w:color w:val="auto"/>
        </w:rPr>
        <w:t>本合同未尽事宜，遵照</w:t>
      </w:r>
      <w:r>
        <w:rPr>
          <w:rFonts w:hint="eastAsia" w:ascii="宋体" w:hAnsi="宋体" w:eastAsia="宋体" w:cs="宋体"/>
          <w:color w:val="auto"/>
        </w:rPr>
        <w:t>《</w:t>
      </w:r>
      <w:r>
        <w:rPr>
          <w:rFonts w:hint="eastAsia" w:ascii="宋体" w:hAnsi="宋体" w:eastAsia="宋体" w:cs="宋体"/>
          <w:color w:val="auto"/>
          <w:szCs w:val="21"/>
          <w:shd w:val="clear" w:color="auto" w:fill="FFFFFF"/>
        </w:rPr>
        <w:t>中华人民共和国民法典</w:t>
      </w:r>
      <w:r>
        <w:rPr>
          <w:rFonts w:hint="eastAsia" w:ascii="宋体" w:hAnsi="宋体" w:eastAsia="宋体" w:cs="宋体"/>
          <w:color w:val="auto"/>
        </w:rPr>
        <w:t>》有关</w:t>
      </w:r>
      <w:r>
        <w:rPr>
          <w:rFonts w:asciiTheme="minorEastAsia" w:hAnsiTheme="minorEastAsia" w:eastAsiaTheme="minorEastAsia"/>
          <w:color w:val="auto"/>
        </w:rPr>
        <w:t>条文执行。</w:t>
      </w:r>
    </w:p>
    <w:p>
      <w:pPr>
        <w:pStyle w:val="11"/>
        <w:widowControl/>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（三）本合同一式两份，甲、乙双方各执一份</w:t>
      </w:r>
      <w:r>
        <w:rPr>
          <w:rFonts w:hint="eastAsia" w:asciiTheme="minorEastAsia" w:hAnsiTheme="minorEastAsia" w:eastAsiaTheme="minorEastAsia"/>
          <w:color w:val="auto"/>
          <w:lang w:eastAsia="zh-CN"/>
        </w:rPr>
        <w:t>，均具同等法律效力</w:t>
      </w:r>
      <w:r>
        <w:rPr>
          <w:rFonts w:hint="eastAsia" w:asciiTheme="minorEastAsia" w:hAnsiTheme="minorEastAsia" w:eastAsiaTheme="minorEastAsia"/>
          <w:color w:val="auto"/>
        </w:rPr>
        <w:t>。本项目未尽事宜以招标文件、投标文件及澄清文件等为准。</w:t>
      </w:r>
    </w:p>
    <w:p>
      <w:pPr>
        <w:widowControl/>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hint="eastAsia" w:asciiTheme="minorEastAsia" w:hAnsiTheme="minorEastAsia" w:eastAsiaTheme="minorEastAsia"/>
          <w:b/>
          <w:sz w:val="36"/>
          <w:szCs w:val="36"/>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bookmarkStart w:id="38" w:name="_Toc5481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38"/>
    </w:p>
    <w:p>
      <w:pPr>
        <w:rPr>
          <w:rFonts w:hint="eastAsia" w:ascii="宋体" w:hAnsi="宋体"/>
          <w:b/>
          <w:kern w:val="0"/>
          <w:sz w:val="28"/>
          <w:szCs w:val="28"/>
          <w:lang w:val="en-US" w:eastAsia="zh-CN"/>
        </w:rPr>
      </w:pPr>
      <w:r>
        <w:rPr>
          <w:rFonts w:hint="eastAsia" w:ascii="宋体" w:hAnsi="宋体"/>
          <w:b/>
          <w:kern w:val="0"/>
          <w:sz w:val="28"/>
          <w:szCs w:val="28"/>
          <w:lang w:val="en-US" w:eastAsia="zh-CN"/>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39" w:name="_Toc19093_WPSOffice_Level1"/>
      <w:bookmarkStart w:id="40" w:name="_Toc32372_WPSOffice_Level1"/>
      <w:bookmarkStart w:id="41" w:name="_Toc4956_WPSOffice_Level1"/>
      <w:r>
        <w:rPr>
          <w:rFonts w:hint="eastAsia"/>
          <w:sz w:val="52"/>
          <w:szCs w:val="52"/>
        </w:rPr>
        <w:t>项目名称</w:t>
      </w:r>
      <w:bookmarkEnd w:id="39"/>
      <w:bookmarkEnd w:id="40"/>
      <w:bookmarkEnd w:id="4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rFonts w:hint="eastAsia"/>
          <w:b/>
          <w:bCs/>
          <w:sz w:val="36"/>
          <w:szCs w:val="36"/>
        </w:rPr>
      </w:pPr>
      <w:r>
        <w:rPr>
          <w:rFonts w:hint="eastAsia"/>
          <w:b/>
          <w:bCs/>
          <w:sz w:val="36"/>
          <w:szCs w:val="36"/>
        </w:rPr>
        <w:t>资格证明文件目录</w:t>
      </w:r>
    </w:p>
    <w:p>
      <w:pPr>
        <w:pStyle w:val="8"/>
      </w:pPr>
    </w:p>
    <w:p/>
    <w:p>
      <w:pPr>
        <w:numPr>
          <w:ilvl w:val="0"/>
          <w:numId w:val="8"/>
        </w:numPr>
        <w:spacing w:line="360" w:lineRule="auto"/>
        <w:ind w:hanging="5"/>
        <w:rPr>
          <w:rFonts w:hint="eastAsia"/>
          <w:sz w:val="28"/>
          <w:szCs w:val="36"/>
        </w:rPr>
      </w:pPr>
      <w:bookmarkStart w:id="42" w:name="_Toc12587_WPSOffice_Level1"/>
      <w:bookmarkStart w:id="43" w:name="_Toc27049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42"/>
      <w:bookmarkEnd w:id="43"/>
    </w:p>
    <w:p>
      <w:pPr>
        <w:numPr>
          <w:ilvl w:val="0"/>
          <w:numId w:val="8"/>
        </w:numPr>
        <w:spacing w:line="360" w:lineRule="auto"/>
        <w:ind w:hanging="5"/>
        <w:rPr>
          <w:sz w:val="28"/>
          <w:szCs w:val="36"/>
          <w:highlight w:val="none"/>
        </w:rPr>
      </w:pPr>
      <w:bookmarkStart w:id="44" w:name="_Toc28306_WPSOffice_Level1"/>
      <w:bookmarkStart w:id="45" w:name="_Toc25574_WPSOffice_Level1"/>
      <w:bookmarkStart w:id="46" w:name="_Toc29616_WPSOffice_Level1"/>
      <w:bookmarkStart w:id="47" w:name="_Toc32100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44"/>
      <w:bookmarkEnd w:id="45"/>
    </w:p>
    <w:p>
      <w:pPr>
        <w:numPr>
          <w:ilvl w:val="0"/>
          <w:numId w:val="8"/>
        </w:numPr>
        <w:spacing w:line="360" w:lineRule="auto"/>
        <w:ind w:hanging="5"/>
        <w:rPr>
          <w:rFonts w:hint="eastAsia"/>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w:t>
      </w:r>
      <w:r>
        <w:rPr>
          <w:rFonts w:hint="eastAsia"/>
          <w:sz w:val="28"/>
          <w:szCs w:val="36"/>
          <w:highlight w:val="none"/>
          <w:lang w:eastAsia="zh-CN"/>
        </w:rPr>
        <w:t>投标时需提供）（</w:t>
      </w:r>
      <w:r>
        <w:rPr>
          <w:rFonts w:hint="eastAsia"/>
          <w:sz w:val="28"/>
          <w:szCs w:val="36"/>
          <w:highlight w:val="none"/>
          <w:lang w:val="en-US" w:eastAsia="zh-CN"/>
        </w:rPr>
        <w:t>附件3</w:t>
      </w:r>
      <w:r>
        <w:rPr>
          <w:rFonts w:hint="eastAsia"/>
          <w:sz w:val="28"/>
          <w:szCs w:val="36"/>
          <w:highlight w:val="none"/>
        </w:rPr>
        <w:t>）</w:t>
      </w:r>
    </w:p>
    <w:p>
      <w:pPr>
        <w:numPr>
          <w:ilvl w:val="0"/>
          <w:numId w:val="8"/>
        </w:numPr>
        <w:spacing w:line="360" w:lineRule="auto"/>
        <w:ind w:hanging="5"/>
        <w:rPr>
          <w:rFonts w:hint="eastAsia"/>
          <w:sz w:val="28"/>
          <w:szCs w:val="36"/>
        </w:rPr>
      </w:pPr>
      <w:r>
        <w:rPr>
          <w:rFonts w:hint="eastAsia"/>
          <w:sz w:val="28"/>
          <w:szCs w:val="36"/>
          <w:highlight w:val="none"/>
        </w:rPr>
        <w:t>法人或者其他组织的营业执照等证明文件、自</w:t>
      </w:r>
      <w:r>
        <w:rPr>
          <w:rFonts w:hint="eastAsia"/>
          <w:sz w:val="28"/>
          <w:szCs w:val="36"/>
        </w:rPr>
        <w:t>然人的身份证明</w:t>
      </w:r>
      <w:bookmarkEnd w:id="46"/>
      <w:bookmarkEnd w:id="47"/>
    </w:p>
    <w:p>
      <w:pPr>
        <w:numPr>
          <w:ilvl w:val="0"/>
          <w:numId w:val="8"/>
        </w:numPr>
        <w:spacing w:line="360" w:lineRule="auto"/>
        <w:ind w:hanging="5"/>
        <w:rPr>
          <w:rFonts w:hint="eastAsia"/>
          <w:sz w:val="28"/>
          <w:szCs w:val="36"/>
        </w:rPr>
      </w:pPr>
      <w:bookmarkStart w:id="48" w:name="_Toc30751_WPSOffice_Level1"/>
      <w:bookmarkStart w:id="49" w:name="_Toc2696_WPSOffice_Level1"/>
      <w:r>
        <w:rPr>
          <w:rFonts w:hint="eastAsia"/>
          <w:sz w:val="28"/>
          <w:szCs w:val="36"/>
        </w:rPr>
        <w:t>具备履行合同所必需的设备和专业技术能力的证明材料</w:t>
      </w:r>
      <w:bookmarkEnd w:id="48"/>
      <w:bookmarkEnd w:id="49"/>
    </w:p>
    <w:p>
      <w:pPr>
        <w:numPr>
          <w:ilvl w:val="0"/>
          <w:numId w:val="8"/>
        </w:numPr>
        <w:spacing w:line="360" w:lineRule="auto"/>
        <w:ind w:hanging="5"/>
        <w:rPr>
          <w:rFonts w:hint="eastAsia"/>
          <w:sz w:val="28"/>
          <w:szCs w:val="36"/>
          <w:highlight w:val="none"/>
        </w:rPr>
      </w:pPr>
      <w:bookmarkStart w:id="50" w:name="_Toc4587_WPSOffice_Level1"/>
      <w:bookmarkStart w:id="51" w:name="_Toc14150_WPSOffice_Level1"/>
      <w:r>
        <w:rPr>
          <w:rFonts w:hint="eastAsia"/>
          <w:sz w:val="28"/>
          <w:szCs w:val="36"/>
          <w:highlight w:val="none"/>
        </w:rPr>
        <w:t>本项目</w:t>
      </w:r>
      <w:r>
        <w:rPr>
          <w:rFonts w:hint="eastAsia"/>
          <w:sz w:val="28"/>
          <w:szCs w:val="36"/>
          <w:highlight w:val="none"/>
          <w:lang w:val="en-US" w:eastAsia="zh-CN"/>
        </w:rPr>
        <w:t>资格审查</w:t>
      </w:r>
      <w:r>
        <w:rPr>
          <w:rFonts w:hint="eastAsia"/>
          <w:sz w:val="28"/>
          <w:szCs w:val="36"/>
          <w:highlight w:val="none"/>
        </w:rPr>
        <w:t>要求的</w:t>
      </w:r>
      <w:r>
        <w:rPr>
          <w:rFonts w:hint="eastAsia"/>
          <w:sz w:val="28"/>
          <w:szCs w:val="36"/>
          <w:highlight w:val="none"/>
          <w:lang w:val="en-US" w:eastAsia="zh-CN"/>
        </w:rPr>
        <w:t>相关</w:t>
      </w:r>
      <w:r>
        <w:rPr>
          <w:rFonts w:hint="eastAsia"/>
          <w:sz w:val="28"/>
          <w:szCs w:val="36"/>
          <w:highlight w:val="none"/>
          <w:lang w:eastAsia="zh-CN"/>
        </w:rPr>
        <w:t>的承诺函（</w:t>
      </w:r>
      <w:r>
        <w:rPr>
          <w:rFonts w:hint="eastAsia"/>
          <w:sz w:val="28"/>
          <w:szCs w:val="36"/>
          <w:highlight w:val="none"/>
          <w:lang w:val="en-US" w:eastAsia="zh-CN"/>
        </w:rPr>
        <w:t>附件4</w:t>
      </w:r>
      <w:r>
        <w:rPr>
          <w:rFonts w:hint="eastAsia"/>
          <w:sz w:val="28"/>
          <w:szCs w:val="36"/>
          <w:highlight w:val="none"/>
          <w:lang w:eastAsia="zh-CN"/>
        </w:rPr>
        <w:t>）</w:t>
      </w:r>
    </w:p>
    <w:p>
      <w:pPr>
        <w:numPr>
          <w:ilvl w:val="0"/>
          <w:numId w:val="8"/>
        </w:numPr>
        <w:spacing w:line="360" w:lineRule="auto"/>
        <w:ind w:hanging="5"/>
        <w:rPr>
          <w:sz w:val="28"/>
          <w:szCs w:val="36"/>
        </w:rPr>
      </w:pPr>
      <w:r>
        <w:rPr>
          <w:rFonts w:hint="eastAsia"/>
          <w:sz w:val="28"/>
          <w:szCs w:val="36"/>
        </w:rPr>
        <w:t>本项目要求的特定资质证书</w:t>
      </w:r>
      <w:bookmarkEnd w:id="50"/>
      <w:bookmarkEnd w:id="51"/>
    </w:p>
    <w:p>
      <w:pPr>
        <w:pStyle w:val="11"/>
        <w:rPr>
          <w:rFonts w:hint="eastAsia"/>
        </w:rPr>
      </w:pPr>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2" w:name="_Toc30723_WPSOffice_Level1"/>
      <w:bookmarkStart w:id="53" w:name="_Toc31708_WPSOffice_Level1"/>
      <w:r>
        <w:rPr>
          <w:rFonts w:hint="eastAsia" w:ascii="宋体" w:hAnsi="宋体"/>
          <w:b/>
          <w:kern w:val="0"/>
          <w:sz w:val="32"/>
          <w:szCs w:val="32"/>
          <w:lang w:val="zh-CN"/>
        </w:rPr>
        <w:t>投标声明书</w:t>
      </w:r>
      <w:bookmarkEnd w:id="52"/>
      <w:bookmarkEnd w:id="53"/>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9"/>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54" w:name="_Toc6870_WPSOffice_Level1"/>
      <w:bookmarkStart w:id="55" w:name="_Toc24373_WPSOffice_Level1"/>
      <w:r>
        <w:rPr>
          <w:b/>
          <w:sz w:val="32"/>
          <w:szCs w:val="32"/>
        </w:rPr>
        <w:t>授权</w:t>
      </w:r>
      <w:r>
        <w:rPr>
          <w:rFonts w:hint="eastAsia"/>
          <w:b/>
          <w:sz w:val="32"/>
          <w:szCs w:val="32"/>
        </w:rPr>
        <w:t>委托</w:t>
      </w:r>
      <w:r>
        <w:rPr>
          <w:b/>
          <w:sz w:val="32"/>
          <w:szCs w:val="32"/>
        </w:rPr>
        <w:t>书</w:t>
      </w:r>
      <w:bookmarkEnd w:id="54"/>
      <w:bookmarkEnd w:id="55"/>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sz w:val="24"/>
        </w:rPr>
      </w:pPr>
      <w:r>
        <w:rPr>
          <w:rFonts w:hint="eastAsia" w:ascii="宋体"/>
          <w:sz w:val="24"/>
        </w:rPr>
        <w:t>邮政编码：</w:t>
      </w:r>
    </w:p>
    <w:p>
      <w:pPr>
        <w:rPr>
          <w:rFonts w:hint="eastAsia" w:ascii="宋体"/>
          <w:sz w:val="24"/>
        </w:rPr>
      </w:pPr>
      <w:r>
        <w:rPr>
          <w:rFonts w:hint="eastAsia" w:ascii="宋体"/>
          <w:sz w:val="24"/>
        </w:rPr>
        <w:br w:type="page"/>
      </w: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pPr>
        <w:pStyle w:val="12"/>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pPr>
        <w:pStyle w:val="1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lang w:eastAsia="zh-CN"/>
              </w:rPr>
              <w:t>粘贴</w:t>
            </w:r>
            <w:r>
              <w:rPr>
                <w:rFonts w:hint="eastAsia" w:ascii="宋体"/>
                <w:b/>
                <w:sz w:val="24"/>
              </w:rPr>
              <w:t>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1"/>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lang w:eastAsia="zh-CN"/>
              </w:rPr>
              <w:t>粘贴</w:t>
            </w:r>
            <w:r>
              <w:rPr>
                <w:rFonts w:hint="eastAsia" w:ascii="宋体"/>
                <w:b/>
                <w:sz w:val="24"/>
              </w:rPr>
              <w:t>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1"/>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lang w:eastAsia="zh-CN"/>
              </w:rPr>
              <w:t>粘贴</w:t>
            </w:r>
            <w:r>
              <w:rPr>
                <w:rFonts w:hint="eastAsia" w:ascii="宋体"/>
                <w:b/>
                <w:sz w:val="24"/>
              </w:rPr>
              <w:t>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rPr>
        <w:sectPr>
          <w:footerReference r:id="rId3" w:type="default"/>
          <w:pgSz w:w="11906" w:h="16838"/>
          <w:pgMar w:top="1701" w:right="1418" w:bottom="1588" w:left="1418" w:header="851" w:footer="851" w:gutter="0"/>
          <w:cols w:space="720" w:num="1"/>
          <w:docGrid w:linePitch="312" w:charSpace="0"/>
        </w:sectPr>
      </w:pPr>
    </w:p>
    <w:p>
      <w:pPr>
        <w:rPr>
          <w:rFonts w:hint="default" w:ascii="宋体" w:hAnsi="宋体"/>
          <w:b/>
          <w:sz w:val="28"/>
          <w:lang w:val="en-US" w:eastAsia="zh-CN"/>
        </w:rPr>
      </w:pPr>
      <w:r>
        <w:rPr>
          <w:rFonts w:hint="eastAsia" w:ascii="宋体" w:hAnsi="宋体"/>
          <w:b/>
          <w:sz w:val="28"/>
          <w:lang w:val="en-US" w:eastAsia="zh-CN"/>
        </w:rPr>
        <w:t>附件3</w:t>
      </w:r>
    </w:p>
    <w:p>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pPr>
        <w:numPr>
          <w:ilvl w:val="0"/>
          <w:numId w:val="10"/>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10"/>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pPr>
        <w:numPr>
          <w:ilvl w:val="0"/>
          <w:numId w:val="10"/>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pPr>
        <w:numPr>
          <w:ilvl w:val="0"/>
          <w:numId w:val="10"/>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w:t>
      </w:r>
      <w:r>
        <w:rPr>
          <w:rFonts w:hint="eastAsia"/>
          <w:kern w:val="0"/>
          <w:sz w:val="24"/>
          <w:szCs w:val="24"/>
          <w:lang w:val="zh-CN"/>
        </w:rPr>
        <w:t>的工作</w:t>
      </w:r>
      <w:r>
        <w:rPr>
          <w:rFonts w:hint="eastAsia"/>
          <w:kern w:val="0"/>
          <w:sz w:val="24"/>
          <w:szCs w:val="24"/>
          <w:lang w:val="en-US" w:eastAsia="zh-CN"/>
        </w:rPr>
        <w:t>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10"/>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10"/>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w:t>
      </w:r>
      <w:r>
        <w:rPr>
          <w:rFonts w:hint="eastAsia" w:cs="Times New Roman"/>
          <w:kern w:val="0"/>
          <w:sz w:val="24"/>
          <w:szCs w:val="24"/>
          <w:lang w:val="en-US" w:eastAsia="zh-CN"/>
        </w:rPr>
        <w:t>具体的</w:t>
      </w:r>
      <w:r>
        <w:rPr>
          <w:rFonts w:hint="eastAsia" w:ascii="Times New Roman" w:hAnsi="Times New Roman" w:cs="Times New Roman"/>
          <w:kern w:val="0"/>
          <w:sz w:val="24"/>
          <w:szCs w:val="24"/>
          <w:lang w:val="en-US" w:eastAsia="zh-CN"/>
        </w:rPr>
        <w:t>责任、权利、义务，在中标后经各方协商后报采购人同意后在合同中明确。</w:t>
      </w:r>
    </w:p>
    <w:p>
      <w:pPr>
        <w:numPr>
          <w:ilvl w:val="0"/>
          <w:numId w:val="10"/>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0"/>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8"/>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rPr>
          <w:rFonts w:hint="eastAsia" w:cs="Times New Roman"/>
          <w:kern w:val="0"/>
          <w:sz w:val="24"/>
          <w:szCs w:val="24"/>
          <w:lang w:val="en-US" w:eastAsia="zh-CN"/>
        </w:r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pPr>
        <w:rPr>
          <w:rFonts w:hint="eastAsia" w:cs="Times New Roman"/>
          <w:kern w:val="0"/>
          <w:sz w:val="24"/>
          <w:szCs w:val="24"/>
          <w:lang w:val="en-US" w:eastAsia="zh-CN"/>
        </w:rPr>
      </w:pPr>
      <w:r>
        <w:rPr>
          <w:rFonts w:hint="eastAsia" w:cs="Times New Roman"/>
          <w:kern w:val="0"/>
          <w:sz w:val="24"/>
          <w:szCs w:val="24"/>
          <w:lang w:val="en-US" w:eastAsia="zh-CN"/>
        </w:rPr>
        <w:br w:type="page"/>
      </w:r>
    </w:p>
    <w:p>
      <w:pPr>
        <w:rPr>
          <w:rFonts w:hint="default" w:ascii="宋体" w:hAnsi="宋体"/>
          <w:b/>
          <w:sz w:val="28"/>
          <w:lang w:val="en-US" w:eastAsia="zh-CN"/>
        </w:rPr>
      </w:pPr>
      <w:r>
        <w:rPr>
          <w:rFonts w:hint="eastAsia" w:ascii="宋体" w:hAnsi="宋体"/>
          <w:b/>
          <w:sz w:val="28"/>
          <w:lang w:val="en-US" w:eastAsia="zh-CN"/>
        </w:rPr>
        <w:t>附件4</w:t>
      </w:r>
    </w:p>
    <w:p>
      <w:pPr>
        <w:pStyle w:val="8"/>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承诺函</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pPr>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）的投标，为此，就本次投标有关事项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pPr>
        <w:numPr>
          <w:ilvl w:val="0"/>
          <w:numId w:val="0"/>
        </w:numPr>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有良好的商业信誉和健全的财务会计制度；</w:t>
      </w:r>
    </w:p>
    <w:p>
      <w:pPr>
        <w:numPr>
          <w:ilvl w:val="0"/>
          <w:numId w:val="0"/>
        </w:num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二</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没有税收缴纳、社会保障等方面的失信记录；</w:t>
      </w:r>
    </w:p>
    <w:p>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pPr>
        <w:pStyle w:val="8"/>
        <w:rPr>
          <w:rFonts w:hint="default" w:ascii="宋体" w:hAnsi="宋体" w:eastAsia="宋体" w:cs="宋体"/>
          <w:kern w:val="0"/>
          <w:sz w:val="24"/>
          <w:u w:val="single"/>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p>
    <w:p>
      <w:pPr>
        <w:rPr>
          <w:rFonts w:hint="eastAsia" w:ascii="宋体" w:hAnsi="宋体" w:cs="宋体"/>
          <w:kern w:val="0"/>
          <w:sz w:val="24"/>
          <w:lang w:val="en-US" w:eastAsia="zh-CN"/>
        </w:rPr>
      </w:pPr>
    </w:p>
    <w:p>
      <w:pPr>
        <w:ind w:firstLine="420" w:firstLineChars="0"/>
        <w:rPr>
          <w:rFonts w:hint="eastAsia" w:ascii="宋体" w:hAnsi="宋体" w:cs="宋体"/>
          <w:kern w:val="0"/>
          <w:sz w:val="24"/>
          <w:lang w:val="en-US" w:eastAsia="zh-CN"/>
        </w:rPr>
      </w:pPr>
    </w:p>
    <w:p>
      <w:pPr>
        <w:ind w:firstLine="420" w:firstLineChars="0"/>
        <w:rPr>
          <w:rFonts w:hint="default" w:eastAsia="宋体"/>
          <w:lang w:val="en-US" w:eastAsia="zh-CN"/>
        </w:rPr>
      </w:pPr>
      <w:r>
        <w:rPr>
          <w:rFonts w:hint="eastAsia" w:ascii="宋体" w:hAnsi="宋体" w:cs="宋体"/>
          <w:kern w:val="0"/>
          <w:sz w:val="24"/>
          <w:lang w:val="en-US" w:eastAsia="zh-CN"/>
        </w:rPr>
        <w:t>我公司对上述承诺内容的真实性负责。如有虚假，将依法承担相应责任。</w:t>
      </w:r>
    </w:p>
    <w:p/>
    <w:p>
      <w:pPr>
        <w:pStyle w:val="8"/>
      </w:pPr>
    </w:p>
    <w:p/>
    <w:p>
      <w:pPr>
        <w:pStyle w:val="8"/>
      </w:pPr>
    </w:p>
    <w:p/>
    <w:p>
      <w:pPr>
        <w:pStyle w:val="8"/>
      </w:pPr>
    </w:p>
    <w:p/>
    <w:p>
      <w:pPr>
        <w:pStyle w:val="8"/>
      </w:pPr>
    </w:p>
    <w:p/>
    <w:p/>
    <w:p>
      <w:pPr>
        <w:pStyle w:val="8"/>
      </w:pPr>
    </w:p>
    <w:p/>
    <w:p>
      <w:pPr>
        <w:pStyle w:val="8"/>
      </w:pPr>
    </w:p>
    <w:p/>
    <w:p>
      <w:pPr>
        <w:pStyle w:val="8"/>
      </w:pPr>
    </w:p>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pStyle w:val="11"/>
        <w:sectPr>
          <w:headerReference r:id="rId4" w:type="default"/>
          <w:footerReference r:id="rId5" w:type="default"/>
          <w:pgSz w:w="11906" w:h="16838"/>
          <w:pgMar w:top="1701" w:right="1448" w:bottom="1531" w:left="1418" w:header="851" w:footer="851" w:gutter="0"/>
          <w:cols w:space="720" w:num="1"/>
          <w:docGrid w:linePitch="312" w:charSpace="0"/>
        </w:sectPr>
      </w:pPr>
    </w:p>
    <w:p>
      <w:pPr>
        <w:jc w:val="both"/>
        <w:rPr>
          <w:rFonts w:hint="eastAsia"/>
          <w:sz w:val="52"/>
          <w:szCs w:val="52"/>
        </w:rPr>
      </w:pPr>
      <w:bookmarkStart w:id="56" w:name="_Toc12331_WPSOffice_Level1"/>
      <w:bookmarkStart w:id="57" w:name="_Toc26389_WPSOffice_Level1"/>
      <w:bookmarkStart w:id="58" w:name="_Toc16825_WPSOffice_Level1"/>
    </w:p>
    <w:p>
      <w:pPr>
        <w:jc w:val="center"/>
        <w:rPr>
          <w:sz w:val="52"/>
          <w:szCs w:val="52"/>
        </w:rPr>
      </w:pPr>
      <w:r>
        <w:rPr>
          <w:rFonts w:hint="eastAsia"/>
          <w:sz w:val="52"/>
          <w:szCs w:val="52"/>
        </w:rPr>
        <w:t>项目名称</w:t>
      </w:r>
      <w:bookmarkEnd w:id="56"/>
      <w:bookmarkEnd w:id="57"/>
      <w:bookmarkEnd w:id="58"/>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
      </w:pPr>
    </w:p>
    <w:p>
      <w:pPr>
        <w:pStyle w:val="2"/>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sz w:val="28"/>
          <w:szCs w:val="28"/>
        </w:rPr>
      </w:pPr>
      <w:bookmarkStart w:id="59" w:name="_Toc5889_WPSOffice_Level1"/>
      <w:bookmarkStart w:id="60" w:name="_Toc11308_WPSOffice_Level1"/>
      <w:r>
        <w:rPr>
          <w:rFonts w:hint="eastAsia"/>
          <w:b/>
          <w:bCs/>
          <w:sz w:val="36"/>
          <w:szCs w:val="36"/>
          <w:lang w:val="zh-CN"/>
        </w:rPr>
        <w:t>商务与技术文件目录</w:t>
      </w:r>
      <w:bookmarkEnd w:id="59"/>
      <w:bookmarkEnd w:id="60"/>
    </w:p>
    <w:p>
      <w:pPr>
        <w:spacing w:line="360" w:lineRule="auto"/>
        <w:ind w:firstLine="562" w:firstLineChars="200"/>
        <w:rPr>
          <w:rFonts w:hint="eastAsia"/>
          <w:b/>
          <w:bCs/>
          <w:sz w:val="28"/>
          <w:szCs w:val="28"/>
        </w:rPr>
      </w:pPr>
      <w:bookmarkStart w:id="61" w:name="_Toc21250_WPSOffice_Level1"/>
      <w:bookmarkStart w:id="62" w:name="_Toc20529_WPSOffice_Level1"/>
      <w:r>
        <w:rPr>
          <w:rFonts w:hint="eastAsia"/>
          <w:b/>
          <w:bCs/>
          <w:sz w:val="28"/>
          <w:szCs w:val="28"/>
        </w:rPr>
        <w:t>第一部分  技术方案描述部分</w:t>
      </w:r>
      <w:bookmarkEnd w:id="61"/>
      <w:bookmarkEnd w:id="62"/>
    </w:p>
    <w:p>
      <w:pPr>
        <w:numPr>
          <w:ilvl w:val="0"/>
          <w:numId w:val="11"/>
        </w:numPr>
        <w:spacing w:line="360" w:lineRule="auto"/>
        <w:ind w:left="405" w:leftChars="0" w:firstLine="15" w:firstLineChars="0"/>
        <w:rPr>
          <w:rFonts w:hint="eastAsia"/>
          <w:sz w:val="28"/>
          <w:szCs w:val="28"/>
        </w:rPr>
      </w:pPr>
      <w:r>
        <w:rPr>
          <w:rFonts w:hint="eastAsia"/>
          <w:sz w:val="28"/>
          <w:szCs w:val="28"/>
        </w:rPr>
        <w:t>投标人情况介绍（附件</w:t>
      </w:r>
      <w:r>
        <w:rPr>
          <w:rFonts w:hint="eastAsia"/>
          <w:sz w:val="28"/>
          <w:szCs w:val="28"/>
          <w:lang w:val="en-US" w:eastAsia="zh-CN"/>
        </w:rPr>
        <w:t>5</w:t>
      </w:r>
      <w:r>
        <w:rPr>
          <w:rFonts w:hint="eastAsia"/>
          <w:sz w:val="28"/>
          <w:szCs w:val="28"/>
        </w:rPr>
        <w:t>）</w:t>
      </w:r>
    </w:p>
    <w:p>
      <w:pPr>
        <w:numPr>
          <w:ilvl w:val="0"/>
          <w:numId w:val="11"/>
        </w:numPr>
        <w:spacing w:line="360" w:lineRule="auto"/>
        <w:ind w:left="405" w:leftChars="0" w:firstLine="15" w:firstLineChars="0"/>
        <w:rPr>
          <w:rFonts w:hint="eastAsia"/>
          <w:sz w:val="28"/>
          <w:szCs w:val="28"/>
        </w:rPr>
      </w:pPr>
      <w:r>
        <w:rPr>
          <w:rFonts w:hint="eastAsia"/>
          <w:sz w:val="28"/>
          <w:szCs w:val="28"/>
        </w:rPr>
        <w:t>项目需求的理解与分析</w:t>
      </w:r>
    </w:p>
    <w:p>
      <w:pPr>
        <w:numPr>
          <w:ilvl w:val="0"/>
          <w:numId w:val="11"/>
        </w:numPr>
        <w:spacing w:line="360" w:lineRule="auto"/>
        <w:ind w:left="405" w:leftChars="0" w:firstLine="15" w:firstLineChars="0"/>
        <w:rPr>
          <w:rFonts w:hint="eastAsia"/>
          <w:sz w:val="28"/>
          <w:szCs w:val="28"/>
        </w:rPr>
      </w:pPr>
      <w:r>
        <w:rPr>
          <w:rFonts w:hint="eastAsia"/>
          <w:sz w:val="28"/>
          <w:szCs w:val="28"/>
        </w:rPr>
        <w:t>项目组织实施方案（可视情选用附件</w:t>
      </w:r>
      <w:r>
        <w:rPr>
          <w:rFonts w:hint="eastAsia"/>
          <w:sz w:val="28"/>
          <w:szCs w:val="28"/>
          <w:lang w:val="en-US" w:eastAsia="zh-CN"/>
        </w:rPr>
        <w:t>6</w:t>
      </w:r>
      <w:r>
        <w:rPr>
          <w:rFonts w:hint="eastAsia"/>
          <w:sz w:val="28"/>
          <w:szCs w:val="28"/>
        </w:rPr>
        <w:t>、附件</w:t>
      </w:r>
      <w:r>
        <w:rPr>
          <w:rFonts w:hint="eastAsia"/>
          <w:sz w:val="28"/>
          <w:szCs w:val="28"/>
          <w:lang w:val="en-US" w:eastAsia="zh-CN"/>
        </w:rPr>
        <w:t>7</w:t>
      </w:r>
      <w:r>
        <w:rPr>
          <w:rFonts w:hint="eastAsia"/>
          <w:sz w:val="28"/>
          <w:szCs w:val="28"/>
        </w:rPr>
        <w:t>）</w:t>
      </w:r>
    </w:p>
    <w:p>
      <w:pPr>
        <w:numPr>
          <w:ilvl w:val="0"/>
          <w:numId w:val="11"/>
        </w:numPr>
        <w:spacing w:line="360" w:lineRule="auto"/>
        <w:ind w:left="405" w:leftChars="0" w:firstLine="15" w:firstLineChars="0"/>
        <w:rPr>
          <w:rFonts w:hint="eastAsia"/>
          <w:sz w:val="28"/>
          <w:szCs w:val="28"/>
        </w:rPr>
      </w:pPr>
      <w:r>
        <w:rPr>
          <w:rFonts w:hint="eastAsia"/>
          <w:sz w:val="28"/>
          <w:szCs w:val="28"/>
        </w:rPr>
        <w:t>安装、调试及验收方案</w:t>
      </w:r>
    </w:p>
    <w:p>
      <w:pPr>
        <w:spacing w:line="360" w:lineRule="auto"/>
        <w:ind w:firstLine="562" w:firstLineChars="200"/>
        <w:rPr>
          <w:rFonts w:hint="eastAsia"/>
          <w:b/>
          <w:bCs/>
          <w:sz w:val="28"/>
          <w:szCs w:val="28"/>
        </w:rPr>
      </w:pPr>
      <w:bookmarkStart w:id="63" w:name="_Toc12004_WPSOffice_Level1"/>
      <w:bookmarkStart w:id="64" w:name="_Toc6008_WPSOffice_Level1"/>
      <w:r>
        <w:rPr>
          <w:rFonts w:hint="eastAsia"/>
          <w:b/>
          <w:bCs/>
          <w:sz w:val="28"/>
          <w:szCs w:val="28"/>
        </w:rPr>
        <w:t>第二部分  投标产品描述部分</w:t>
      </w:r>
      <w:bookmarkEnd w:id="63"/>
      <w:bookmarkEnd w:id="64"/>
    </w:p>
    <w:p>
      <w:pPr>
        <w:numPr>
          <w:ilvl w:val="0"/>
          <w:numId w:val="12"/>
        </w:numPr>
        <w:spacing w:line="360" w:lineRule="auto"/>
        <w:ind w:left="425" w:leftChars="0" w:hanging="5" w:firstLineChars="0"/>
        <w:rPr>
          <w:rFonts w:hint="eastAsia"/>
          <w:sz w:val="28"/>
          <w:szCs w:val="28"/>
        </w:rPr>
      </w:pPr>
      <w:r>
        <w:rPr>
          <w:rFonts w:hint="eastAsia"/>
          <w:sz w:val="28"/>
          <w:szCs w:val="28"/>
        </w:rPr>
        <w:t>投标产品描述及相关资料（可视情选用附件</w:t>
      </w:r>
      <w:r>
        <w:rPr>
          <w:rFonts w:hint="eastAsia"/>
          <w:sz w:val="28"/>
          <w:szCs w:val="28"/>
          <w:lang w:val="en-US" w:eastAsia="zh-CN"/>
        </w:rPr>
        <w:t>8</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技术需求响应表（附件</w:t>
      </w:r>
      <w:r>
        <w:rPr>
          <w:rFonts w:hint="eastAsia"/>
          <w:sz w:val="28"/>
          <w:szCs w:val="28"/>
          <w:lang w:val="en-US" w:eastAsia="zh-CN"/>
        </w:rPr>
        <w:t>9</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rFonts w:hint="eastAsia"/>
          <w:b/>
          <w:bCs/>
          <w:sz w:val="28"/>
          <w:szCs w:val="28"/>
        </w:rPr>
      </w:pPr>
      <w:bookmarkStart w:id="65" w:name="_Toc30029_WPSOffice_Level1"/>
      <w:bookmarkStart w:id="66" w:name="_Toc20986_WPSOffice_Level1"/>
      <w:r>
        <w:rPr>
          <w:rFonts w:hint="eastAsia"/>
          <w:b/>
          <w:bCs/>
          <w:sz w:val="28"/>
          <w:szCs w:val="28"/>
        </w:rPr>
        <w:t>第三部分  商务及其他部分</w:t>
      </w:r>
      <w:bookmarkEnd w:id="65"/>
      <w:bookmarkEnd w:id="66"/>
    </w:p>
    <w:p>
      <w:pPr>
        <w:numPr>
          <w:ilvl w:val="0"/>
          <w:numId w:val="13"/>
        </w:numPr>
        <w:spacing w:line="360" w:lineRule="auto"/>
        <w:ind w:left="425" w:leftChars="0" w:hanging="5" w:firstLineChars="0"/>
        <w:rPr>
          <w:rFonts w:hint="eastAsia"/>
          <w:sz w:val="28"/>
          <w:szCs w:val="28"/>
        </w:rPr>
      </w:pPr>
      <w:r>
        <w:rPr>
          <w:rFonts w:hint="eastAsia"/>
          <w:sz w:val="28"/>
          <w:szCs w:val="28"/>
        </w:rPr>
        <w:t>证书一览表（附件</w:t>
      </w:r>
      <w:r>
        <w:rPr>
          <w:rFonts w:hint="eastAsia"/>
          <w:sz w:val="28"/>
          <w:szCs w:val="28"/>
          <w:lang w:val="en-US" w:eastAsia="zh-CN"/>
        </w:rPr>
        <w:t>10</w:t>
      </w:r>
      <w:r>
        <w:rPr>
          <w:rFonts w:hint="eastAsia"/>
          <w:sz w:val="28"/>
          <w:szCs w:val="28"/>
        </w:rPr>
        <w:t>）</w:t>
      </w:r>
    </w:p>
    <w:p>
      <w:pPr>
        <w:numPr>
          <w:ilvl w:val="0"/>
          <w:numId w:val="13"/>
        </w:numPr>
        <w:spacing w:line="360" w:lineRule="auto"/>
        <w:ind w:left="425" w:leftChars="0" w:hanging="5" w:firstLineChars="0"/>
        <w:rPr>
          <w:rFonts w:hint="eastAsia"/>
          <w:sz w:val="28"/>
          <w:szCs w:val="28"/>
        </w:rPr>
      </w:pPr>
      <w:r>
        <w:rPr>
          <w:rFonts w:hint="eastAsia"/>
          <w:sz w:val="28"/>
          <w:szCs w:val="28"/>
        </w:rPr>
        <w:t>近三年来类似项目的成功案例（附件</w:t>
      </w:r>
      <w:r>
        <w:rPr>
          <w:rFonts w:hint="eastAsia"/>
          <w:sz w:val="28"/>
          <w:szCs w:val="28"/>
          <w:lang w:val="en-US" w:eastAsia="zh-CN"/>
        </w:rPr>
        <w:t>11</w:t>
      </w:r>
      <w:r>
        <w:rPr>
          <w:rFonts w:hint="eastAsia"/>
          <w:sz w:val="28"/>
          <w:szCs w:val="28"/>
        </w:rPr>
        <w:t>）</w:t>
      </w:r>
    </w:p>
    <w:p>
      <w:pPr>
        <w:numPr>
          <w:ilvl w:val="0"/>
          <w:numId w:val="13"/>
        </w:numPr>
        <w:spacing w:line="360" w:lineRule="auto"/>
        <w:ind w:left="425" w:leftChars="0" w:hanging="5" w:firstLineChars="0"/>
        <w:rPr>
          <w:rFonts w:hint="eastAsia"/>
          <w:sz w:val="28"/>
          <w:szCs w:val="28"/>
        </w:rPr>
      </w:pPr>
      <w:r>
        <w:rPr>
          <w:rFonts w:hint="eastAsia"/>
          <w:sz w:val="28"/>
          <w:szCs w:val="28"/>
        </w:rPr>
        <w:t>售后服务描述及承诺（可视情选用附件1</w:t>
      </w:r>
      <w:r>
        <w:rPr>
          <w:rFonts w:hint="eastAsia"/>
          <w:sz w:val="28"/>
          <w:szCs w:val="28"/>
          <w:lang w:val="en-US" w:eastAsia="zh-CN"/>
        </w:rPr>
        <w:t>2</w:t>
      </w:r>
      <w:r>
        <w:rPr>
          <w:rFonts w:hint="eastAsia"/>
          <w:sz w:val="28"/>
          <w:szCs w:val="28"/>
        </w:rPr>
        <w:t>，附件</w:t>
      </w:r>
      <w:r>
        <w:rPr>
          <w:rFonts w:hint="eastAsia"/>
          <w:sz w:val="28"/>
          <w:szCs w:val="28"/>
          <w:lang w:val="en-US" w:eastAsia="zh-CN"/>
        </w:rPr>
        <w:t>13</w:t>
      </w:r>
      <w:r>
        <w:rPr>
          <w:rFonts w:hint="eastAsia"/>
          <w:sz w:val="28"/>
          <w:szCs w:val="28"/>
        </w:rPr>
        <w:t>）</w:t>
      </w:r>
    </w:p>
    <w:p>
      <w:pPr>
        <w:numPr>
          <w:ilvl w:val="0"/>
          <w:numId w:val="13"/>
        </w:numPr>
        <w:spacing w:line="360" w:lineRule="auto"/>
        <w:ind w:left="425" w:leftChars="0" w:hanging="5" w:firstLineChars="0"/>
        <w:rPr>
          <w:rFonts w:hint="eastAsia"/>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3"/>
        </w:numPr>
        <w:spacing w:line="360" w:lineRule="auto"/>
        <w:ind w:left="425" w:leftChars="0" w:hanging="5" w:firstLineChars="0"/>
        <w:rPr>
          <w:rFonts w:hint="eastAsia"/>
          <w:sz w:val="28"/>
          <w:szCs w:val="28"/>
        </w:rPr>
      </w:pPr>
      <w:r>
        <w:rPr>
          <w:rFonts w:hint="eastAsia"/>
          <w:sz w:val="28"/>
          <w:szCs w:val="28"/>
        </w:rPr>
        <w:t>主要货物用材响应表（类似家具类货物采用，附件1</w:t>
      </w:r>
      <w:r>
        <w:rPr>
          <w:rFonts w:hint="eastAsia"/>
          <w:sz w:val="28"/>
          <w:szCs w:val="28"/>
          <w:lang w:val="en-US" w:eastAsia="zh-CN"/>
        </w:rPr>
        <w:t>4</w:t>
      </w:r>
      <w:r>
        <w:rPr>
          <w:rFonts w:hint="eastAsia"/>
          <w:sz w:val="28"/>
          <w:szCs w:val="28"/>
        </w:rPr>
        <w:t>）</w:t>
      </w:r>
    </w:p>
    <w:p>
      <w:pPr>
        <w:pStyle w:val="32"/>
        <w:spacing w:before="0" w:beforeAutospacing="0" w:after="0" w:afterAutospacing="0" w:line="360" w:lineRule="auto"/>
        <w:ind w:firstLine="482" w:firstLineChars="200"/>
        <w:jc w:val="both"/>
        <w:rPr>
          <w:b/>
        </w:rPr>
      </w:pPr>
    </w:p>
    <w:p>
      <w:pPr>
        <w:pStyle w:val="32"/>
        <w:spacing w:before="0" w:beforeAutospacing="0" w:after="0" w:afterAutospacing="0" w:line="360" w:lineRule="auto"/>
        <w:rPr>
          <w:b/>
          <w:sz w:val="28"/>
        </w:rPr>
      </w:pPr>
    </w:p>
    <w:p>
      <w:pPr>
        <w:rPr>
          <w:b/>
          <w:sz w:val="28"/>
        </w:rPr>
      </w:pPr>
      <w:r>
        <w:rPr>
          <w:b/>
          <w:sz w:val="28"/>
        </w:rPr>
        <w:br w:type="page"/>
      </w:r>
    </w:p>
    <w:p>
      <w:pPr>
        <w:pStyle w:val="32"/>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5</w:t>
      </w:r>
    </w:p>
    <w:p>
      <w:pPr>
        <w:pStyle w:val="32"/>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7" w:name="_Toc13307_WPSOffice_Level1"/>
      <w:bookmarkStart w:id="68" w:name="_Toc14261_WPSOffice_Level1"/>
      <w:r>
        <w:rPr>
          <w:rFonts w:hint="eastAsia"/>
          <w:b/>
          <w:sz w:val="32"/>
          <w:szCs w:val="32"/>
        </w:rPr>
        <w:t>投标</w:t>
      </w:r>
      <w:r>
        <w:rPr>
          <w:rFonts w:hint="eastAsia"/>
          <w:b/>
          <w:bCs/>
          <w:sz w:val="32"/>
          <w:szCs w:val="32"/>
        </w:rPr>
        <w:t>人基本情况表</w:t>
      </w:r>
      <w:bookmarkEnd w:id="67"/>
      <w:bookmarkEnd w:id="68"/>
    </w:p>
    <w:tbl>
      <w:tblPr>
        <w:tblStyle w:val="21"/>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法定代表人</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32"/>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2"/>
              <w:spacing w:before="0" w:beforeAutospacing="0" w:after="0" w:afterAutospacing="0"/>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2"/>
              <w:spacing w:before="0" w:beforeAutospacing="0" w:after="0" w:afterAutospacing="0"/>
              <w:jc w:val="center"/>
              <w:rPr>
                <w:rFonts w:hint="eastAsia" w:asciiTheme="minorEastAsia" w:hAnsiTheme="minorEastAsia" w:eastAsiaTheme="minorEastAsia" w:cstheme="minorEastAsia"/>
                <w:bCs/>
                <w:sz w:val="21"/>
                <w:szCs w:val="21"/>
              </w:rPr>
            </w:pPr>
          </w:p>
        </w:tc>
      </w:tr>
    </w:tbl>
    <w:p>
      <w:pPr>
        <w:pStyle w:val="32"/>
        <w:spacing w:before="0" w:beforeAutospacing="0" w:after="0" w:afterAutospacing="0"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2"/>
        <w:spacing w:before="0" w:beforeAutospacing="0" w:after="0" w:afterAutospacing="0"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snapToGrid w:val="0"/>
        <w:spacing w:beforeLines="50" w:after="50" w:line="360" w:lineRule="auto"/>
        <w:jc w:val="center"/>
        <w:rPr>
          <w:rFonts w:ascii="宋体" w:hAnsi="宋体"/>
          <w:b/>
          <w:sz w:val="36"/>
          <w:szCs w:val="36"/>
        </w:rPr>
      </w:pPr>
      <w:bookmarkStart w:id="69" w:name="_Toc20569_WPSOffice_Level1"/>
      <w:bookmarkStart w:id="70" w:name="_Toc23671_WPSOffice_Level1"/>
      <w:r>
        <w:rPr>
          <w:rFonts w:hint="eastAsia" w:ascii="宋体" w:hAnsi="宋体"/>
          <w:b/>
          <w:sz w:val="32"/>
          <w:szCs w:val="32"/>
        </w:rPr>
        <w:t>项目实施人员一览表</w:t>
      </w:r>
      <w:bookmarkEnd w:id="69"/>
      <w:bookmarkEnd w:id="70"/>
    </w:p>
    <w:p>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在填写时，如本表格不适合投标单位的实际情况，可根据本表格式自行划表填写。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7</w:t>
      </w:r>
    </w:p>
    <w:p>
      <w:pPr>
        <w:spacing w:beforeLines="50" w:afterLines="50" w:line="360" w:lineRule="auto"/>
        <w:ind w:right="-10"/>
        <w:jc w:val="center"/>
        <w:rPr>
          <w:rFonts w:ascii="宋体" w:hAnsi="宋体"/>
          <w:b/>
          <w:bCs/>
          <w:sz w:val="32"/>
          <w:szCs w:val="32"/>
        </w:rPr>
      </w:pPr>
      <w:bookmarkStart w:id="71" w:name="_Toc23055_WPSOffice_Level1"/>
      <w:bookmarkStart w:id="72" w:name="_Toc12710_WPSOffice_Level1"/>
      <w:r>
        <w:rPr>
          <w:rFonts w:hint="eastAsia" w:ascii="宋体" w:hAnsi="宋体"/>
          <w:b/>
          <w:bCs/>
          <w:sz w:val="32"/>
          <w:szCs w:val="32"/>
        </w:rPr>
        <w:t>项目负责人资格情况表</w:t>
      </w:r>
      <w:bookmarkEnd w:id="71"/>
      <w:bookmarkEnd w:id="72"/>
    </w:p>
    <w:tbl>
      <w:tblPr>
        <w:tblStyle w:val="21"/>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2" w:leftChars="0" w:firstLine="0" w:firstLineChars="0"/>
        <w:jc w:val="center"/>
        <w:rPr>
          <w:rFonts w:ascii="宋体" w:hAnsi="宋体"/>
          <w:sz w:val="24"/>
        </w:rPr>
      </w:pPr>
      <w:bookmarkStart w:id="73" w:name="_Toc3591_WPSOffice_Level1"/>
      <w:bookmarkStart w:id="74" w:name="_Toc32718_WPSOffice_Level1"/>
      <w:r>
        <w:rPr>
          <w:rFonts w:hint="eastAsia" w:ascii="宋体" w:hAnsi="宋体"/>
          <w:b/>
          <w:sz w:val="32"/>
          <w:szCs w:val="32"/>
        </w:rPr>
        <w:t>供货</w:t>
      </w:r>
      <w:r>
        <w:rPr>
          <w:rFonts w:ascii="宋体" w:hAnsi="宋体"/>
          <w:b/>
          <w:sz w:val="32"/>
          <w:szCs w:val="32"/>
        </w:rPr>
        <w:t>清单</w:t>
      </w:r>
      <w:bookmarkEnd w:id="73"/>
      <w:bookmarkEnd w:id="74"/>
    </w:p>
    <w:tbl>
      <w:tblPr>
        <w:tblStyle w:val="21"/>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99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产地</w:t>
            </w:r>
          </w:p>
        </w:tc>
        <w:tc>
          <w:tcPr>
            <w:tcW w:w="155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4"/>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4"/>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ind w:left="480"/>
        <w:jc w:val="center"/>
        <w:rPr>
          <w:rFonts w:ascii="宋体" w:hAnsi="宋体"/>
          <w:b/>
          <w:sz w:val="32"/>
          <w:szCs w:val="32"/>
        </w:rPr>
      </w:pPr>
      <w:bookmarkStart w:id="75" w:name="_Toc26601_WPSOffice_Level1"/>
      <w:bookmarkStart w:id="76"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5"/>
      <w:bookmarkEnd w:id="76"/>
    </w:p>
    <w:tbl>
      <w:tblPr>
        <w:tblStyle w:val="21"/>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64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44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0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pStyle w:val="34"/>
        <w:tabs>
          <w:tab w:val="left" w:pos="360"/>
        </w:tabs>
        <w:spacing w:line="360" w:lineRule="auto"/>
        <w:jc w:val="both"/>
        <w:rPr>
          <w:rFonts w:ascii="宋体"/>
          <w:b/>
          <w:szCs w:val="21"/>
        </w:rPr>
      </w:pPr>
      <w:r>
        <w:rPr>
          <w:rFonts w:hint="eastAsia" w:ascii="宋体"/>
          <w:b/>
          <w:szCs w:val="21"/>
        </w:rPr>
        <w:t>要求：</w:t>
      </w:r>
    </w:p>
    <w:p>
      <w:pPr>
        <w:pStyle w:val="34"/>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4"/>
        <w:spacing w:line="360" w:lineRule="auto"/>
        <w:ind w:firstLine="420" w:firstLineChars="200"/>
        <w:jc w:val="both"/>
        <w:rPr>
          <w:rFonts w:ascii="宋体"/>
          <w:szCs w:val="21"/>
        </w:rPr>
      </w:pPr>
      <w:r>
        <w:rPr>
          <w:rFonts w:hint="eastAsia" w:ascii="宋体"/>
          <w:szCs w:val="21"/>
        </w:rPr>
        <w:t>2.本表参照本招标文件第</w:t>
      </w:r>
      <w:r>
        <w:rPr>
          <w:rFonts w:hint="eastAsia" w:ascii="宋体"/>
          <w:szCs w:val="21"/>
          <w:lang w:val="en-US" w:eastAsia="zh-CN"/>
        </w:rPr>
        <w:t>三</w:t>
      </w:r>
      <w:r>
        <w:rPr>
          <w:rFonts w:hint="eastAsia" w:ascii="宋体"/>
          <w:szCs w:val="21"/>
        </w:rPr>
        <w:t>部分“招标需求”内第二条“具体技术需求”填制，投标人应根据投标设备的性能指标、服务指标，对照招标文件要求在“偏离情况”栏注明“正偏离”、“负偏离”或“无偏离”。</w:t>
      </w:r>
    </w:p>
    <w:p>
      <w:pPr>
        <w:pStyle w:val="34"/>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5"/>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pStyle w:val="36"/>
        <w:spacing w:line="360" w:lineRule="auto"/>
        <w:jc w:val="center"/>
        <w:rPr>
          <w:rFonts w:ascii="宋体" w:hAnsi="宋体"/>
          <w:b/>
          <w:sz w:val="32"/>
          <w:szCs w:val="32"/>
        </w:rPr>
      </w:pPr>
      <w:bookmarkStart w:id="77" w:name="_Toc17604_WPSOffice_Level1"/>
      <w:bookmarkStart w:id="78" w:name="_Toc11030_WPSOffice_Level1"/>
      <w:r>
        <w:rPr>
          <w:rFonts w:hint="eastAsia" w:ascii="宋体" w:hAnsi="宋体"/>
          <w:b/>
          <w:sz w:val="32"/>
          <w:szCs w:val="32"/>
        </w:rPr>
        <w:t>证书一览表</w:t>
      </w:r>
      <w:bookmarkEnd w:id="77"/>
      <w:bookmarkEnd w:id="78"/>
    </w:p>
    <w:tbl>
      <w:tblPr>
        <w:tblStyle w:val="21"/>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6"/>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6"/>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6"/>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6"/>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58" w:type="dxa"/>
            <w:tcBorders>
              <w:top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60" w:type="dxa"/>
            <w:tcBorders>
              <w:top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58" w:type="dxa"/>
            <w:tcBorders>
              <w:bottom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260" w:type="dxa"/>
            <w:tcBorders>
              <w:bottom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11</w:t>
      </w:r>
    </w:p>
    <w:p>
      <w:pPr>
        <w:pStyle w:val="35"/>
        <w:spacing w:line="360" w:lineRule="auto"/>
        <w:jc w:val="center"/>
        <w:rPr>
          <w:rFonts w:ascii="仿宋_GB2312" w:eastAsia="仿宋_GB2312"/>
          <w:b/>
          <w:sz w:val="28"/>
          <w:szCs w:val="28"/>
        </w:rPr>
      </w:pPr>
      <w:bookmarkStart w:id="79" w:name="_Toc7134_WPSOffice_Level1"/>
      <w:bookmarkStart w:id="80" w:name="_Toc19231_WPSOffice_Level1"/>
      <w:r>
        <w:rPr>
          <w:rFonts w:hint="eastAsia" w:ascii="宋体" w:hAnsi="宋体"/>
          <w:b/>
          <w:sz w:val="32"/>
          <w:szCs w:val="32"/>
        </w:rPr>
        <w:t>投标人类似项目实施情况一览表</w:t>
      </w:r>
      <w:bookmarkEnd w:id="79"/>
      <w:bookmarkEnd w:id="80"/>
    </w:p>
    <w:tbl>
      <w:tblPr>
        <w:tblStyle w:val="21"/>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6"/>
        <w:tabs>
          <w:tab w:val="left" w:pos="1050"/>
        </w:tabs>
        <w:spacing w:line="360" w:lineRule="auto"/>
        <w:rPr>
          <w:rFonts w:hint="eastAsia" w:ascii="仿宋_GB2312" w:hAnsi="宋体" w:eastAsia="宋体"/>
          <w:sz w:val="24"/>
          <w:lang w:val="en-US"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0" w:leftChars="0" w:hanging="9" w:firstLineChars="0"/>
        <w:jc w:val="center"/>
        <w:rPr>
          <w:rFonts w:ascii="宋体" w:hAnsi="宋体"/>
          <w:b/>
          <w:sz w:val="18"/>
          <w:szCs w:val="18"/>
        </w:rPr>
      </w:pPr>
      <w:bookmarkStart w:id="81" w:name="_Toc21582_WPSOffice_Level1"/>
      <w:bookmarkStart w:id="82" w:name="_Toc3068_WPSOffice_Level1"/>
      <w:r>
        <w:rPr>
          <w:rFonts w:hint="eastAsia" w:ascii="宋体" w:hAnsi="宋体"/>
          <w:b/>
          <w:sz w:val="32"/>
          <w:szCs w:val="32"/>
        </w:rPr>
        <w:t>商务需求响应表</w:t>
      </w:r>
      <w:bookmarkEnd w:id="81"/>
      <w:bookmarkEnd w:id="82"/>
    </w:p>
    <w:tbl>
      <w:tblPr>
        <w:tblStyle w:val="21"/>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交货和服务</w:t>
            </w:r>
          </w:p>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w:t>
      </w:r>
      <w:r>
        <w:rPr>
          <w:rFonts w:hint="eastAsia" w:ascii="宋体" w:hAnsi="宋体"/>
          <w:b/>
          <w:sz w:val="28"/>
          <w:lang w:val="en-US" w:eastAsia="zh-CN"/>
        </w:rPr>
        <w:t>13</w:t>
      </w:r>
      <w:r>
        <w:rPr>
          <w:rFonts w:ascii="宋体" w:hAnsi="宋体"/>
          <w:b/>
          <w:sz w:val="28"/>
        </w:rPr>
        <w:tab/>
      </w:r>
    </w:p>
    <w:p>
      <w:pPr>
        <w:spacing w:line="360" w:lineRule="auto"/>
        <w:ind w:left="0" w:leftChars="0" w:firstLine="0" w:firstLineChars="0"/>
        <w:jc w:val="center"/>
        <w:rPr>
          <w:rFonts w:ascii="宋体" w:hAnsi="宋体"/>
          <w:b/>
          <w:sz w:val="24"/>
        </w:rPr>
      </w:pPr>
      <w:bookmarkStart w:id="83" w:name="_Toc29652_WPSOffice_Level1"/>
      <w:bookmarkStart w:id="84" w:name="_Toc3463_WPSOffice_Level1"/>
      <w:r>
        <w:rPr>
          <w:rFonts w:hint="eastAsia" w:ascii="宋体" w:hAnsi="宋体"/>
          <w:b/>
          <w:sz w:val="32"/>
          <w:szCs w:val="32"/>
        </w:rPr>
        <w:t>售后服务情况表</w:t>
      </w:r>
      <w:bookmarkEnd w:id="83"/>
      <w:bookmarkEnd w:id="84"/>
    </w:p>
    <w:tbl>
      <w:tblPr>
        <w:tblStyle w:val="21"/>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序号</w:t>
            </w:r>
          </w:p>
        </w:tc>
        <w:tc>
          <w:tcPr>
            <w:tcW w:w="287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项目</w:t>
            </w:r>
          </w:p>
        </w:tc>
        <w:tc>
          <w:tcPr>
            <w:tcW w:w="4061"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投标人情况</w:t>
            </w:r>
          </w:p>
        </w:tc>
        <w:tc>
          <w:tcPr>
            <w:tcW w:w="1301"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1</w:t>
            </w:r>
          </w:p>
        </w:tc>
        <w:tc>
          <w:tcPr>
            <w:tcW w:w="287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保修期内售后服务情况(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、售后服务的内容和措施</w:t>
            </w:r>
            <w:r>
              <w:rPr>
                <w:rFonts w:hint="eastAsia" w:ascii="宋体" w:hAnsi="宋体" w:cs="Arial"/>
                <w:bCs/>
                <w:sz w:val="21"/>
                <w:szCs w:val="21"/>
              </w:rPr>
              <w:t>等等，可用附页和宣传材料)</w:t>
            </w:r>
          </w:p>
        </w:tc>
        <w:tc>
          <w:tcPr>
            <w:tcW w:w="406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01" w:type="dxa"/>
            <w:tcMar>
              <w:top w:w="57" w:type="dxa"/>
              <w:left w:w="108" w:type="dxa"/>
              <w:bottom w:w="0" w:type="dxa"/>
              <w:right w:w="108" w:type="dxa"/>
            </w:tcMar>
          </w:tcPr>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287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406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01" w:type="dxa"/>
            <w:tcMar>
              <w:top w:w="57" w:type="dxa"/>
              <w:left w:w="108" w:type="dxa"/>
              <w:bottom w:w="0" w:type="dxa"/>
              <w:right w:w="108" w:type="dxa"/>
            </w:tcMar>
          </w:tcPr>
          <w:p>
            <w:pPr>
              <w:pStyle w:val="37"/>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2</w:t>
            </w:r>
          </w:p>
        </w:tc>
        <w:tc>
          <w:tcPr>
            <w:tcW w:w="2879" w:type="dxa"/>
            <w:tcMar>
              <w:top w:w="57" w:type="dxa"/>
              <w:left w:w="108" w:type="dxa"/>
              <w:bottom w:w="0" w:type="dxa"/>
              <w:right w:w="108" w:type="dxa"/>
            </w:tcMar>
            <w:vAlign w:val="center"/>
          </w:tcPr>
          <w:p>
            <w:pPr>
              <w:pStyle w:val="37"/>
              <w:spacing w:line="360" w:lineRule="auto"/>
              <w:rPr>
                <w:rFonts w:ascii="宋体" w:hAnsi="宋体" w:cs="Arial"/>
                <w:bCs/>
                <w:sz w:val="21"/>
                <w:szCs w:val="21"/>
              </w:rPr>
            </w:pPr>
            <w:r>
              <w:rPr>
                <w:rFonts w:hint="eastAsia" w:ascii="宋体" w:hAnsi="宋体" w:cs="Arial"/>
                <w:bCs/>
                <w:sz w:val="21"/>
                <w:szCs w:val="21"/>
              </w:rPr>
              <w:t>保修期后售后服务</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87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287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8"/>
        <w:rPr>
          <w:rFonts w:ascii="宋体" w:hAnsi="宋体"/>
          <w:sz w:val="24"/>
          <w:u w:val="single"/>
        </w:rPr>
      </w:pPr>
    </w:p>
    <w:p>
      <w:pPr>
        <w:pStyle w:val="8"/>
        <w:rPr>
          <w:rFonts w:ascii="宋体" w:hAnsi="宋体"/>
          <w:sz w:val="24"/>
          <w:u w:val="single"/>
        </w:rPr>
      </w:pPr>
    </w:p>
    <w:p>
      <w:pPr>
        <w:pStyle w:val="8"/>
        <w:rPr>
          <w:rFonts w:ascii="宋体" w:hAnsi="宋体"/>
          <w:sz w:val="24"/>
          <w:u w:val="single"/>
        </w:rPr>
      </w:pPr>
    </w:p>
    <w:p>
      <w:pPr>
        <w:pStyle w:val="8"/>
        <w:ind w:firstLine="0"/>
        <w:rPr>
          <w:rFonts w:ascii="宋体" w:hAnsi="宋体"/>
          <w:sz w:val="24"/>
          <w:u w:val="single"/>
        </w:rPr>
      </w:pPr>
    </w:p>
    <w:p>
      <w:pPr>
        <w:pStyle w:val="8"/>
        <w:ind w:firstLine="0"/>
        <w:rPr>
          <w:rFonts w:ascii="宋体" w:hAnsi="宋体"/>
          <w:sz w:val="24"/>
          <w:u w:val="single"/>
        </w:rPr>
      </w:pPr>
    </w:p>
    <w:p>
      <w:pPr>
        <w:pStyle w:val="8"/>
        <w:ind w:firstLine="0"/>
        <w:rPr>
          <w:rFonts w:ascii="宋体" w:hAnsi="宋体"/>
          <w:sz w:val="24"/>
          <w:u w:val="single"/>
        </w:rPr>
      </w:pPr>
    </w:p>
    <w:p>
      <w:pPr>
        <w:pStyle w:val="38"/>
        <w:spacing w:line="360" w:lineRule="auto"/>
        <w:rPr>
          <w:rFonts w:hint="default" w:hAnsi="宋体" w:eastAsiaTheme="minorEastAsia"/>
          <w:b/>
          <w:sz w:val="28"/>
          <w:szCs w:val="28"/>
          <w:lang w:val="en-US" w:eastAsia="zh-CN"/>
        </w:rPr>
      </w:pPr>
      <w:r>
        <w:rPr>
          <w:rFonts w:hint="eastAsia" w:hAnsi="宋体"/>
          <w:b/>
          <w:sz w:val="28"/>
          <w:szCs w:val="28"/>
        </w:rPr>
        <w:t>附件</w:t>
      </w:r>
      <w:r>
        <w:rPr>
          <w:rFonts w:hint="eastAsia" w:hAnsi="宋体"/>
          <w:b/>
          <w:sz w:val="28"/>
          <w:szCs w:val="28"/>
          <w:lang w:val="en-US" w:eastAsia="zh-CN"/>
        </w:rPr>
        <w:t>14</w:t>
      </w:r>
    </w:p>
    <w:p>
      <w:pPr>
        <w:pStyle w:val="38"/>
        <w:spacing w:line="360" w:lineRule="auto"/>
        <w:jc w:val="center"/>
        <w:rPr>
          <w:rFonts w:hAnsi="宋体"/>
          <w:b/>
          <w:sz w:val="32"/>
          <w:szCs w:val="32"/>
          <w:lang w:val="en-GB"/>
        </w:rPr>
      </w:pPr>
      <w:bookmarkStart w:id="85" w:name="_Toc15536_WPSOffice_Level1"/>
      <w:bookmarkStart w:id="86" w:name="_Toc16175_WPSOffice_Level1"/>
      <w:r>
        <w:rPr>
          <w:rFonts w:hint="eastAsia" w:hAnsi="宋体"/>
          <w:b/>
          <w:sz w:val="32"/>
          <w:szCs w:val="32"/>
        </w:rPr>
        <w:t>主要货物用材响应表(类似家具类货物采用)</w:t>
      </w:r>
      <w:bookmarkEnd w:id="85"/>
      <w:bookmarkEnd w:id="86"/>
    </w:p>
    <w:tbl>
      <w:tblPr>
        <w:tblStyle w:val="21"/>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hint="eastAsia" w:asciiTheme="minorEastAsia" w:hAnsiTheme="minorEastAsia" w:eastAsiaTheme="minorEastAsia" w:cstheme="minorEastAsia"/>
                <w:sz w:val="21"/>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pStyle w:val="37"/>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7"/>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7"/>
        <w:spacing w:line="360" w:lineRule="auto"/>
        <w:ind w:firstLine="480" w:firstLineChars="200"/>
        <w:rPr>
          <w:rFonts w:ascii="仿宋_GB2312" w:eastAsia="仿宋_GB2312"/>
          <w:sz w:val="24"/>
        </w:rPr>
      </w:pPr>
    </w:p>
    <w:p>
      <w:pPr>
        <w:pStyle w:val="37"/>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rFonts w:hint="eastAsia"/>
          <w:sz w:val="52"/>
          <w:szCs w:val="52"/>
        </w:rPr>
      </w:pPr>
      <w:bookmarkStart w:id="87" w:name="_Toc30468_WPSOffice_Level1"/>
      <w:bookmarkStart w:id="88" w:name="_Toc21322_WPSOffice_Level1"/>
      <w:bookmarkStart w:id="89" w:name="_Toc4615_WPSOffice_Level1"/>
    </w:p>
    <w:p>
      <w:pPr>
        <w:pStyle w:val="2"/>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87"/>
      <w:bookmarkEnd w:id="88"/>
      <w:bookmarkEnd w:id="8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rPr>
      </w:pPr>
      <w:bookmarkStart w:id="90" w:name="_Toc8885_WPSOffice_Level1"/>
      <w:bookmarkStart w:id="91" w:name="_Toc9453_WPSOffice_Level1"/>
      <w:r>
        <w:rPr>
          <w:rFonts w:hint="eastAsia"/>
          <w:sz w:val="84"/>
          <w:szCs w:val="84"/>
        </w:rPr>
        <w:t>报</w:t>
      </w:r>
      <w:bookmarkEnd w:id="90"/>
      <w:bookmarkEnd w:id="91"/>
    </w:p>
    <w:p>
      <w:pPr>
        <w:jc w:val="center"/>
        <w:rPr>
          <w:sz w:val="84"/>
          <w:szCs w:val="84"/>
        </w:rPr>
      </w:pPr>
      <w:bookmarkStart w:id="92" w:name="_Toc7485_WPSOffice_Level1"/>
      <w:bookmarkStart w:id="93" w:name="_Toc10910_WPSOffice_Level1"/>
      <w:r>
        <w:rPr>
          <w:rFonts w:hint="eastAsia"/>
          <w:sz w:val="84"/>
          <w:szCs w:val="84"/>
        </w:rPr>
        <w:t>价</w:t>
      </w:r>
      <w:bookmarkEnd w:id="92"/>
      <w:bookmarkEnd w:id="93"/>
    </w:p>
    <w:p>
      <w:pPr>
        <w:jc w:val="center"/>
        <w:rPr>
          <w:sz w:val="84"/>
          <w:szCs w:val="84"/>
        </w:rPr>
      </w:pPr>
      <w:bookmarkStart w:id="94" w:name="_Toc14572_WPSOffice_Level1"/>
      <w:bookmarkStart w:id="95" w:name="_Toc3932_WPSOffice_Level1"/>
      <w:r>
        <w:rPr>
          <w:rFonts w:hint="eastAsia"/>
          <w:sz w:val="84"/>
          <w:szCs w:val="84"/>
        </w:rPr>
        <w:t>文</w:t>
      </w:r>
      <w:bookmarkEnd w:id="94"/>
      <w:bookmarkEnd w:id="95"/>
    </w:p>
    <w:p>
      <w:pPr>
        <w:jc w:val="center"/>
        <w:rPr>
          <w:sz w:val="84"/>
          <w:szCs w:val="84"/>
        </w:rPr>
      </w:pPr>
      <w:bookmarkStart w:id="96" w:name="_Toc16973_WPSOffice_Level1"/>
      <w:bookmarkStart w:id="97" w:name="_Toc7562_WPSOffice_Level1"/>
      <w:r>
        <w:rPr>
          <w:rFonts w:hint="eastAsia"/>
          <w:sz w:val="84"/>
          <w:szCs w:val="84"/>
        </w:rPr>
        <w:t>件</w:t>
      </w:r>
      <w:bookmarkEnd w:id="96"/>
      <w:bookmarkEnd w:id="97"/>
    </w:p>
    <w:p>
      <w:pPr>
        <w:spacing w:line="360" w:lineRule="auto"/>
        <w:ind w:right="532"/>
        <w:rPr>
          <w:rFonts w:ascii="宋体" w:hAnsi="宋体"/>
          <w:sz w:val="36"/>
          <w:szCs w:val="36"/>
        </w:rPr>
      </w:pPr>
    </w:p>
    <w:p>
      <w:pPr>
        <w:pStyle w:val="2"/>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8" w:name="_Toc4603_WPSOffice_Level1"/>
      <w:bookmarkStart w:id="99" w:name="_Toc26700_WPSOffice_Level1"/>
      <w:r>
        <w:rPr>
          <w:rFonts w:hint="eastAsia" w:ascii="宋体" w:hAnsi="宋体"/>
          <w:sz w:val="36"/>
          <w:szCs w:val="36"/>
        </w:rPr>
        <w:t>投标人全称（公章）：</w:t>
      </w:r>
      <w:bookmarkEnd w:id="98"/>
      <w:bookmarkEnd w:id="99"/>
    </w:p>
    <w:p>
      <w:pPr>
        <w:spacing w:line="360" w:lineRule="auto"/>
        <w:ind w:right="-108" w:firstLine="720" w:firstLineChars="200"/>
        <w:rPr>
          <w:rFonts w:ascii="宋体" w:hAnsi="宋体"/>
          <w:sz w:val="36"/>
          <w:szCs w:val="36"/>
        </w:rPr>
      </w:pPr>
      <w:bookmarkStart w:id="100" w:name="_Toc1391_WPSOffice_Level1"/>
      <w:bookmarkStart w:id="101" w:name="_Toc32593_WPSOffice_Level1"/>
      <w:r>
        <w:rPr>
          <w:rFonts w:hint="eastAsia" w:ascii="宋体" w:hAnsi="宋体"/>
          <w:sz w:val="36"/>
          <w:szCs w:val="36"/>
        </w:rPr>
        <w:t>地    址：</w:t>
      </w:r>
      <w:bookmarkEnd w:id="100"/>
      <w:bookmarkEnd w:id="101"/>
    </w:p>
    <w:p>
      <w:pPr>
        <w:spacing w:line="360" w:lineRule="auto"/>
        <w:ind w:right="-108" w:firstLine="720" w:firstLineChars="200"/>
        <w:rPr>
          <w:rFonts w:ascii="宋体" w:hAnsi="宋体"/>
          <w:sz w:val="36"/>
          <w:szCs w:val="36"/>
        </w:rPr>
      </w:pPr>
      <w:bookmarkStart w:id="102" w:name="_Toc3791_WPSOffice_Level1"/>
      <w:bookmarkStart w:id="103" w:name="_Toc20938_WPSOffice_Level1"/>
      <w:r>
        <w:rPr>
          <w:rFonts w:hint="eastAsia" w:ascii="宋体" w:hAnsi="宋体"/>
          <w:sz w:val="36"/>
          <w:szCs w:val="36"/>
        </w:rPr>
        <w:t>时    间：</w:t>
      </w:r>
      <w:bookmarkEnd w:id="102"/>
      <w:bookmarkEnd w:id="103"/>
    </w:p>
    <w:p>
      <w:pPr>
        <w:spacing w:line="360" w:lineRule="auto"/>
        <w:ind w:right="-108"/>
        <w:jc w:val="center"/>
        <w:rPr>
          <w:rFonts w:ascii="仿宋_GB2312" w:hAnsi="宋体" w:eastAsia="仿宋_GB2312"/>
          <w:b/>
          <w:sz w:val="36"/>
          <w:szCs w:val="36"/>
        </w:rPr>
      </w:pPr>
    </w:p>
    <w:p>
      <w:pPr>
        <w:pStyle w:val="2"/>
      </w:pPr>
    </w:p>
    <w:p>
      <w:pPr>
        <w:pStyle w:val="2"/>
      </w:pPr>
    </w:p>
    <w:p>
      <w:pPr>
        <w:pStyle w:val="2"/>
      </w:pPr>
    </w:p>
    <w:p>
      <w:pPr>
        <w:pStyle w:val="8"/>
        <w:ind w:left="0" w:leftChars="0" w:firstLine="0" w:firstLineChars="0"/>
        <w:rPr>
          <w:rFonts w:ascii="仿宋_GB2312" w:hAnsi="宋体" w:eastAsia="仿宋_GB2312"/>
          <w:b/>
          <w:sz w:val="36"/>
          <w:szCs w:val="36"/>
        </w:rPr>
      </w:pPr>
    </w:p>
    <w:p>
      <w:pPr>
        <w:pStyle w:val="8"/>
        <w:ind w:left="0" w:leftChars="0" w:firstLine="0" w:firstLineChars="0"/>
        <w:rPr>
          <w:rFonts w:ascii="仿宋_GB2312" w:hAnsi="宋体" w:eastAsia="仿宋_GB2312"/>
          <w:b/>
          <w:sz w:val="36"/>
          <w:szCs w:val="36"/>
        </w:rPr>
      </w:pPr>
    </w:p>
    <w:p>
      <w:pPr>
        <w:spacing w:line="480" w:lineRule="auto"/>
        <w:jc w:val="center"/>
        <w:rPr>
          <w:rFonts w:hint="eastAsia" w:ascii="宋体" w:hAnsi="宋体"/>
          <w:b/>
          <w:bCs/>
          <w:sz w:val="36"/>
          <w:szCs w:val="36"/>
        </w:rPr>
      </w:pPr>
      <w:bookmarkStart w:id="104" w:name="_Toc29537_WPSOffice_Level1"/>
      <w:bookmarkStart w:id="105" w:name="_Toc19972_WPSOffice_Level1"/>
      <w:r>
        <w:rPr>
          <w:rFonts w:hint="eastAsia" w:ascii="宋体" w:hAnsi="宋体"/>
          <w:b/>
          <w:bCs/>
          <w:sz w:val="36"/>
          <w:szCs w:val="36"/>
        </w:rPr>
        <w:t>报价文件目录</w:t>
      </w:r>
      <w:bookmarkEnd w:id="104"/>
      <w:bookmarkEnd w:id="105"/>
    </w:p>
    <w:p>
      <w:pPr>
        <w:pStyle w:val="2"/>
        <w:rPr>
          <w:rFonts w:hint="eastAsia"/>
        </w:rPr>
      </w:pPr>
    </w:p>
    <w:p>
      <w:pPr>
        <w:spacing w:line="360" w:lineRule="auto"/>
        <w:ind w:firstLine="480" w:firstLineChars="200"/>
        <w:rPr>
          <w:sz w:val="24"/>
        </w:rPr>
      </w:pPr>
    </w:p>
    <w:p>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06" w:name="_Toc6778_WPSOffice_Level1"/>
      <w:bookmarkStart w:id="107" w:name="_Toc29988_WPSOffice_Level1"/>
      <w:r>
        <w:rPr>
          <w:rFonts w:hint="eastAsia" w:asciiTheme="minorEastAsia" w:hAnsiTheme="minorEastAsia" w:eastAsiaTheme="minorEastAsia" w:cstheme="minorEastAsia"/>
          <w:sz w:val="28"/>
          <w:szCs w:val="28"/>
          <w:lang w:val="en-US" w:eastAsia="zh-CN"/>
        </w:rPr>
        <w:t>开标一览表（附件15）</w:t>
      </w:r>
      <w:bookmarkEnd w:id="106"/>
      <w:bookmarkEnd w:id="107"/>
    </w:p>
    <w:p>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08" w:name="_Toc11601_WPSOffice_Level1"/>
      <w:bookmarkStart w:id="109" w:name="_Toc15601_WPSOffice_Level1"/>
      <w:r>
        <w:rPr>
          <w:rFonts w:hint="eastAsia" w:asciiTheme="minorEastAsia" w:hAnsiTheme="minorEastAsia" w:eastAsiaTheme="minorEastAsia" w:cstheme="minorEastAsia"/>
          <w:sz w:val="28"/>
          <w:szCs w:val="28"/>
          <w:lang w:val="en-US" w:eastAsia="zh-CN"/>
        </w:rPr>
        <w:t>报价明细表（附件16）</w:t>
      </w:r>
      <w:bookmarkEnd w:id="108"/>
      <w:bookmarkEnd w:id="109"/>
    </w:p>
    <w:p>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0" w:name="_Toc17543_WPSOffice_Level1"/>
      <w:bookmarkStart w:id="111" w:name="_Toc45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lang w:val="en-US" w:eastAsia="zh-CN"/>
        </w:rPr>
        <w:t>（附件17）</w:t>
      </w:r>
      <w:bookmarkEnd w:id="110"/>
      <w:bookmarkEnd w:id="111"/>
    </w:p>
    <w:p>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针对报价投标人认为其他需要说明的</w:t>
      </w:r>
    </w:p>
    <w:p>
      <w:pPr>
        <w:numPr>
          <w:ilvl w:val="0"/>
          <w:numId w:val="0"/>
        </w:numPr>
        <w:spacing w:line="360" w:lineRule="auto"/>
        <w:ind w:leftChars="0"/>
        <w:jc w:val="both"/>
        <w:rPr>
          <w:rFonts w:hint="eastAsia" w:asciiTheme="minorEastAsia" w:hAnsiTheme="minorEastAsia" w:eastAsiaTheme="minorEastAsia" w:cstheme="minorEastAsia"/>
          <w:sz w:val="28"/>
          <w:szCs w:val="28"/>
          <w:lang w:val="en-US" w:eastAsia="zh-CN"/>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5</w:t>
      </w:r>
    </w:p>
    <w:p>
      <w:pPr>
        <w:spacing w:line="360" w:lineRule="auto"/>
        <w:ind w:left="-2" w:hanging="2"/>
        <w:jc w:val="center"/>
        <w:rPr>
          <w:rFonts w:hint="eastAsia" w:ascii="宋体" w:hAnsi="宋体"/>
          <w:b/>
          <w:sz w:val="32"/>
          <w:szCs w:val="32"/>
        </w:rPr>
      </w:pPr>
      <w:bookmarkStart w:id="112" w:name="_Toc16144_WPSOffice_Level1"/>
      <w:bookmarkStart w:id="113" w:name="_Toc30363_WPSOffice_Level1"/>
      <w:r>
        <w:rPr>
          <w:rFonts w:hint="eastAsia" w:ascii="宋体" w:hAnsi="宋体"/>
          <w:b/>
          <w:sz w:val="32"/>
          <w:szCs w:val="32"/>
        </w:rPr>
        <w:t>开标一览表</w:t>
      </w:r>
      <w:bookmarkEnd w:id="112"/>
      <w:bookmarkEnd w:id="113"/>
    </w:p>
    <w:p>
      <w:pPr>
        <w:pStyle w:val="2"/>
      </w:pPr>
    </w:p>
    <w:p>
      <w:pPr>
        <w:pStyle w:val="12"/>
        <w:spacing w:line="360" w:lineRule="auto"/>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hint="eastAsia" w:ascii="宋体" w:hAnsi="宋体" w:eastAsia="宋体"/>
                <w:sz w:val="24"/>
                <w:lang w:eastAsia="zh-CN"/>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hint="eastAsia" w:ascii="宋体" w:hAnsi="宋体" w:eastAsia="宋体" w:cs="宋体"/>
          <w:sz w:val="24"/>
        </w:rPr>
      </w:pPr>
      <w:r>
        <w:rPr>
          <w:rFonts w:hint="eastAsia" w:ascii="宋体" w:hAnsi="宋体"/>
          <w:b/>
          <w:szCs w:val="21"/>
        </w:rPr>
        <w:t>填报要求：</w:t>
      </w:r>
      <w:r>
        <w:rPr>
          <w:rFonts w:hint="eastAsia" w:ascii="宋体" w:hAnsi="宋体" w:eastAsia="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hint="eastAsia" w:ascii="宋体" w:hAnsi="宋体" w:eastAsia="宋体" w:cs="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6</w:t>
      </w:r>
    </w:p>
    <w:p>
      <w:pPr>
        <w:spacing w:line="360" w:lineRule="auto"/>
        <w:jc w:val="center"/>
        <w:rPr>
          <w:rFonts w:hint="eastAsia" w:ascii="宋体" w:hAnsi="宋体"/>
          <w:sz w:val="24"/>
        </w:rPr>
      </w:pPr>
      <w:bookmarkStart w:id="114" w:name="_Toc22412_WPSOffice_Level1"/>
      <w:bookmarkStart w:id="115" w:name="_Toc8975_WPSOffice_Level1"/>
      <w:r>
        <w:rPr>
          <w:rFonts w:hint="eastAsia" w:ascii="宋体" w:hAnsi="宋体"/>
          <w:b/>
          <w:sz w:val="32"/>
          <w:szCs w:val="32"/>
        </w:rPr>
        <w:t>报价明细表</w:t>
      </w:r>
      <w:bookmarkEnd w:id="114"/>
      <w:bookmarkEnd w:id="115"/>
      <w:r>
        <w:rPr>
          <w:rFonts w:hint="eastAsia" w:ascii="宋体" w:hAnsi="宋体"/>
          <w:sz w:val="24"/>
        </w:rPr>
        <w:t xml:space="preserve">  </w:t>
      </w:r>
    </w:p>
    <w:p>
      <w:pPr>
        <w:spacing w:line="360" w:lineRule="auto"/>
        <w:jc w:val="both"/>
        <w:rPr>
          <w:rFonts w:hAnsi="宋体"/>
          <w:b/>
          <w:sz w:val="24"/>
        </w:rPr>
      </w:pPr>
      <w:r>
        <w:rPr>
          <w:rFonts w:hAnsi="宋体"/>
          <w:b/>
          <w:sz w:val="24"/>
        </w:rPr>
        <w:t>项目编号：</w:t>
      </w:r>
    </w:p>
    <w:p>
      <w:pPr>
        <w:pStyle w:val="41"/>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数量</w:t>
            </w:r>
          </w:p>
        </w:tc>
        <w:tc>
          <w:tcPr>
            <w:tcW w:w="714"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单价</w:t>
            </w:r>
          </w:p>
        </w:tc>
        <w:tc>
          <w:tcPr>
            <w:tcW w:w="697"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小计</w:t>
            </w:r>
          </w:p>
        </w:tc>
        <w:tc>
          <w:tcPr>
            <w:tcW w:w="709"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leftChars="0"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leftChars="0"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7</w:t>
      </w:r>
    </w:p>
    <w:p>
      <w:pPr>
        <w:pStyle w:val="8"/>
        <w:spacing w:line="360" w:lineRule="auto"/>
        <w:ind w:left="0" w:leftChars="0" w:firstLine="0" w:firstLineChars="0"/>
        <w:jc w:val="center"/>
        <w:rPr>
          <w:rFonts w:ascii="宋体" w:hAnsi="宋体" w:cs="宋体"/>
          <w:b/>
          <w:sz w:val="32"/>
          <w:szCs w:val="32"/>
        </w:rPr>
      </w:pPr>
      <w:bookmarkStart w:id="116" w:name="_Toc12654_WPSOffice_Level1"/>
      <w:bookmarkStart w:id="117" w:name="_Toc29357_WPSOffice_Level1"/>
      <w:r>
        <w:rPr>
          <w:rFonts w:hint="eastAsia" w:ascii="宋体" w:hAnsi="宋体" w:cs="宋体"/>
          <w:b/>
          <w:sz w:val="32"/>
          <w:szCs w:val="32"/>
        </w:rPr>
        <w:t>中小企业声明函（货物）</w:t>
      </w:r>
      <w:bookmarkEnd w:id="116"/>
      <w:bookmarkEnd w:id="117"/>
    </w:p>
    <w:p>
      <w:pPr>
        <w:pStyle w:val="8"/>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企业名称（盖章）：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日 期：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7" w:type="first"/>
          <w:footerReference r:id="rId9" w:type="first"/>
          <w:headerReference r:id="rId6" w:type="default"/>
          <w:footerReference r:id="rId8"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2"/>
        <w:spacing w:line="360" w:lineRule="auto"/>
        <w:jc w:val="center"/>
        <w:outlineLvl w:val="1"/>
        <w:rPr>
          <w:rFonts w:hAnsi="宋体" w:cs="宋体"/>
          <w:b/>
          <w:sz w:val="32"/>
          <w:szCs w:val="32"/>
          <w:lang w:val="en-GB"/>
        </w:rPr>
      </w:pPr>
      <w:bookmarkStart w:id="118" w:name="_Toc17646_WPSOffice_Level1"/>
      <w:bookmarkStart w:id="119" w:name="_Toc27483_WPSOffice_Level1"/>
      <w:r>
        <w:rPr>
          <w:rFonts w:hint="eastAsia" w:hAnsi="宋体" w:cs="宋体"/>
          <w:b/>
          <w:sz w:val="32"/>
          <w:szCs w:val="32"/>
          <w:lang w:val="en-GB"/>
        </w:rPr>
        <w:t>残疾人福利性单位声明函</w:t>
      </w:r>
      <w:bookmarkEnd w:id="118"/>
      <w:bookmarkEnd w:id="119"/>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sz w:val="24"/>
        </w:rPr>
      </w:pPr>
      <w:r>
        <w:rPr>
          <w:rFonts w:hint="eastAsia" w:ascii="宋体" w:hAnsi="宋体" w:cs="宋体"/>
          <w:sz w:val="24"/>
        </w:rPr>
        <w:t xml:space="preserve">                                </w:t>
      </w:r>
      <w:r>
        <w:rPr>
          <w:rFonts w:hint="eastAsia" w:ascii="宋体" w:hAnsi="宋体"/>
          <w:sz w:val="24"/>
        </w:rPr>
        <w:t>单位名称（盖章）：</w:t>
      </w:r>
    </w:p>
    <w:p>
      <w:pPr>
        <w:pStyle w:val="42"/>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tabs>
          <w:tab w:val="left" w:pos="4860"/>
        </w:tabs>
        <w:spacing w:line="588" w:lineRule="exact"/>
        <w:ind w:right="1560" w:firstLine="480" w:firstLineChars="200"/>
        <w:jc w:val="center"/>
        <w:rPr>
          <w:rFonts w:ascii="宋体" w:hAnsi="宋体" w:cs="宋体"/>
          <w:sz w:val="24"/>
        </w:rPr>
      </w:pPr>
    </w:p>
    <w:p>
      <w:pPr>
        <w:pStyle w:val="42"/>
        <w:spacing w:line="360" w:lineRule="auto"/>
      </w:pPr>
    </w:p>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政府采购文件公开招标货物类示范文本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DB9645F2"/>
    <w:multiLevelType w:val="singleLevel"/>
    <w:tmpl w:val="DB9645F2"/>
    <w:lvl w:ilvl="0" w:tentative="0">
      <w:start w:val="2"/>
      <w:numFmt w:val="chineseCounting"/>
      <w:suff w:val="nothing"/>
      <w:lvlText w:val="（%1）"/>
      <w:lvlJc w:val="left"/>
      <w:rPr>
        <w:rFonts w:hint="eastAsia"/>
      </w:rPr>
    </w:lvl>
  </w:abstractNum>
  <w:abstractNum w:abstractNumId="5">
    <w:nsid w:val="F931D4A4"/>
    <w:multiLevelType w:val="singleLevel"/>
    <w:tmpl w:val="F931D4A4"/>
    <w:lvl w:ilvl="0" w:tentative="0">
      <w:start w:val="1"/>
      <w:numFmt w:val="decimal"/>
      <w:lvlText w:val="%1."/>
      <w:lvlJc w:val="left"/>
      <w:pPr>
        <w:tabs>
          <w:tab w:val="left" w:pos="312"/>
        </w:tabs>
      </w:pPr>
    </w:lvl>
  </w:abstractNum>
  <w:abstractNum w:abstractNumId="6">
    <w:nsid w:val="FBAE2401"/>
    <w:multiLevelType w:val="singleLevel"/>
    <w:tmpl w:val="FBAE2401"/>
    <w:lvl w:ilvl="0" w:tentative="0">
      <w:start w:val="1"/>
      <w:numFmt w:val="chineseCounting"/>
      <w:suff w:val="nothing"/>
      <w:lvlText w:val="%1、"/>
      <w:lvlJc w:val="left"/>
      <w:rPr>
        <w:rFonts w:hint="eastAsia"/>
      </w:rPr>
    </w:lvl>
  </w:abstractNum>
  <w:abstractNum w:abstractNumId="7">
    <w:nsid w:val="FF4D4BA8"/>
    <w:multiLevelType w:val="singleLevel"/>
    <w:tmpl w:val="FF4D4BA8"/>
    <w:lvl w:ilvl="0" w:tentative="0">
      <w:start w:val="1"/>
      <w:numFmt w:val="decimal"/>
      <w:lvlText w:val="%1."/>
      <w:lvlJc w:val="left"/>
      <w:pPr>
        <w:ind w:left="425" w:hanging="425"/>
      </w:pPr>
      <w:rPr>
        <w:rFonts w:hint="default"/>
      </w:rPr>
    </w:lvl>
  </w:abstractNum>
  <w:abstractNum w:abstractNumId="8">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9">
    <w:nsid w:val="289F1F1C"/>
    <w:multiLevelType w:val="singleLevel"/>
    <w:tmpl w:val="289F1F1C"/>
    <w:lvl w:ilvl="0" w:tentative="0">
      <w:start w:val="1"/>
      <w:numFmt w:val="decimal"/>
      <w:lvlText w:val="%1."/>
      <w:lvlJc w:val="left"/>
      <w:pPr>
        <w:ind w:left="425" w:hanging="425"/>
      </w:pPr>
      <w:rPr>
        <w:rFonts w:hint="default"/>
      </w:r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7488A27B"/>
    <w:multiLevelType w:val="singleLevel"/>
    <w:tmpl w:val="7488A27B"/>
    <w:lvl w:ilvl="0" w:tentative="0">
      <w:start w:val="1"/>
      <w:numFmt w:val="decimal"/>
      <w:lvlText w:val="%1."/>
      <w:lvlJc w:val="left"/>
      <w:pPr>
        <w:ind w:left="425" w:hanging="425"/>
      </w:pPr>
      <w:rPr>
        <w:rFonts w:hint="default"/>
      </w:rPr>
    </w:lvl>
  </w:abstractNum>
  <w:abstractNum w:abstractNumId="14">
    <w:nsid w:val="7E92F494"/>
    <w:multiLevelType w:val="singleLevel"/>
    <w:tmpl w:val="7E92F494"/>
    <w:lvl w:ilvl="0" w:tentative="0">
      <w:start w:val="1"/>
      <w:numFmt w:val="decimal"/>
      <w:lvlText w:val="%1."/>
      <w:lvlJc w:val="left"/>
      <w:pPr>
        <w:ind w:left="425" w:hanging="425"/>
      </w:pPr>
      <w:rPr>
        <w:rFonts w:hint="default"/>
      </w:rPr>
    </w:lvl>
  </w:abstractNum>
  <w:num w:numId="1">
    <w:abstractNumId w:val="11"/>
  </w:num>
  <w:num w:numId="2">
    <w:abstractNumId w:val="8"/>
  </w:num>
  <w:num w:numId="3">
    <w:abstractNumId w:val="12"/>
  </w:num>
  <w:num w:numId="4">
    <w:abstractNumId w:val="10"/>
  </w:num>
  <w:num w:numId="5">
    <w:abstractNumId w:val="5"/>
  </w:num>
  <w:num w:numId="6">
    <w:abstractNumId w:val="4"/>
  </w:num>
  <w:num w:numId="7">
    <w:abstractNumId w:val="6"/>
  </w:num>
  <w:num w:numId="8">
    <w:abstractNumId w:val="0"/>
  </w:num>
  <w:num w:numId="9">
    <w:abstractNumId w:val="14"/>
  </w:num>
  <w:num w:numId="10">
    <w:abstractNumId w:val="1"/>
  </w:num>
  <w:num w:numId="11">
    <w:abstractNumId w:val="13"/>
  </w:num>
  <w:num w:numId="12">
    <w:abstractNumId w:val="2"/>
  </w:num>
  <w:num w:numId="13">
    <w:abstractNumId w:val="9"/>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4791F"/>
    <w:rsid w:val="00CF3329"/>
    <w:rsid w:val="00D00C48"/>
    <w:rsid w:val="00D0546E"/>
    <w:rsid w:val="00D07E9B"/>
    <w:rsid w:val="00DB1E3F"/>
    <w:rsid w:val="00DC1336"/>
    <w:rsid w:val="00E16519"/>
    <w:rsid w:val="00E32B23"/>
    <w:rsid w:val="00E41EBA"/>
    <w:rsid w:val="00E448AC"/>
    <w:rsid w:val="00E66CDC"/>
    <w:rsid w:val="00EC04A9"/>
    <w:rsid w:val="00EF43FF"/>
    <w:rsid w:val="00F26F1C"/>
    <w:rsid w:val="01016402"/>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3E2563"/>
    <w:rsid w:val="02536BAE"/>
    <w:rsid w:val="0277756A"/>
    <w:rsid w:val="0294584C"/>
    <w:rsid w:val="029A4E8A"/>
    <w:rsid w:val="02BD7D6C"/>
    <w:rsid w:val="02C73731"/>
    <w:rsid w:val="03147765"/>
    <w:rsid w:val="032A675A"/>
    <w:rsid w:val="032C58C3"/>
    <w:rsid w:val="035C5B7D"/>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E470F1"/>
    <w:rsid w:val="04E746F0"/>
    <w:rsid w:val="04E87471"/>
    <w:rsid w:val="050A0D5B"/>
    <w:rsid w:val="050D23B9"/>
    <w:rsid w:val="05162537"/>
    <w:rsid w:val="051E7487"/>
    <w:rsid w:val="053F0EAC"/>
    <w:rsid w:val="053F23D3"/>
    <w:rsid w:val="056B3DBF"/>
    <w:rsid w:val="057D6BFC"/>
    <w:rsid w:val="057E41A9"/>
    <w:rsid w:val="05B01B1D"/>
    <w:rsid w:val="05BC1DCB"/>
    <w:rsid w:val="05BC5BB6"/>
    <w:rsid w:val="05CB2372"/>
    <w:rsid w:val="05FD1629"/>
    <w:rsid w:val="06221E50"/>
    <w:rsid w:val="06653309"/>
    <w:rsid w:val="06653EC4"/>
    <w:rsid w:val="067544C8"/>
    <w:rsid w:val="0699402C"/>
    <w:rsid w:val="069C64C8"/>
    <w:rsid w:val="06A0112C"/>
    <w:rsid w:val="06AD7687"/>
    <w:rsid w:val="06B864B2"/>
    <w:rsid w:val="06D372D6"/>
    <w:rsid w:val="06D64E56"/>
    <w:rsid w:val="06F061D6"/>
    <w:rsid w:val="07024802"/>
    <w:rsid w:val="0703081A"/>
    <w:rsid w:val="070C5153"/>
    <w:rsid w:val="070E765D"/>
    <w:rsid w:val="07157529"/>
    <w:rsid w:val="071747A0"/>
    <w:rsid w:val="071E2C8A"/>
    <w:rsid w:val="07300547"/>
    <w:rsid w:val="07347410"/>
    <w:rsid w:val="07375BAD"/>
    <w:rsid w:val="07425FC3"/>
    <w:rsid w:val="074273EB"/>
    <w:rsid w:val="07463A3E"/>
    <w:rsid w:val="074E4D14"/>
    <w:rsid w:val="07960032"/>
    <w:rsid w:val="079F3EE7"/>
    <w:rsid w:val="07AE41DE"/>
    <w:rsid w:val="07D85507"/>
    <w:rsid w:val="07DF5164"/>
    <w:rsid w:val="07E50580"/>
    <w:rsid w:val="07F46C10"/>
    <w:rsid w:val="07F9224F"/>
    <w:rsid w:val="07FA589D"/>
    <w:rsid w:val="082E5DF2"/>
    <w:rsid w:val="085403A4"/>
    <w:rsid w:val="085E020A"/>
    <w:rsid w:val="086951C1"/>
    <w:rsid w:val="08696EDC"/>
    <w:rsid w:val="087075EB"/>
    <w:rsid w:val="088D6A54"/>
    <w:rsid w:val="08941B48"/>
    <w:rsid w:val="08C60C4A"/>
    <w:rsid w:val="08C72312"/>
    <w:rsid w:val="08DC3175"/>
    <w:rsid w:val="08F0261B"/>
    <w:rsid w:val="08F81693"/>
    <w:rsid w:val="09060203"/>
    <w:rsid w:val="090A0832"/>
    <w:rsid w:val="093932E6"/>
    <w:rsid w:val="093C7432"/>
    <w:rsid w:val="095406F9"/>
    <w:rsid w:val="0955362C"/>
    <w:rsid w:val="09566590"/>
    <w:rsid w:val="09583EB5"/>
    <w:rsid w:val="095D7A37"/>
    <w:rsid w:val="09875848"/>
    <w:rsid w:val="09B565E4"/>
    <w:rsid w:val="09BB0BBA"/>
    <w:rsid w:val="09BB6CF7"/>
    <w:rsid w:val="09C77B1C"/>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B9263B"/>
    <w:rsid w:val="0BCC7711"/>
    <w:rsid w:val="0BCD0049"/>
    <w:rsid w:val="0BE83010"/>
    <w:rsid w:val="0BEA0DB9"/>
    <w:rsid w:val="0C061D9D"/>
    <w:rsid w:val="0C0F3325"/>
    <w:rsid w:val="0C1358B4"/>
    <w:rsid w:val="0C35352F"/>
    <w:rsid w:val="0C35472E"/>
    <w:rsid w:val="0C4551B9"/>
    <w:rsid w:val="0C480F3E"/>
    <w:rsid w:val="0C4813D5"/>
    <w:rsid w:val="0C585BE0"/>
    <w:rsid w:val="0C7E2237"/>
    <w:rsid w:val="0C923886"/>
    <w:rsid w:val="0C9F1CEA"/>
    <w:rsid w:val="0CBE1DF9"/>
    <w:rsid w:val="0CC9599A"/>
    <w:rsid w:val="0CD379C9"/>
    <w:rsid w:val="0CE0341A"/>
    <w:rsid w:val="0D10283C"/>
    <w:rsid w:val="0D3F7F2E"/>
    <w:rsid w:val="0D47704E"/>
    <w:rsid w:val="0D494870"/>
    <w:rsid w:val="0D5456F5"/>
    <w:rsid w:val="0D5955C7"/>
    <w:rsid w:val="0D705EC6"/>
    <w:rsid w:val="0D7C5049"/>
    <w:rsid w:val="0D83675C"/>
    <w:rsid w:val="0D8C75B3"/>
    <w:rsid w:val="0D993D14"/>
    <w:rsid w:val="0D9E0018"/>
    <w:rsid w:val="0DAD6C29"/>
    <w:rsid w:val="0DB757B9"/>
    <w:rsid w:val="0DC23A69"/>
    <w:rsid w:val="0DE7555E"/>
    <w:rsid w:val="0DF06351"/>
    <w:rsid w:val="0E0979BF"/>
    <w:rsid w:val="0E5A014C"/>
    <w:rsid w:val="0E5E4DB8"/>
    <w:rsid w:val="0E5F6E07"/>
    <w:rsid w:val="0E607B1B"/>
    <w:rsid w:val="0E6126CF"/>
    <w:rsid w:val="0E635AF2"/>
    <w:rsid w:val="0E7F77A7"/>
    <w:rsid w:val="0E8405CA"/>
    <w:rsid w:val="0E8D5133"/>
    <w:rsid w:val="0E971943"/>
    <w:rsid w:val="0EB1236A"/>
    <w:rsid w:val="0F197C6F"/>
    <w:rsid w:val="0F270991"/>
    <w:rsid w:val="0F3E6F11"/>
    <w:rsid w:val="0F55060E"/>
    <w:rsid w:val="0F6F7789"/>
    <w:rsid w:val="0FC27645"/>
    <w:rsid w:val="1005731A"/>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433806"/>
    <w:rsid w:val="11537715"/>
    <w:rsid w:val="11565610"/>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A71E31"/>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C272D2"/>
    <w:rsid w:val="14D57F01"/>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F45F36"/>
    <w:rsid w:val="16FC1D97"/>
    <w:rsid w:val="171F0861"/>
    <w:rsid w:val="17372639"/>
    <w:rsid w:val="173D243C"/>
    <w:rsid w:val="17534ECF"/>
    <w:rsid w:val="17571E4B"/>
    <w:rsid w:val="175F0E7A"/>
    <w:rsid w:val="1764437C"/>
    <w:rsid w:val="1767434D"/>
    <w:rsid w:val="17BA77C8"/>
    <w:rsid w:val="17C93C3F"/>
    <w:rsid w:val="17D71645"/>
    <w:rsid w:val="17DD1E28"/>
    <w:rsid w:val="17E01BB1"/>
    <w:rsid w:val="17E21891"/>
    <w:rsid w:val="181011F1"/>
    <w:rsid w:val="181C38B0"/>
    <w:rsid w:val="181E053B"/>
    <w:rsid w:val="18205336"/>
    <w:rsid w:val="184F29B3"/>
    <w:rsid w:val="18810539"/>
    <w:rsid w:val="189452E2"/>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7A7256"/>
    <w:rsid w:val="1A8D59A2"/>
    <w:rsid w:val="1A8E3BCD"/>
    <w:rsid w:val="1AD15B84"/>
    <w:rsid w:val="1ADA6CD0"/>
    <w:rsid w:val="1AF47380"/>
    <w:rsid w:val="1B0C0005"/>
    <w:rsid w:val="1B0D00A7"/>
    <w:rsid w:val="1B251F48"/>
    <w:rsid w:val="1B3833FF"/>
    <w:rsid w:val="1B396BED"/>
    <w:rsid w:val="1B4C6CA1"/>
    <w:rsid w:val="1B52759D"/>
    <w:rsid w:val="1B612ED3"/>
    <w:rsid w:val="1B6A011C"/>
    <w:rsid w:val="1B705E15"/>
    <w:rsid w:val="1B8C6B7B"/>
    <w:rsid w:val="1BA0571E"/>
    <w:rsid w:val="1BA72C10"/>
    <w:rsid w:val="1BB91038"/>
    <w:rsid w:val="1BBF65FB"/>
    <w:rsid w:val="1BC13352"/>
    <w:rsid w:val="1BD162E3"/>
    <w:rsid w:val="1BDE64F1"/>
    <w:rsid w:val="1BEA1EEC"/>
    <w:rsid w:val="1BF2170A"/>
    <w:rsid w:val="1BF657FB"/>
    <w:rsid w:val="1BF868AD"/>
    <w:rsid w:val="1C0503E8"/>
    <w:rsid w:val="1C126363"/>
    <w:rsid w:val="1C2023D8"/>
    <w:rsid w:val="1C766429"/>
    <w:rsid w:val="1C771298"/>
    <w:rsid w:val="1C786858"/>
    <w:rsid w:val="1C800114"/>
    <w:rsid w:val="1C9873E3"/>
    <w:rsid w:val="1C9A155D"/>
    <w:rsid w:val="1CB15134"/>
    <w:rsid w:val="1CC92F95"/>
    <w:rsid w:val="1CFA7EEF"/>
    <w:rsid w:val="1CFB1146"/>
    <w:rsid w:val="1D0E75B6"/>
    <w:rsid w:val="1D2331DE"/>
    <w:rsid w:val="1D312AFC"/>
    <w:rsid w:val="1D325ED3"/>
    <w:rsid w:val="1D37062D"/>
    <w:rsid w:val="1D4105A8"/>
    <w:rsid w:val="1D487EB6"/>
    <w:rsid w:val="1D7B204C"/>
    <w:rsid w:val="1DB72E7F"/>
    <w:rsid w:val="1E317170"/>
    <w:rsid w:val="1E331E3B"/>
    <w:rsid w:val="1E4914EC"/>
    <w:rsid w:val="1E561B49"/>
    <w:rsid w:val="1E5B5B74"/>
    <w:rsid w:val="1E925E44"/>
    <w:rsid w:val="1EDB21B2"/>
    <w:rsid w:val="1EE21D29"/>
    <w:rsid w:val="1F0B37C8"/>
    <w:rsid w:val="1F280F4B"/>
    <w:rsid w:val="1F3E1D5D"/>
    <w:rsid w:val="1F441C9D"/>
    <w:rsid w:val="1F4F3DC6"/>
    <w:rsid w:val="1F6E3177"/>
    <w:rsid w:val="1F6F04BA"/>
    <w:rsid w:val="1F6F7A87"/>
    <w:rsid w:val="1F7742A1"/>
    <w:rsid w:val="1F832B7E"/>
    <w:rsid w:val="1F8C15A6"/>
    <w:rsid w:val="1F986F45"/>
    <w:rsid w:val="1F9F6666"/>
    <w:rsid w:val="1FCD6552"/>
    <w:rsid w:val="1FE07634"/>
    <w:rsid w:val="1FF829ED"/>
    <w:rsid w:val="20027E74"/>
    <w:rsid w:val="200A44E7"/>
    <w:rsid w:val="201047BC"/>
    <w:rsid w:val="2019412B"/>
    <w:rsid w:val="20244A7E"/>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959DC"/>
    <w:rsid w:val="237B0E89"/>
    <w:rsid w:val="238732D2"/>
    <w:rsid w:val="23887728"/>
    <w:rsid w:val="239147E1"/>
    <w:rsid w:val="23920DB7"/>
    <w:rsid w:val="239C1E68"/>
    <w:rsid w:val="23BB34F7"/>
    <w:rsid w:val="23D167C1"/>
    <w:rsid w:val="23FE2934"/>
    <w:rsid w:val="24105169"/>
    <w:rsid w:val="24145543"/>
    <w:rsid w:val="2415164D"/>
    <w:rsid w:val="242853E9"/>
    <w:rsid w:val="24372605"/>
    <w:rsid w:val="24426206"/>
    <w:rsid w:val="244E1303"/>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AF2F03"/>
    <w:rsid w:val="26B424FB"/>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F3604"/>
    <w:rsid w:val="27D26786"/>
    <w:rsid w:val="27EA6257"/>
    <w:rsid w:val="27ED6739"/>
    <w:rsid w:val="27FD3CE9"/>
    <w:rsid w:val="2831638E"/>
    <w:rsid w:val="284F457A"/>
    <w:rsid w:val="28503B39"/>
    <w:rsid w:val="285117F8"/>
    <w:rsid w:val="288445F5"/>
    <w:rsid w:val="28883EBB"/>
    <w:rsid w:val="28885F5E"/>
    <w:rsid w:val="28901CD3"/>
    <w:rsid w:val="28907627"/>
    <w:rsid w:val="28A908AA"/>
    <w:rsid w:val="28C3120E"/>
    <w:rsid w:val="28D9203E"/>
    <w:rsid w:val="290A1459"/>
    <w:rsid w:val="290D2770"/>
    <w:rsid w:val="291E5605"/>
    <w:rsid w:val="293430C2"/>
    <w:rsid w:val="29394DC3"/>
    <w:rsid w:val="294D3F3D"/>
    <w:rsid w:val="296A69AB"/>
    <w:rsid w:val="296E2E4C"/>
    <w:rsid w:val="297A28A9"/>
    <w:rsid w:val="29871168"/>
    <w:rsid w:val="29947729"/>
    <w:rsid w:val="299C3570"/>
    <w:rsid w:val="299C610E"/>
    <w:rsid w:val="299F7580"/>
    <w:rsid w:val="29B24934"/>
    <w:rsid w:val="29B661A7"/>
    <w:rsid w:val="29C25DAC"/>
    <w:rsid w:val="29EF59E7"/>
    <w:rsid w:val="29F869C7"/>
    <w:rsid w:val="29F9146A"/>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773046"/>
    <w:rsid w:val="2C825683"/>
    <w:rsid w:val="2C8D63B1"/>
    <w:rsid w:val="2CBB44E5"/>
    <w:rsid w:val="2CBC77F6"/>
    <w:rsid w:val="2CDB55D6"/>
    <w:rsid w:val="2D1C0521"/>
    <w:rsid w:val="2D1D236A"/>
    <w:rsid w:val="2D2F4A24"/>
    <w:rsid w:val="2D335858"/>
    <w:rsid w:val="2DAB174B"/>
    <w:rsid w:val="2DAC3053"/>
    <w:rsid w:val="2DB21AB3"/>
    <w:rsid w:val="2DC70AE2"/>
    <w:rsid w:val="2DCA6026"/>
    <w:rsid w:val="2DCD4928"/>
    <w:rsid w:val="2DE96603"/>
    <w:rsid w:val="2E096E66"/>
    <w:rsid w:val="2E0B312C"/>
    <w:rsid w:val="2E1729D6"/>
    <w:rsid w:val="2E1A0C6A"/>
    <w:rsid w:val="2E347EE6"/>
    <w:rsid w:val="2E374A38"/>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A5C00"/>
    <w:rsid w:val="309F27BB"/>
    <w:rsid w:val="30C01081"/>
    <w:rsid w:val="30C81567"/>
    <w:rsid w:val="30CD46BC"/>
    <w:rsid w:val="31013135"/>
    <w:rsid w:val="3115293E"/>
    <w:rsid w:val="311763B6"/>
    <w:rsid w:val="31257A15"/>
    <w:rsid w:val="31452A71"/>
    <w:rsid w:val="31527289"/>
    <w:rsid w:val="31834561"/>
    <w:rsid w:val="318F2514"/>
    <w:rsid w:val="318F51AA"/>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83182"/>
    <w:rsid w:val="32DA51AD"/>
    <w:rsid w:val="32DC671C"/>
    <w:rsid w:val="33091096"/>
    <w:rsid w:val="331610B0"/>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105CF7"/>
    <w:rsid w:val="35475F40"/>
    <w:rsid w:val="3562042D"/>
    <w:rsid w:val="356608C9"/>
    <w:rsid w:val="35850AE6"/>
    <w:rsid w:val="35DE1818"/>
    <w:rsid w:val="35E06871"/>
    <w:rsid w:val="36146F55"/>
    <w:rsid w:val="362E1601"/>
    <w:rsid w:val="3635077A"/>
    <w:rsid w:val="36787E34"/>
    <w:rsid w:val="36CD4B67"/>
    <w:rsid w:val="36D974F7"/>
    <w:rsid w:val="36E03CF2"/>
    <w:rsid w:val="36E05B33"/>
    <w:rsid w:val="36E77649"/>
    <w:rsid w:val="36FC06E4"/>
    <w:rsid w:val="37002BA5"/>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622194"/>
    <w:rsid w:val="38684F32"/>
    <w:rsid w:val="387A7CA5"/>
    <w:rsid w:val="387E3BF1"/>
    <w:rsid w:val="388E0F50"/>
    <w:rsid w:val="388E2941"/>
    <w:rsid w:val="38941E98"/>
    <w:rsid w:val="38983F5E"/>
    <w:rsid w:val="38C23D49"/>
    <w:rsid w:val="38EC1118"/>
    <w:rsid w:val="38F96580"/>
    <w:rsid w:val="38FD1A72"/>
    <w:rsid w:val="39056352"/>
    <w:rsid w:val="392F5095"/>
    <w:rsid w:val="3938092E"/>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B971E4"/>
    <w:rsid w:val="3ADF78F0"/>
    <w:rsid w:val="3AE00107"/>
    <w:rsid w:val="3AE428CE"/>
    <w:rsid w:val="3B023CD3"/>
    <w:rsid w:val="3B140F58"/>
    <w:rsid w:val="3B170940"/>
    <w:rsid w:val="3B2A2C19"/>
    <w:rsid w:val="3B376B70"/>
    <w:rsid w:val="3B3D2EBD"/>
    <w:rsid w:val="3B7A7129"/>
    <w:rsid w:val="3B7D7576"/>
    <w:rsid w:val="3B7F1E8C"/>
    <w:rsid w:val="3B890DAC"/>
    <w:rsid w:val="3BA25DBC"/>
    <w:rsid w:val="3BBE4E53"/>
    <w:rsid w:val="3BC76E9C"/>
    <w:rsid w:val="3BCB467A"/>
    <w:rsid w:val="3BE90506"/>
    <w:rsid w:val="3BEB6832"/>
    <w:rsid w:val="3BF45DB6"/>
    <w:rsid w:val="3BFA06DC"/>
    <w:rsid w:val="3C2E5ED4"/>
    <w:rsid w:val="3C40766B"/>
    <w:rsid w:val="3C7F621D"/>
    <w:rsid w:val="3C8B47EB"/>
    <w:rsid w:val="3CBB6AC9"/>
    <w:rsid w:val="3CBD35C8"/>
    <w:rsid w:val="3CEB1A97"/>
    <w:rsid w:val="3D1456AE"/>
    <w:rsid w:val="3D145DCC"/>
    <w:rsid w:val="3D1C0002"/>
    <w:rsid w:val="3D2962ED"/>
    <w:rsid w:val="3D2D7B94"/>
    <w:rsid w:val="3D340B81"/>
    <w:rsid w:val="3D4E706F"/>
    <w:rsid w:val="3D5A73F8"/>
    <w:rsid w:val="3D8311E9"/>
    <w:rsid w:val="3DAA319C"/>
    <w:rsid w:val="3DE25B6C"/>
    <w:rsid w:val="3E036111"/>
    <w:rsid w:val="3E25721D"/>
    <w:rsid w:val="3E2C1657"/>
    <w:rsid w:val="3E5D6B5C"/>
    <w:rsid w:val="3E7E4756"/>
    <w:rsid w:val="3E8106B7"/>
    <w:rsid w:val="3E845265"/>
    <w:rsid w:val="3E9A3719"/>
    <w:rsid w:val="3EC254C0"/>
    <w:rsid w:val="3ED07987"/>
    <w:rsid w:val="3EDA3E51"/>
    <w:rsid w:val="3EED10F8"/>
    <w:rsid w:val="3EFE25BA"/>
    <w:rsid w:val="3F290296"/>
    <w:rsid w:val="3F310FA6"/>
    <w:rsid w:val="3F337D20"/>
    <w:rsid w:val="3F506818"/>
    <w:rsid w:val="3F684E6E"/>
    <w:rsid w:val="3F6A3676"/>
    <w:rsid w:val="3F710A6F"/>
    <w:rsid w:val="3F7E1F67"/>
    <w:rsid w:val="3F83420A"/>
    <w:rsid w:val="3F8F7315"/>
    <w:rsid w:val="3F9A203F"/>
    <w:rsid w:val="3FA67005"/>
    <w:rsid w:val="3FAE6184"/>
    <w:rsid w:val="3FD05484"/>
    <w:rsid w:val="3FE36C1C"/>
    <w:rsid w:val="3FE72AEA"/>
    <w:rsid w:val="3FEB19D5"/>
    <w:rsid w:val="403B55F7"/>
    <w:rsid w:val="403D5505"/>
    <w:rsid w:val="404C5FC4"/>
    <w:rsid w:val="40632B44"/>
    <w:rsid w:val="408853C4"/>
    <w:rsid w:val="40A15E52"/>
    <w:rsid w:val="40D75E60"/>
    <w:rsid w:val="40F2437B"/>
    <w:rsid w:val="40FC4876"/>
    <w:rsid w:val="40FD48E0"/>
    <w:rsid w:val="40FE1BCF"/>
    <w:rsid w:val="40FE520F"/>
    <w:rsid w:val="410A0770"/>
    <w:rsid w:val="41167DAC"/>
    <w:rsid w:val="41326E0A"/>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7C1BC3"/>
    <w:rsid w:val="438D45B9"/>
    <w:rsid w:val="43985D00"/>
    <w:rsid w:val="43986BA3"/>
    <w:rsid w:val="43AB2F4E"/>
    <w:rsid w:val="43AC3F44"/>
    <w:rsid w:val="43B1210D"/>
    <w:rsid w:val="43C35DC9"/>
    <w:rsid w:val="43C53F65"/>
    <w:rsid w:val="43DE77F3"/>
    <w:rsid w:val="43EF7EFB"/>
    <w:rsid w:val="43FA2050"/>
    <w:rsid w:val="4400649E"/>
    <w:rsid w:val="441910A9"/>
    <w:rsid w:val="44500782"/>
    <w:rsid w:val="445F203F"/>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F459D1"/>
    <w:rsid w:val="45FB4B61"/>
    <w:rsid w:val="46052F0A"/>
    <w:rsid w:val="460C379B"/>
    <w:rsid w:val="462B2635"/>
    <w:rsid w:val="464A3711"/>
    <w:rsid w:val="466B4F4C"/>
    <w:rsid w:val="469246C4"/>
    <w:rsid w:val="46977D08"/>
    <w:rsid w:val="46AF3AB5"/>
    <w:rsid w:val="46E25CA4"/>
    <w:rsid w:val="46E37251"/>
    <w:rsid w:val="46F40267"/>
    <w:rsid w:val="47017932"/>
    <w:rsid w:val="47294A71"/>
    <w:rsid w:val="474C71DB"/>
    <w:rsid w:val="47501D98"/>
    <w:rsid w:val="475662DB"/>
    <w:rsid w:val="47651690"/>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14A63"/>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76671"/>
    <w:rsid w:val="4AFB6678"/>
    <w:rsid w:val="4B12483C"/>
    <w:rsid w:val="4B17558A"/>
    <w:rsid w:val="4B1B4C10"/>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A5EBA"/>
    <w:rsid w:val="4CFB7F02"/>
    <w:rsid w:val="4D0B09F5"/>
    <w:rsid w:val="4D243AE6"/>
    <w:rsid w:val="4D362180"/>
    <w:rsid w:val="4D3C4079"/>
    <w:rsid w:val="4D4152D2"/>
    <w:rsid w:val="4D420722"/>
    <w:rsid w:val="4D4B47BA"/>
    <w:rsid w:val="4D5D2973"/>
    <w:rsid w:val="4D670A85"/>
    <w:rsid w:val="4D743D70"/>
    <w:rsid w:val="4D806473"/>
    <w:rsid w:val="4DA27E03"/>
    <w:rsid w:val="4DB87F6B"/>
    <w:rsid w:val="4DE22211"/>
    <w:rsid w:val="4DF85FC0"/>
    <w:rsid w:val="4E001052"/>
    <w:rsid w:val="4E2B135E"/>
    <w:rsid w:val="4E2F0B94"/>
    <w:rsid w:val="4E3F2EE6"/>
    <w:rsid w:val="4E457068"/>
    <w:rsid w:val="4E481355"/>
    <w:rsid w:val="4E4E4B6D"/>
    <w:rsid w:val="4E625DA3"/>
    <w:rsid w:val="4E7B029B"/>
    <w:rsid w:val="4E88445E"/>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573360"/>
    <w:rsid w:val="50705EA7"/>
    <w:rsid w:val="508A0BD0"/>
    <w:rsid w:val="508E4B33"/>
    <w:rsid w:val="50CB3E82"/>
    <w:rsid w:val="50DD3BA3"/>
    <w:rsid w:val="50E61CAB"/>
    <w:rsid w:val="50EE7DC2"/>
    <w:rsid w:val="514136A1"/>
    <w:rsid w:val="514A20B0"/>
    <w:rsid w:val="515463AA"/>
    <w:rsid w:val="517D1FD1"/>
    <w:rsid w:val="51820F0A"/>
    <w:rsid w:val="51B00924"/>
    <w:rsid w:val="51BD4A0F"/>
    <w:rsid w:val="51BF1CEA"/>
    <w:rsid w:val="51C55B60"/>
    <w:rsid w:val="51C720FB"/>
    <w:rsid w:val="51D2101C"/>
    <w:rsid w:val="51E441B2"/>
    <w:rsid w:val="51E878B5"/>
    <w:rsid w:val="51EE3F4A"/>
    <w:rsid w:val="51F8599D"/>
    <w:rsid w:val="51F97291"/>
    <w:rsid w:val="52144845"/>
    <w:rsid w:val="522B4481"/>
    <w:rsid w:val="523F3431"/>
    <w:rsid w:val="52433E33"/>
    <w:rsid w:val="52461D9B"/>
    <w:rsid w:val="52556F68"/>
    <w:rsid w:val="526131D0"/>
    <w:rsid w:val="527A0BC1"/>
    <w:rsid w:val="528E5F94"/>
    <w:rsid w:val="52B73817"/>
    <w:rsid w:val="53014F84"/>
    <w:rsid w:val="53081FE2"/>
    <w:rsid w:val="532E7ECE"/>
    <w:rsid w:val="53757657"/>
    <w:rsid w:val="53836E13"/>
    <w:rsid w:val="5399393C"/>
    <w:rsid w:val="53BC34C4"/>
    <w:rsid w:val="53CE29B7"/>
    <w:rsid w:val="5423339D"/>
    <w:rsid w:val="54451376"/>
    <w:rsid w:val="544C01DA"/>
    <w:rsid w:val="545B0024"/>
    <w:rsid w:val="54623CCF"/>
    <w:rsid w:val="54783F91"/>
    <w:rsid w:val="54C52C01"/>
    <w:rsid w:val="54DE257B"/>
    <w:rsid w:val="54FA53DD"/>
    <w:rsid w:val="551B052F"/>
    <w:rsid w:val="551F503D"/>
    <w:rsid w:val="552E7B6C"/>
    <w:rsid w:val="55356F21"/>
    <w:rsid w:val="553B1566"/>
    <w:rsid w:val="553D5A1E"/>
    <w:rsid w:val="554E66B4"/>
    <w:rsid w:val="55623019"/>
    <w:rsid w:val="559508F1"/>
    <w:rsid w:val="55A0704C"/>
    <w:rsid w:val="55AF652B"/>
    <w:rsid w:val="55CD2AA4"/>
    <w:rsid w:val="55CD5B20"/>
    <w:rsid w:val="55DD38ED"/>
    <w:rsid w:val="55E33C19"/>
    <w:rsid w:val="55E3492A"/>
    <w:rsid w:val="55E63D84"/>
    <w:rsid w:val="55FB5288"/>
    <w:rsid w:val="560F5295"/>
    <w:rsid w:val="56536DD0"/>
    <w:rsid w:val="56A16CF1"/>
    <w:rsid w:val="56C569E8"/>
    <w:rsid w:val="56E00A0D"/>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2443C"/>
    <w:rsid w:val="59763E82"/>
    <w:rsid w:val="597F5245"/>
    <w:rsid w:val="598A3666"/>
    <w:rsid w:val="59A3232E"/>
    <w:rsid w:val="59A63822"/>
    <w:rsid w:val="59B8355B"/>
    <w:rsid w:val="59FE08FA"/>
    <w:rsid w:val="5A257E94"/>
    <w:rsid w:val="5A2A02BF"/>
    <w:rsid w:val="5A2A5B43"/>
    <w:rsid w:val="5A4C5B85"/>
    <w:rsid w:val="5A5106AE"/>
    <w:rsid w:val="5A60741A"/>
    <w:rsid w:val="5A7A608F"/>
    <w:rsid w:val="5A976E36"/>
    <w:rsid w:val="5A9D694A"/>
    <w:rsid w:val="5AA2358A"/>
    <w:rsid w:val="5AA24080"/>
    <w:rsid w:val="5AAD1EF8"/>
    <w:rsid w:val="5ACF7403"/>
    <w:rsid w:val="5B365C08"/>
    <w:rsid w:val="5B46719F"/>
    <w:rsid w:val="5B5C0955"/>
    <w:rsid w:val="5B60313C"/>
    <w:rsid w:val="5B705B09"/>
    <w:rsid w:val="5B9331F3"/>
    <w:rsid w:val="5B983712"/>
    <w:rsid w:val="5B997CCC"/>
    <w:rsid w:val="5B9D7438"/>
    <w:rsid w:val="5BA42A14"/>
    <w:rsid w:val="5BC52ADE"/>
    <w:rsid w:val="5C1E7608"/>
    <w:rsid w:val="5C60141A"/>
    <w:rsid w:val="5C691962"/>
    <w:rsid w:val="5C8D4642"/>
    <w:rsid w:val="5CA51281"/>
    <w:rsid w:val="5CA70BEA"/>
    <w:rsid w:val="5CFA70E0"/>
    <w:rsid w:val="5CFF3634"/>
    <w:rsid w:val="5D0B0214"/>
    <w:rsid w:val="5D1A0A42"/>
    <w:rsid w:val="5D282771"/>
    <w:rsid w:val="5D333A91"/>
    <w:rsid w:val="5D3A4C89"/>
    <w:rsid w:val="5D42151C"/>
    <w:rsid w:val="5D4F1710"/>
    <w:rsid w:val="5D5D43F4"/>
    <w:rsid w:val="5D71045F"/>
    <w:rsid w:val="5D8A305B"/>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11268"/>
    <w:rsid w:val="5F19063B"/>
    <w:rsid w:val="5F2A58BF"/>
    <w:rsid w:val="5F2D2E3D"/>
    <w:rsid w:val="5F3F28CF"/>
    <w:rsid w:val="5F4D6034"/>
    <w:rsid w:val="5FBE3FE5"/>
    <w:rsid w:val="5FC03792"/>
    <w:rsid w:val="5FC939D5"/>
    <w:rsid w:val="5FDA399F"/>
    <w:rsid w:val="5FE56ABB"/>
    <w:rsid w:val="5FF22D36"/>
    <w:rsid w:val="5FFA79ED"/>
    <w:rsid w:val="60075E39"/>
    <w:rsid w:val="600D0AF4"/>
    <w:rsid w:val="60273573"/>
    <w:rsid w:val="60276DC2"/>
    <w:rsid w:val="602A54A3"/>
    <w:rsid w:val="60315C67"/>
    <w:rsid w:val="60370997"/>
    <w:rsid w:val="604F40FC"/>
    <w:rsid w:val="605A259A"/>
    <w:rsid w:val="6060154E"/>
    <w:rsid w:val="606D0EF6"/>
    <w:rsid w:val="60B07C9E"/>
    <w:rsid w:val="60D06270"/>
    <w:rsid w:val="60D2778C"/>
    <w:rsid w:val="60EA7F29"/>
    <w:rsid w:val="61013040"/>
    <w:rsid w:val="611128E5"/>
    <w:rsid w:val="611C35B8"/>
    <w:rsid w:val="61315EF6"/>
    <w:rsid w:val="61371BA7"/>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421845"/>
    <w:rsid w:val="634A387E"/>
    <w:rsid w:val="6361478E"/>
    <w:rsid w:val="636E52EB"/>
    <w:rsid w:val="638B4892"/>
    <w:rsid w:val="638F365A"/>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A7BA1"/>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2C9C"/>
    <w:rsid w:val="6ACC4B2B"/>
    <w:rsid w:val="6AD5470C"/>
    <w:rsid w:val="6B156F01"/>
    <w:rsid w:val="6B1823F4"/>
    <w:rsid w:val="6B2561E8"/>
    <w:rsid w:val="6B302155"/>
    <w:rsid w:val="6B3C1CD3"/>
    <w:rsid w:val="6B5061B8"/>
    <w:rsid w:val="6B5541CC"/>
    <w:rsid w:val="6B594757"/>
    <w:rsid w:val="6B794694"/>
    <w:rsid w:val="6BB10ECA"/>
    <w:rsid w:val="6BB80CD3"/>
    <w:rsid w:val="6BD97443"/>
    <w:rsid w:val="6BE154D6"/>
    <w:rsid w:val="6BFA34BF"/>
    <w:rsid w:val="6C156D0F"/>
    <w:rsid w:val="6C1E27AA"/>
    <w:rsid w:val="6C245408"/>
    <w:rsid w:val="6C253A83"/>
    <w:rsid w:val="6C282E9B"/>
    <w:rsid w:val="6C4C1DDE"/>
    <w:rsid w:val="6C60775B"/>
    <w:rsid w:val="6C787CBB"/>
    <w:rsid w:val="6C8A4E5F"/>
    <w:rsid w:val="6C8C5CC8"/>
    <w:rsid w:val="6C9165B6"/>
    <w:rsid w:val="6CA87474"/>
    <w:rsid w:val="6CAE0CBE"/>
    <w:rsid w:val="6CBA4949"/>
    <w:rsid w:val="6CC1338D"/>
    <w:rsid w:val="6CCD7863"/>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544391"/>
    <w:rsid w:val="6F634567"/>
    <w:rsid w:val="6F8D6B1D"/>
    <w:rsid w:val="6FAE4748"/>
    <w:rsid w:val="6FD91F90"/>
    <w:rsid w:val="6FE31AA8"/>
    <w:rsid w:val="6FFD220E"/>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4F7BAB"/>
    <w:rsid w:val="71637917"/>
    <w:rsid w:val="7170146E"/>
    <w:rsid w:val="71705776"/>
    <w:rsid w:val="717268C8"/>
    <w:rsid w:val="71802D0E"/>
    <w:rsid w:val="71880353"/>
    <w:rsid w:val="718F5890"/>
    <w:rsid w:val="71981E73"/>
    <w:rsid w:val="71C16BD6"/>
    <w:rsid w:val="71C363B8"/>
    <w:rsid w:val="71D14144"/>
    <w:rsid w:val="72143089"/>
    <w:rsid w:val="72150CEA"/>
    <w:rsid w:val="721F1006"/>
    <w:rsid w:val="721F4F40"/>
    <w:rsid w:val="7227177D"/>
    <w:rsid w:val="723419F5"/>
    <w:rsid w:val="7235573F"/>
    <w:rsid w:val="723E1070"/>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444174"/>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E13877"/>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3D3837"/>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3442B6"/>
    <w:rsid w:val="79534836"/>
    <w:rsid w:val="795F47C4"/>
    <w:rsid w:val="79880110"/>
    <w:rsid w:val="79894347"/>
    <w:rsid w:val="799447B2"/>
    <w:rsid w:val="79993DEC"/>
    <w:rsid w:val="79A91848"/>
    <w:rsid w:val="79B155D3"/>
    <w:rsid w:val="79BE02AE"/>
    <w:rsid w:val="79C44E91"/>
    <w:rsid w:val="79D75B18"/>
    <w:rsid w:val="79F9227E"/>
    <w:rsid w:val="7A03141B"/>
    <w:rsid w:val="7A2F5A98"/>
    <w:rsid w:val="7A340EA4"/>
    <w:rsid w:val="7A3F5F0E"/>
    <w:rsid w:val="7A402127"/>
    <w:rsid w:val="7A4A2C2F"/>
    <w:rsid w:val="7A4A7E00"/>
    <w:rsid w:val="7A677819"/>
    <w:rsid w:val="7A75750A"/>
    <w:rsid w:val="7A7C3110"/>
    <w:rsid w:val="7A9E603E"/>
    <w:rsid w:val="7AA5799A"/>
    <w:rsid w:val="7AAE7A48"/>
    <w:rsid w:val="7AF259C5"/>
    <w:rsid w:val="7B12265C"/>
    <w:rsid w:val="7B4E1237"/>
    <w:rsid w:val="7B557668"/>
    <w:rsid w:val="7B5721B8"/>
    <w:rsid w:val="7B5C6BFD"/>
    <w:rsid w:val="7B884D33"/>
    <w:rsid w:val="7BA630A7"/>
    <w:rsid w:val="7BBB6A08"/>
    <w:rsid w:val="7BCB5994"/>
    <w:rsid w:val="7BED154E"/>
    <w:rsid w:val="7BED6B05"/>
    <w:rsid w:val="7C1946E0"/>
    <w:rsid w:val="7C42078B"/>
    <w:rsid w:val="7C953CBE"/>
    <w:rsid w:val="7C9C6D51"/>
    <w:rsid w:val="7CA326C8"/>
    <w:rsid w:val="7CA92F35"/>
    <w:rsid w:val="7CAA5F0D"/>
    <w:rsid w:val="7CBA4028"/>
    <w:rsid w:val="7CC500B7"/>
    <w:rsid w:val="7D1B3CD3"/>
    <w:rsid w:val="7D25417D"/>
    <w:rsid w:val="7D470375"/>
    <w:rsid w:val="7D5A124C"/>
    <w:rsid w:val="7D6B3C9C"/>
    <w:rsid w:val="7D6C7837"/>
    <w:rsid w:val="7D834B6F"/>
    <w:rsid w:val="7D87483A"/>
    <w:rsid w:val="7D881639"/>
    <w:rsid w:val="7D886B89"/>
    <w:rsid w:val="7D8A3047"/>
    <w:rsid w:val="7D92427A"/>
    <w:rsid w:val="7DA653E8"/>
    <w:rsid w:val="7DAB4450"/>
    <w:rsid w:val="7DAE4568"/>
    <w:rsid w:val="7DC3009F"/>
    <w:rsid w:val="7DC80DDA"/>
    <w:rsid w:val="7DDC30D5"/>
    <w:rsid w:val="7E0B16A2"/>
    <w:rsid w:val="7E12506E"/>
    <w:rsid w:val="7E1B5179"/>
    <w:rsid w:val="7E3610F8"/>
    <w:rsid w:val="7E510147"/>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BC0B46"/>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next w:val="1"/>
    <w:autoRedefine/>
    <w:qFormat/>
    <w:uiPriority w:val="0"/>
    <w:pPr>
      <w:spacing w:after="120"/>
      <w:ind w:left="420" w:leftChars="200"/>
    </w:pPr>
  </w:style>
  <w:style w:type="paragraph" w:styleId="7">
    <w:name w:val="List Number"/>
    <w:basedOn w:val="1"/>
    <w:autoRedefine/>
    <w:qFormat/>
    <w:uiPriority w:val="0"/>
    <w:pPr>
      <w:numPr>
        <w:ilvl w:val="0"/>
        <w:numId w:val="2"/>
      </w:numPr>
    </w:pPr>
  </w:style>
  <w:style w:type="paragraph" w:styleId="8">
    <w:name w:val="Normal Indent"/>
    <w:basedOn w:val="1"/>
    <w:autoRedefine/>
    <w:qFormat/>
    <w:uiPriority w:val="0"/>
    <w:pPr>
      <w:ind w:firstLine="420"/>
    </w:pPr>
    <w:rPr>
      <w:szCs w:val="20"/>
    </w:rPr>
  </w:style>
  <w:style w:type="paragraph" w:styleId="9">
    <w:name w:val="toa heading"/>
    <w:basedOn w:val="1"/>
    <w:next w:val="1"/>
    <w:autoRedefine/>
    <w:semiHidden/>
    <w:qFormat/>
    <w:uiPriority w:val="99"/>
    <w:pPr>
      <w:spacing w:before="120"/>
    </w:pPr>
    <w:rPr>
      <w:rFonts w:ascii="Arial" w:hAnsi="Arial" w:cs="Arial"/>
      <w:sz w:val="24"/>
    </w:rPr>
  </w:style>
  <w:style w:type="paragraph" w:styleId="10">
    <w:name w:val="annotation text"/>
    <w:basedOn w:val="1"/>
    <w:autoRedefine/>
    <w:qFormat/>
    <w:uiPriority w:val="0"/>
    <w:pPr>
      <w:jc w:val="left"/>
    </w:pPr>
  </w:style>
  <w:style w:type="paragraph" w:styleId="11">
    <w:name w:val="Body Text"/>
    <w:basedOn w:val="1"/>
    <w:autoRedefine/>
    <w:qFormat/>
    <w:uiPriority w:val="0"/>
    <w:pPr>
      <w:spacing w:line="360" w:lineRule="exact"/>
    </w:pPr>
    <w:rPr>
      <w:sz w:val="24"/>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autoRedefine/>
    <w:unhideWhenUsed/>
    <w:qFormat/>
    <w:uiPriority w:val="39"/>
    <w:pPr>
      <w:widowControl/>
      <w:ind w:left="2100" w:leftChars="1000"/>
      <w:jc w:val="left"/>
    </w:pPr>
    <w:rPr>
      <w:rFonts w:ascii="宋体" w:hAnsi="宋体" w:cs="宋体"/>
      <w:kern w:val="0"/>
      <w:sz w:val="24"/>
    </w:r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11"/>
    <w:next w:val="18"/>
    <w:autoRedefine/>
    <w:qFormat/>
    <w:uiPriority w:val="0"/>
    <w:pPr>
      <w:ind w:firstLine="200" w:firstLineChars="200"/>
    </w:pPr>
  </w:style>
  <w:style w:type="table" w:styleId="22">
    <w:name w:val="Table Grid"/>
    <w:basedOn w:val="21"/>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autoRedefine/>
    <w:qFormat/>
    <w:uiPriority w:val="0"/>
    <w:rPr>
      <w:color w:val="800080"/>
      <w:u w:val="single"/>
    </w:rPr>
  </w:style>
  <w:style w:type="character" w:styleId="25">
    <w:name w:val="Hyperlink"/>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Body Text Indent 2_bb4d1f65-70a2-4f69-8af3-194d898dc300"/>
    <w:basedOn w:val="1"/>
    <w:autoRedefine/>
    <w:qFormat/>
    <w:uiPriority w:val="0"/>
    <w:pPr>
      <w:spacing w:after="120" w:line="480" w:lineRule="auto"/>
      <w:ind w:left="200" w:leftChars="200"/>
    </w:pPr>
  </w:style>
  <w:style w:type="paragraph" w:customStyle="1" w:styleId="28">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autoRedefine/>
    <w:qFormat/>
    <w:uiPriority w:val="34"/>
    <w:pPr>
      <w:ind w:firstLine="420" w:firstLineChars="200"/>
    </w:pPr>
    <w:rPr>
      <w:rFonts w:ascii="Calibri" w:hAnsi="Calibri"/>
      <w:szCs w:val="22"/>
    </w:rPr>
  </w:style>
  <w:style w:type="paragraph" w:customStyle="1" w:styleId="3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autoRedefine/>
    <w:qFormat/>
    <w:uiPriority w:val="0"/>
    <w:rPr>
      <w:rFonts w:ascii="Times New Roman" w:hAnsi="Times New Roman" w:eastAsia="宋体" w:cs="Times New Roman"/>
      <w:sz w:val="21"/>
      <w:szCs w:val="22"/>
      <w:lang w:val="en-US" w:eastAsia="zh-CN" w:bidi="ar-SA"/>
    </w:rPr>
  </w:style>
  <w:style w:type="paragraph" w:customStyle="1" w:styleId="3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autoRedefine/>
    <w:qFormat/>
    <w:uiPriority w:val="0"/>
    <w:pPr>
      <w:widowControl/>
      <w:jc w:val="left"/>
    </w:pPr>
    <w:rPr>
      <w:rFonts w:ascii="宋体" w:hAnsi="Courier New" w:eastAsiaTheme="minorEastAsia" w:cstheme="minorBidi"/>
      <w:szCs w:val="21"/>
    </w:rPr>
  </w:style>
  <w:style w:type="paragraph" w:customStyle="1" w:styleId="39">
    <w:name w:val="纯文本_0_1"/>
    <w:basedOn w:val="1"/>
    <w:autoRedefine/>
    <w:qFormat/>
    <w:uiPriority w:val="0"/>
    <w:pPr>
      <w:widowControl/>
      <w:jc w:val="left"/>
    </w:pPr>
    <w:rPr>
      <w:rFonts w:ascii="宋体" w:hAnsi="Courier New" w:eastAsiaTheme="minorEastAsia" w:cstheme="minorBidi"/>
      <w:szCs w:val="21"/>
    </w:rPr>
  </w:style>
  <w:style w:type="paragraph" w:customStyle="1" w:styleId="4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3"/>
    <w:autoRedefine/>
    <w:qFormat/>
    <w:uiPriority w:val="0"/>
    <w:rPr>
      <w:rFonts w:hint="default" w:ascii="Arial" w:hAnsi="Arial" w:cs="Arial"/>
      <w:color w:val="000000"/>
      <w:sz w:val="20"/>
      <w:szCs w:val="20"/>
      <w:u w:val="none"/>
    </w:rPr>
  </w:style>
  <w:style w:type="character" w:customStyle="1" w:styleId="45">
    <w:name w:val="font01"/>
    <w:basedOn w:val="23"/>
    <w:autoRedefine/>
    <w:qFormat/>
    <w:uiPriority w:val="0"/>
    <w:rPr>
      <w:rFonts w:hint="eastAsia" w:ascii="宋体" w:hAnsi="宋体" w:eastAsia="宋体" w:cs="宋体"/>
      <w:color w:val="000000"/>
      <w:sz w:val="20"/>
      <w:szCs w:val="20"/>
      <w:u w:val="none"/>
    </w:rPr>
  </w:style>
  <w:style w:type="paragraph" w:customStyle="1" w:styleId="46">
    <w:name w:val="纯文本1"/>
    <w:basedOn w:val="47"/>
    <w:autoRedefine/>
    <w:qFormat/>
    <w:uiPriority w:val="0"/>
    <w:pPr>
      <w:widowControl/>
      <w:jc w:val="left"/>
    </w:pPr>
    <w:rPr>
      <w:rFonts w:ascii="宋体" w:hAnsi="Courier New"/>
    </w:rPr>
  </w:style>
  <w:style w:type="paragraph" w:customStyle="1" w:styleId="4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autoRedefine/>
    <w:qFormat/>
    <w:uiPriority w:val="1"/>
    <w:rPr>
      <w:rFonts w:ascii="宋体" w:hAnsi="宋体" w:cs="宋体"/>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character" w:customStyle="1" w:styleId="50">
    <w:name w:val="标题 1 Char Char"/>
    <w:basedOn w:val="23"/>
    <w:autoRedefine/>
    <w:qFormat/>
    <w:uiPriority w:val="0"/>
    <w:rPr>
      <w:rFonts w:eastAsia="宋体"/>
      <w:b/>
      <w:spacing w:val="-2"/>
      <w:sz w:val="24"/>
      <w:lang w:val="en-US" w:eastAsia="zh-CN" w:bidi="ar-SA"/>
    </w:rPr>
  </w:style>
  <w:style w:type="character" w:customStyle="1" w:styleId="51">
    <w:name w:val="批注框文本 Char"/>
    <w:basedOn w:val="23"/>
    <w:link w:val="14"/>
    <w:autoRedefine/>
    <w:qFormat/>
    <w:uiPriority w:val="0"/>
    <w:rPr>
      <w:kern w:val="2"/>
      <w:sz w:val="18"/>
      <w:szCs w:val="18"/>
    </w:rPr>
  </w:style>
  <w:style w:type="paragraph" w:customStyle="1" w:styleId="52">
    <w:name w:val="Default"/>
    <w:next w:val="1"/>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53">
    <w:name w:val="font31"/>
    <w:basedOn w:val="23"/>
    <w:autoRedefine/>
    <w:qFormat/>
    <w:uiPriority w:val="0"/>
    <w:rPr>
      <w:rFonts w:hint="eastAsia" w:ascii="等线" w:hAnsi="等线" w:eastAsia="等线" w:cs="等线"/>
      <w:color w:val="FF0000"/>
      <w:sz w:val="22"/>
      <w:szCs w:val="22"/>
      <w:u w:val="none"/>
    </w:rPr>
  </w:style>
  <w:style w:type="character" w:customStyle="1" w:styleId="54">
    <w:name w:val="font11"/>
    <w:basedOn w:val="23"/>
    <w:autoRedefine/>
    <w:qFormat/>
    <w:uiPriority w:val="0"/>
    <w:rPr>
      <w:rFonts w:hint="eastAsia" w:ascii="等线" w:hAnsi="等线" w:eastAsia="等线" w:cs="等线"/>
      <w:color w:val="00B0F0"/>
      <w:sz w:val="22"/>
      <w:szCs w:val="22"/>
      <w:u w:val="none"/>
    </w:rPr>
  </w:style>
  <w:style w:type="character" w:customStyle="1" w:styleId="55">
    <w:name w:val="font131"/>
    <w:basedOn w:val="23"/>
    <w:autoRedefine/>
    <w:qFormat/>
    <w:uiPriority w:val="0"/>
    <w:rPr>
      <w:rFonts w:hint="default" w:ascii="黑体" w:hAnsi="宋体" w:eastAsia="黑体" w:cs="黑体"/>
      <w:color w:val="000000"/>
      <w:sz w:val="20"/>
      <w:szCs w:val="20"/>
      <w:u w:val="none"/>
    </w:rPr>
  </w:style>
  <w:style w:type="paragraph" w:customStyle="1" w:styleId="56">
    <w:name w:val="正文首行缩进 21"/>
    <w:basedOn w:val="3"/>
    <w:qFormat/>
    <w:uiPriority w:val="0"/>
    <w:pPr>
      <w:ind w:firstLine="420"/>
    </w:pPr>
  </w:style>
  <w:style w:type="paragraph" w:customStyle="1" w:styleId="57">
    <w:name w:val="DAS正文"/>
    <w:basedOn w:val="1"/>
    <w:qFormat/>
    <w:uiPriority w:val="0"/>
    <w:pPr>
      <w:spacing w:line="360" w:lineRule="auto"/>
      <w:ind w:right="181" w:firstLine="480" w:firstLineChars="200"/>
    </w:pPr>
    <w:rPr>
      <w:rFonts w:ascii="Verdana" w:hAnsi="Verdan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44296</Words>
  <Characters>48356</Characters>
  <Lines>174</Lines>
  <Paragraphs>49</Paragraphs>
  <TotalTime>5</TotalTime>
  <ScaleCrop>false</ScaleCrop>
  <LinksUpToDate>false</LinksUpToDate>
  <CharactersWithSpaces>50245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2021-08-18T01:05:00Z</cp:lastPrinted>
  <dcterms:modified xsi:type="dcterms:W3CDTF">2024-07-22T01:50:42Z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E2F985A879CC473796F0CA0FCB9BC6E9_13</vt:lpwstr>
  </property>
</Properties>
</file>